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highlight w:val="none"/>
        </w:rPr>
      </w:pPr>
      <w:r>
        <w:rPr>
          <w:rFonts w:hint="eastAsia" w:ascii="宋体" w:hAnsi="宋体" w:cs="宋体"/>
          <w:b/>
          <w:snapToGrid w:val="0"/>
          <w:kern w:val="0"/>
          <w:sz w:val="32"/>
          <w:szCs w:val="32"/>
          <w:highlight w:val="none"/>
        </w:rPr>
        <w:t>YDFYXJ-</w:t>
      </w:r>
      <w:r>
        <w:rPr>
          <w:rFonts w:hint="eastAsia" w:ascii="宋体" w:hAnsi="宋体" w:cs="宋体"/>
          <w:b/>
          <w:snapToGrid w:val="0"/>
          <w:kern w:val="0"/>
          <w:sz w:val="32"/>
          <w:szCs w:val="32"/>
          <w:highlight w:val="none"/>
          <w:lang w:eastAsia="zh-CN"/>
        </w:rPr>
        <w:t>20221105</w:t>
      </w:r>
      <w:r>
        <w:rPr>
          <w:rFonts w:hint="eastAsia" w:ascii="宋体" w:hAnsi="宋体" w:cs="宋体"/>
          <w:b/>
          <w:snapToGrid w:val="0"/>
          <w:kern w:val="0"/>
          <w:sz w:val="32"/>
          <w:szCs w:val="32"/>
          <w:highlight w:val="none"/>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36"/>
          <w:szCs w:val="36"/>
        </w:rPr>
      </w:pPr>
      <w:r>
        <w:rPr>
          <w:rFonts w:hint="eastAsia"/>
          <w:b/>
          <w:sz w:val="36"/>
          <w:szCs w:val="36"/>
        </w:rPr>
        <w:t>扬州大学附属医院</w:t>
      </w:r>
    </w:p>
    <w:p>
      <w:pPr>
        <w:adjustRightInd w:val="0"/>
        <w:snapToGrid w:val="0"/>
        <w:spacing w:line="800" w:lineRule="exact"/>
        <w:contextualSpacing/>
        <w:jc w:val="center"/>
        <w:rPr>
          <w:rFonts w:hint="eastAsia" w:ascii="宋体" w:hAnsi="宋体" w:cs="宋体"/>
          <w:b/>
          <w:snapToGrid w:val="0"/>
          <w:kern w:val="0"/>
          <w:sz w:val="28"/>
          <w:szCs w:val="28"/>
          <w:highlight w:val="none"/>
          <w:lang w:val="en-US" w:eastAsia="zh-CN"/>
        </w:rPr>
      </w:pPr>
      <w:r>
        <w:rPr>
          <w:rFonts w:hint="eastAsia" w:ascii="宋体" w:hAnsi="宋体" w:cs="宋体"/>
          <w:b/>
          <w:snapToGrid w:val="0"/>
          <w:kern w:val="0"/>
          <w:sz w:val="28"/>
          <w:szCs w:val="28"/>
          <w:highlight w:val="none"/>
          <w:lang w:val="en-US" w:eastAsia="zh-CN"/>
        </w:rPr>
        <w:t>使用后未被污染一次性输液袋（瓶）、玻璃输液瓶回收处置服务项目</w:t>
      </w:r>
    </w:p>
    <w:p>
      <w:pPr>
        <w:adjustRightInd w:val="0"/>
        <w:snapToGrid w:val="0"/>
        <w:spacing w:line="800" w:lineRule="exact"/>
        <w:contextualSpacing/>
        <w:jc w:val="center"/>
        <w:rPr>
          <w:b/>
          <w:sz w:val="36"/>
          <w:szCs w:val="36"/>
        </w:rPr>
      </w:pPr>
      <w:r>
        <w:rPr>
          <w:rFonts w:hint="eastAsia"/>
          <w:b/>
          <w:sz w:val="36"/>
          <w:szCs w:val="36"/>
        </w:rPr>
        <w:t>询价文件</w:t>
      </w:r>
    </w:p>
    <w:p>
      <w:pPr>
        <w:pStyle w:val="15"/>
        <w:ind w:firstLine="0"/>
      </w:pPr>
    </w:p>
    <w:p>
      <w:pPr>
        <w:pStyle w:val="15"/>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宋体" w:hAnsi="宋体"/>
          <w:b/>
          <w:bCs/>
          <w:sz w:val="44"/>
          <w:szCs w:val="44"/>
        </w:rPr>
      </w:pPr>
      <w:r>
        <w:rPr>
          <w:rFonts w:hint="eastAsia" w:asciiTheme="minorEastAsia" w:hAnsiTheme="minorEastAsia" w:eastAsiaTheme="minorEastAsia"/>
          <w:w w:val="90"/>
          <w:kern w:val="0"/>
          <w:sz w:val="32"/>
          <w:szCs w:val="32"/>
        </w:rPr>
        <w:t>发  放  日 期：</w:t>
      </w:r>
      <w:bookmarkStart w:id="0" w:name="EB59c3faf64f2a4bd092a206fb1d0c3c03"/>
      <w:r>
        <w:rPr>
          <w:rFonts w:asciiTheme="minorEastAsia" w:hAnsiTheme="minorEastAsia" w:eastAsiaTheme="minorEastAsia"/>
          <w:b/>
          <w:w w:val="90"/>
          <w:kern w:val="0"/>
          <w:sz w:val="32"/>
          <w:szCs w:val="32"/>
          <w:highlight w:val="none"/>
        </w:rPr>
        <w:t>20</w:t>
      </w:r>
      <w:r>
        <w:rPr>
          <w:rFonts w:hint="eastAsia" w:asciiTheme="minorEastAsia" w:hAnsiTheme="minorEastAsia" w:eastAsiaTheme="minorEastAsia"/>
          <w:b/>
          <w:w w:val="90"/>
          <w:kern w:val="0"/>
          <w:sz w:val="32"/>
          <w:szCs w:val="32"/>
          <w:highlight w:val="none"/>
        </w:rPr>
        <w:t>22年</w:t>
      </w:r>
      <w:r>
        <w:rPr>
          <w:rFonts w:hint="eastAsia" w:asciiTheme="minorEastAsia" w:hAnsiTheme="minorEastAsia" w:eastAsiaTheme="minorEastAsia"/>
          <w:b/>
          <w:w w:val="90"/>
          <w:kern w:val="0"/>
          <w:sz w:val="32"/>
          <w:szCs w:val="32"/>
          <w:highlight w:val="none"/>
          <w:lang w:val="en-US" w:eastAsia="zh-CN"/>
        </w:rPr>
        <w:t>12</w:t>
      </w:r>
      <w:r>
        <w:rPr>
          <w:rFonts w:hint="eastAsia" w:asciiTheme="minorEastAsia" w:hAnsiTheme="minorEastAsia" w:eastAsiaTheme="minorEastAsia"/>
          <w:b/>
          <w:w w:val="90"/>
          <w:kern w:val="0"/>
          <w:sz w:val="32"/>
          <w:szCs w:val="32"/>
          <w:highlight w:val="none"/>
        </w:rPr>
        <w:t>月</w:t>
      </w:r>
      <w:r>
        <w:rPr>
          <w:rFonts w:hint="eastAsia" w:asciiTheme="minorEastAsia" w:hAnsiTheme="minorEastAsia" w:eastAsiaTheme="minorEastAsia"/>
          <w:b/>
          <w:w w:val="90"/>
          <w:kern w:val="0"/>
          <w:sz w:val="32"/>
          <w:szCs w:val="32"/>
          <w:highlight w:val="none"/>
          <w:lang w:val="en-US" w:eastAsia="zh-CN"/>
        </w:rPr>
        <w:t>1</w:t>
      </w:r>
      <w:r>
        <w:rPr>
          <w:rFonts w:hint="eastAsia" w:asciiTheme="minorEastAsia" w:hAnsiTheme="minorEastAsia" w:eastAsiaTheme="minorEastAsia"/>
          <w:b/>
          <w:w w:val="90"/>
          <w:kern w:val="0"/>
          <w:sz w:val="32"/>
          <w:szCs w:val="32"/>
          <w:highlight w:val="none"/>
        </w:rPr>
        <w:t>日</w:t>
      </w:r>
      <w:bookmarkEnd w:id="0"/>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4"/>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使用后未被污染一次性输液袋（瓶）、玻璃输液瓶回收处置服务项目</w:t>
      </w:r>
      <w:r>
        <w:rPr>
          <w:rFonts w:hint="eastAsia" w:ascii="宋体" w:hAnsi="宋体" w:cs="宋体"/>
          <w:snapToGrid w:val="0"/>
          <w:kern w:val="0"/>
          <w:sz w:val="24"/>
        </w:rPr>
        <w:t>（编号：</w:t>
      </w:r>
      <w:r>
        <w:rPr>
          <w:rFonts w:hint="eastAsia" w:ascii="宋体" w:hAnsi="宋体" w:cs="宋体"/>
          <w:snapToGrid w:val="0"/>
          <w:kern w:val="0"/>
          <w:sz w:val="24"/>
          <w:highlight w:val="none"/>
        </w:rPr>
        <w:t>YDFYXJ-</w:t>
      </w:r>
      <w:r>
        <w:rPr>
          <w:rFonts w:hint="eastAsia" w:ascii="宋体" w:hAnsi="宋体" w:cs="宋体"/>
          <w:snapToGrid w:val="0"/>
          <w:kern w:val="0"/>
          <w:sz w:val="24"/>
          <w:highlight w:val="none"/>
          <w:lang w:eastAsia="zh-CN"/>
        </w:rPr>
        <w:t>20221105</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使用后未被污染一次性输液袋（瓶）、玻璃输液瓶回收处置服务项目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2.项目地点：扬州大学附属医院(东西区两个院区及所属区域)</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w:t>
      </w:r>
      <w:r>
        <w:rPr>
          <w:rFonts w:hint="eastAsia" w:ascii="宋体" w:hAnsi="宋体" w:cs="宋体"/>
          <w:snapToGrid w:val="0"/>
          <w:kern w:val="0"/>
          <w:sz w:val="24"/>
          <w:lang w:eastAsia="zh-CN"/>
        </w:rPr>
        <w:t>最低</w:t>
      </w:r>
      <w:r>
        <w:rPr>
          <w:rFonts w:hint="eastAsia" w:ascii="宋体" w:hAnsi="宋体" w:cs="宋体"/>
          <w:snapToGrid w:val="0"/>
          <w:kern w:val="0"/>
          <w:sz w:val="24"/>
        </w:rPr>
        <w:t>限价：</w:t>
      </w:r>
      <w:r>
        <w:rPr>
          <w:rFonts w:hint="eastAsia" w:ascii="宋体" w:hAnsi="宋体" w:cs="宋体"/>
          <w:snapToGrid w:val="0"/>
          <w:kern w:val="0"/>
          <w:sz w:val="24"/>
          <w:highlight w:val="none"/>
          <w:lang w:val="en-US" w:eastAsia="zh-CN"/>
        </w:rPr>
        <w:t>3.96</w:t>
      </w:r>
      <w:r>
        <w:rPr>
          <w:rFonts w:hint="eastAsia" w:ascii="宋体" w:hAnsi="宋体" w:cs="宋体"/>
          <w:snapToGrid w:val="0"/>
          <w:kern w:val="0"/>
          <w:sz w:val="24"/>
          <w:highlight w:val="none"/>
        </w:rPr>
        <w:t>万元，</w:t>
      </w:r>
      <w:r>
        <w:rPr>
          <w:rFonts w:hint="eastAsia" w:ascii="宋体" w:hAnsi="宋体" w:cs="宋体"/>
          <w:snapToGrid w:val="0"/>
          <w:kern w:val="0"/>
          <w:sz w:val="24"/>
        </w:rPr>
        <w:t>投标报价</w:t>
      </w:r>
      <w:r>
        <w:rPr>
          <w:rFonts w:hint="eastAsia" w:ascii="宋体" w:hAnsi="宋体" w:cs="宋体"/>
          <w:snapToGrid w:val="0"/>
          <w:kern w:val="0"/>
          <w:sz w:val="24"/>
          <w:lang w:eastAsia="zh-CN"/>
        </w:rPr>
        <w:t>低于最低</w:t>
      </w:r>
      <w:r>
        <w:rPr>
          <w:rFonts w:hint="eastAsia" w:ascii="宋体" w:hAnsi="宋体" w:cs="宋体"/>
          <w:snapToGrid w:val="0"/>
          <w:kern w:val="0"/>
          <w:sz w:val="24"/>
        </w:rPr>
        <w:t>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w:t>
      </w:r>
      <w:r>
        <w:rPr>
          <w:rFonts w:hint="eastAsia" w:ascii="宋体" w:hAnsi="宋体"/>
          <w:color w:val="000000"/>
          <w:sz w:val="24"/>
          <w:lang w:eastAsia="zh-CN"/>
        </w:rPr>
        <w:t>协议</w:t>
      </w:r>
      <w:r>
        <w:rPr>
          <w:rFonts w:hint="eastAsia" w:ascii="宋体" w:hAnsi="宋体"/>
          <w:color w:val="000000"/>
          <w:sz w:val="24"/>
        </w:rPr>
        <w:t>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品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被邀请的供应商应就以下采购清单中的货物及相关要求，</w:t>
      </w:r>
      <w:r>
        <w:rPr>
          <w:rFonts w:hint="eastAsia" w:ascii="宋体" w:hAnsi="宋体"/>
          <w:b/>
          <w:sz w:val="24"/>
        </w:rPr>
        <w:t>在</w:t>
      </w:r>
      <w:r>
        <w:rPr>
          <w:rFonts w:hint="eastAsia" w:ascii="宋体" w:hAnsi="宋体"/>
          <w:b/>
          <w:sz w:val="24"/>
          <w:highlight w:val="none"/>
        </w:rPr>
        <w:t>2022年</w:t>
      </w:r>
      <w:r>
        <w:rPr>
          <w:rFonts w:hint="eastAsia" w:ascii="宋体" w:hAnsi="宋体"/>
          <w:b/>
          <w:sz w:val="24"/>
          <w:highlight w:val="none"/>
          <w:lang w:val="en-US" w:eastAsia="zh-CN"/>
        </w:rPr>
        <w:t>12</w:t>
      </w:r>
      <w:r>
        <w:rPr>
          <w:rFonts w:hint="eastAsia" w:ascii="宋体" w:hAnsi="宋体"/>
          <w:b/>
          <w:sz w:val="24"/>
          <w:highlight w:val="none"/>
        </w:rPr>
        <w:t>月</w:t>
      </w:r>
      <w:r>
        <w:rPr>
          <w:rFonts w:hint="eastAsia" w:ascii="宋体" w:hAnsi="宋体"/>
          <w:b/>
          <w:sz w:val="24"/>
          <w:highlight w:val="none"/>
          <w:lang w:val="en-US" w:eastAsia="zh-CN"/>
        </w:rPr>
        <w:t>8</w:t>
      </w:r>
      <w:r>
        <w:rPr>
          <w:rFonts w:hint="eastAsia" w:ascii="宋体" w:hAnsi="宋体"/>
          <w:b/>
          <w:sz w:val="24"/>
          <w:highlight w:val="none"/>
        </w:rPr>
        <w:t>日上午10：30</w:t>
      </w:r>
      <w:r>
        <w:rPr>
          <w:rFonts w:hint="eastAsia" w:ascii="宋体" w:hAnsi="宋体"/>
          <w:sz w:val="24"/>
        </w:rPr>
        <w:t>前，向本单位做出一次性书面报价（单价及总价）。该报价一经本单位认可，即为签约的</w:t>
      </w:r>
      <w:r>
        <w:rPr>
          <w:rFonts w:hint="eastAsia" w:ascii="宋体" w:hAnsi="宋体"/>
          <w:sz w:val="24"/>
          <w:lang w:eastAsia="zh-CN"/>
        </w:rPr>
        <w:t>协议</w:t>
      </w:r>
      <w:r>
        <w:rPr>
          <w:rFonts w:hint="eastAsia" w:ascii="宋体" w:hAnsi="宋体"/>
          <w:sz w:val="24"/>
        </w:rPr>
        <w:t>价，此价格为交货地验收价格，包括货物价款、包装费、装卸费和运输费等验收前所有费用。报价用人民币报价，单位为元，保留两位小数，并盖单位公章方为有效。报价资料均须盖章并封袋密封。货物招标文件标准文本中的“</w:t>
      </w:r>
      <w:r>
        <w:rPr>
          <w:rFonts w:hint="eastAsia" w:ascii="宋体" w:hAnsi="宋体"/>
          <w:sz w:val="24"/>
          <w:lang w:eastAsia="zh-CN"/>
        </w:rPr>
        <w:t>协议</w:t>
      </w:r>
      <w:r>
        <w:rPr>
          <w:rFonts w:hint="eastAsia" w:ascii="宋体" w:hAnsi="宋体"/>
          <w:sz w:val="24"/>
        </w:rPr>
        <w:t>条款”、投标邀请书和签约方的报价函将作为</w:t>
      </w:r>
      <w:r>
        <w:rPr>
          <w:rFonts w:hint="eastAsia" w:ascii="宋体" w:hAnsi="宋体"/>
          <w:sz w:val="24"/>
          <w:lang w:eastAsia="zh-CN"/>
        </w:rPr>
        <w:t>协议</w:t>
      </w:r>
      <w:r>
        <w:rPr>
          <w:rFonts w:hint="eastAsia" w:ascii="宋体" w:hAnsi="宋体"/>
          <w:sz w:val="24"/>
        </w:rPr>
        <w:t>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highlight w:val="none"/>
          <w:lang w:eastAsia="zh-CN"/>
        </w:rPr>
        <w:t>使用后未被污染一次性输液袋（瓶）、玻璃输液瓶回收处置服务项目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highlight w:val="none"/>
          <w:lang w:eastAsia="zh-CN"/>
        </w:rPr>
        <w:t>使用后未被污染一次性输液袋（瓶）、玻璃输液瓶回收处置服务项目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w:t>
      </w:r>
      <w:r>
        <w:rPr>
          <w:rFonts w:hint="eastAsia" w:ascii="宋体" w:hAnsi="宋体" w:cs="微软雅黑"/>
          <w:b/>
          <w:bCs/>
          <w:color w:val="000000"/>
          <w:sz w:val="24"/>
          <w:lang w:val="en-US" w:eastAsia="zh-CN"/>
        </w:rPr>
        <w:t>高</w:t>
      </w:r>
      <w:bookmarkStart w:id="4" w:name="_GoBack"/>
      <w:bookmarkEnd w:id="4"/>
      <w:r>
        <w:rPr>
          <w:rFonts w:hint="eastAsia" w:ascii="宋体" w:hAnsi="宋体" w:cs="微软雅黑"/>
          <w:b/>
          <w:bCs/>
          <w:color w:val="000000"/>
          <w:sz w:val="24"/>
        </w:rPr>
        <w:t>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hint="eastAsia" w:ascii="宋体" w:hAnsi="宋体" w:eastAsia="宋体" w:cs="宋体"/>
          <w:color w:val="FF0000"/>
          <w:sz w:val="24"/>
          <w:lang w:eastAsia="zh-CN"/>
        </w:rPr>
      </w:pPr>
      <w:r>
        <w:rPr>
          <w:rFonts w:hint="eastAsia" w:ascii="宋体" w:hAnsi="宋体" w:cs="宋体"/>
          <w:snapToGrid w:val="0"/>
          <w:kern w:val="0"/>
          <w:sz w:val="24"/>
        </w:rPr>
        <w:t>12.</w:t>
      </w:r>
      <w:r>
        <w:rPr>
          <w:rFonts w:hint="eastAsia" w:ascii="宋体" w:hAnsi="宋体" w:cs="宋体"/>
          <w:snapToGrid w:val="0"/>
          <w:kern w:val="0"/>
          <w:sz w:val="24"/>
          <w:lang w:eastAsia="zh-CN"/>
        </w:rPr>
        <w:t>协议</w:t>
      </w:r>
      <w:r>
        <w:rPr>
          <w:rFonts w:hint="eastAsia" w:ascii="宋体" w:hAnsi="宋体" w:cs="宋体"/>
          <w:snapToGrid w:val="0"/>
          <w:kern w:val="0"/>
          <w:sz w:val="24"/>
        </w:rPr>
        <w:t>结算方式：本</w:t>
      </w:r>
      <w:r>
        <w:rPr>
          <w:rFonts w:hint="eastAsia" w:ascii="宋体" w:hAnsi="宋体" w:cs="宋体"/>
          <w:snapToGrid w:val="0"/>
          <w:kern w:val="0"/>
          <w:sz w:val="24"/>
          <w:lang w:eastAsia="zh-CN"/>
        </w:rPr>
        <w:t>协议</w:t>
      </w:r>
      <w:r>
        <w:rPr>
          <w:rFonts w:hint="eastAsia" w:ascii="宋体" w:hAnsi="宋体" w:cs="宋体"/>
          <w:snapToGrid w:val="0"/>
          <w:kern w:val="0"/>
          <w:sz w:val="24"/>
        </w:rPr>
        <w:t>价款采用固定总价</w:t>
      </w:r>
      <w:r>
        <w:rPr>
          <w:rFonts w:hint="eastAsia" w:ascii="宋体" w:hAnsi="宋体" w:cs="宋体"/>
          <w:snapToGrid w:val="0"/>
          <w:kern w:val="0"/>
          <w:sz w:val="24"/>
          <w:lang w:eastAsia="zh-CN"/>
        </w:rPr>
        <w:t>协议</w:t>
      </w:r>
      <w:r>
        <w:rPr>
          <w:rFonts w:hint="eastAsia" w:ascii="宋体" w:hAnsi="宋体" w:cs="宋体"/>
          <w:snapToGrid w:val="0"/>
          <w:kern w:val="0"/>
          <w:sz w:val="24"/>
        </w:rPr>
        <w:t>方式确定</w:t>
      </w:r>
      <w:r>
        <w:rPr>
          <w:rFonts w:hint="eastAsia" w:ascii="宋体" w:hAnsi="宋体" w:cs="宋体"/>
          <w:snapToGrid w:val="0"/>
          <w:kern w:val="0"/>
          <w:sz w:val="24"/>
          <w:lang w:eastAsia="zh-CN"/>
        </w:rPr>
        <w:t>。</w:t>
      </w:r>
    </w:p>
    <w:p>
      <w:pPr>
        <w:pStyle w:val="14"/>
        <w:keepNext w:val="0"/>
        <w:keepLines w:val="0"/>
        <w:pageBreakBefore w:val="0"/>
        <w:kinsoku/>
        <w:wordWrap/>
        <w:overflowPunct/>
        <w:topLinePunct w:val="0"/>
        <w:autoSpaceDE/>
        <w:autoSpaceDN/>
        <w:bidi w:val="0"/>
        <w:adjustRightInd w:val="0"/>
        <w:snapToGrid w:val="0"/>
        <w:spacing w:before="0" w:beforeAutospacing="0" w:after="0" w:afterAutospacing="0" w:line="340" w:lineRule="exact"/>
        <w:ind w:firstLine="480" w:firstLineChars="200"/>
        <w:contextualSpacing/>
        <w:textAlignment w:val="auto"/>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z w:val="24"/>
        </w:rPr>
        <w:t>每</w:t>
      </w:r>
      <w:r>
        <w:rPr>
          <w:rFonts w:hint="eastAsia" w:cs="宋体"/>
          <w:sz w:val="24"/>
          <w:lang w:val="en-US" w:eastAsia="zh-CN"/>
        </w:rPr>
        <w:t>年的第一个月内支付当年的全部费用</w:t>
      </w:r>
      <w:r>
        <w:rPr>
          <w:rFonts w:hint="eastAsia" w:ascii="宋体" w:hAnsi="宋体" w:cs="宋体"/>
          <w:sz w:val="24"/>
        </w:rPr>
        <w:t>。</w:t>
      </w:r>
      <w:r>
        <w:rPr>
          <w:rFonts w:hint="eastAsia" w:ascii="宋体" w:hAnsi="宋体" w:cs="宋体"/>
          <w:snapToGrid w:val="0"/>
          <w:kern w:val="0"/>
          <w:sz w:val="24"/>
          <w:highlight w:val="none"/>
          <w:lang w:val="en-US" w:eastAsia="zh-CN"/>
        </w:rPr>
        <w:t>（以上均不计息）</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highlight w:val="none"/>
        </w:rPr>
        <w:t>2022年</w:t>
      </w:r>
      <w:r>
        <w:rPr>
          <w:rFonts w:hint="eastAsia" w:cs="微软雅黑"/>
          <w:b/>
          <w:highlight w:val="none"/>
          <w:lang w:val="en-US" w:eastAsia="zh-CN"/>
        </w:rPr>
        <w:t>12</w:t>
      </w:r>
      <w:r>
        <w:rPr>
          <w:rFonts w:hint="eastAsia" w:cs="微软雅黑"/>
          <w:b/>
          <w:highlight w:val="none"/>
        </w:rPr>
        <w:t>月</w:t>
      </w:r>
      <w:r>
        <w:rPr>
          <w:rFonts w:hint="eastAsia" w:cs="微软雅黑"/>
          <w:b/>
          <w:highlight w:val="none"/>
          <w:lang w:val="en-US" w:eastAsia="zh-CN"/>
        </w:rPr>
        <w:t>8</w:t>
      </w:r>
      <w:r>
        <w:rPr>
          <w:rFonts w:hint="eastAsia" w:cs="微软雅黑"/>
          <w:b/>
          <w:highlight w:val="none"/>
        </w:rPr>
        <w:t>日</w:t>
      </w:r>
      <w:r>
        <w:rPr>
          <w:rStyle w:val="32"/>
          <w:b/>
          <w:highlight w:val="none"/>
        </w:rPr>
        <w:t>1</w:t>
      </w:r>
      <w:r>
        <w:rPr>
          <w:rStyle w:val="32"/>
          <w:rFonts w:hint="eastAsia"/>
          <w:b/>
          <w:highlight w:val="none"/>
        </w:rPr>
        <w:t>0</w:t>
      </w:r>
      <w:r>
        <w:rPr>
          <w:rStyle w:val="32"/>
          <w:b/>
          <w:highlight w:val="none"/>
        </w:rPr>
        <w:t>：30</w:t>
      </w:r>
      <w:r>
        <w:rPr>
          <w:rFonts w:hint="eastAsia" w:cs="微软雅黑"/>
          <w:color w:val="000000"/>
          <w:highlight w:val="none"/>
        </w:rPr>
        <w:t>前</w:t>
      </w:r>
      <w:r>
        <w:rPr>
          <w:rStyle w:val="32"/>
          <w:rFonts w:ascii="宋体" w:hAnsi="宋体"/>
          <w:b/>
          <w:sz w:val="24"/>
          <w:highlight w:val="none"/>
        </w:rPr>
        <w:t>（北</w:t>
      </w:r>
      <w:r>
        <w:rPr>
          <w:rStyle w:val="32"/>
          <w:rFonts w:ascii="宋体" w:hAnsi="宋体"/>
          <w:b/>
          <w:color w:val="000000"/>
          <w:sz w:val="24"/>
          <w:highlight w:val="none"/>
        </w:rPr>
        <w:t>京时间）</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ascii="宋体" w:hAnsi="宋体"/>
          <w:sz w:val="24"/>
        </w:rPr>
        <w:t>扬州市邗江中路368号</w:t>
      </w:r>
      <w:r>
        <w:rPr>
          <w:rFonts w:hint="eastAsia" w:cs="微软雅黑"/>
          <w:color w:val="000000"/>
        </w:rPr>
        <w:t>扬州大学附属医院</w:t>
      </w:r>
      <w:r>
        <w:rPr>
          <w:rFonts w:hint="eastAsia" w:cs="微软雅黑"/>
          <w:color w:val="000000"/>
          <w:lang w:val="en-US" w:eastAsia="zh-CN"/>
        </w:rPr>
        <w:t>西区</w:t>
      </w:r>
      <w:r>
        <w:rPr>
          <w:rFonts w:hint="eastAsia" w:cs="微软雅黑"/>
          <w:color w:val="000000"/>
          <w:lang w:eastAsia="zh-CN"/>
        </w:rPr>
        <w:t>行政楼</w:t>
      </w:r>
      <w:r>
        <w:rPr>
          <w:rFonts w:hint="eastAsia" w:cs="微软雅黑"/>
          <w:color w:val="000000"/>
        </w:rPr>
        <w:t>四楼采购中心405</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hint="default" w:eastAsia="宋体" w:cs="微软雅黑"/>
          <w:color w:val="000000"/>
          <w:lang w:val="en-US" w:eastAsia="zh-CN"/>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0514—82981199—83118</w:t>
      </w:r>
    </w:p>
    <w:p>
      <w:pPr>
        <w:adjustRightInd w:val="0"/>
        <w:snapToGrid w:val="0"/>
        <w:spacing w:line="420" w:lineRule="exact"/>
        <w:ind w:firstLine="480" w:firstLineChars="200"/>
        <w:contextualSpacing/>
        <w:rPr>
          <w:rStyle w:val="32"/>
          <w:rFonts w:ascii="宋体" w:hAnsi="宋体"/>
          <w:sz w:val="24"/>
        </w:rPr>
      </w:pPr>
      <w:r>
        <w:rPr>
          <w:rStyle w:val="32"/>
          <w:rFonts w:hint="eastAsia" w:ascii="宋体" w:hAnsi="宋体"/>
          <w:sz w:val="24"/>
        </w:rPr>
        <w:t>15.</w:t>
      </w:r>
      <w:r>
        <w:rPr>
          <w:rStyle w:val="32"/>
          <w:rFonts w:ascii="宋体" w:hAnsi="宋体"/>
          <w:sz w:val="24"/>
        </w:rPr>
        <w:t>开标有关信息</w:t>
      </w:r>
    </w:p>
    <w:p>
      <w:pPr>
        <w:adjustRightInd w:val="0"/>
        <w:snapToGrid w:val="0"/>
        <w:spacing w:line="420" w:lineRule="exact"/>
        <w:ind w:firstLine="480" w:firstLineChars="200"/>
        <w:contextualSpacing/>
        <w:rPr>
          <w:rStyle w:val="32"/>
          <w:rFonts w:ascii="宋体" w:hAnsi="宋体"/>
          <w:color w:val="000000"/>
          <w:sz w:val="24"/>
        </w:rPr>
      </w:pPr>
      <w:r>
        <w:rPr>
          <w:rStyle w:val="32"/>
          <w:rFonts w:ascii="宋体" w:hAnsi="宋体"/>
          <w:sz w:val="24"/>
        </w:rPr>
        <w:t>开标时间：</w:t>
      </w:r>
      <w:r>
        <w:rPr>
          <w:rStyle w:val="32"/>
          <w:rFonts w:ascii="宋体" w:hAnsi="宋体"/>
          <w:b/>
          <w:sz w:val="24"/>
          <w:highlight w:val="none"/>
        </w:rPr>
        <w:t>202</w:t>
      </w:r>
      <w:r>
        <w:rPr>
          <w:rStyle w:val="32"/>
          <w:rFonts w:hint="eastAsia" w:ascii="宋体" w:hAnsi="宋体"/>
          <w:b/>
          <w:sz w:val="24"/>
          <w:highlight w:val="none"/>
        </w:rPr>
        <w:t>2</w:t>
      </w:r>
      <w:r>
        <w:rPr>
          <w:rStyle w:val="32"/>
          <w:rFonts w:ascii="宋体" w:hAnsi="宋体"/>
          <w:b/>
          <w:sz w:val="24"/>
          <w:highlight w:val="none"/>
        </w:rPr>
        <w:t>年</w:t>
      </w:r>
      <w:r>
        <w:rPr>
          <w:rStyle w:val="32"/>
          <w:rFonts w:hint="eastAsia" w:ascii="宋体" w:hAnsi="宋体"/>
          <w:b/>
          <w:sz w:val="24"/>
          <w:highlight w:val="none"/>
          <w:lang w:val="en-US" w:eastAsia="zh-CN"/>
        </w:rPr>
        <w:t>12</w:t>
      </w:r>
      <w:r>
        <w:rPr>
          <w:rStyle w:val="32"/>
          <w:rFonts w:ascii="宋体" w:hAnsi="宋体"/>
          <w:b/>
          <w:sz w:val="24"/>
          <w:highlight w:val="none"/>
        </w:rPr>
        <w:t>月</w:t>
      </w:r>
      <w:r>
        <w:rPr>
          <w:rStyle w:val="32"/>
          <w:rFonts w:hint="eastAsia" w:ascii="宋体" w:hAnsi="宋体"/>
          <w:b/>
          <w:sz w:val="24"/>
          <w:highlight w:val="none"/>
          <w:lang w:val="en-US" w:eastAsia="zh-CN"/>
        </w:rPr>
        <w:t>8</w:t>
      </w:r>
      <w:r>
        <w:rPr>
          <w:rStyle w:val="32"/>
          <w:rFonts w:ascii="宋体" w:hAnsi="宋体"/>
          <w:b/>
          <w:sz w:val="24"/>
          <w:highlight w:val="none"/>
        </w:rPr>
        <w:t>日1</w:t>
      </w:r>
      <w:r>
        <w:rPr>
          <w:rStyle w:val="32"/>
          <w:rFonts w:hint="eastAsia" w:ascii="宋体" w:hAnsi="宋体"/>
          <w:b/>
          <w:sz w:val="24"/>
          <w:highlight w:val="none"/>
        </w:rPr>
        <w:t>0</w:t>
      </w:r>
      <w:r>
        <w:rPr>
          <w:rStyle w:val="32"/>
          <w:rFonts w:ascii="宋体" w:hAnsi="宋体"/>
          <w:b/>
          <w:sz w:val="24"/>
          <w:highlight w:val="none"/>
        </w:rPr>
        <w:t>：30（北</w:t>
      </w:r>
      <w:r>
        <w:rPr>
          <w:rStyle w:val="32"/>
          <w:rFonts w:ascii="宋体" w:hAnsi="宋体"/>
          <w:b/>
          <w:color w:val="000000"/>
          <w:sz w:val="24"/>
          <w:highlight w:val="none"/>
        </w:rPr>
        <w:t>京时间）</w:t>
      </w:r>
    </w:p>
    <w:p>
      <w:pPr>
        <w:spacing w:line="440" w:lineRule="exact"/>
        <w:ind w:firstLine="480" w:firstLineChars="200"/>
        <w:rPr>
          <w:rFonts w:hint="default" w:ascii="宋体" w:hAnsi="宋体" w:eastAsia="宋体"/>
          <w:sz w:val="24"/>
          <w:lang w:val="en-US" w:eastAsia="zh-CN"/>
        </w:rPr>
      </w:pPr>
      <w:r>
        <w:rPr>
          <w:rFonts w:ascii="宋体" w:hAnsi="宋体"/>
          <w:sz w:val="24"/>
        </w:rPr>
        <w:t>开标地点：</w:t>
      </w:r>
      <w:r>
        <w:rPr>
          <w:rFonts w:hint="eastAsia" w:ascii="宋体" w:hAnsi="宋体"/>
          <w:sz w:val="24"/>
        </w:rPr>
        <w:t>扬州市邗江中路368号扬州大学附属医院西区</w:t>
      </w:r>
      <w:r>
        <w:rPr>
          <w:rFonts w:hint="eastAsia" w:ascii="宋体" w:hAnsi="宋体"/>
          <w:sz w:val="24"/>
          <w:lang w:eastAsia="zh-CN"/>
        </w:rPr>
        <w:t>行政楼</w:t>
      </w:r>
      <w:r>
        <w:rPr>
          <w:rFonts w:hint="eastAsia" w:ascii="宋体" w:hAnsi="宋体"/>
          <w:sz w:val="24"/>
        </w:rPr>
        <w:t>四楼采购中心</w:t>
      </w:r>
      <w:r>
        <w:rPr>
          <w:rFonts w:hint="eastAsia" w:ascii="宋体" w:hAnsi="宋体"/>
          <w:sz w:val="24"/>
          <w:lang w:val="en-US" w:eastAsia="zh-CN"/>
        </w:rPr>
        <w:t>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 w:val="0"/>
          <w:bCs/>
          <w:snapToGrid w:val="0"/>
          <w:kern w:val="0"/>
          <w:sz w:val="24"/>
          <w:lang w:val="en-US" w:eastAsia="zh-CN"/>
        </w:rPr>
        <w:t>.</w:t>
      </w:r>
      <w:r>
        <w:rPr>
          <w:rFonts w:hint="eastAsia" w:ascii="宋体" w:hAnsi="宋体" w:cs="宋体"/>
          <w:b/>
          <w:snapToGrid w:val="0"/>
          <w:kern w:val="0"/>
          <w:sz w:val="24"/>
          <w:lang w:eastAsia="zh-CN"/>
        </w:rPr>
        <w:t>供应商如确定参加投标，请如实填写招标文件内《供应商参加投标确认函》，并</w:t>
      </w:r>
      <w:r>
        <w:rPr>
          <w:rFonts w:hint="eastAsia" w:ascii="宋体" w:hAnsi="宋体" w:cs="宋体"/>
          <w:b/>
          <w:snapToGrid w:val="0"/>
          <w:kern w:val="0"/>
          <w:sz w:val="24"/>
          <w:u w:val="none"/>
          <w:lang w:val="en-US" w:eastAsia="zh-CN"/>
        </w:rPr>
        <w:t>在接收截止时间前</w:t>
      </w:r>
      <w:r>
        <w:rPr>
          <w:rFonts w:hint="eastAsia" w:ascii="宋体" w:hAnsi="宋体" w:cs="宋体"/>
          <w:b/>
          <w:snapToGrid w:val="0"/>
          <w:kern w:val="0"/>
          <w:sz w:val="24"/>
          <w:lang w:eastAsia="zh-CN"/>
        </w:rPr>
        <w:t>将加盖公章的确认函扫描件发送至电子邮箱（hoytyzdx@163.com）</w:t>
      </w:r>
      <w:r>
        <w:rPr>
          <w:rFonts w:hint="eastAsia" w:ascii="宋体" w:hAnsi="宋体" w:cs="宋体"/>
          <w:b/>
          <w:snapToGrid w:val="0"/>
          <w:kern w:val="0"/>
          <w:sz w:val="24"/>
        </w:rPr>
        <w:t>。（投标确认函格式附后）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highlight w:val="none"/>
        </w:rPr>
        <w:t>2022年</w:t>
      </w:r>
      <w:r>
        <w:rPr>
          <w:rFonts w:hint="eastAsia" w:ascii="宋体" w:hAnsi="宋体" w:cs="宋体"/>
          <w:b/>
          <w:snapToGrid w:val="0"/>
          <w:spacing w:val="-4"/>
          <w:kern w:val="0"/>
          <w:sz w:val="24"/>
          <w:highlight w:val="none"/>
          <w:lang w:val="en-US" w:eastAsia="zh-CN"/>
        </w:rPr>
        <w:t>12</w:t>
      </w:r>
      <w:r>
        <w:rPr>
          <w:rFonts w:hint="eastAsia" w:ascii="宋体" w:hAnsi="宋体" w:cs="宋体"/>
          <w:b/>
          <w:snapToGrid w:val="0"/>
          <w:spacing w:val="-4"/>
          <w:kern w:val="0"/>
          <w:sz w:val="24"/>
          <w:highlight w:val="none"/>
        </w:rPr>
        <w:t>月</w:t>
      </w:r>
      <w:r>
        <w:rPr>
          <w:rFonts w:hint="eastAsia" w:ascii="宋体" w:hAnsi="宋体" w:cs="宋体"/>
          <w:b/>
          <w:snapToGrid w:val="0"/>
          <w:spacing w:val="-4"/>
          <w:kern w:val="0"/>
          <w:sz w:val="24"/>
          <w:highlight w:val="none"/>
          <w:lang w:val="en-US" w:eastAsia="zh-CN"/>
        </w:rPr>
        <w:t>8</w:t>
      </w:r>
      <w:r>
        <w:rPr>
          <w:rFonts w:hint="eastAsia" w:ascii="宋体" w:hAnsi="宋体" w:cs="宋体"/>
          <w:b/>
          <w:snapToGrid w:val="0"/>
          <w:spacing w:val="-4"/>
          <w:kern w:val="0"/>
          <w:sz w:val="24"/>
          <w:highlight w:val="none"/>
        </w:rPr>
        <w:t>日上午10:30</w:t>
      </w:r>
      <w:r>
        <w:rPr>
          <w:rFonts w:hint="eastAsia" w:ascii="宋体" w:hAnsi="宋体" w:cs="宋体"/>
          <w:snapToGrid w:val="0"/>
          <w:spacing w:val="-4"/>
          <w:kern w:val="0"/>
          <w:sz w:val="24"/>
          <w:highlight w:val="none"/>
        </w:rPr>
        <w:t>前</w:t>
      </w:r>
      <w:r>
        <w:rPr>
          <w:rFonts w:hint="eastAsia" w:ascii="宋体" w:hAnsi="宋体" w:cs="宋体"/>
          <w:snapToGrid w:val="0"/>
          <w:spacing w:val="-4"/>
          <w:kern w:val="0"/>
          <w:sz w:val="24"/>
        </w:rPr>
        <w:t>递交至</w:t>
      </w:r>
      <w:r>
        <w:rPr>
          <w:rFonts w:hint="eastAsia" w:ascii="宋体" w:hAnsi="宋体" w:cs="宋体"/>
          <w:snapToGrid w:val="0"/>
          <w:spacing w:val="-4"/>
          <w:kern w:val="0"/>
          <w:sz w:val="24"/>
          <w:u w:val="single"/>
        </w:rPr>
        <w:t>扬州市邗江中路368号，扬州大学附属医院</w:t>
      </w:r>
      <w:r>
        <w:rPr>
          <w:rFonts w:hint="eastAsia" w:ascii="宋体" w:hAnsi="宋体" w:cs="宋体"/>
          <w:snapToGrid w:val="0"/>
          <w:spacing w:val="-4"/>
          <w:kern w:val="0"/>
          <w:sz w:val="24"/>
          <w:u w:val="single"/>
          <w:lang w:val="en-US" w:eastAsia="zh-CN"/>
        </w:rPr>
        <w:t>西区</w:t>
      </w:r>
      <w:r>
        <w:rPr>
          <w:rFonts w:hint="eastAsia" w:ascii="宋体" w:hAnsi="宋体" w:cs="宋体"/>
          <w:snapToGrid w:val="0"/>
          <w:spacing w:val="-4"/>
          <w:kern w:val="0"/>
          <w:sz w:val="24"/>
          <w:u w:val="single"/>
          <w:lang w:eastAsia="zh-CN"/>
        </w:rPr>
        <w:t>行政楼</w:t>
      </w:r>
      <w:r>
        <w:rPr>
          <w:rFonts w:hint="eastAsia" w:ascii="宋体" w:hAnsi="宋体" w:cs="宋体"/>
          <w:snapToGrid w:val="0"/>
          <w:spacing w:val="-4"/>
          <w:kern w:val="0"/>
          <w:sz w:val="24"/>
          <w:u w:val="single"/>
        </w:rPr>
        <w:t>四楼采购中心405办公室</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hint="eastAsia" w:ascii="宋体" w:hAnsi="宋体" w:cs="宋体"/>
          <w:snapToGrid w:val="0"/>
          <w:kern w:val="0"/>
          <w:sz w:val="24"/>
          <w:highlight w:val="none"/>
        </w:rPr>
      </w:pPr>
      <w:r>
        <w:rPr>
          <w:rFonts w:hint="eastAsia" w:ascii="宋体" w:hAnsi="宋体" w:cs="宋体"/>
          <w:snapToGrid w:val="0"/>
          <w:kern w:val="0"/>
          <w:sz w:val="24"/>
          <w:highlight w:val="none"/>
        </w:rPr>
        <w:t>联系电话：0514—82981199—83118</w:t>
      </w:r>
    </w:p>
    <w:p>
      <w:pPr>
        <w:jc w:val="both"/>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rPr>
          <w:rFonts w:hint="eastAsia"/>
        </w:r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firstLine="140" w:firstLineChars="58"/>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firstLine="139" w:firstLineChars="58"/>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使用后未被污染一次性输液袋（瓶）、玻璃输液瓶回收处置服务项目</w:t>
      </w:r>
    </w:p>
    <w:p>
      <w:pPr>
        <w:adjustRightInd w:val="0"/>
        <w:snapToGrid w:val="0"/>
        <w:spacing w:line="440" w:lineRule="exact"/>
        <w:ind w:firstLine="139" w:firstLineChars="58"/>
        <w:contextualSpacing/>
        <w:rPr>
          <w:rFonts w:ascii="宋体" w:hAnsi="宋体" w:cs="宋体"/>
          <w:snapToGrid w:val="0"/>
          <w:kern w:val="0"/>
          <w:sz w:val="24"/>
          <w:highlight w:val="none"/>
        </w:rPr>
      </w:pPr>
      <w:r>
        <w:rPr>
          <w:rFonts w:hint="eastAsia" w:ascii="宋体" w:hAnsi="宋体" w:cs="宋体"/>
          <w:snapToGrid w:val="0"/>
          <w:kern w:val="0"/>
          <w:sz w:val="24"/>
        </w:rPr>
        <w:t>1.2项目编号：</w:t>
      </w:r>
      <w:r>
        <w:rPr>
          <w:rFonts w:hint="eastAsia" w:ascii="宋体" w:hAnsi="宋体" w:cs="宋体"/>
          <w:snapToGrid w:val="0"/>
          <w:kern w:val="0"/>
          <w:sz w:val="24"/>
          <w:highlight w:val="none"/>
        </w:rPr>
        <w:t>YDFYXJ-</w:t>
      </w:r>
      <w:r>
        <w:rPr>
          <w:rFonts w:hint="eastAsia" w:ascii="宋体" w:hAnsi="宋体" w:cs="宋体"/>
          <w:snapToGrid w:val="0"/>
          <w:kern w:val="0"/>
          <w:sz w:val="24"/>
          <w:highlight w:val="none"/>
          <w:lang w:eastAsia="zh-CN"/>
        </w:rPr>
        <w:t>20221105</w:t>
      </w:r>
      <w:r>
        <w:rPr>
          <w:rFonts w:hint="eastAsia" w:ascii="宋体" w:hAnsi="宋体" w:cs="宋体"/>
          <w:snapToGrid w:val="0"/>
          <w:kern w:val="0"/>
          <w:sz w:val="24"/>
          <w:highlight w:val="none"/>
        </w:rPr>
        <w:t>号</w:t>
      </w:r>
    </w:p>
    <w:p>
      <w:pPr>
        <w:adjustRightInd w:val="0"/>
        <w:snapToGrid w:val="0"/>
        <w:spacing w:line="440" w:lineRule="exact"/>
        <w:ind w:firstLine="139" w:firstLineChars="58"/>
        <w:contextualSpacing/>
        <w:rPr>
          <w:rFonts w:hint="default" w:ascii="宋体" w:hAnsi="宋体" w:eastAsia="宋体" w:cs="宋体"/>
          <w:snapToGrid w:val="0"/>
          <w:kern w:val="0"/>
          <w:sz w:val="24"/>
          <w:highlight w:val="none"/>
          <w:lang w:val="en-US" w:eastAsia="zh-CN"/>
        </w:rPr>
      </w:pPr>
      <w:r>
        <w:rPr>
          <w:rFonts w:hint="eastAsia" w:ascii="宋体" w:hAnsi="宋体" w:cs="宋体"/>
          <w:snapToGrid w:val="0"/>
          <w:kern w:val="0"/>
          <w:sz w:val="24"/>
          <w:highlight w:val="none"/>
        </w:rPr>
        <w:t>1.3项目地点：扬州大学附属医院</w:t>
      </w:r>
    </w:p>
    <w:p>
      <w:pPr>
        <w:adjustRightInd w:val="0"/>
        <w:snapToGrid w:val="0"/>
        <w:spacing w:line="440" w:lineRule="exact"/>
        <w:ind w:firstLine="139" w:firstLineChars="58"/>
        <w:contextualSpacing/>
        <w:rPr>
          <w:rFonts w:hint="eastAsia" w:ascii="宋体" w:hAnsi="宋体" w:cs="宋体"/>
          <w:snapToGrid w:val="0"/>
          <w:kern w:val="0"/>
          <w:sz w:val="24"/>
          <w:highlight w:val="none"/>
        </w:rPr>
      </w:pPr>
      <w:r>
        <w:rPr>
          <w:rFonts w:hint="eastAsia" w:ascii="宋体" w:hAnsi="宋体" w:cs="宋体"/>
          <w:snapToGrid w:val="0"/>
          <w:kern w:val="0"/>
          <w:sz w:val="24"/>
          <w:highlight w:val="none"/>
        </w:rPr>
        <w:t>1.4</w:t>
      </w:r>
      <w:r>
        <w:rPr>
          <w:rFonts w:hint="eastAsia" w:ascii="宋体" w:hAnsi="宋体" w:cs="宋体"/>
          <w:snapToGrid w:val="0"/>
          <w:kern w:val="0"/>
          <w:sz w:val="24"/>
          <w:highlight w:val="none"/>
          <w:lang w:eastAsia="zh-CN"/>
        </w:rPr>
        <w:t>最低</w:t>
      </w:r>
      <w:r>
        <w:rPr>
          <w:rFonts w:hint="eastAsia" w:ascii="宋体" w:hAnsi="宋体" w:cs="宋体"/>
          <w:snapToGrid w:val="0"/>
          <w:kern w:val="0"/>
          <w:sz w:val="24"/>
          <w:highlight w:val="none"/>
        </w:rPr>
        <w:t>限价：</w:t>
      </w:r>
      <w:r>
        <w:rPr>
          <w:rFonts w:hint="eastAsia" w:ascii="宋体" w:hAnsi="宋体" w:cs="宋体"/>
          <w:snapToGrid w:val="0"/>
          <w:kern w:val="0"/>
          <w:sz w:val="24"/>
          <w:highlight w:val="none"/>
          <w:lang w:val="en-US" w:eastAsia="zh-CN"/>
        </w:rPr>
        <w:t>3.96</w:t>
      </w:r>
      <w:r>
        <w:rPr>
          <w:rFonts w:hint="eastAsia" w:ascii="宋体" w:hAnsi="宋体" w:cs="宋体"/>
          <w:snapToGrid w:val="0"/>
          <w:kern w:val="0"/>
          <w:sz w:val="24"/>
          <w:highlight w:val="none"/>
        </w:rPr>
        <w:t>万元，投标报价</w:t>
      </w:r>
      <w:r>
        <w:rPr>
          <w:rFonts w:hint="eastAsia" w:ascii="宋体" w:hAnsi="宋体" w:cs="宋体"/>
          <w:snapToGrid w:val="0"/>
          <w:kern w:val="0"/>
          <w:sz w:val="24"/>
          <w:highlight w:val="none"/>
          <w:lang w:eastAsia="zh-CN"/>
        </w:rPr>
        <w:t>低于最低</w:t>
      </w:r>
      <w:r>
        <w:rPr>
          <w:rFonts w:hint="eastAsia" w:ascii="宋体" w:hAnsi="宋体" w:cs="宋体"/>
          <w:snapToGrid w:val="0"/>
          <w:kern w:val="0"/>
          <w:sz w:val="24"/>
          <w:highlight w:val="none"/>
        </w:rPr>
        <w:t>限价作废标处理。</w:t>
      </w:r>
    </w:p>
    <w:p>
      <w:pPr>
        <w:adjustRightInd w:val="0"/>
        <w:snapToGrid w:val="0"/>
        <w:spacing w:line="440" w:lineRule="exact"/>
        <w:ind w:firstLine="140" w:firstLineChars="58"/>
        <w:contextualSpacing/>
        <w:rPr>
          <w:rFonts w:hint="eastAsia" w:ascii="宋体" w:hAnsi="宋体" w:cs="宋体"/>
          <w:b/>
          <w:bCs/>
          <w:snapToGrid w:val="0"/>
          <w:kern w:val="0"/>
          <w:sz w:val="24"/>
          <w:highlight w:val="none"/>
        </w:rPr>
      </w:pPr>
      <w:r>
        <w:rPr>
          <w:rFonts w:hint="eastAsia" w:ascii="宋体" w:hAnsi="宋体" w:cs="宋体"/>
          <w:b/>
          <w:bCs/>
          <w:snapToGrid w:val="0"/>
          <w:kern w:val="0"/>
          <w:sz w:val="24"/>
          <w:highlight w:val="none"/>
        </w:rPr>
        <w:t>本章所有内容均为实质性要求，均不接受负偏离，否则视为无效响应。</w:t>
      </w:r>
    </w:p>
    <w:p>
      <w:pPr>
        <w:numPr>
          <w:ilvl w:val="0"/>
          <w:numId w:val="2"/>
        </w:numPr>
        <w:adjustRightInd w:val="0"/>
        <w:snapToGrid w:val="0"/>
        <w:spacing w:line="440" w:lineRule="exact"/>
        <w:ind w:firstLine="140" w:firstLineChars="58"/>
        <w:contextualSpacing/>
      </w:pPr>
      <w:r>
        <w:rPr>
          <w:rFonts w:hint="eastAsia" w:ascii="宋体" w:hAnsi="宋体"/>
          <w:b/>
          <w:sz w:val="24"/>
        </w:rPr>
        <w:t>采购项目内容及要求</w:t>
      </w:r>
    </w:p>
    <w:p>
      <w:pPr>
        <w:adjustRightInd w:val="0"/>
        <w:snapToGrid w:val="0"/>
        <w:spacing w:line="440" w:lineRule="exact"/>
        <w:ind w:firstLine="240" w:firstLineChars="100"/>
        <w:contextualSpacing/>
        <w:rPr>
          <w:rFonts w:hint="eastAsia"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2.1 2019年—2021年及2022年1—10月统计量见下表。</w:t>
      </w:r>
    </w:p>
    <w:tbl>
      <w:tblPr>
        <w:tblStyle w:val="16"/>
        <w:tblpPr w:leftFromText="180" w:rightFromText="180" w:vertAnchor="text" w:horzAnchor="page" w:tblpX="570" w:tblpY="143"/>
        <w:tblOverlap w:val="never"/>
        <w:tblW w:w="109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7"/>
        <w:gridCol w:w="747"/>
        <w:gridCol w:w="1248"/>
        <w:gridCol w:w="873"/>
        <w:gridCol w:w="1248"/>
        <w:gridCol w:w="873"/>
        <w:gridCol w:w="1248"/>
        <w:gridCol w:w="1426"/>
        <w:gridCol w:w="2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10965"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4"/>
                <w:szCs w:val="24"/>
                <w:u w:val="none"/>
                <w:lang w:val="en-US" w:eastAsia="zh-CN" w:bidi="ar"/>
              </w:rPr>
              <w:t>2019年-2022年一次性输液瓶（袋）统计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7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7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年份</w:t>
            </w:r>
          </w:p>
        </w:tc>
        <w:tc>
          <w:tcPr>
            <w:tcW w:w="21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输液袋（公斤）</w:t>
            </w:r>
          </w:p>
        </w:tc>
        <w:tc>
          <w:tcPr>
            <w:tcW w:w="21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玻璃输液瓶（公斤）</w:t>
            </w:r>
          </w:p>
        </w:tc>
        <w:tc>
          <w:tcPr>
            <w:tcW w:w="267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合计（公斤）</w:t>
            </w:r>
          </w:p>
        </w:tc>
        <w:tc>
          <w:tcPr>
            <w:tcW w:w="25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西区</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西区</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输液袋</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玻璃输液瓶</w:t>
            </w:r>
          </w:p>
        </w:tc>
        <w:tc>
          <w:tcPr>
            <w:tcW w:w="25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13554.45</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19383</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17366.18</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27094</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32937.45</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44460.18</w:t>
            </w:r>
          </w:p>
        </w:tc>
        <w:tc>
          <w:tcPr>
            <w:tcW w:w="2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2019.3.1-2020.2.29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5195.32</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7142</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22946.5</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40105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12337.32</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63051.5</w:t>
            </w:r>
          </w:p>
        </w:tc>
        <w:tc>
          <w:tcPr>
            <w:tcW w:w="2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2020.3.1-2020.12.31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9398</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29810</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44894</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16798</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74704</w:t>
            </w:r>
          </w:p>
        </w:tc>
        <w:tc>
          <w:tcPr>
            <w:tcW w:w="2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5220</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6524</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12440</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32220</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11744</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44660</w:t>
            </w:r>
          </w:p>
        </w:tc>
        <w:tc>
          <w:tcPr>
            <w:tcW w:w="2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2022年1月-10月</w:t>
            </w:r>
          </w:p>
        </w:tc>
      </w:tr>
    </w:tbl>
    <w:p>
      <w:pPr>
        <w:adjustRightInd w:val="0"/>
        <w:snapToGrid w:val="0"/>
        <w:spacing w:line="440" w:lineRule="exact"/>
        <w:ind w:firstLine="139" w:firstLineChars="58"/>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2.2服务内容：乙方有偿依法规范回收处置甲方使用后产生的未被污染的一次性塑料输液袋（瓶、含内袋和外袋）、玻璃输液瓶。乙方需提供回收容器。</w:t>
      </w:r>
    </w:p>
    <w:p>
      <w:pPr>
        <w:adjustRightInd w:val="0"/>
        <w:snapToGrid w:val="0"/>
        <w:spacing w:line="440" w:lineRule="exact"/>
        <w:ind w:firstLine="139" w:firstLineChars="58"/>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2.3收货服务周期为7天，必要时根据院方需求1个工作日之内响应。</w:t>
      </w:r>
    </w:p>
    <w:p>
      <w:pPr>
        <w:adjustRightInd w:val="0"/>
        <w:snapToGrid w:val="0"/>
        <w:spacing w:line="440" w:lineRule="exact"/>
        <w:ind w:firstLine="139" w:firstLineChars="58"/>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2.4服务期限：三年，自2023年1月1日至2025年12月31日</w:t>
      </w:r>
    </w:p>
    <w:p>
      <w:pPr>
        <w:pStyle w:val="14"/>
        <w:shd w:val="clear" w:color="auto" w:fill="FFFFFF"/>
        <w:spacing w:before="0" w:beforeAutospacing="0" w:after="0" w:afterAutospacing="0"/>
        <w:ind w:firstLine="241" w:firstLineChars="100"/>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3.服务协议</w:t>
      </w:r>
    </w:p>
    <w:p>
      <w:pPr>
        <w:adjustRightInd w:val="0"/>
        <w:snapToGrid w:val="0"/>
        <w:spacing w:line="440" w:lineRule="exact"/>
        <w:ind w:firstLine="480" w:firstLineChars="200"/>
        <w:contextualSpacing/>
        <w:rPr>
          <w:rFonts w:ascii="宋体" w:hAnsi="宋体"/>
          <w:sz w:val="24"/>
        </w:rPr>
      </w:pPr>
      <w:r>
        <w:rPr>
          <w:rFonts w:hint="eastAsia" w:ascii="宋体" w:hAnsi="宋体" w:eastAsia="宋体" w:cs="Times New Roman"/>
          <w:kern w:val="2"/>
          <w:sz w:val="24"/>
          <w:szCs w:val="24"/>
          <w:lang w:val="en-US" w:eastAsia="zh-CN" w:bidi="ar-SA"/>
        </w:rPr>
        <w:t>投标人的服务协议应按不低于招标文件中提出的所有服务要求的标准做出响应。其基本服务要</w:t>
      </w:r>
      <w:r>
        <w:rPr>
          <w:rFonts w:hint="eastAsia" w:ascii="宋体" w:hAnsi="宋体"/>
          <w:sz w:val="24"/>
        </w:rPr>
        <w:t>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hint="eastAsia" w:ascii="宋体" w:hAnsi="宋体"/>
          <w:sz w:val="24"/>
        </w:rPr>
      </w:pPr>
      <w:r>
        <w:rPr>
          <w:rFonts w:hint="eastAsia" w:ascii="宋体" w:hAnsi="宋体"/>
          <w:sz w:val="24"/>
        </w:rPr>
        <w:t>3.2明确售后服务能力（包括收货期、收货服务、响应时间、是否提供备用方案等）。</w:t>
      </w:r>
    </w:p>
    <w:p>
      <w:pPr>
        <w:adjustRightInd w:val="0"/>
        <w:snapToGrid w:val="0"/>
        <w:spacing w:line="440" w:lineRule="exact"/>
        <w:ind w:firstLine="480" w:firstLineChars="200"/>
        <w:contextualSpacing/>
        <w:rPr>
          <w:rFonts w:hint="eastAsia" w:ascii="宋体" w:hAnsi="宋体"/>
          <w:sz w:val="24"/>
        </w:rPr>
      </w:pPr>
      <w:r>
        <w:rPr>
          <w:rFonts w:hint="eastAsia" w:ascii="宋体" w:hAnsi="宋体"/>
          <w:sz w:val="24"/>
        </w:rPr>
        <w:t>3.3在服务期限内，投标人应能保证使用方能及时得到响应，确保在合同要求内完成。</w:t>
      </w:r>
    </w:p>
    <w:p>
      <w:pPr>
        <w:adjustRightInd w:val="0"/>
        <w:snapToGrid w:val="0"/>
        <w:spacing w:line="440" w:lineRule="exact"/>
        <w:ind w:firstLine="480" w:firstLineChars="200"/>
        <w:contextualSpacing/>
        <w:rPr>
          <w:rFonts w:ascii="宋体" w:hAnsi="宋体"/>
          <w:sz w:val="36"/>
          <w:szCs w:val="36"/>
        </w:rPr>
      </w:pPr>
      <w:r>
        <w:rPr>
          <w:rFonts w:hint="eastAsia" w:ascii="宋体" w:hAnsi="宋体"/>
          <w:sz w:val="24"/>
        </w:rPr>
        <w:t>3.4其他服务。</w:t>
      </w:r>
    </w:p>
    <w:p>
      <w:pPr>
        <w:rPr>
          <w:rFonts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5"/>
        <w:ind w:firstLine="0"/>
      </w:pPr>
    </w:p>
    <w:p>
      <w:pPr>
        <w:jc w:val="center"/>
        <w:rPr>
          <w:rFonts w:ascii="宋体" w:hAnsi="宋体"/>
          <w:b/>
          <w:bCs/>
          <w:sz w:val="36"/>
          <w:szCs w:val="36"/>
        </w:rPr>
      </w:pPr>
      <w:r>
        <w:rPr>
          <w:rFonts w:hint="eastAsia" w:ascii="宋体" w:hAnsi="宋体"/>
          <w:b/>
          <w:bCs/>
          <w:sz w:val="36"/>
          <w:szCs w:val="36"/>
        </w:rPr>
        <w:t>投标文件</w:t>
      </w:r>
    </w:p>
    <w:p>
      <w:pPr>
        <w:pStyle w:val="15"/>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5"/>
        <w:ind w:firstLine="0"/>
      </w:pPr>
    </w:p>
    <w:p>
      <w:pPr>
        <w:pStyle w:val="15"/>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15"/>
        <w:rPr>
          <w:sz w:val="36"/>
          <w:szCs w:val="36"/>
        </w:rPr>
      </w:pPr>
    </w:p>
    <w:p>
      <w:pPr>
        <w:pStyle w:val="15"/>
        <w:rPr>
          <w:sz w:val="36"/>
          <w:szCs w:val="36"/>
        </w:rPr>
      </w:pPr>
    </w:p>
    <w:p>
      <w:pPr>
        <w:pStyle w:val="15"/>
        <w:rPr>
          <w:sz w:val="36"/>
          <w:szCs w:val="36"/>
        </w:rPr>
      </w:pPr>
    </w:p>
    <w:p>
      <w:pPr>
        <w:rPr>
          <w:b/>
          <w:sz w:val="36"/>
          <w:szCs w:val="36"/>
        </w:rPr>
      </w:pPr>
    </w:p>
    <w:p>
      <w:pPr>
        <w:pStyle w:val="15"/>
        <w:ind w:firstLine="0"/>
        <w:jc w:val="left"/>
      </w:pPr>
    </w:p>
    <w:p>
      <w:pPr>
        <w:jc w:val="center"/>
        <w:rPr>
          <w:rFonts w:ascii="宋体" w:hAnsi="宋体"/>
          <w:b/>
          <w:sz w:val="36"/>
          <w:szCs w:val="36"/>
          <w:u w:val="single"/>
        </w:rPr>
      </w:pPr>
      <w:r>
        <w:rPr>
          <w:rFonts w:hint="eastAsia"/>
          <w:b/>
          <w:sz w:val="36"/>
          <w:szCs w:val="36"/>
        </w:rPr>
        <w:t>目录</w:t>
      </w:r>
    </w:p>
    <w:p>
      <w:pPr>
        <w:pStyle w:val="5"/>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w:t>
      </w:r>
      <w:r>
        <w:rPr>
          <w:rFonts w:hint="eastAsia" w:ascii="宋体" w:hAnsi="宋体"/>
          <w:snapToGrid w:val="0"/>
          <w:sz w:val="24"/>
          <w:lang w:eastAsia="zh-CN"/>
        </w:rPr>
        <w:t>、</w:t>
      </w:r>
      <w:r>
        <w:rPr>
          <w:rFonts w:hint="eastAsia" w:ascii="宋体" w:hAnsi="宋体"/>
          <w:snapToGrid w:val="0"/>
          <w:sz w:val="24"/>
        </w:rPr>
        <w:t>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5</w:t>
      </w:r>
      <w:r>
        <w:rPr>
          <w:rFonts w:hint="eastAsia" w:ascii="宋体" w:hAnsi="宋体"/>
          <w:snapToGrid w:val="0"/>
          <w:sz w:val="24"/>
        </w:rPr>
        <w:t>.投标函原件；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6</w:t>
      </w:r>
      <w:r>
        <w:rPr>
          <w:rFonts w:hint="eastAsia" w:ascii="宋体" w:hAnsi="宋体"/>
          <w:snapToGrid w:val="0"/>
          <w:sz w:val="24"/>
        </w:rPr>
        <w:t>.投标报价表；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lang w:val="en-US" w:eastAsia="zh-CN"/>
        </w:rPr>
        <w:t>7</w:t>
      </w:r>
      <w:r>
        <w:rPr>
          <w:rFonts w:hint="eastAsia" w:ascii="宋体" w:hAnsi="宋体"/>
          <w:sz w:val="24"/>
        </w:rPr>
        <w:t>.投标分项报价表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8</w:t>
      </w:r>
      <w:r>
        <w:rPr>
          <w:rFonts w:hint="eastAsia" w:ascii="宋体" w:hAnsi="宋体"/>
          <w:snapToGrid w:val="0"/>
          <w:sz w:val="24"/>
        </w:rPr>
        <w:t>.投标人认为需要提供的其他材料。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highlight w:val="none"/>
          <w:u w:val="single"/>
        </w:rPr>
        <w:t>扬州大学附属医院</w:t>
      </w:r>
      <w:r>
        <w:rPr>
          <w:rFonts w:hint="eastAsia" w:ascii="宋体" w:hAnsi="宋体" w:cs="宋体"/>
          <w:bCs/>
          <w:sz w:val="24"/>
          <w:highlight w:val="none"/>
          <w:u w:val="single"/>
          <w:lang w:eastAsia="zh-CN"/>
        </w:rPr>
        <w:t>使用后未被污染一次性输液袋（瓶）、玻璃输液瓶回收处置服务项目</w:t>
      </w:r>
      <w:r>
        <w:rPr>
          <w:rFonts w:hint="eastAsia" w:ascii="宋体" w:hAnsi="宋体" w:cs="宋体"/>
          <w:sz w:val="24"/>
        </w:rPr>
        <w:t>（编号：</w:t>
      </w:r>
      <w:r>
        <w:rPr>
          <w:rFonts w:hint="eastAsia" w:ascii="宋体" w:hAnsi="宋体" w:cs="宋体"/>
          <w:snapToGrid w:val="0"/>
          <w:kern w:val="0"/>
          <w:sz w:val="24"/>
          <w:highlight w:val="none"/>
        </w:rPr>
        <w:t>YDFYXJ-</w:t>
      </w:r>
      <w:r>
        <w:rPr>
          <w:rFonts w:hint="eastAsia" w:ascii="宋体" w:hAnsi="宋体" w:cs="宋体"/>
          <w:snapToGrid w:val="0"/>
          <w:kern w:val="0"/>
          <w:sz w:val="24"/>
          <w:highlight w:val="none"/>
          <w:lang w:eastAsia="zh-CN"/>
        </w:rPr>
        <w:t>20221105</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15"/>
        <w:ind w:left="0" w:leftChars="0" w:firstLine="0" w:firstLineChars="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2022年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szCs w:val="24"/>
          <w:highlight w:val="none"/>
        </w:rPr>
      </w:pPr>
      <w:r>
        <w:rPr>
          <w:rFonts w:hint="eastAsia" w:ascii="宋体" w:hAnsi="宋体" w:cs="楷体"/>
          <w:sz w:val="24"/>
          <w:szCs w:val="24"/>
          <w:highlight w:val="none"/>
        </w:rPr>
        <w:t xml:space="preserve">                                        </w:t>
      </w:r>
    </w:p>
    <w:p>
      <w:pPr>
        <w:ind w:left="3960" w:hanging="3960" w:hangingChars="1650"/>
        <w:rPr>
          <w:rFonts w:hint="eastAsia" w:ascii="宋体" w:hAnsi="宋体" w:cs="楷体"/>
          <w:b/>
          <w:sz w:val="24"/>
          <w:szCs w:val="24"/>
          <w:highlight w:val="none"/>
        </w:rPr>
      </w:pPr>
      <w:r>
        <w:rPr>
          <w:rFonts w:hint="eastAsia" w:ascii="宋体" w:hAnsi="宋体" w:cs="楷体"/>
          <w:sz w:val="24"/>
          <w:szCs w:val="24"/>
          <w:highlight w:val="none"/>
        </w:rPr>
        <w:t>附：</w:t>
      </w:r>
    </w:p>
    <w:p>
      <w:pPr>
        <w:ind w:left="3975" w:hanging="3975" w:hangingChars="1650"/>
        <w:jc w:val="center"/>
        <w:rPr>
          <w:rFonts w:ascii="宋体" w:hAnsi="宋体" w:cs="楷体"/>
          <w:b/>
          <w:sz w:val="24"/>
          <w:szCs w:val="24"/>
          <w:highlight w:val="none"/>
        </w:rPr>
      </w:pPr>
      <w:r>
        <w:rPr>
          <w:rFonts w:hint="eastAsia" w:ascii="宋体" w:hAnsi="宋体" w:cs="楷体"/>
          <w:b/>
          <w:sz w:val="24"/>
          <w:szCs w:val="24"/>
          <w:highlight w:val="none"/>
        </w:rPr>
        <w:t>供应商联系表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单位名称</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统一社会信用代码</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单位地址</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法定代表人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单位电话</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项目联系人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邮    箱</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联系人电话</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联系人手机</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szCs w:val="24"/>
                <w:highlight w:val="none"/>
              </w:rPr>
            </w:pPr>
            <w:r>
              <w:rPr>
                <w:rFonts w:ascii="宋体" w:hAnsi="宋体"/>
                <w:sz w:val="24"/>
                <w:szCs w:val="24"/>
                <w:highlight w:val="none"/>
              </w:rPr>
              <w:t>所投项目名称</w:t>
            </w:r>
          </w:p>
        </w:tc>
        <w:tc>
          <w:tcPr>
            <w:tcW w:w="6005" w:type="dxa"/>
            <w:gridSpan w:val="3"/>
            <w:vAlign w:val="center"/>
          </w:tcPr>
          <w:p>
            <w:pPr>
              <w:spacing w:line="480" w:lineRule="auto"/>
              <w:jc w:val="center"/>
              <w:rPr>
                <w:rFonts w:ascii="宋体" w:hAnsi="宋体"/>
                <w:sz w:val="24"/>
                <w:szCs w:val="24"/>
                <w:highlight w:val="none"/>
              </w:rPr>
            </w:pPr>
          </w:p>
        </w:tc>
      </w:tr>
    </w:tbl>
    <w:p>
      <w:pPr>
        <w:adjustRightInd w:val="0"/>
        <w:snapToGrid w:val="0"/>
        <w:spacing w:line="440" w:lineRule="exact"/>
        <w:ind w:firstLine="482" w:firstLineChars="200"/>
        <w:contextualSpacing/>
        <w:rPr>
          <w:rFonts w:ascii="宋体" w:hAnsi="宋体" w:cs="宋体"/>
          <w:b/>
          <w:sz w:val="24"/>
          <w:szCs w:val="24"/>
          <w:highlight w:val="none"/>
        </w:rPr>
      </w:pPr>
      <w:r>
        <w:rPr>
          <w:rFonts w:hint="eastAsia" w:ascii="宋体" w:hAnsi="宋体" w:cs="宋体"/>
          <w:b/>
          <w:sz w:val="24"/>
          <w:szCs w:val="24"/>
          <w:highlight w:val="none"/>
        </w:rPr>
        <w:t>备注：</w:t>
      </w:r>
      <w:r>
        <w:rPr>
          <w:rFonts w:ascii="宋体" w:hAnsi="宋体" w:cs="宋体"/>
          <w:b/>
          <w:sz w:val="24"/>
          <w:szCs w:val="24"/>
          <w:highlight w:val="none"/>
        </w:rPr>
        <w:t>1</w:t>
      </w:r>
      <w:r>
        <w:rPr>
          <w:rFonts w:hint="eastAsia" w:ascii="宋体" w:hAnsi="宋体" w:cs="宋体"/>
          <w:b/>
          <w:sz w:val="24"/>
          <w:szCs w:val="24"/>
          <w:highlight w:val="none"/>
        </w:rPr>
        <w:t>.请准备参与本项目投标的供应商如实填写（以上信息均为必填内容）后邮件至</w:t>
      </w:r>
      <w:r>
        <w:rPr>
          <w:rFonts w:hint="eastAsia" w:ascii="宋体" w:hAnsi="宋体" w:cs="宋体"/>
          <w:b/>
          <w:sz w:val="24"/>
          <w:szCs w:val="24"/>
          <w:highlight w:val="none"/>
          <w:lang w:val="en-US" w:eastAsia="zh-CN"/>
        </w:rPr>
        <w:t>采购中心</w:t>
      </w:r>
      <w:r>
        <w:rPr>
          <w:rFonts w:hint="eastAsia" w:ascii="宋体" w:hAnsi="宋体" w:cs="宋体"/>
          <w:b/>
          <w:sz w:val="24"/>
          <w:szCs w:val="24"/>
          <w:highlight w:val="none"/>
        </w:rPr>
        <w:t>（邮箱：</w:t>
      </w:r>
      <w:r>
        <w:rPr>
          <w:rFonts w:hint="eastAsia" w:ascii="宋体" w:hAnsi="宋体" w:cs="宋体"/>
          <w:b/>
          <w:snapToGrid w:val="0"/>
          <w:kern w:val="0"/>
          <w:sz w:val="24"/>
          <w:lang w:eastAsia="zh-CN"/>
        </w:rPr>
        <w:t>hoytyzdx@163.com</w:t>
      </w:r>
      <w:r>
        <w:rPr>
          <w:rFonts w:hint="eastAsia" w:ascii="宋体" w:hAnsi="宋体" w:cs="宋体"/>
          <w:b/>
          <w:sz w:val="24"/>
          <w:szCs w:val="24"/>
          <w:highlight w:val="none"/>
        </w:rPr>
        <w:t>，固定电话：</w:t>
      </w:r>
      <w:r>
        <w:rPr>
          <w:rFonts w:hint="eastAsia" w:ascii="宋体" w:hAnsi="宋体" w:cs="宋体"/>
          <w:b/>
          <w:snapToGrid w:val="0"/>
          <w:kern w:val="0"/>
          <w:sz w:val="24"/>
          <w:lang w:eastAsia="zh-CN"/>
        </w:rPr>
        <w:t>0514-82981199-83118</w:t>
      </w:r>
      <w:r>
        <w:rPr>
          <w:rFonts w:hint="eastAsia" w:ascii="宋体" w:hAnsi="宋体" w:cs="宋体"/>
          <w:b/>
          <w:sz w:val="24"/>
          <w:szCs w:val="24"/>
          <w:highlight w:val="none"/>
        </w:rPr>
        <w:t>）。</w:t>
      </w:r>
    </w:p>
    <w:p>
      <w:pPr>
        <w:adjustRightInd w:val="0"/>
        <w:snapToGrid w:val="0"/>
        <w:spacing w:line="440" w:lineRule="exact"/>
        <w:ind w:firstLine="482" w:firstLineChars="200"/>
        <w:contextualSpacing/>
        <w:rPr>
          <w:rFonts w:ascii="宋体" w:hAns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15"/>
        <w:rPr>
          <w:rFonts w:ascii="宋体" w:hAnsi="宋体" w:cs="宋体"/>
          <w:sz w:val="28"/>
          <w:szCs w:val="28"/>
        </w:rPr>
      </w:pPr>
    </w:p>
    <w:p>
      <w:pPr>
        <w:pStyle w:val="4"/>
        <w:ind w:left="0" w:leftChars="0" w:firstLine="0" w:firstLineChars="0"/>
        <w:rPr>
          <w:b/>
          <w:sz w:val="36"/>
          <w:szCs w:val="36"/>
        </w:rPr>
      </w:pPr>
    </w:p>
    <w:p>
      <w:pPr>
        <w:pStyle w:val="4"/>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ind w:firstLine="0"/>
      </w:pPr>
    </w:p>
    <w:p>
      <w:pPr>
        <w:pStyle w:val="15"/>
        <w:ind w:firstLine="0"/>
      </w:pPr>
    </w:p>
    <w:p>
      <w:pPr>
        <w:pStyle w:val="15"/>
        <w:ind w:firstLine="0"/>
      </w:pPr>
    </w:p>
    <w:p>
      <w:pPr>
        <w:pStyle w:val="15"/>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5"/>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5"/>
        <w:rPr>
          <w:rFonts w:ascii="宋体" w:hAnsi="宋体"/>
          <w:bCs/>
          <w:sz w:val="24"/>
        </w:rPr>
      </w:pPr>
    </w:p>
    <w:p>
      <w:pPr>
        <w:pStyle w:val="15"/>
        <w:rPr>
          <w:rFonts w:ascii="宋体" w:hAnsi="宋体"/>
          <w:bCs/>
          <w:sz w:val="24"/>
        </w:rPr>
      </w:pPr>
    </w:p>
    <w:p>
      <w:pPr>
        <w:pStyle w:val="15"/>
        <w:rPr>
          <w:rFonts w:ascii="宋体" w:hAnsi="宋体"/>
          <w:bCs/>
          <w:sz w:val="24"/>
        </w:rPr>
      </w:pPr>
    </w:p>
    <w:p>
      <w:pPr>
        <w:pStyle w:val="15"/>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rPr>
          <w:rFonts w:asciiTheme="minorEastAsia" w:hAnsiTheme="minorEastAsia" w:eastAsiaTheme="minorEastAsia"/>
          <w:b/>
          <w:sz w:val="36"/>
        </w:rPr>
      </w:pPr>
    </w:p>
    <w:p>
      <w:pPr>
        <w:pStyle w:val="9"/>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9"/>
        <w:rPr>
          <w:rFonts w:ascii="Times New Roman" w:hAnsi="Times New Roman"/>
          <w:b/>
          <w:sz w:val="36"/>
        </w:rPr>
      </w:pPr>
    </w:p>
    <w:p>
      <w:pPr>
        <w:pStyle w:val="9"/>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9"/>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9"/>
        <w:adjustRightInd w:val="0"/>
        <w:snapToGrid w:val="0"/>
        <w:spacing w:line="440" w:lineRule="exact"/>
        <w:ind w:firstLine="420"/>
        <w:contextualSpacing/>
        <w:rPr>
          <w:rFonts w:asciiTheme="minorEastAsia" w:hAnsiTheme="minorEastAsia" w:eastAsiaTheme="minorEastAsia"/>
          <w:sz w:val="24"/>
          <w:szCs w:val="24"/>
        </w:rPr>
      </w:pP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9"/>
        <w:adjustRightInd w:val="0"/>
        <w:snapToGrid w:val="0"/>
        <w:spacing w:line="500" w:lineRule="exact"/>
        <w:ind w:firstLine="420"/>
        <w:contextualSpacing/>
        <w:rPr>
          <w:rFonts w:asciiTheme="minorEastAsia" w:hAnsiTheme="minorEastAsia" w:eastAsiaTheme="minorEastAsia"/>
          <w:sz w:val="24"/>
          <w:szCs w:val="24"/>
        </w:rPr>
      </w:pPr>
    </w:p>
    <w:p>
      <w:pPr>
        <w:pStyle w:val="9"/>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9"/>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17"/>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4"/>
            </w:pPr>
          </w:p>
          <w:p/>
          <w:p>
            <w:pPr>
              <w:pStyle w:val="4"/>
            </w:pPr>
          </w:p>
          <w:p/>
          <w:p>
            <w:pPr>
              <w:pStyle w:val="4"/>
            </w:pPr>
          </w:p>
          <w:p/>
          <w:p>
            <w:pPr>
              <w:pStyle w:val="4"/>
            </w:pPr>
          </w:p>
          <w:p/>
          <w:p>
            <w:pPr>
              <w:pStyle w:val="4"/>
            </w:pPr>
          </w:p>
          <w:p/>
          <w:p>
            <w:pPr>
              <w:pStyle w:val="4"/>
            </w:pPr>
          </w:p>
          <w:p/>
          <w:p>
            <w:pPr>
              <w:pStyle w:val="4"/>
            </w:pPr>
          </w:p>
          <w:p/>
          <w:p>
            <w:pPr>
              <w:pStyle w:val="4"/>
            </w:pPr>
          </w:p>
        </w:tc>
        <w:tc>
          <w:tcPr>
            <w:tcW w:w="4937" w:type="dxa"/>
          </w:tcPr>
          <w:p>
            <w:pPr>
              <w:adjustRightInd w:val="0"/>
              <w:snapToGrid w:val="0"/>
              <w:spacing w:line="440" w:lineRule="exact"/>
              <w:contextualSpacing/>
              <w:rPr>
                <w:vertAlign w:val="baseline"/>
              </w:rPr>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4"/>
        <w:ind w:left="0" w:leftChars="0" w:firstLine="0" w:firstLineChars="0"/>
        <w:rPr>
          <w:rFonts w:ascii="宋体" w:hAnsi="宋体"/>
          <w:kern w:val="0"/>
          <w:sz w:val="36"/>
          <w:szCs w:val="36"/>
        </w:rPr>
      </w:pPr>
    </w:p>
    <w:p/>
    <w:p>
      <w:pPr>
        <w:pStyle w:val="13"/>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lang w:eastAsia="zh-CN"/>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w:t>
      </w:r>
      <w:r>
        <w:rPr>
          <w:rFonts w:hint="eastAsia" w:ascii="宋体" w:hAnsi="宋体"/>
          <w:kern w:val="20"/>
          <w:sz w:val="24"/>
          <w:lang w:eastAsia="zh-CN"/>
        </w:rPr>
        <w:t>协议</w:t>
      </w:r>
      <w:r>
        <w:rPr>
          <w:rFonts w:hint="eastAsia" w:ascii="宋体" w:hAnsi="宋体"/>
          <w:kern w:val="20"/>
          <w:sz w:val="24"/>
        </w:rPr>
        <w:t>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4"/>
        <w:rPr>
          <w:rFonts w:ascii="宋体" w:hAnsi="宋体"/>
        </w:rPr>
      </w:pPr>
    </w:p>
    <w:p>
      <w:pPr>
        <w:rPr>
          <w:rFonts w:ascii="宋体" w:hAnsi="宋体"/>
        </w:rPr>
      </w:pPr>
    </w:p>
    <w:p>
      <w:pPr>
        <w:pStyle w:val="4"/>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16"/>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0"/>
              <w:adjustRightInd w:val="0"/>
              <w:snapToGrid w:val="0"/>
              <w:spacing w:line="440" w:lineRule="exact"/>
              <w:contextualSpacing/>
              <w:jc w:val="center"/>
              <w:rPr>
                <w:rFonts w:ascii="Times New Roman"/>
                <w:bCs/>
              </w:rPr>
            </w:pPr>
          </w:p>
        </w:tc>
        <w:tc>
          <w:tcPr>
            <w:tcW w:w="3244" w:type="pct"/>
            <w:vAlign w:val="center"/>
          </w:tcPr>
          <w:p>
            <w:pPr>
              <w:pStyle w:val="30"/>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0"/>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spacing w:line="340" w:lineRule="exact"/>
        <w:jc w:val="center"/>
        <w:rPr>
          <w:rFonts w:ascii="宋体" w:hAnsi="宋体"/>
          <w:b/>
          <w:sz w:val="36"/>
          <w:szCs w:val="36"/>
        </w:rPr>
      </w:pPr>
      <w:r>
        <w:rPr>
          <w:rFonts w:hint="eastAsia" w:ascii="宋体" w:hAnsi="宋体"/>
          <w:b/>
          <w:sz w:val="36"/>
          <w:szCs w:val="36"/>
        </w:rPr>
        <w:t>（</w:t>
      </w:r>
      <w:r>
        <w:rPr>
          <w:rFonts w:hint="eastAsia" w:ascii="宋体" w:hAnsi="宋体"/>
          <w:b/>
          <w:sz w:val="36"/>
          <w:szCs w:val="36"/>
          <w:lang w:val="en-US" w:eastAsia="zh-CN"/>
        </w:rPr>
        <w:t>七</w:t>
      </w:r>
      <w:r>
        <w:rPr>
          <w:rFonts w:hint="eastAsia" w:ascii="宋体" w:hAnsi="宋体"/>
          <w:b/>
          <w:sz w:val="36"/>
          <w:szCs w:val="36"/>
        </w:rPr>
        <w:t>）投标</w:t>
      </w:r>
      <w:r>
        <w:rPr>
          <w:rFonts w:hint="eastAsia" w:ascii="宋体" w:hAnsi="宋体"/>
          <w:b/>
          <w:sz w:val="36"/>
          <w:szCs w:val="36"/>
          <w:lang w:val="en-US" w:eastAsia="zh-CN"/>
        </w:rPr>
        <w:t>分项</w:t>
      </w:r>
      <w:r>
        <w:rPr>
          <w:rFonts w:hint="eastAsia" w:ascii="宋体" w:hAnsi="宋体"/>
          <w:b/>
          <w:sz w:val="36"/>
          <w:szCs w:val="36"/>
        </w:rPr>
        <w:t>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4"/>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5"/>
      </w:pPr>
    </w:p>
    <w:p>
      <w:pPr>
        <w:rPr>
          <w:rFonts w:hint="eastAsia" w:ascii="宋体" w:hAnsi="宋体"/>
          <w:b/>
          <w:sz w:val="36"/>
          <w:szCs w:val="36"/>
        </w:rPr>
      </w:pPr>
      <w:bookmarkStart w:id="1" w:name="_Toc513029243"/>
      <w:bookmarkStart w:id="2" w:name="_Toc16938559"/>
      <w:bookmarkStart w:id="3" w:name="_Toc20823315"/>
    </w:p>
    <w:bookmarkEnd w:id="1"/>
    <w:bookmarkEnd w:id="2"/>
    <w:bookmarkEnd w:id="3"/>
    <w:p>
      <w:pPr>
        <w:rPr>
          <w:rFonts w:hint="eastAsia" w:ascii="宋体" w:hAnsi="宋体"/>
          <w:b/>
          <w:sz w:val="36"/>
          <w:szCs w:val="36"/>
          <w:lang w:val="en-US" w:eastAsia="zh-CN"/>
        </w:rPr>
      </w:pPr>
      <w:r>
        <w:rPr>
          <w:rFonts w:hint="eastAsia" w:ascii="宋体" w:hAnsi="宋体"/>
          <w:b/>
          <w:sz w:val="36"/>
          <w:szCs w:val="36"/>
          <w:lang w:val="en-US" w:eastAsia="zh-CN"/>
        </w:rPr>
        <w:br w:type="page"/>
      </w:r>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cs="宋体"/>
          <w:b/>
          <w:bCs/>
          <w:szCs w:val="21"/>
        </w:rPr>
      </w:pPr>
      <w:r>
        <w:rPr>
          <w:rFonts w:hint="eastAsia" w:ascii="宋体" w:hAnsi="宋体"/>
          <w:b/>
          <w:sz w:val="36"/>
          <w:szCs w:val="36"/>
          <w:lang w:val="en-US" w:eastAsia="zh-CN"/>
        </w:rPr>
        <w:t>服务协议</w:t>
      </w:r>
    </w:p>
    <w:p>
      <w:pPr>
        <w:pStyle w:val="9"/>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b/>
          <w:snapToGrid w:val="0"/>
          <w:kern w:val="0"/>
          <w:sz w:val="24"/>
          <w:highlight w:val="none"/>
          <w:lang w:val="en-US" w:eastAsia="zh-CN"/>
        </w:rPr>
      </w:pPr>
      <w:r>
        <w:rPr>
          <w:rFonts w:hint="eastAsia" w:hAnsi="宋体" w:cs="宋体"/>
          <w:snapToGrid w:val="0"/>
          <w:spacing w:val="-4"/>
          <w:kern w:val="0"/>
          <w:sz w:val="24"/>
          <w:szCs w:val="24"/>
        </w:rPr>
        <w:t>项目名称：</w:t>
      </w:r>
      <w:r>
        <w:rPr>
          <w:rFonts w:hint="eastAsia" w:hAnsi="宋体" w:cs="宋体"/>
          <w:b/>
          <w:snapToGrid w:val="0"/>
          <w:kern w:val="0"/>
          <w:sz w:val="24"/>
          <w:highlight w:val="none"/>
        </w:rPr>
        <w:t>扬州大学附属医院</w:t>
      </w:r>
      <w:r>
        <w:rPr>
          <w:rFonts w:hint="eastAsia" w:hAnsi="宋体" w:cs="宋体"/>
          <w:b/>
          <w:snapToGrid w:val="0"/>
          <w:kern w:val="0"/>
          <w:sz w:val="24"/>
          <w:highlight w:val="none"/>
          <w:lang w:eastAsia="zh-CN"/>
        </w:rPr>
        <w:t>使用后未被污染一次性输液袋（瓶）、玻璃输液瓶回收处置服务项目</w:t>
      </w:r>
    </w:p>
    <w:p>
      <w:pPr>
        <w:pStyle w:val="9"/>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sz w:val="24"/>
          <w:highlight w:val="none"/>
          <w:lang w:val="en-US" w:eastAsia="zh-CN"/>
        </w:rPr>
      </w:pPr>
      <w:r>
        <w:rPr>
          <w:rFonts w:hint="eastAsia" w:hAnsi="宋体" w:cs="宋体"/>
          <w:sz w:val="24"/>
          <w:highlight w:val="none"/>
          <w:lang w:eastAsia="zh-CN"/>
        </w:rPr>
        <w:t>协议</w:t>
      </w:r>
      <w:r>
        <w:rPr>
          <w:rFonts w:hint="eastAsia" w:hAnsi="宋体" w:cs="宋体"/>
          <w:sz w:val="24"/>
          <w:highlight w:val="none"/>
        </w:rPr>
        <w:t>编号：</w:t>
      </w:r>
      <w:r>
        <w:rPr>
          <w:rFonts w:hint="eastAsia" w:hAnsi="宋体" w:cs="宋体"/>
          <w:b/>
          <w:bCs/>
          <w:sz w:val="24"/>
          <w:highlight w:val="none"/>
        </w:rPr>
        <w:t>YDFYXJ-</w:t>
      </w:r>
      <w:r>
        <w:rPr>
          <w:rFonts w:hint="eastAsia" w:hAnsi="宋体" w:cs="宋体"/>
          <w:b/>
          <w:bCs/>
          <w:sz w:val="24"/>
          <w:highlight w:val="none"/>
          <w:lang w:eastAsia="zh-CN"/>
        </w:rPr>
        <w:t>20221105</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ascii="宋体" w:hAnsi="宋体" w:eastAsia="宋体" w:cs="宋体"/>
          <w:b/>
          <w:sz w:val="24"/>
          <w:lang w:val="en-US" w:eastAsia="zh-CN"/>
        </w:rPr>
      </w:pPr>
      <w:r>
        <w:rPr>
          <w:rFonts w:hint="eastAsia" w:ascii="宋体" w:hAnsi="宋体" w:cs="宋体"/>
          <w:sz w:val="24"/>
        </w:rPr>
        <w:t>甲方：</w:t>
      </w:r>
      <w:r>
        <w:rPr>
          <w:rFonts w:hint="eastAsia" w:ascii="宋体" w:hAnsi="宋体" w:cs="宋体"/>
          <w:b/>
          <w:color w:val="000000"/>
          <w:kern w:val="0"/>
          <w:sz w:val="24"/>
        </w:rPr>
        <w:t>扬州大学附属医院</w:t>
      </w:r>
      <w:r>
        <w:rPr>
          <w:rFonts w:hint="eastAsia" w:ascii="宋体" w:hAnsi="宋体" w:cs="宋体"/>
          <w:b/>
          <w:color w:val="000000"/>
          <w:kern w:val="0"/>
          <w:sz w:val="24"/>
          <w:lang w:val="en-US" w:eastAsia="zh-CN"/>
        </w:rPr>
        <w:t>采购中心</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default" w:ascii="宋体" w:hAnsi="宋体" w:eastAsia="宋体" w:cs="宋体"/>
          <w:sz w:val="24"/>
          <w:lang w:val="en-US" w:eastAsia="zh-CN"/>
        </w:rPr>
      </w:pPr>
      <w:r>
        <w:rPr>
          <w:rFonts w:hint="eastAsia" w:ascii="宋体" w:hAnsi="宋体" w:cs="宋体"/>
          <w:sz w:val="24"/>
        </w:rPr>
        <w:t>乙方：</w:t>
      </w:r>
      <w:r>
        <w:rPr>
          <w:rFonts w:hint="eastAsia" w:ascii="宋体" w:hAnsi="宋体" w:cs="宋体"/>
          <w:b/>
          <w:bCs/>
          <w:sz w:val="24"/>
          <w:lang w:val="en-US" w:eastAsia="zh-CN"/>
        </w:rPr>
        <w:t xml:space="preserve"> </w:t>
      </w:r>
    </w:p>
    <w:p>
      <w:pPr>
        <w:pStyle w:val="9"/>
        <w:keepNext w:val="0"/>
        <w:keepLines w:val="0"/>
        <w:pageBreakBefore w:val="0"/>
        <w:widowControl w:val="0"/>
        <w:kinsoku/>
        <w:wordWrap/>
        <w:overflowPunct/>
        <w:topLinePunct w:val="0"/>
        <w:autoSpaceDE/>
        <w:autoSpaceDN/>
        <w:bidi w:val="0"/>
        <w:adjustRightInd w:val="0"/>
        <w:snapToGrid w:val="0"/>
        <w:spacing w:line="340" w:lineRule="exact"/>
        <w:ind w:firstLine="464" w:firstLineChars="200"/>
        <w:contextualSpacing/>
        <w:textAlignment w:val="auto"/>
        <w:rPr>
          <w:rFonts w:hAnsi="宋体" w:cs="宋体"/>
          <w:snapToGrid w:val="0"/>
          <w:kern w:val="0"/>
          <w:sz w:val="24"/>
        </w:rPr>
      </w:pPr>
      <w:r>
        <w:rPr>
          <w:rFonts w:hint="eastAsia" w:hAnsi="宋体" w:cs="宋体"/>
          <w:snapToGrid w:val="0"/>
          <w:spacing w:val="-4"/>
          <w:kern w:val="0"/>
          <w:sz w:val="24"/>
          <w:szCs w:val="24"/>
        </w:rPr>
        <w:t>根据《中华人民共和国民法典》、《关于明确医疗废物分类有关问题的通知》（卫办医发[2005]292号）、《关于切实做好医疗卫生机构使用后未被污染输液瓶（袋）管理工作的通知》（苏卫医政〔2017〕58号）等政府卫生和环境保护部门有关文件要求，甲乙双方就</w:t>
      </w:r>
      <w:r>
        <w:rPr>
          <w:rFonts w:hint="eastAsia" w:hAnsi="宋体" w:cs="宋体"/>
          <w:snapToGrid w:val="0"/>
          <w:kern w:val="0"/>
          <w:sz w:val="24"/>
        </w:rPr>
        <w:t>扬州大学附属医院</w:t>
      </w:r>
      <w:r>
        <w:rPr>
          <w:rFonts w:hint="eastAsia" w:hAnsi="宋体" w:cs="宋体"/>
          <w:color w:val="000000"/>
          <w:kern w:val="0"/>
          <w:sz w:val="24"/>
          <w:highlight w:val="none"/>
          <w:lang w:eastAsia="zh-CN"/>
        </w:rPr>
        <w:t>使用后未被污染一次性输液袋（瓶）、玻璃输液瓶回收处置服务项目</w:t>
      </w:r>
      <w:r>
        <w:rPr>
          <w:rFonts w:hint="eastAsia" w:hAnsi="宋体" w:cs="宋体"/>
          <w:snapToGrid w:val="0"/>
          <w:spacing w:val="-4"/>
          <w:kern w:val="0"/>
          <w:sz w:val="24"/>
          <w:szCs w:val="24"/>
        </w:rPr>
        <w:t>询价结果，</w:t>
      </w:r>
      <w:r>
        <w:rPr>
          <w:rFonts w:hint="eastAsia" w:hAnsi="宋体" w:cs="宋体"/>
          <w:sz w:val="24"/>
        </w:rPr>
        <w:t>遵循平等、自愿、公平、诚实信用原则，</w:t>
      </w:r>
      <w:r>
        <w:rPr>
          <w:rFonts w:hint="eastAsia" w:hAnsi="宋体" w:cs="宋体"/>
          <w:kern w:val="0"/>
          <w:sz w:val="24"/>
        </w:rPr>
        <w:t>经甲乙双方</w:t>
      </w:r>
      <w:r>
        <w:rPr>
          <w:rFonts w:hint="eastAsia" w:hAnsi="宋体" w:cs="宋体"/>
          <w:sz w:val="24"/>
        </w:rPr>
        <w:t>友好</w:t>
      </w:r>
      <w:r>
        <w:rPr>
          <w:rFonts w:hint="eastAsia" w:hAnsi="宋体" w:cs="宋体"/>
          <w:kern w:val="0"/>
          <w:sz w:val="24"/>
        </w:rPr>
        <w:t>协商</w:t>
      </w:r>
      <w:r>
        <w:rPr>
          <w:rFonts w:hint="eastAsia" w:hAnsi="宋体" w:cs="宋体"/>
          <w:sz w:val="24"/>
        </w:rPr>
        <w:t>签署本</w:t>
      </w:r>
      <w:r>
        <w:rPr>
          <w:rFonts w:hint="eastAsia" w:hAnsi="宋体" w:cs="宋体"/>
          <w:sz w:val="24"/>
          <w:lang w:eastAsia="zh-CN"/>
        </w:rPr>
        <w:t>协议</w:t>
      </w:r>
      <w:r>
        <w:rPr>
          <w:rFonts w:hint="eastAsia" w:hAnsi="宋体" w:cs="宋体"/>
          <w:kern w:val="0"/>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sz w:val="24"/>
        </w:rPr>
      </w:pPr>
      <w:r>
        <w:rPr>
          <w:rFonts w:hint="eastAsia" w:ascii="宋体" w:hAnsi="宋体" w:cs="宋体"/>
          <w:b/>
          <w:sz w:val="24"/>
        </w:rPr>
        <w:t>一、</w:t>
      </w:r>
      <w:r>
        <w:rPr>
          <w:rFonts w:hint="eastAsia" w:ascii="宋体" w:hAnsi="宋体" w:cs="宋体"/>
          <w:b/>
          <w:sz w:val="24"/>
          <w:lang w:eastAsia="zh-CN"/>
        </w:rPr>
        <w:t>协议</w:t>
      </w:r>
      <w:r>
        <w:rPr>
          <w:rFonts w:hint="eastAsia" w:ascii="宋体" w:hAnsi="宋体" w:cs="宋体"/>
          <w:b/>
          <w:sz w:val="24"/>
        </w:rPr>
        <w:t>项目</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hint="eastAsia" w:ascii="宋体" w:hAnsi="宋体" w:cs="宋体"/>
          <w:b/>
          <w:bCs/>
          <w:sz w:val="24"/>
        </w:rPr>
      </w:pPr>
      <w:r>
        <w:rPr>
          <w:rFonts w:hint="eastAsia" w:ascii="宋体" w:hAnsi="宋体"/>
          <w:sz w:val="24"/>
        </w:rPr>
        <w:t>1.项目名称</w:t>
      </w:r>
      <w:r>
        <w:rPr>
          <w:rFonts w:hint="eastAsia" w:ascii="宋体" w:hAnsi="宋体"/>
          <w:sz w:val="24"/>
          <w:lang w:eastAsia="zh-CN"/>
        </w:rPr>
        <w:t>：</w:t>
      </w:r>
      <w:r>
        <w:rPr>
          <w:rFonts w:hint="eastAsia" w:hAnsi="宋体" w:cs="宋体"/>
          <w:b/>
          <w:snapToGrid w:val="0"/>
          <w:kern w:val="0"/>
          <w:sz w:val="24"/>
          <w:highlight w:val="none"/>
          <w:u w:val="single"/>
        </w:rPr>
        <w:t>扬州大学附属医院</w:t>
      </w:r>
      <w:r>
        <w:rPr>
          <w:rFonts w:hint="eastAsia" w:hAnsi="宋体" w:cs="宋体"/>
          <w:b/>
          <w:snapToGrid w:val="0"/>
          <w:kern w:val="0"/>
          <w:sz w:val="24"/>
          <w:highlight w:val="none"/>
          <w:u w:val="single"/>
          <w:lang w:eastAsia="zh-CN"/>
        </w:rPr>
        <w:t>使用后未被污染一次性输液袋（瓶）、玻璃输液瓶回收处置服务项目</w:t>
      </w:r>
      <w:r>
        <w:rPr>
          <w:rFonts w:hint="eastAsia" w:ascii="宋体" w:hAnsi="宋体" w:cs="宋体"/>
          <w:b/>
          <w:bCs/>
          <w:sz w:val="24"/>
        </w:rPr>
        <w:t>。</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int="default" w:hAnsi="宋体"/>
          <w:sz w:val="24"/>
          <w:szCs w:val="24"/>
          <w:lang w:val="en-US" w:eastAsia="zh-CN"/>
        </w:rPr>
      </w:pPr>
      <w:r>
        <w:rPr>
          <w:rFonts w:hint="eastAsia" w:hAnsi="宋体"/>
          <w:sz w:val="24"/>
          <w:szCs w:val="24"/>
          <w:lang w:val="en-US" w:eastAsia="zh-CN"/>
        </w:rPr>
        <w:t>2.服务内容：</w:t>
      </w:r>
      <w:r>
        <w:rPr>
          <w:rFonts w:hint="eastAsia" w:hAnsi="宋体"/>
          <w:sz w:val="24"/>
          <w:szCs w:val="24"/>
        </w:rPr>
        <w:t>乙方有偿依法规范回收处置甲方使用后产生的未被污染的一次性塑料输液瓶、输液袋（含内袋和外袋）。</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hint="default" w:ascii="宋体" w:hAnsi="宋体"/>
          <w:sz w:val="24"/>
          <w:lang w:val="en-US" w:eastAsia="zh-CN"/>
        </w:rPr>
      </w:pPr>
      <w:r>
        <w:rPr>
          <w:rFonts w:hint="eastAsia" w:ascii="宋体" w:hAnsi="宋体"/>
          <w:sz w:val="24"/>
          <w:lang w:val="en-US" w:eastAsia="zh-CN"/>
        </w:rPr>
        <w:t>3.服务期限：三年，自2023年1月1日至2025年12月31日</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jc w:val="left"/>
        <w:textAlignment w:val="auto"/>
        <w:rPr>
          <w:rFonts w:ascii="宋体" w:hAnsi="宋体"/>
          <w:b/>
          <w:sz w:val="24"/>
        </w:rPr>
      </w:pPr>
      <w:r>
        <w:rPr>
          <w:rFonts w:hint="eastAsia" w:ascii="宋体" w:hAnsi="宋体"/>
          <w:b/>
          <w:sz w:val="24"/>
        </w:rPr>
        <w:t>二、</w:t>
      </w:r>
      <w:r>
        <w:rPr>
          <w:rFonts w:hint="eastAsia" w:ascii="宋体" w:hAnsi="宋体"/>
          <w:b/>
          <w:sz w:val="24"/>
          <w:lang w:eastAsia="zh-CN"/>
        </w:rPr>
        <w:t>协议</w:t>
      </w:r>
      <w:r>
        <w:rPr>
          <w:rFonts w:hint="eastAsia" w:ascii="宋体" w:hAnsi="宋体"/>
          <w:b/>
          <w:sz w:val="24"/>
        </w:rPr>
        <w:t>金额</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highlight w:val="none"/>
        </w:rPr>
      </w:pPr>
      <w:r>
        <w:rPr>
          <w:rFonts w:hint="eastAsia" w:ascii="宋体" w:hAnsi="宋体"/>
          <w:sz w:val="24"/>
        </w:rPr>
        <w:t>1.本</w:t>
      </w:r>
      <w:r>
        <w:rPr>
          <w:rFonts w:hint="eastAsia" w:ascii="宋体" w:hAnsi="宋体"/>
          <w:sz w:val="24"/>
          <w:lang w:eastAsia="zh-CN"/>
        </w:rPr>
        <w:t>协议</w:t>
      </w:r>
      <w:r>
        <w:rPr>
          <w:rFonts w:hint="eastAsia" w:ascii="宋体" w:hAnsi="宋体"/>
          <w:sz w:val="24"/>
        </w:rPr>
        <w:t>总价：</w:t>
      </w:r>
      <w:r>
        <w:rPr>
          <w:rFonts w:hint="eastAsia" w:ascii="宋体" w:hAnsi="宋体"/>
          <w:b/>
          <w:bCs/>
          <w:sz w:val="24"/>
          <w:highlight w:val="none"/>
          <w:u w:val="single"/>
        </w:rPr>
        <w:t>人民币</w:t>
      </w:r>
      <w:r>
        <w:rPr>
          <w:rFonts w:hint="eastAsia" w:ascii="宋体" w:hAnsi="宋体"/>
          <w:b/>
          <w:bCs/>
          <w:sz w:val="24"/>
          <w:highlight w:val="none"/>
          <w:u w:val="single"/>
          <w:lang w:val="en-US" w:eastAsia="zh-CN"/>
        </w:rPr>
        <w:t>整（¥）</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sz w:val="24"/>
        </w:rPr>
      </w:pPr>
      <w:r>
        <w:rPr>
          <w:rFonts w:hint="eastAsia" w:ascii="宋体" w:hAnsi="宋体" w:cs="宋体"/>
          <w:sz w:val="24"/>
        </w:rPr>
        <w:t>2.以上</w:t>
      </w:r>
      <w:r>
        <w:rPr>
          <w:rFonts w:hint="eastAsia" w:ascii="宋体" w:hAnsi="宋体" w:cs="宋体"/>
          <w:sz w:val="24"/>
          <w:lang w:eastAsia="zh-CN"/>
        </w:rPr>
        <w:t>协议</w:t>
      </w:r>
      <w:r>
        <w:rPr>
          <w:rFonts w:hint="eastAsia" w:hAnsi="宋体" w:cs="宋体"/>
          <w:sz w:val="24"/>
          <w:szCs w:val="24"/>
        </w:rPr>
        <w:t>总金额</w:t>
      </w:r>
      <w:r>
        <w:rPr>
          <w:rFonts w:hint="eastAsia" w:hAnsi="宋体"/>
          <w:sz w:val="24"/>
          <w:szCs w:val="24"/>
        </w:rPr>
        <w:t>包含但不限于提供的增值税、各种税费、各种规费、</w:t>
      </w:r>
      <w:r>
        <w:rPr>
          <w:rFonts w:hint="eastAsia" w:hAnsi="宋体" w:cs="宋体"/>
          <w:sz w:val="24"/>
          <w:szCs w:val="24"/>
        </w:rPr>
        <w:t>产品费用、</w:t>
      </w:r>
      <w:r>
        <w:rPr>
          <w:rFonts w:hint="eastAsia" w:hAnsi="宋体"/>
          <w:sz w:val="24"/>
          <w:szCs w:val="24"/>
        </w:rPr>
        <w:t>材料费、安装费、检测费、维修费、运输费、装卸费、保险费、人工费、管理费、调试费、培训费、资料费、</w:t>
      </w:r>
      <w:r>
        <w:rPr>
          <w:rFonts w:hint="eastAsia" w:hAnsi="宋体"/>
          <w:snapToGrid w:val="0"/>
          <w:sz w:val="24"/>
          <w:szCs w:val="24"/>
        </w:rPr>
        <w:t>机械使用费、工具使用费、</w:t>
      </w:r>
      <w:r>
        <w:rPr>
          <w:rFonts w:hint="eastAsia" w:hAnsi="宋体" w:cs="宋体"/>
          <w:bCs/>
          <w:sz w:val="24"/>
          <w:szCs w:val="24"/>
        </w:rPr>
        <w:t>进品商品关税</w:t>
      </w:r>
      <w:r>
        <w:rPr>
          <w:rFonts w:hint="eastAsia" w:hAnsi="宋体" w:cs="宋体"/>
          <w:bCs/>
          <w:sz w:val="24"/>
          <w:szCs w:val="24"/>
          <w:lang w:eastAsia="zh-CN"/>
        </w:rPr>
        <w:t>、</w:t>
      </w:r>
      <w:r>
        <w:rPr>
          <w:rFonts w:hint="eastAsia" w:hAnsi="宋体" w:cs="宋体"/>
          <w:bCs/>
          <w:sz w:val="24"/>
          <w:szCs w:val="24"/>
          <w:lang w:val="en-US" w:eastAsia="zh-CN"/>
        </w:rPr>
        <w:t>消毒药剂费用、防护穿戴用具费用</w:t>
      </w:r>
      <w:r>
        <w:rPr>
          <w:rFonts w:hint="eastAsia" w:hAnsi="宋体" w:cs="宋体"/>
          <w:bCs/>
          <w:sz w:val="24"/>
          <w:szCs w:val="24"/>
        </w:rPr>
        <w:t>等进口环节税、政策性文件规定的各项应有费用</w:t>
      </w:r>
      <w:r>
        <w:rPr>
          <w:rFonts w:hint="eastAsia" w:hAnsi="宋体"/>
          <w:sz w:val="24"/>
          <w:szCs w:val="24"/>
        </w:rPr>
        <w:t>、质保期内的维保费</w:t>
      </w:r>
      <w:r>
        <w:rPr>
          <w:rFonts w:hint="eastAsia" w:hAnsi="宋体"/>
          <w:snapToGrid w:val="0"/>
          <w:sz w:val="24"/>
          <w:szCs w:val="24"/>
        </w:rPr>
        <w:t>等</w:t>
      </w:r>
      <w:r>
        <w:rPr>
          <w:rFonts w:hint="eastAsia" w:hAnsi="宋体"/>
          <w:sz w:val="24"/>
          <w:szCs w:val="24"/>
        </w:rPr>
        <w:t>直至</w:t>
      </w:r>
      <w:r>
        <w:rPr>
          <w:rFonts w:hint="eastAsia" w:hAnsi="宋体" w:cs="宋体"/>
          <w:b w:val="0"/>
          <w:bCs w:val="0"/>
          <w:sz w:val="24"/>
          <w:szCs w:val="24"/>
          <w:lang w:val="en-US" w:eastAsia="zh-CN"/>
        </w:rPr>
        <w:t>完成</w:t>
      </w:r>
      <w:r>
        <w:rPr>
          <w:rFonts w:hint="eastAsia" w:hAnsi="宋体" w:cs="宋体"/>
          <w:bCs/>
          <w:sz w:val="24"/>
          <w:szCs w:val="24"/>
        </w:rPr>
        <w:t>本项目发生的</w:t>
      </w:r>
      <w:r>
        <w:rPr>
          <w:rFonts w:hint="eastAsia" w:hAnsi="宋体"/>
          <w:sz w:val="24"/>
          <w:szCs w:val="24"/>
        </w:rPr>
        <w:t>所有费用和利润。</w:t>
      </w:r>
    </w:p>
    <w:p>
      <w:pPr>
        <w:keepNext w:val="0"/>
        <w:keepLines w:val="0"/>
        <w:pageBreakBefore w:val="0"/>
        <w:kinsoku/>
        <w:wordWrap/>
        <w:overflowPunct/>
        <w:topLinePunct w:val="0"/>
        <w:autoSpaceDE/>
        <w:autoSpaceDN/>
        <w:bidi w:val="0"/>
        <w:adjustRightInd w:val="0"/>
        <w:snapToGrid w:val="0"/>
        <w:spacing w:line="340" w:lineRule="exact"/>
        <w:ind w:firstLine="424" w:firstLineChars="151"/>
        <w:contextualSpacing/>
        <w:textAlignment w:val="auto"/>
        <w:rPr>
          <w:rFonts w:ascii="宋体" w:hAnsi="宋体"/>
          <w:b/>
          <w:sz w:val="24"/>
        </w:rPr>
      </w:pPr>
      <w:r>
        <w:rPr>
          <w:rFonts w:hint="eastAsia" w:ascii="宋体" w:hAnsi="宋体"/>
          <w:b/>
          <w:spacing w:val="20"/>
          <w:sz w:val="24"/>
        </w:rPr>
        <w:t>三、</w:t>
      </w:r>
      <w:r>
        <w:rPr>
          <w:rFonts w:hint="eastAsia" w:ascii="宋体" w:hAnsi="宋体"/>
          <w:b/>
          <w:sz w:val="24"/>
        </w:rPr>
        <w:t>付款方式</w:t>
      </w:r>
    </w:p>
    <w:p>
      <w:pPr>
        <w:pStyle w:val="14"/>
        <w:keepNext w:val="0"/>
        <w:keepLines w:val="0"/>
        <w:pageBreakBefore w:val="0"/>
        <w:kinsoku/>
        <w:wordWrap/>
        <w:overflowPunct/>
        <w:topLinePunct w:val="0"/>
        <w:autoSpaceDE/>
        <w:autoSpaceDN/>
        <w:bidi w:val="0"/>
        <w:adjustRightInd w:val="0"/>
        <w:snapToGrid w:val="0"/>
        <w:spacing w:before="0" w:beforeAutospacing="0" w:after="0" w:afterAutospacing="0" w:line="340" w:lineRule="exact"/>
        <w:ind w:firstLine="480" w:firstLineChars="200"/>
        <w:contextualSpacing/>
        <w:textAlignment w:val="auto"/>
        <w:rPr>
          <w:rFonts w:hint="eastAsia" w:ascii="宋体" w:hAnsi="宋体" w:cs="宋体"/>
          <w:sz w:val="24"/>
        </w:rPr>
      </w:pPr>
      <w:r>
        <w:rPr>
          <w:rFonts w:hint="eastAsia" w:ascii="宋体" w:hAnsi="宋体" w:cs="宋体"/>
          <w:sz w:val="24"/>
        </w:rPr>
        <w:t>每</w:t>
      </w:r>
      <w:r>
        <w:rPr>
          <w:rFonts w:hint="eastAsia" w:cs="宋体"/>
          <w:sz w:val="24"/>
          <w:lang w:val="en-US" w:eastAsia="zh-CN"/>
        </w:rPr>
        <w:t>年的第一个月内支付当年的全部费用</w:t>
      </w:r>
      <w:r>
        <w:rPr>
          <w:rFonts w:hint="eastAsia" w:ascii="宋体" w:hAnsi="宋体" w:cs="宋体"/>
          <w:sz w:val="24"/>
        </w:rPr>
        <w:t>。</w:t>
      </w:r>
    </w:p>
    <w:p>
      <w:pPr>
        <w:pStyle w:val="9"/>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hAnsi="宋体" w:cs="宋体"/>
          <w:b/>
          <w:bCs/>
          <w:sz w:val="24"/>
        </w:rPr>
      </w:pPr>
      <w:r>
        <w:rPr>
          <w:rFonts w:hint="eastAsia" w:hAnsi="宋体" w:cs="宋体"/>
          <w:b/>
          <w:bCs/>
          <w:sz w:val="24"/>
          <w:lang w:val="en-US" w:eastAsia="zh-CN"/>
        </w:rPr>
        <w:t>四</w:t>
      </w:r>
      <w:r>
        <w:rPr>
          <w:rFonts w:hint="eastAsia" w:hAnsi="宋体" w:cs="宋体"/>
          <w:b/>
          <w:bCs/>
          <w:sz w:val="24"/>
        </w:rPr>
        <w:t>、转包或分包</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rPr>
      </w:pPr>
      <w:r>
        <w:rPr>
          <w:rFonts w:hint="eastAsia" w:hAnsi="宋体"/>
          <w:sz w:val="24"/>
        </w:rPr>
        <w:t>本</w:t>
      </w:r>
      <w:r>
        <w:rPr>
          <w:rFonts w:hint="eastAsia" w:hAnsi="宋体"/>
          <w:sz w:val="24"/>
          <w:lang w:eastAsia="zh-CN"/>
        </w:rPr>
        <w:t>协议</w:t>
      </w:r>
      <w:r>
        <w:rPr>
          <w:rFonts w:hint="eastAsia" w:hAnsi="宋体"/>
          <w:sz w:val="24"/>
        </w:rPr>
        <w:t>禁止转包，本</w:t>
      </w:r>
      <w:r>
        <w:rPr>
          <w:rFonts w:hint="eastAsia" w:hAnsi="宋体"/>
          <w:sz w:val="24"/>
          <w:lang w:eastAsia="zh-CN"/>
        </w:rPr>
        <w:t>协议</w:t>
      </w:r>
      <w:r>
        <w:rPr>
          <w:rFonts w:hint="eastAsia" w:hAnsi="宋体"/>
          <w:sz w:val="24"/>
        </w:rPr>
        <w:t>范围的服务，应由乙方直接提供的，不得转让他人提供。</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hint="default" w:ascii="宋体" w:hAnsi="宋体" w:eastAsia="宋体" w:cs="宋体"/>
          <w:b/>
          <w:bCs/>
          <w:sz w:val="24"/>
          <w:lang w:val="en-US" w:eastAsia="zh-CN"/>
        </w:rPr>
      </w:pPr>
      <w:r>
        <w:rPr>
          <w:rFonts w:hint="eastAsia" w:ascii="宋体" w:hAnsi="宋体" w:cs="宋体"/>
          <w:b/>
          <w:bCs/>
          <w:sz w:val="24"/>
          <w:lang w:val="en-US" w:eastAsia="zh-CN"/>
        </w:rPr>
        <w:t>五</w:t>
      </w:r>
      <w:r>
        <w:rPr>
          <w:rFonts w:hint="eastAsia" w:ascii="宋体" w:hAnsi="宋体" w:cs="宋体"/>
          <w:b/>
          <w:bCs/>
          <w:sz w:val="24"/>
        </w:rPr>
        <w:t>、</w:t>
      </w:r>
      <w:r>
        <w:rPr>
          <w:rFonts w:hint="eastAsia" w:ascii="宋体" w:hAnsi="宋体" w:cs="宋体"/>
          <w:b/>
          <w:bCs/>
          <w:sz w:val="24"/>
          <w:lang w:val="en-US" w:eastAsia="zh-CN"/>
        </w:rPr>
        <w:t>甲方权利和责任</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int="eastAsia" w:hAnsi="宋体" w:cs="宋体"/>
          <w:sz w:val="24"/>
          <w:lang w:val="en-US" w:eastAsia="zh-CN"/>
        </w:rPr>
      </w:pPr>
      <w:r>
        <w:rPr>
          <w:rFonts w:hint="eastAsia" w:ascii="宋体" w:hAnsi="宋体" w:cs="宋体"/>
          <w:sz w:val="24"/>
        </w:rPr>
        <w:t>1.</w:t>
      </w:r>
      <w:r>
        <w:rPr>
          <w:rFonts w:hint="eastAsia" w:hAnsi="宋体" w:cs="宋体"/>
          <w:sz w:val="24"/>
          <w:lang w:val="en-US" w:eastAsia="zh-CN"/>
        </w:rPr>
        <w:t>甲方向乙方出售甲方使用后产生的未被污染的一次性塑料输液瓶（袋）。</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int="eastAsia" w:hAnsi="宋体" w:cs="宋体"/>
          <w:sz w:val="24"/>
          <w:lang w:val="en-US" w:eastAsia="zh-CN"/>
        </w:rPr>
      </w:pPr>
      <w:r>
        <w:rPr>
          <w:rFonts w:hint="eastAsia" w:hAnsi="宋体" w:cs="宋体"/>
          <w:sz w:val="24"/>
          <w:lang w:val="en-US" w:eastAsia="zh-CN"/>
        </w:rPr>
        <w:t>2.甲方不向乙方出售或转让任何属于医疗废物的物品（包括被污染的应做医疗废物处理的一次性塑料输液瓶（袋））。</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int="eastAsia" w:hAnsi="宋体" w:cs="宋体"/>
          <w:sz w:val="24"/>
          <w:lang w:val="en-US" w:eastAsia="zh-CN"/>
        </w:rPr>
      </w:pPr>
      <w:r>
        <w:rPr>
          <w:rFonts w:hint="eastAsia" w:hAnsi="宋体" w:cs="宋体"/>
          <w:sz w:val="24"/>
          <w:lang w:val="en-US" w:eastAsia="zh-CN"/>
        </w:rPr>
        <w:t>3.甲方将待回收的一次性塑料输液瓶（袋）进行集中装入乙方提供有标准标识、统一规格的回收专用容器内。</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int="eastAsia" w:hAnsi="宋体" w:cs="宋体"/>
          <w:sz w:val="24"/>
          <w:lang w:val="en-US" w:eastAsia="zh-CN"/>
        </w:rPr>
      </w:pPr>
      <w:r>
        <w:rPr>
          <w:rFonts w:hint="eastAsia" w:hAnsi="宋体" w:cs="宋体"/>
          <w:sz w:val="24"/>
          <w:lang w:val="en-US" w:eastAsia="zh-CN"/>
        </w:rPr>
        <w:t>4.甲方有权对乙方的回收处置工作的及时性、规范性进行监督和访查，乙方应予以配合，乙方不服从甲方监督和访查，每出现一次，乙方将被处以100元罚款，合同期内3次以上，甲方有权解除合同。</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int="default" w:hAnsi="宋体" w:cs="宋体"/>
          <w:sz w:val="24"/>
          <w:lang w:val="en-US" w:eastAsia="zh-CN"/>
        </w:rPr>
      </w:pPr>
      <w:r>
        <w:rPr>
          <w:rFonts w:hint="eastAsia" w:hAnsi="宋体" w:cs="宋体"/>
          <w:sz w:val="24"/>
          <w:lang w:val="en-US" w:eastAsia="zh-CN"/>
        </w:rPr>
        <w:t>5.甲方执行交接转移联单（详见附件），交接前，双方规范填写、认真核对重量签字交接，并保存记录三年。</w:t>
      </w:r>
    </w:p>
    <w:p>
      <w:pPr>
        <w:keepNext w:val="0"/>
        <w:keepLines w:val="0"/>
        <w:pageBreakBefore w:val="0"/>
        <w:kinsoku/>
        <w:wordWrap/>
        <w:overflowPunct/>
        <w:topLinePunct w:val="0"/>
        <w:autoSpaceDE/>
        <w:autoSpaceDN/>
        <w:bidi w:val="0"/>
        <w:adjustRightInd w:val="0"/>
        <w:snapToGrid w:val="0"/>
        <w:spacing w:line="340" w:lineRule="exact"/>
        <w:ind w:firstLine="548" w:firstLineChars="195"/>
        <w:contextualSpacing/>
        <w:textAlignment w:val="auto"/>
        <w:rPr>
          <w:rFonts w:hint="default" w:ascii="宋体" w:hAnsi="宋体" w:eastAsia="宋体"/>
          <w:kern w:val="20"/>
          <w:sz w:val="24"/>
          <w:lang w:val="en-US" w:eastAsia="zh-CN"/>
        </w:rPr>
      </w:pPr>
      <w:r>
        <w:rPr>
          <w:rFonts w:hint="eastAsia" w:ascii="宋体" w:hAnsi="宋体"/>
          <w:b/>
          <w:spacing w:val="20"/>
          <w:sz w:val="24"/>
          <w:lang w:val="en-US" w:eastAsia="zh-CN"/>
        </w:rPr>
        <w:t>六</w:t>
      </w:r>
      <w:r>
        <w:rPr>
          <w:rFonts w:hint="eastAsia" w:ascii="宋体" w:hAnsi="宋体"/>
          <w:b/>
          <w:spacing w:val="20"/>
          <w:sz w:val="24"/>
        </w:rPr>
        <w:t>、</w:t>
      </w:r>
      <w:r>
        <w:rPr>
          <w:rFonts w:hint="eastAsia" w:ascii="宋体" w:hAnsi="宋体" w:cs="宋体"/>
          <w:b/>
          <w:bCs/>
          <w:sz w:val="24"/>
          <w:lang w:val="en-US" w:eastAsia="zh-CN"/>
        </w:rPr>
        <w:t>乙方权利和责任</w:t>
      </w:r>
    </w:p>
    <w:p>
      <w:pPr>
        <w:pStyle w:val="8"/>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cs="宋体"/>
          <w:color w:val="000000"/>
          <w:kern w:val="0"/>
          <w:sz w:val="24"/>
          <w:lang w:val="en-US" w:eastAsia="zh-CN"/>
        </w:rPr>
      </w:pPr>
      <w:r>
        <w:rPr>
          <w:rFonts w:hint="eastAsia" w:ascii="宋体" w:hAnsi="宋体" w:cs="宋体"/>
          <w:color w:val="000000"/>
          <w:kern w:val="0"/>
          <w:sz w:val="24"/>
        </w:rPr>
        <w:t>1.</w:t>
      </w:r>
      <w:r>
        <w:rPr>
          <w:rFonts w:hint="eastAsia" w:ascii="宋体" w:hAnsi="宋体" w:cs="宋体"/>
          <w:color w:val="000000"/>
          <w:kern w:val="0"/>
          <w:sz w:val="24"/>
          <w:lang w:val="en-US" w:eastAsia="zh-CN"/>
        </w:rPr>
        <w:t>乙方有偿回收处置医疗活动中产生的不属医疗废物及未被污染的一次性塑料输液瓶(袋)。</w:t>
      </w:r>
    </w:p>
    <w:p>
      <w:pPr>
        <w:pStyle w:val="8"/>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2.乙方不得接受任何属于医疗废物的物品，发现有应按医疗废物处理的物品混入的必须及时退还甲方，由甲方按照医疗废物处理程序处理。</w:t>
      </w:r>
    </w:p>
    <w:p>
      <w:pPr>
        <w:pStyle w:val="8"/>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3.乙方按照营业执照所经营的项目进行回收，且须严格按照国家法律法规及国家、省级卫生健康部门和环境保护部门的有关规定做好物品的回收处置工作，保证回收处置合法依规安全；不得将回收物品用于生产食品、药品、化妆品、洗涤用品等包装容器及服装、被褥、日用品、玩具等可能危害人体健康的产品生产中，否则由此造成的一切后果乙方自负。</w:t>
      </w:r>
    </w:p>
    <w:p>
      <w:pPr>
        <w:pStyle w:val="8"/>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4.乙方免费向甲方提供回收印有专门标识的专用容器及回收记录册，同时保证容器的完好及密封性，并标有可回收物标志。回收时，乙方指定专人定时上门（可提前电话约定）清点、称重和接收。玻璃瓶内不得留有残液，以免运输破损污染环境。交接后，规范填写交接转移联单并签字交接。</w:t>
      </w:r>
    </w:p>
    <w:p>
      <w:pPr>
        <w:pStyle w:val="8"/>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5.乙方自行负责回收物品的运输工具及运输安全，乙方必须按照相关卫生法规、程序、标准对回收物品进行运输，严禁丢失、污染环境、违法转卖等，如发现违法行为，甲方有权立即解除协议，且所有责任均由乙方承担。</w:t>
      </w:r>
    </w:p>
    <w:p>
      <w:pPr>
        <w:pStyle w:val="8"/>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6.乙方收集车须定时到甲方指定停车地点回收一次性塑料输液瓶(袋) 及玻璃输液瓶，回收频次每周至少一次，遇法定长假日应于节前、节后1-2天内各回收一次。因甲方特殊工作需求时，乙方应随叫随到。因乙方回收不及时而影响甲方正常工作秩序的，每发生一次将提交100元罚款，合同期内达到3次以上，甲方有权提前终止合同。因乙方回收不及时而造成甲方被政府相关部门处罚的，甲方有权向乙方索赔。</w:t>
      </w:r>
    </w:p>
    <w:p>
      <w:pPr>
        <w:pStyle w:val="8"/>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7.乙方应指定专门上门收取回收物品的工作人员，并提供联系方式，便于甲方相关工作人员联系。乙方如有工作人员变动，须提前七日书面通知甲方并提供新指定人员的上述有关材料。</w:t>
      </w:r>
    </w:p>
    <w:p>
      <w:pPr>
        <w:pStyle w:val="8"/>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8.甲乙双方同意将乙方取得上述资质作为本协议成立并生效的前提条件，双方签订协议书时，乙方须提供国家规定有关资质批准文件的复印件及营业执照（盖公章）附于本协议后。合同生效后，乙方如有资质发生变动，须及时通知甲方。</w:t>
      </w:r>
    </w:p>
    <w:p>
      <w:pPr>
        <w:pStyle w:val="8"/>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9.因乙方违规违法运输、回收、处置等不当行为所造成的一切后果由乙方承担，与甲方无关。</w:t>
      </w:r>
    </w:p>
    <w:p>
      <w:pPr>
        <w:keepNext w:val="0"/>
        <w:keepLines w:val="0"/>
        <w:pageBreakBefore w:val="0"/>
        <w:kinsoku/>
        <w:wordWrap/>
        <w:overflowPunct/>
        <w:topLinePunct w:val="0"/>
        <w:autoSpaceDE/>
        <w:autoSpaceDN/>
        <w:bidi w:val="0"/>
        <w:adjustRightInd w:val="0"/>
        <w:snapToGrid w:val="0"/>
        <w:spacing w:line="340" w:lineRule="exact"/>
        <w:ind w:firstLine="482" w:firstLineChars="200"/>
        <w:textAlignment w:val="auto"/>
        <w:rPr>
          <w:rFonts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cs="宋体"/>
          <w:color w:val="000000"/>
          <w:kern w:val="0"/>
          <w:sz w:val="24"/>
          <w:lang w:eastAsia="zh-CN"/>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color w:val="000000"/>
          <w:kern w:val="0"/>
          <w:sz w:val="24"/>
          <w:lang w:eastAsia="zh-CN"/>
        </w:rPr>
        <w:t>乙方未按照合同约定提供服务，并在收到甲方的书面警告后不在指定的时间内改正，甲方有权雇用第三方提供服务，乙方负责赔偿甲方全部损失。</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cs="宋体"/>
          <w:color w:val="000000"/>
          <w:kern w:val="0"/>
          <w:sz w:val="24"/>
          <w:lang w:eastAsia="zh-CN"/>
        </w:rPr>
      </w:pP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乙方的违约情况如给甲方造成的损失，甲方有权要求乙方赔偿甲方的全部实际损失。</w:t>
      </w:r>
    </w:p>
    <w:p>
      <w:pPr>
        <w:widowControl/>
        <w:adjustRightInd w:val="0"/>
        <w:snapToGrid w:val="0"/>
        <w:spacing w:line="400" w:lineRule="exact"/>
        <w:ind w:firstLine="482" w:firstLineChars="200"/>
        <w:contextualSpacing/>
        <w:jc w:val="left"/>
        <w:rPr>
          <w:rFonts w:ascii="宋体" w:hAnsi="宋体"/>
          <w:b/>
          <w:bCs/>
          <w:kern w:val="0"/>
          <w:sz w:val="24"/>
        </w:rPr>
      </w:pPr>
      <w:r>
        <w:rPr>
          <w:rFonts w:hint="eastAsia" w:ascii="宋体" w:hAnsi="宋体" w:cs="宋体"/>
          <w:b/>
          <w:bCs/>
          <w:sz w:val="24"/>
          <w:lang w:val="en-US" w:eastAsia="zh-CN"/>
        </w:rPr>
        <w:t>八</w:t>
      </w:r>
      <w:r>
        <w:rPr>
          <w:rFonts w:hint="eastAsia" w:ascii="宋体" w:hAnsi="宋体" w:cs="宋体"/>
          <w:b/>
          <w:bCs/>
          <w:sz w:val="24"/>
        </w:rPr>
        <w:t>、</w:t>
      </w:r>
      <w:r>
        <w:rPr>
          <w:rFonts w:hint="eastAsia" w:ascii="宋体" w:hAnsi="宋体"/>
          <w:b/>
          <w:bCs/>
          <w:kern w:val="0"/>
          <w:sz w:val="24"/>
        </w:rPr>
        <w:t>终止合同</w:t>
      </w:r>
    </w:p>
    <w:p>
      <w:pPr>
        <w:adjustRightInd w:val="0"/>
        <w:snapToGrid w:val="0"/>
        <w:spacing w:line="400" w:lineRule="exact"/>
        <w:ind w:firstLine="480" w:firstLineChars="200"/>
        <w:contextualSpacing/>
        <w:rPr>
          <w:rFonts w:ascii="宋体" w:hAnsi="宋体"/>
          <w:sz w:val="24"/>
        </w:rPr>
      </w:pPr>
      <w:r>
        <w:rPr>
          <w:rFonts w:hint="eastAsia" w:ascii="宋体" w:hAnsi="宋体"/>
          <w:sz w:val="24"/>
        </w:rPr>
        <w:t>甲乙双方约定，存在下列情况之一的，任何一方均可提前终止合同：</w:t>
      </w:r>
    </w:p>
    <w:p>
      <w:pPr>
        <w:pStyle w:val="29"/>
        <w:spacing w:line="400" w:lineRule="exact"/>
        <w:ind w:firstLine="480"/>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乙方不再具有回收处置使用后未被污染的的一次性塑料输液瓶(袋)合法资质的；</w:t>
      </w:r>
    </w:p>
    <w:p>
      <w:pPr>
        <w:adjustRightInd w:val="0"/>
        <w:snapToGrid w:val="0"/>
        <w:spacing w:line="400" w:lineRule="exact"/>
        <w:ind w:firstLine="480" w:firstLineChars="200"/>
        <w:contextualSpacing/>
        <w:rPr>
          <w:rFonts w:ascii="宋体" w:hAnsi="宋体"/>
          <w:sz w:val="24"/>
        </w:rPr>
      </w:pPr>
      <w:r>
        <w:rPr>
          <w:rFonts w:hint="eastAsia" w:ascii="宋体" w:hAnsi="宋体"/>
          <w:sz w:val="24"/>
          <w:lang w:val="en-US" w:eastAsia="zh-CN"/>
        </w:rPr>
        <w:t>2.</w:t>
      </w:r>
      <w:r>
        <w:rPr>
          <w:rFonts w:hint="eastAsia" w:ascii="宋体" w:hAnsi="宋体"/>
          <w:sz w:val="24"/>
        </w:rPr>
        <w:t>乙方因违法、违规处理回收物品受到行政或司法处理的；</w:t>
      </w:r>
    </w:p>
    <w:p>
      <w:pPr>
        <w:adjustRightInd w:val="0"/>
        <w:snapToGrid w:val="0"/>
        <w:spacing w:line="400" w:lineRule="exact"/>
        <w:ind w:firstLine="480" w:firstLineChars="200"/>
        <w:contextualSpacing/>
        <w:rPr>
          <w:rFonts w:ascii="宋体" w:hAnsi="宋体"/>
          <w:sz w:val="24"/>
        </w:rPr>
      </w:pPr>
      <w:r>
        <w:rPr>
          <w:rFonts w:hint="eastAsia" w:ascii="宋体" w:hAnsi="宋体"/>
          <w:sz w:val="24"/>
          <w:lang w:val="en-US" w:eastAsia="zh-CN"/>
        </w:rPr>
        <w:t>3.</w:t>
      </w:r>
      <w:r>
        <w:rPr>
          <w:rFonts w:hint="eastAsia" w:ascii="宋体" w:hAnsi="宋体"/>
          <w:sz w:val="24"/>
        </w:rPr>
        <w:t>乙方因回收处置回收物品不当，致使甲方权益受到影响的；</w:t>
      </w:r>
    </w:p>
    <w:p>
      <w:pPr>
        <w:adjustRightInd w:val="0"/>
        <w:snapToGrid w:val="0"/>
        <w:spacing w:line="400" w:lineRule="exact"/>
        <w:ind w:firstLine="480" w:firstLineChars="200"/>
        <w:contextualSpacing/>
        <w:rPr>
          <w:rFonts w:ascii="宋体" w:hAnsi="宋体"/>
          <w:sz w:val="24"/>
        </w:rPr>
      </w:pPr>
      <w:r>
        <w:rPr>
          <w:rFonts w:hint="eastAsia" w:ascii="宋体" w:hAnsi="宋体"/>
          <w:sz w:val="24"/>
          <w:lang w:val="en-US" w:eastAsia="zh-CN"/>
        </w:rPr>
        <w:t>4.</w:t>
      </w:r>
      <w:r>
        <w:rPr>
          <w:rFonts w:hint="eastAsia" w:ascii="宋体" w:hAnsi="宋体"/>
          <w:sz w:val="24"/>
        </w:rPr>
        <w:t>乙方未按照约定及时上门收取回收物品影响甲方正常工作秩序，情节严重的或达到3次以上；</w:t>
      </w:r>
    </w:p>
    <w:p>
      <w:pPr>
        <w:adjustRightInd w:val="0"/>
        <w:snapToGrid w:val="0"/>
        <w:spacing w:line="400" w:lineRule="exact"/>
        <w:ind w:firstLine="480" w:firstLineChars="200"/>
        <w:contextualSpacing/>
        <w:rPr>
          <w:rFonts w:ascii="宋体" w:hAnsi="宋体"/>
          <w:sz w:val="24"/>
        </w:rPr>
      </w:pPr>
      <w:r>
        <w:rPr>
          <w:rFonts w:hint="eastAsia" w:ascii="宋体" w:hAnsi="宋体"/>
          <w:sz w:val="24"/>
          <w:lang w:val="en-US" w:eastAsia="zh-CN"/>
        </w:rPr>
        <w:t>5.</w:t>
      </w:r>
      <w:r>
        <w:rPr>
          <w:rFonts w:hint="eastAsia" w:ascii="宋体" w:hAnsi="宋体"/>
          <w:sz w:val="24"/>
        </w:rPr>
        <w:t>根据法律法规和相关行政部门政策规定和通知要求，不能继续履行协议的。</w:t>
      </w:r>
    </w:p>
    <w:p>
      <w:pPr>
        <w:keepNext w:val="0"/>
        <w:keepLines w:val="0"/>
        <w:pageBreakBefore w:val="0"/>
        <w:kinsoku/>
        <w:wordWrap/>
        <w:overflowPunct/>
        <w:topLinePunct w:val="0"/>
        <w:autoSpaceDE/>
        <w:autoSpaceDN/>
        <w:bidi w:val="0"/>
        <w:adjustRightInd w:val="0"/>
        <w:snapToGrid w:val="0"/>
        <w:spacing w:line="340" w:lineRule="exact"/>
        <w:ind w:firstLine="482" w:firstLineChars="200"/>
        <w:textAlignment w:val="auto"/>
        <w:rPr>
          <w:rFonts w:ascii="宋体" w:hAnsi="宋体" w:cs="宋体"/>
          <w:b/>
          <w:bCs/>
          <w:sz w:val="24"/>
        </w:rPr>
      </w:pPr>
    </w:p>
    <w:p>
      <w:pPr>
        <w:pStyle w:val="2"/>
        <w:rPr>
          <w:rFonts w:hint="eastAsia"/>
          <w:lang w:eastAsia="zh-CN"/>
        </w:rPr>
      </w:pPr>
    </w:p>
    <w:p>
      <w:pPr>
        <w:pStyle w:val="15"/>
        <w:ind w:left="0" w:leftChars="0" w:firstLine="0" w:firstLineChars="0"/>
      </w:pPr>
    </w:p>
    <w:p>
      <w:pPr>
        <w:adjustRightInd w:val="0"/>
        <w:snapToGrid w:val="0"/>
        <w:spacing w:line="440" w:lineRule="exact"/>
        <w:ind w:right="53" w:rightChars="25"/>
        <w:contextualSpacing/>
        <w:rPr>
          <w:rFonts w:ascii="宋体" w:hAnsi="宋体"/>
          <w:kern w:val="20"/>
          <w:sz w:val="24"/>
        </w:rPr>
      </w:pPr>
      <w:r>
        <w:rPr>
          <w:rFonts w:hint="eastAsia" w:ascii="宋体" w:hAnsi="宋体"/>
          <w:kern w:val="20"/>
          <w:sz w:val="24"/>
        </w:rPr>
        <w:t>甲方：（盖章）</w:t>
      </w:r>
      <w:r>
        <w:rPr>
          <w:rFonts w:hint="eastAsia" w:ascii="宋体" w:hAnsi="宋体"/>
          <w:b/>
          <w:kern w:val="20"/>
          <w:sz w:val="24"/>
        </w:rPr>
        <w:t>扬州大学附属医院</w:t>
      </w:r>
      <w:r>
        <w:rPr>
          <w:rFonts w:hint="eastAsia" w:ascii="宋体" w:hAnsi="宋体"/>
          <w:b/>
          <w:kern w:val="20"/>
          <w:sz w:val="24"/>
          <w:lang w:val="en-US" w:eastAsia="zh-CN"/>
        </w:rPr>
        <w:t xml:space="preserve">采购中心 </w:t>
      </w:r>
      <w:r>
        <w:rPr>
          <w:rFonts w:hint="eastAsia" w:ascii="宋体" w:hAnsi="宋体"/>
          <w:kern w:val="20"/>
          <w:sz w:val="24"/>
        </w:rPr>
        <w:t>乙方：（盖章）</w:t>
      </w:r>
    </w:p>
    <w:p>
      <w:pPr>
        <w:spacing w:line="440" w:lineRule="exact"/>
        <w:rPr>
          <w:rFonts w:ascii="宋体" w:hAnsi="宋体"/>
          <w:kern w:val="20"/>
          <w:sz w:val="24"/>
        </w:rPr>
      </w:pPr>
      <w:r>
        <w:rPr>
          <w:rFonts w:hint="eastAsia" w:ascii="宋体" w:hAnsi="宋体"/>
          <w:kern w:val="20"/>
          <w:sz w:val="24"/>
        </w:rPr>
        <w:t xml:space="preserve">法定代表人：                       </w:t>
      </w:r>
      <w:r>
        <w:rPr>
          <w:rFonts w:hint="eastAsia" w:ascii="宋体" w:hAnsi="宋体"/>
          <w:kern w:val="20"/>
          <w:sz w:val="24"/>
          <w:lang w:val="en-US" w:eastAsia="zh-CN"/>
        </w:rPr>
        <w:t xml:space="preserve">   </w:t>
      </w:r>
      <w:r>
        <w:rPr>
          <w:rFonts w:hint="eastAsia" w:ascii="宋体" w:hAnsi="宋体"/>
          <w:kern w:val="20"/>
          <w:sz w:val="24"/>
        </w:rPr>
        <w:t>法定代表人：</w:t>
      </w:r>
    </w:p>
    <w:p>
      <w:pPr>
        <w:spacing w:line="440" w:lineRule="exact"/>
        <w:rPr>
          <w:rFonts w:ascii="宋体" w:hAnsi="宋体"/>
          <w:kern w:val="20"/>
          <w:sz w:val="24"/>
        </w:rPr>
      </w:pPr>
      <w:r>
        <w:rPr>
          <w:rFonts w:hint="eastAsia" w:ascii="宋体" w:hAnsi="宋体"/>
          <w:kern w:val="20"/>
          <w:sz w:val="24"/>
        </w:rPr>
        <w:t xml:space="preserve">或授权代表：                       </w:t>
      </w:r>
      <w:r>
        <w:rPr>
          <w:rFonts w:hint="eastAsia" w:ascii="宋体" w:hAnsi="宋体"/>
          <w:kern w:val="20"/>
          <w:sz w:val="24"/>
          <w:lang w:val="en-US" w:eastAsia="zh-CN"/>
        </w:rPr>
        <w:t xml:space="preserve">   </w:t>
      </w:r>
      <w:r>
        <w:rPr>
          <w:rFonts w:hint="eastAsia" w:ascii="宋体" w:hAnsi="宋体"/>
          <w:kern w:val="20"/>
          <w:sz w:val="24"/>
        </w:rPr>
        <w:t>或授权代表：</w:t>
      </w:r>
    </w:p>
    <w:p>
      <w:pPr>
        <w:spacing w:line="440" w:lineRule="exact"/>
        <w:rPr>
          <w:rFonts w:ascii="宋体" w:hAnsi="宋体"/>
          <w:kern w:val="20"/>
          <w:sz w:val="24"/>
        </w:rPr>
      </w:pPr>
      <w:r>
        <w:rPr>
          <w:rFonts w:hint="eastAsia" w:ascii="宋体" w:hAnsi="宋体"/>
          <w:kern w:val="20"/>
          <w:sz w:val="24"/>
        </w:rPr>
        <w:t xml:space="preserve">电    话：                         </w:t>
      </w:r>
      <w:r>
        <w:rPr>
          <w:rFonts w:hint="eastAsia" w:ascii="宋体" w:hAnsi="宋体"/>
          <w:kern w:val="20"/>
          <w:sz w:val="24"/>
          <w:lang w:val="en-US" w:eastAsia="zh-CN"/>
        </w:rPr>
        <w:t xml:space="preserve">   </w:t>
      </w:r>
      <w:r>
        <w:rPr>
          <w:rFonts w:hint="eastAsia" w:ascii="宋体" w:hAnsi="宋体"/>
          <w:kern w:val="20"/>
          <w:sz w:val="24"/>
        </w:rPr>
        <w:t>电    话：</w:t>
      </w:r>
    </w:p>
    <w:p>
      <w:pPr>
        <w:spacing w:line="440" w:lineRule="exact"/>
        <w:rPr>
          <w:rFonts w:ascii="宋体" w:hAnsi="宋体"/>
          <w:kern w:val="20"/>
          <w:sz w:val="24"/>
        </w:rPr>
      </w:pPr>
      <w:r>
        <w:rPr>
          <w:rFonts w:hint="eastAsia" w:ascii="宋体" w:hAnsi="宋体"/>
          <w:kern w:val="20"/>
          <w:sz w:val="24"/>
        </w:rPr>
        <w:t xml:space="preserve">开户银行：                         </w:t>
      </w:r>
      <w:r>
        <w:rPr>
          <w:rFonts w:hint="eastAsia" w:ascii="宋体" w:hAnsi="宋体"/>
          <w:kern w:val="20"/>
          <w:sz w:val="24"/>
          <w:lang w:val="en-US" w:eastAsia="zh-CN"/>
        </w:rPr>
        <w:t xml:space="preserve">   </w:t>
      </w:r>
      <w:r>
        <w:rPr>
          <w:rFonts w:hint="eastAsia" w:ascii="宋体" w:hAnsi="宋体"/>
          <w:kern w:val="20"/>
          <w:sz w:val="24"/>
        </w:rPr>
        <w:t>开户银行：</w:t>
      </w:r>
    </w:p>
    <w:p>
      <w:pPr>
        <w:spacing w:line="440" w:lineRule="exact"/>
        <w:rPr>
          <w:rFonts w:ascii="宋体" w:hAnsi="宋体"/>
          <w:kern w:val="20"/>
          <w:sz w:val="24"/>
        </w:rPr>
      </w:pPr>
      <w:r>
        <w:rPr>
          <w:rFonts w:hint="eastAsia" w:ascii="宋体" w:hAnsi="宋体"/>
          <w:kern w:val="20"/>
          <w:sz w:val="24"/>
        </w:rPr>
        <w:t xml:space="preserve">帐    号：                        </w:t>
      </w:r>
      <w:r>
        <w:rPr>
          <w:rFonts w:hint="eastAsia" w:ascii="宋体" w:hAnsi="宋体"/>
          <w:kern w:val="20"/>
          <w:sz w:val="24"/>
          <w:lang w:val="en-US" w:eastAsia="zh-CN"/>
        </w:rPr>
        <w:t xml:space="preserve">   </w:t>
      </w:r>
      <w:r>
        <w:rPr>
          <w:rFonts w:hint="eastAsia" w:ascii="宋体" w:hAnsi="宋体"/>
          <w:kern w:val="20"/>
          <w:sz w:val="24"/>
        </w:rPr>
        <w:t xml:space="preserve"> 帐    号：</w:t>
      </w:r>
    </w:p>
    <w:p>
      <w:pPr>
        <w:spacing w:line="440" w:lineRule="exact"/>
        <w:rPr>
          <w:rFonts w:ascii="宋体" w:hAnsi="宋体"/>
          <w:kern w:val="20"/>
          <w:sz w:val="24"/>
        </w:rPr>
      </w:pPr>
      <w:r>
        <w:rPr>
          <w:rFonts w:hint="eastAsia" w:ascii="宋体" w:hAnsi="宋体"/>
          <w:kern w:val="20"/>
          <w:sz w:val="24"/>
        </w:rPr>
        <w:t xml:space="preserve">单位地址：                         </w:t>
      </w:r>
      <w:r>
        <w:rPr>
          <w:rFonts w:hint="eastAsia" w:ascii="宋体" w:hAnsi="宋体"/>
          <w:kern w:val="20"/>
          <w:sz w:val="24"/>
          <w:lang w:val="en-US" w:eastAsia="zh-CN"/>
        </w:rPr>
        <w:t xml:space="preserve">   </w:t>
      </w:r>
      <w:r>
        <w:rPr>
          <w:rFonts w:hint="eastAsia" w:ascii="宋体" w:hAnsi="宋体"/>
          <w:kern w:val="20"/>
          <w:sz w:val="24"/>
        </w:rPr>
        <w:t>单位地址：</w:t>
      </w:r>
    </w:p>
    <w:p>
      <w:pPr>
        <w:spacing w:line="440" w:lineRule="exact"/>
        <w:rPr>
          <w:rFonts w:ascii="宋体" w:hAnsi="宋体"/>
          <w:kern w:val="20"/>
          <w:sz w:val="24"/>
        </w:rPr>
      </w:pPr>
      <w:r>
        <w:rPr>
          <w:rFonts w:hint="eastAsia" w:ascii="宋体" w:hAnsi="宋体"/>
          <w:kern w:val="20"/>
          <w:sz w:val="24"/>
        </w:rPr>
        <w:t>日    期：</w:t>
      </w:r>
      <w:r>
        <w:rPr>
          <w:rFonts w:hint="eastAsia" w:ascii="宋体" w:hAnsi="宋体"/>
          <w:kern w:val="20"/>
          <w:sz w:val="24"/>
          <w:lang w:val="en-US" w:eastAsia="zh-CN"/>
        </w:rPr>
        <w:t>2022</w:t>
      </w:r>
      <w:r>
        <w:rPr>
          <w:rFonts w:hint="eastAsia" w:ascii="宋体" w:hAnsi="宋体"/>
          <w:kern w:val="20"/>
          <w:sz w:val="24"/>
        </w:rPr>
        <w:t xml:space="preserve"> 年</w:t>
      </w:r>
      <w:r>
        <w:rPr>
          <w:rFonts w:hint="eastAsia" w:ascii="宋体" w:hAnsi="宋体"/>
          <w:kern w:val="20"/>
          <w:sz w:val="24"/>
          <w:lang w:val="en-US" w:eastAsia="zh-CN"/>
        </w:rPr>
        <w:t xml:space="preserve">  </w:t>
      </w:r>
      <w:r>
        <w:rPr>
          <w:rFonts w:hint="eastAsia" w:ascii="宋体" w:hAnsi="宋体"/>
          <w:kern w:val="20"/>
          <w:sz w:val="24"/>
        </w:rPr>
        <w:t xml:space="preserve"> 月</w:t>
      </w:r>
      <w:r>
        <w:rPr>
          <w:rFonts w:hint="eastAsia" w:ascii="宋体" w:hAnsi="宋体"/>
          <w:kern w:val="20"/>
          <w:sz w:val="24"/>
          <w:lang w:val="en-US" w:eastAsia="zh-CN"/>
        </w:rPr>
        <w:t xml:space="preserve">    </w:t>
      </w:r>
      <w:r>
        <w:rPr>
          <w:rFonts w:hint="eastAsia" w:ascii="宋体" w:hAnsi="宋体"/>
          <w:kern w:val="20"/>
          <w:sz w:val="24"/>
        </w:rPr>
        <w:t xml:space="preserve">日        </w:t>
      </w:r>
      <w:r>
        <w:rPr>
          <w:rFonts w:hint="eastAsia" w:ascii="宋体" w:hAnsi="宋体"/>
          <w:kern w:val="20"/>
          <w:sz w:val="24"/>
          <w:lang w:val="en-US" w:eastAsia="zh-CN"/>
        </w:rPr>
        <w:t xml:space="preserve">  </w:t>
      </w:r>
      <w:r>
        <w:rPr>
          <w:rFonts w:hint="eastAsia" w:ascii="宋体" w:hAnsi="宋体"/>
          <w:kern w:val="20"/>
          <w:sz w:val="24"/>
        </w:rPr>
        <w:t>日    期：</w:t>
      </w:r>
      <w:r>
        <w:rPr>
          <w:rFonts w:hint="eastAsia" w:ascii="宋体" w:hAnsi="宋体"/>
          <w:kern w:val="20"/>
          <w:sz w:val="24"/>
          <w:lang w:val="en-US" w:eastAsia="zh-CN"/>
        </w:rPr>
        <w:t>2022</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月</w:t>
      </w:r>
      <w:r>
        <w:rPr>
          <w:rFonts w:hint="eastAsia" w:ascii="宋体" w:hAnsi="宋体"/>
          <w:kern w:val="20"/>
          <w:sz w:val="24"/>
          <w:lang w:val="en-US" w:eastAsia="zh-CN"/>
        </w:rPr>
        <w:t xml:space="preserve">    </w:t>
      </w:r>
      <w:r>
        <w:rPr>
          <w:rFonts w:hint="eastAsia" w:ascii="宋体" w:hAnsi="宋体"/>
          <w:kern w:val="20"/>
          <w:sz w:val="24"/>
        </w:rPr>
        <w:t>日</w:t>
      </w:r>
    </w:p>
    <w:p>
      <w:pPr>
        <w:adjustRightInd w:val="0"/>
        <w:spacing w:line="440" w:lineRule="exact"/>
        <w:contextualSpacing/>
        <w:rPr>
          <w:rFonts w:ascii="宋体" w:hAnsi="宋体" w:cs="宋体"/>
          <w:b/>
          <w:color w:val="000000"/>
          <w:kern w:val="0"/>
          <w:sz w:val="24"/>
        </w:rPr>
      </w:pPr>
    </w:p>
    <w:sectPr>
      <w:footerReference r:id="rId3" w:type="default"/>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644848"/>
    <w:multiLevelType w:val="singleLevel"/>
    <w:tmpl w:val="EE644848"/>
    <w:lvl w:ilvl="0" w:tentative="0">
      <w:start w:val="2"/>
      <w:numFmt w:val="decimal"/>
      <w:lvlText w:val="%1."/>
      <w:lvlJc w:val="left"/>
      <w:pPr>
        <w:tabs>
          <w:tab w:val="left" w:pos="312"/>
        </w:tabs>
      </w:pPr>
    </w:lvl>
  </w:abstractNum>
  <w:abstractNum w:abstractNumId="1">
    <w:nsid w:val="FFFFFF83"/>
    <w:multiLevelType w:val="singleLevel"/>
    <w:tmpl w:val="FFFFFF83"/>
    <w:lvl w:ilvl="0" w:tentative="0">
      <w:start w:val="1"/>
      <w:numFmt w:val="bullet"/>
      <w:pStyle w:val="8"/>
      <w:lvlText w:val=""/>
      <w:lvlJc w:val="left"/>
      <w:pPr>
        <w:tabs>
          <w:tab w:val="left" w:pos="780"/>
        </w:tabs>
        <w:ind w:left="780" w:leftChars="200" w:hanging="360" w:hangingChars="20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kMTAyMWIwNGM3MTY4YzI1ODQ1YzE1MTBmYmRlNDgifQ=="/>
  </w:docVars>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34D4BC8"/>
    <w:rsid w:val="046C52C3"/>
    <w:rsid w:val="04E61983"/>
    <w:rsid w:val="04F93EF7"/>
    <w:rsid w:val="053E3F8C"/>
    <w:rsid w:val="06477EC8"/>
    <w:rsid w:val="06835001"/>
    <w:rsid w:val="07CD3AA2"/>
    <w:rsid w:val="0907213E"/>
    <w:rsid w:val="0BE47D69"/>
    <w:rsid w:val="0C067990"/>
    <w:rsid w:val="0C4A2728"/>
    <w:rsid w:val="0CF140C8"/>
    <w:rsid w:val="0D2E16CF"/>
    <w:rsid w:val="0D4515B4"/>
    <w:rsid w:val="0E126F52"/>
    <w:rsid w:val="0E2A13BF"/>
    <w:rsid w:val="0EE42777"/>
    <w:rsid w:val="0F3D0F52"/>
    <w:rsid w:val="0FBE0778"/>
    <w:rsid w:val="110961DE"/>
    <w:rsid w:val="15D76399"/>
    <w:rsid w:val="172469D5"/>
    <w:rsid w:val="17407202"/>
    <w:rsid w:val="186D5CBC"/>
    <w:rsid w:val="19826916"/>
    <w:rsid w:val="1A965BFC"/>
    <w:rsid w:val="1C94789B"/>
    <w:rsid w:val="1D762024"/>
    <w:rsid w:val="1E525F06"/>
    <w:rsid w:val="1EAC0AAC"/>
    <w:rsid w:val="1FF236E2"/>
    <w:rsid w:val="205648A9"/>
    <w:rsid w:val="21C93434"/>
    <w:rsid w:val="22EC14F1"/>
    <w:rsid w:val="23735059"/>
    <w:rsid w:val="2466755A"/>
    <w:rsid w:val="24782FEE"/>
    <w:rsid w:val="265C52E6"/>
    <w:rsid w:val="270244AF"/>
    <w:rsid w:val="279829B9"/>
    <w:rsid w:val="28795CAE"/>
    <w:rsid w:val="2881351F"/>
    <w:rsid w:val="28CF6D5C"/>
    <w:rsid w:val="28D728FE"/>
    <w:rsid w:val="290E1224"/>
    <w:rsid w:val="2A6C65F7"/>
    <w:rsid w:val="2AA6133D"/>
    <w:rsid w:val="2BCB5B07"/>
    <w:rsid w:val="2DF86008"/>
    <w:rsid w:val="2E026BA2"/>
    <w:rsid w:val="2E08764D"/>
    <w:rsid w:val="2E9C7F46"/>
    <w:rsid w:val="2EE7735A"/>
    <w:rsid w:val="2F716810"/>
    <w:rsid w:val="2F877A0A"/>
    <w:rsid w:val="30DF7E8F"/>
    <w:rsid w:val="318E7998"/>
    <w:rsid w:val="32542738"/>
    <w:rsid w:val="349B0B50"/>
    <w:rsid w:val="357D00D7"/>
    <w:rsid w:val="375A406B"/>
    <w:rsid w:val="395873E0"/>
    <w:rsid w:val="398427FF"/>
    <w:rsid w:val="3B6B7997"/>
    <w:rsid w:val="3C7E55A0"/>
    <w:rsid w:val="3C7E7E4D"/>
    <w:rsid w:val="3D920AB3"/>
    <w:rsid w:val="3E4F54B3"/>
    <w:rsid w:val="3EA006FD"/>
    <w:rsid w:val="406A6438"/>
    <w:rsid w:val="40C726B4"/>
    <w:rsid w:val="40D33B50"/>
    <w:rsid w:val="40D672C6"/>
    <w:rsid w:val="424B0DFC"/>
    <w:rsid w:val="43F56786"/>
    <w:rsid w:val="45977351"/>
    <w:rsid w:val="45F42EB8"/>
    <w:rsid w:val="46056344"/>
    <w:rsid w:val="467B4C8A"/>
    <w:rsid w:val="48B5696C"/>
    <w:rsid w:val="49452500"/>
    <w:rsid w:val="49886E6B"/>
    <w:rsid w:val="49AC543C"/>
    <w:rsid w:val="4ACD2A51"/>
    <w:rsid w:val="4B4053E3"/>
    <w:rsid w:val="4B8D08A2"/>
    <w:rsid w:val="4BD6274F"/>
    <w:rsid w:val="4BF10B67"/>
    <w:rsid w:val="4C2279B2"/>
    <w:rsid w:val="4C472E7D"/>
    <w:rsid w:val="4CB85CB5"/>
    <w:rsid w:val="4CEA2898"/>
    <w:rsid w:val="4E295D4C"/>
    <w:rsid w:val="4F717F10"/>
    <w:rsid w:val="501519DD"/>
    <w:rsid w:val="507C6263"/>
    <w:rsid w:val="508A0E56"/>
    <w:rsid w:val="510F701A"/>
    <w:rsid w:val="51673008"/>
    <w:rsid w:val="5199638E"/>
    <w:rsid w:val="51BD509B"/>
    <w:rsid w:val="537760B9"/>
    <w:rsid w:val="54AC3518"/>
    <w:rsid w:val="560560AD"/>
    <w:rsid w:val="56410E61"/>
    <w:rsid w:val="56DD7AA5"/>
    <w:rsid w:val="57DA3AB3"/>
    <w:rsid w:val="58A415C5"/>
    <w:rsid w:val="591C0A3A"/>
    <w:rsid w:val="5B063544"/>
    <w:rsid w:val="5B3A3011"/>
    <w:rsid w:val="5BD053AF"/>
    <w:rsid w:val="5BE11FCF"/>
    <w:rsid w:val="5C3E22E0"/>
    <w:rsid w:val="5C5B5AEA"/>
    <w:rsid w:val="5C63055C"/>
    <w:rsid w:val="5C936A98"/>
    <w:rsid w:val="5C9D5DDF"/>
    <w:rsid w:val="5CA1516C"/>
    <w:rsid w:val="5CA23409"/>
    <w:rsid w:val="5CDB0A62"/>
    <w:rsid w:val="5D4A6EAE"/>
    <w:rsid w:val="5D9E4640"/>
    <w:rsid w:val="5E584ED9"/>
    <w:rsid w:val="5F190C7E"/>
    <w:rsid w:val="5FC15AD2"/>
    <w:rsid w:val="60186A28"/>
    <w:rsid w:val="60446E43"/>
    <w:rsid w:val="60DB4EA5"/>
    <w:rsid w:val="612E05C2"/>
    <w:rsid w:val="616C3D5B"/>
    <w:rsid w:val="61806483"/>
    <w:rsid w:val="619072D4"/>
    <w:rsid w:val="61F801D2"/>
    <w:rsid w:val="62422129"/>
    <w:rsid w:val="626E3CB0"/>
    <w:rsid w:val="63473929"/>
    <w:rsid w:val="65A7713A"/>
    <w:rsid w:val="65F2258C"/>
    <w:rsid w:val="66A07C1E"/>
    <w:rsid w:val="66AF19DA"/>
    <w:rsid w:val="6710513C"/>
    <w:rsid w:val="675A5AE8"/>
    <w:rsid w:val="677A6507"/>
    <w:rsid w:val="6D633984"/>
    <w:rsid w:val="6DF60098"/>
    <w:rsid w:val="6E1F0C2D"/>
    <w:rsid w:val="708C2B36"/>
    <w:rsid w:val="70903D33"/>
    <w:rsid w:val="70952B65"/>
    <w:rsid w:val="70C57A02"/>
    <w:rsid w:val="70DB38A7"/>
    <w:rsid w:val="70FE780D"/>
    <w:rsid w:val="71D1780D"/>
    <w:rsid w:val="71DC1AE4"/>
    <w:rsid w:val="72217603"/>
    <w:rsid w:val="72487296"/>
    <w:rsid w:val="7282207E"/>
    <w:rsid w:val="73AD596A"/>
    <w:rsid w:val="741C305C"/>
    <w:rsid w:val="74226CB9"/>
    <w:rsid w:val="75006B73"/>
    <w:rsid w:val="764E69E8"/>
    <w:rsid w:val="7787662E"/>
    <w:rsid w:val="77F20BEE"/>
    <w:rsid w:val="79AC4BB9"/>
    <w:rsid w:val="79CC0928"/>
    <w:rsid w:val="7ABB1C53"/>
    <w:rsid w:val="7BF34C08"/>
    <w:rsid w:val="7C6460D0"/>
    <w:rsid w:val="7E4401E2"/>
    <w:rsid w:val="7ECF0FC0"/>
    <w:rsid w:val="7ED51940"/>
    <w:rsid w:val="7F507BB1"/>
    <w:rsid w:val="7F743153"/>
    <w:rsid w:val="7F944C3C"/>
    <w:rsid w:val="7F9B492C"/>
    <w:rsid w:val="7FA46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rPr>
      <w:rFonts w:ascii="楷体_GB2312" w:hAnsi="Arial" w:eastAsia="楷体_GB2312"/>
      <w:kern w:val="0"/>
      <w:sz w:val="28"/>
      <w:szCs w:val="28"/>
    </w:rPr>
  </w:style>
  <w:style w:type="paragraph" w:styleId="3">
    <w:name w:val="Body Text 3"/>
    <w:basedOn w:val="1"/>
    <w:next w:val="1"/>
    <w:qFormat/>
    <w:uiPriority w:val="0"/>
    <w:pPr>
      <w:spacing w:after="120" w:afterLines="0"/>
    </w:pPr>
    <w:rPr>
      <w:sz w:val="16"/>
      <w:szCs w:val="16"/>
    </w:rPr>
  </w:style>
  <w:style w:type="paragraph" w:styleId="4">
    <w:name w:val="table of authorities"/>
    <w:basedOn w:val="1"/>
    <w:next w:val="1"/>
    <w:qFormat/>
    <w:uiPriority w:val="0"/>
    <w:pPr>
      <w:ind w:left="420" w:leftChars="200"/>
    </w:pPr>
  </w:style>
  <w:style w:type="paragraph" w:styleId="5">
    <w:name w:val="Normal Indent"/>
    <w:basedOn w:val="1"/>
    <w:link w:val="31"/>
    <w:unhideWhenUsed/>
    <w:qFormat/>
    <w:uiPriority w:val="0"/>
    <w:pPr>
      <w:ind w:firstLine="420" w:firstLineChars="200"/>
    </w:pPr>
  </w:style>
  <w:style w:type="paragraph" w:styleId="6">
    <w:name w:val="annotation text"/>
    <w:basedOn w:val="1"/>
    <w:semiHidden/>
    <w:unhideWhenUsed/>
    <w:qFormat/>
    <w:uiPriority w:val="99"/>
    <w:pPr>
      <w:jc w:val="left"/>
    </w:pPr>
  </w:style>
  <w:style w:type="paragraph" w:styleId="7">
    <w:name w:val="Body Text Indent"/>
    <w:basedOn w:val="1"/>
    <w:qFormat/>
    <w:uiPriority w:val="0"/>
    <w:pPr>
      <w:ind w:firstLine="576"/>
    </w:pPr>
    <w:rPr>
      <w:b/>
      <w:sz w:val="30"/>
    </w:rPr>
  </w:style>
  <w:style w:type="paragraph" w:styleId="8">
    <w:name w:val="List Bullet 2"/>
    <w:basedOn w:val="1"/>
    <w:unhideWhenUsed/>
    <w:qFormat/>
    <w:uiPriority w:val="0"/>
    <w:pPr>
      <w:numPr>
        <w:ilvl w:val="0"/>
        <w:numId w:val="1"/>
      </w:numPr>
      <w:contextualSpacing/>
    </w:pPr>
    <w:rPr>
      <w:rFonts w:ascii="Calibri" w:hAnsi="Calibri"/>
    </w:rPr>
  </w:style>
  <w:style w:type="paragraph" w:styleId="9">
    <w:name w:val="Plain Text"/>
    <w:basedOn w:val="1"/>
    <w:link w:val="26"/>
    <w:qFormat/>
    <w:uiPriority w:val="99"/>
    <w:rPr>
      <w:rFonts w:ascii="宋体" w:hAnsi="Courier New"/>
      <w:szCs w:val="20"/>
    </w:rPr>
  </w:style>
  <w:style w:type="paragraph" w:styleId="10">
    <w:name w:val="Balloon Text"/>
    <w:basedOn w:val="1"/>
    <w:link w:val="25"/>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28"/>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5">
    <w:name w:val="Body Text First Indent 2"/>
    <w:basedOn w:val="7"/>
    <w:qFormat/>
    <w:uiPriority w:val="0"/>
    <w:pPr>
      <w:ind w:firstLine="420"/>
    </w:p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semiHidden/>
    <w:unhideWhenUsed/>
    <w:qFormat/>
    <w:uiPriority w:val="99"/>
    <w:rPr>
      <w:color w:val="222222"/>
      <w:u w:val="none"/>
    </w:rPr>
  </w:style>
  <w:style w:type="character" w:styleId="20">
    <w:name w:val="Hyperlink"/>
    <w:basedOn w:val="18"/>
    <w:unhideWhenUsed/>
    <w:qFormat/>
    <w:uiPriority w:val="99"/>
    <w:rPr>
      <w:color w:val="0000FF" w:themeColor="hyperlink"/>
      <w:u w:val="single"/>
    </w:rPr>
  </w:style>
  <w:style w:type="paragraph" w:customStyle="1" w:styleId="21">
    <w:name w:val="正文（缩进）"/>
    <w:basedOn w:val="1"/>
    <w:qFormat/>
    <w:uiPriority w:val="0"/>
    <w:pPr>
      <w:ind w:firstLine="480" w:firstLineChars="200"/>
    </w:pPr>
  </w:style>
  <w:style w:type="paragraph" w:customStyle="1" w:styleId="22">
    <w:name w:val="Normal_0"/>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3">
    <w:name w:val="页眉 Char"/>
    <w:basedOn w:val="18"/>
    <w:link w:val="12"/>
    <w:semiHidden/>
    <w:qFormat/>
    <w:uiPriority w:val="99"/>
    <w:rPr>
      <w:rFonts w:eastAsia="宋体"/>
      <w:kern w:val="2"/>
      <w:sz w:val="18"/>
      <w:szCs w:val="18"/>
    </w:rPr>
  </w:style>
  <w:style w:type="character" w:customStyle="1" w:styleId="24">
    <w:name w:val="页脚 Char"/>
    <w:basedOn w:val="18"/>
    <w:link w:val="11"/>
    <w:semiHidden/>
    <w:qFormat/>
    <w:uiPriority w:val="99"/>
    <w:rPr>
      <w:rFonts w:eastAsia="宋体"/>
      <w:kern w:val="2"/>
      <w:sz w:val="18"/>
      <w:szCs w:val="18"/>
    </w:rPr>
  </w:style>
  <w:style w:type="character" w:customStyle="1" w:styleId="25">
    <w:name w:val="批注框文本 Char"/>
    <w:basedOn w:val="18"/>
    <w:link w:val="10"/>
    <w:semiHidden/>
    <w:qFormat/>
    <w:uiPriority w:val="99"/>
    <w:rPr>
      <w:rFonts w:eastAsia="宋体"/>
      <w:kern w:val="2"/>
      <w:sz w:val="18"/>
      <w:szCs w:val="18"/>
    </w:rPr>
  </w:style>
  <w:style w:type="character" w:customStyle="1" w:styleId="26">
    <w:name w:val="纯文本 Char"/>
    <w:basedOn w:val="18"/>
    <w:link w:val="9"/>
    <w:qFormat/>
    <w:uiPriority w:val="99"/>
    <w:rPr>
      <w:rFonts w:ascii="宋体" w:hAnsi="Courier New" w:eastAsia="宋体"/>
      <w:kern w:val="2"/>
      <w:sz w:val="21"/>
    </w:rPr>
  </w:style>
  <w:style w:type="character" w:customStyle="1" w:styleId="27">
    <w:name w:val="副标题 Char"/>
    <w:qFormat/>
    <w:uiPriority w:val="0"/>
    <w:rPr>
      <w:rFonts w:ascii="Cambria" w:hAnsi="Cambria"/>
      <w:b/>
      <w:bCs/>
      <w:kern w:val="28"/>
      <w:sz w:val="32"/>
      <w:szCs w:val="32"/>
    </w:rPr>
  </w:style>
  <w:style w:type="character" w:customStyle="1" w:styleId="28">
    <w:name w:val="副标题 Char1"/>
    <w:basedOn w:val="18"/>
    <w:link w:val="13"/>
    <w:qFormat/>
    <w:uiPriority w:val="0"/>
    <w:rPr>
      <w:rFonts w:eastAsia="宋体" w:asciiTheme="majorHAnsi" w:hAnsiTheme="majorHAnsi" w:cstheme="majorBidi"/>
      <w:b/>
      <w:bCs/>
      <w:kern w:val="28"/>
      <w:sz w:val="32"/>
      <w:szCs w:val="32"/>
    </w:rPr>
  </w:style>
  <w:style w:type="paragraph" w:styleId="29">
    <w:name w:val="List Paragraph"/>
    <w:basedOn w:val="1"/>
    <w:unhideWhenUsed/>
    <w:qFormat/>
    <w:uiPriority w:val="99"/>
    <w:pPr>
      <w:ind w:firstLine="420" w:firstLineChars="200"/>
    </w:pPr>
  </w:style>
  <w:style w:type="paragraph" w:customStyle="1" w:styleId="30">
    <w:name w:val="普通文字"/>
    <w:basedOn w:val="1"/>
    <w:next w:val="1"/>
    <w:qFormat/>
    <w:uiPriority w:val="0"/>
    <w:rPr>
      <w:rFonts w:ascii="宋体"/>
      <w:kern w:val="0"/>
      <w:sz w:val="24"/>
      <w:u w:color="000000"/>
    </w:rPr>
  </w:style>
  <w:style w:type="character" w:customStyle="1" w:styleId="31">
    <w:name w:val="正文缩进 Char"/>
    <w:link w:val="5"/>
    <w:qFormat/>
    <w:uiPriority w:val="0"/>
    <w:rPr>
      <w:kern w:val="2"/>
      <w:sz w:val="21"/>
      <w:szCs w:val="24"/>
    </w:rPr>
  </w:style>
  <w:style w:type="character" w:customStyle="1" w:styleId="32">
    <w:name w:val="NormalCharacter"/>
    <w:qFormat/>
    <w:uiPriority w:val="0"/>
  </w:style>
  <w:style w:type="character" w:customStyle="1" w:styleId="33">
    <w:name w:val="font11"/>
    <w:basedOn w:val="18"/>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5709</Words>
  <Characters>6293</Characters>
  <Lines>70</Lines>
  <Paragraphs>19</Paragraphs>
  <TotalTime>4</TotalTime>
  <ScaleCrop>false</ScaleCrop>
  <LinksUpToDate>false</LinksUpToDate>
  <CharactersWithSpaces>6941</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2022-12-01T07:10:03Z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A1DAC28A50F347B68D0C2A2E30B9C7D5</vt:lpwstr>
  </property>
</Properties>
</file>