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highlight w:val="none"/>
        </w:rPr>
      </w:pPr>
      <w:r>
        <w:rPr>
          <w:rFonts w:hint="eastAsia" w:ascii="宋体" w:hAnsi="宋体" w:cs="宋体"/>
          <w:b/>
          <w:snapToGrid w:val="0"/>
          <w:kern w:val="0"/>
          <w:sz w:val="32"/>
          <w:szCs w:val="32"/>
          <w:highlight w:val="none"/>
        </w:rPr>
        <w:t>YDFYXJ-</w:t>
      </w:r>
      <w:r>
        <w:rPr>
          <w:rFonts w:hint="eastAsia" w:ascii="宋体" w:hAnsi="宋体" w:cs="宋体"/>
          <w:b/>
          <w:snapToGrid w:val="0"/>
          <w:kern w:val="0"/>
          <w:sz w:val="32"/>
          <w:szCs w:val="32"/>
          <w:highlight w:val="none"/>
          <w:lang w:eastAsia="zh-CN"/>
        </w:rPr>
        <w:t>20221105</w:t>
      </w:r>
      <w:r>
        <w:rPr>
          <w:rFonts w:hint="eastAsia" w:ascii="宋体" w:hAnsi="宋体" w:cs="宋体"/>
          <w:b/>
          <w:snapToGrid w:val="0"/>
          <w:kern w:val="0"/>
          <w:sz w:val="32"/>
          <w:szCs w:val="32"/>
          <w:highlight w:val="none"/>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36"/>
          <w:szCs w:val="36"/>
        </w:rPr>
      </w:pPr>
      <w:r>
        <w:rPr>
          <w:rFonts w:hint="eastAsia"/>
          <w:b/>
          <w:sz w:val="36"/>
          <w:szCs w:val="36"/>
        </w:rPr>
        <w:t>扬州大学附属医院</w:t>
      </w:r>
    </w:p>
    <w:p>
      <w:pPr>
        <w:adjustRightInd w:val="0"/>
        <w:snapToGrid w:val="0"/>
        <w:spacing w:line="800" w:lineRule="exact"/>
        <w:contextualSpacing/>
        <w:jc w:val="center"/>
        <w:rPr>
          <w:rFonts w:hint="eastAsia" w:ascii="宋体" w:hAnsi="宋体" w:cs="宋体"/>
          <w:b/>
          <w:snapToGrid w:val="0"/>
          <w:kern w:val="0"/>
          <w:sz w:val="28"/>
          <w:szCs w:val="28"/>
          <w:highlight w:val="none"/>
          <w:lang w:val="en-US" w:eastAsia="zh-CN"/>
        </w:rPr>
      </w:pPr>
      <w:r>
        <w:rPr>
          <w:rFonts w:hint="eastAsia" w:ascii="宋体" w:hAnsi="宋体" w:cs="宋体"/>
          <w:b/>
          <w:snapToGrid w:val="0"/>
          <w:kern w:val="0"/>
          <w:sz w:val="28"/>
          <w:szCs w:val="28"/>
          <w:highlight w:val="none"/>
          <w:lang w:val="en-US" w:eastAsia="zh-CN"/>
        </w:rPr>
        <w:t>使用后未被污染一次性输液袋（瓶）、玻璃输液瓶回收处置服务项目（二次）</w:t>
      </w:r>
    </w:p>
    <w:p>
      <w:pPr>
        <w:adjustRightInd w:val="0"/>
        <w:snapToGrid w:val="0"/>
        <w:spacing w:line="800" w:lineRule="exact"/>
        <w:contextualSpacing/>
        <w:jc w:val="center"/>
        <w:rPr>
          <w:b/>
          <w:sz w:val="36"/>
          <w:szCs w:val="36"/>
        </w:rPr>
      </w:pPr>
      <w:r>
        <w:rPr>
          <w:rFonts w:hint="eastAsia"/>
          <w:b/>
          <w:sz w:val="36"/>
          <w:szCs w:val="36"/>
        </w:rPr>
        <w:t>询价文件</w:t>
      </w:r>
    </w:p>
    <w:p>
      <w:pPr>
        <w:pStyle w:val="15"/>
        <w:ind w:firstLine="0"/>
      </w:pPr>
    </w:p>
    <w:p>
      <w:pPr>
        <w:pStyle w:val="15"/>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宋体" w:hAnsi="宋体"/>
          <w:b/>
          <w:bCs/>
          <w:sz w:val="44"/>
          <w:szCs w:val="44"/>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22年</w:t>
      </w:r>
      <w:r>
        <w:rPr>
          <w:rFonts w:hint="eastAsia" w:asciiTheme="minorEastAsia" w:hAnsiTheme="minorEastAsia" w:eastAsiaTheme="minorEastAsia"/>
          <w:b/>
          <w:w w:val="90"/>
          <w:kern w:val="0"/>
          <w:sz w:val="32"/>
          <w:szCs w:val="32"/>
          <w:highlight w:val="none"/>
          <w:lang w:val="en-US" w:eastAsia="zh-CN"/>
        </w:rPr>
        <w:t>12</w:t>
      </w:r>
      <w:r>
        <w:rPr>
          <w:rFonts w:hint="eastAsia" w:asciiTheme="minorEastAsia" w:hAnsiTheme="minorEastAsia" w:eastAsiaTheme="minorEastAsia"/>
          <w:b/>
          <w:w w:val="90"/>
          <w:kern w:val="0"/>
          <w:sz w:val="32"/>
          <w:szCs w:val="32"/>
          <w:highlight w:val="none"/>
        </w:rPr>
        <w:t>月</w:t>
      </w:r>
      <w:r>
        <w:rPr>
          <w:rFonts w:hint="eastAsia" w:asciiTheme="minorEastAsia" w:hAnsiTheme="minorEastAsia" w:eastAsiaTheme="minorEastAsia"/>
          <w:b/>
          <w:w w:val="90"/>
          <w:kern w:val="0"/>
          <w:sz w:val="32"/>
          <w:szCs w:val="32"/>
          <w:highlight w:val="none"/>
          <w:lang w:val="en-US" w:eastAsia="zh-CN"/>
        </w:rPr>
        <w:t>8</w:t>
      </w:r>
      <w:r>
        <w:rPr>
          <w:rFonts w:hint="eastAsia" w:asciiTheme="minorEastAsia" w:hAnsiTheme="minorEastAsia" w:eastAsiaTheme="minorEastAsia"/>
          <w:b/>
          <w:w w:val="90"/>
          <w:kern w:val="0"/>
          <w:sz w:val="32"/>
          <w:szCs w:val="32"/>
          <w:highlight w:val="none"/>
        </w:rPr>
        <w:t>日</w:t>
      </w:r>
      <w:bookmarkEnd w:id="0"/>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使用后未被污染一次性输液袋（瓶）、玻璃输液瓶回收处置服务项目（二次）</w:t>
      </w:r>
      <w:r>
        <w:rPr>
          <w:rFonts w:hint="eastAsia" w:ascii="宋体" w:hAnsi="宋体" w:cs="宋体"/>
          <w:snapToGrid w:val="0"/>
          <w:kern w:val="0"/>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20221105</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使用后未被污染一次性输液袋（瓶）、玻璃输液瓶回收处置服务项目（二次）</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2.项目地点：扬州大学附属医院(东西区两个院区及所属区域)</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w:t>
      </w:r>
      <w:r>
        <w:rPr>
          <w:rFonts w:hint="eastAsia" w:ascii="宋体" w:hAnsi="宋体" w:cs="宋体"/>
          <w:snapToGrid w:val="0"/>
          <w:kern w:val="0"/>
          <w:sz w:val="24"/>
          <w:lang w:eastAsia="zh-CN"/>
        </w:rPr>
        <w:t>最低</w:t>
      </w:r>
      <w:r>
        <w:rPr>
          <w:rFonts w:hint="eastAsia" w:ascii="宋体" w:hAnsi="宋体" w:cs="宋体"/>
          <w:snapToGrid w:val="0"/>
          <w:kern w:val="0"/>
          <w:sz w:val="24"/>
        </w:rPr>
        <w:t>限价：</w:t>
      </w:r>
      <w:r>
        <w:rPr>
          <w:rFonts w:hint="eastAsia" w:ascii="宋体" w:hAnsi="宋体" w:cs="宋体"/>
          <w:snapToGrid w:val="0"/>
          <w:kern w:val="0"/>
          <w:sz w:val="24"/>
          <w:highlight w:val="none"/>
          <w:lang w:val="en-US" w:eastAsia="zh-CN"/>
        </w:rPr>
        <w:t>3.96</w:t>
      </w:r>
      <w:r>
        <w:rPr>
          <w:rFonts w:hint="eastAsia" w:ascii="宋体" w:hAnsi="宋体" w:cs="宋体"/>
          <w:snapToGrid w:val="0"/>
          <w:kern w:val="0"/>
          <w:sz w:val="24"/>
          <w:highlight w:val="none"/>
        </w:rPr>
        <w:t>万元，</w:t>
      </w:r>
      <w:r>
        <w:rPr>
          <w:rFonts w:hint="eastAsia" w:ascii="宋体" w:hAnsi="宋体" w:cs="宋体"/>
          <w:snapToGrid w:val="0"/>
          <w:kern w:val="0"/>
          <w:sz w:val="24"/>
        </w:rPr>
        <w:t>投标报价</w:t>
      </w:r>
      <w:r>
        <w:rPr>
          <w:rFonts w:hint="eastAsia" w:ascii="宋体" w:hAnsi="宋体" w:cs="宋体"/>
          <w:snapToGrid w:val="0"/>
          <w:kern w:val="0"/>
          <w:sz w:val="24"/>
          <w:lang w:eastAsia="zh-CN"/>
        </w:rPr>
        <w:t>低于最低</w:t>
      </w:r>
      <w:r>
        <w:rPr>
          <w:rFonts w:hint="eastAsia" w:ascii="宋体" w:hAnsi="宋体" w:cs="宋体"/>
          <w:snapToGrid w:val="0"/>
          <w:kern w:val="0"/>
          <w:sz w:val="24"/>
        </w:rPr>
        <w:t>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2022年</w:t>
      </w:r>
      <w:r>
        <w:rPr>
          <w:rFonts w:hint="eastAsia" w:ascii="宋体" w:hAnsi="宋体"/>
          <w:b/>
          <w:sz w:val="24"/>
          <w:highlight w:val="none"/>
          <w:lang w:val="en-US" w:eastAsia="zh-CN"/>
        </w:rPr>
        <w:t>12</w:t>
      </w:r>
      <w:r>
        <w:rPr>
          <w:rFonts w:hint="eastAsia" w:ascii="宋体" w:hAnsi="宋体"/>
          <w:b/>
          <w:sz w:val="24"/>
          <w:highlight w:val="none"/>
        </w:rPr>
        <w:t>月</w:t>
      </w:r>
      <w:r>
        <w:rPr>
          <w:rFonts w:hint="eastAsia" w:ascii="宋体" w:hAnsi="宋体"/>
          <w:b/>
          <w:sz w:val="24"/>
          <w:highlight w:val="none"/>
          <w:lang w:val="en-US" w:eastAsia="zh-CN"/>
        </w:rPr>
        <w:t>13</w:t>
      </w:r>
      <w:r>
        <w:rPr>
          <w:rFonts w:hint="eastAsia" w:ascii="宋体" w:hAnsi="宋体"/>
          <w:b/>
          <w:sz w:val="24"/>
          <w:highlight w:val="none"/>
        </w:rPr>
        <w:t>日上午10：30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使用后未被污染一次性输液袋（瓶）、玻璃输液瓶回收处置服务项目（二次）</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使用后未被污染一次性输液袋（瓶）、玻璃输液瓶回收处置服务项目（二次）</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w:t>
      </w:r>
      <w:r>
        <w:rPr>
          <w:rFonts w:hint="eastAsia" w:ascii="宋体" w:hAnsi="宋体" w:cs="微软雅黑"/>
          <w:b/>
          <w:bCs/>
          <w:color w:val="000000"/>
          <w:sz w:val="24"/>
          <w:lang w:val="en-US" w:eastAsia="zh-CN"/>
        </w:rPr>
        <w:t>高</w:t>
      </w:r>
      <w:r>
        <w:rPr>
          <w:rFonts w:hint="eastAsia" w:ascii="宋体" w:hAnsi="宋体" w:cs="微软雅黑"/>
          <w:b/>
          <w:bCs/>
          <w:color w:val="000000"/>
          <w:sz w:val="24"/>
        </w:rPr>
        <w:t>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pStyle w:val="14"/>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z w:val="24"/>
        </w:rPr>
        <w:t>每</w:t>
      </w:r>
      <w:r>
        <w:rPr>
          <w:rFonts w:hint="eastAsia" w:cs="宋体"/>
          <w:sz w:val="24"/>
          <w:lang w:val="en-US" w:eastAsia="zh-CN"/>
        </w:rPr>
        <w:t>年的第一个月内支付当年的全部费用</w:t>
      </w:r>
      <w:r>
        <w:rPr>
          <w:rFonts w:hint="eastAsia" w:ascii="宋体" w:hAnsi="宋体" w:cs="宋体"/>
          <w:sz w:val="24"/>
        </w:rPr>
        <w:t>。</w:t>
      </w:r>
      <w:r>
        <w:rPr>
          <w:rFonts w:hint="eastAsia" w:ascii="宋体" w:hAnsi="宋体" w:cs="宋体"/>
          <w:snapToGrid w:val="0"/>
          <w:kern w:val="0"/>
          <w:sz w:val="24"/>
          <w:highlight w:val="none"/>
          <w:lang w:val="en-US" w:eastAsia="zh-CN"/>
        </w:rPr>
        <w:t>（以上均不计息）</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2022年</w:t>
      </w:r>
      <w:r>
        <w:rPr>
          <w:rFonts w:hint="eastAsia" w:cs="微软雅黑"/>
          <w:b/>
          <w:highlight w:val="none"/>
          <w:lang w:val="en-US" w:eastAsia="zh-CN"/>
        </w:rPr>
        <w:t>12</w:t>
      </w:r>
      <w:r>
        <w:rPr>
          <w:rFonts w:hint="eastAsia" w:cs="微软雅黑"/>
          <w:b/>
          <w:highlight w:val="none"/>
        </w:rPr>
        <w:t>月</w:t>
      </w:r>
      <w:r>
        <w:rPr>
          <w:rFonts w:hint="eastAsia" w:cs="微软雅黑"/>
          <w:b/>
          <w:highlight w:val="none"/>
          <w:lang w:val="en-US" w:eastAsia="zh-CN"/>
        </w:rPr>
        <w:t>13</w:t>
      </w:r>
      <w:r>
        <w:rPr>
          <w:rFonts w:hint="eastAsia" w:cs="微软雅黑"/>
          <w:b/>
          <w:highlight w:val="none"/>
        </w:rPr>
        <w:t>日</w:t>
      </w:r>
      <w:r>
        <w:rPr>
          <w:rStyle w:val="32"/>
          <w:b/>
          <w:highlight w:val="none"/>
        </w:rPr>
        <w:t>1</w:t>
      </w:r>
      <w:r>
        <w:rPr>
          <w:rStyle w:val="32"/>
          <w:rFonts w:hint="eastAsia"/>
          <w:b/>
          <w:highlight w:val="none"/>
        </w:rPr>
        <w:t>0</w:t>
      </w:r>
      <w:r>
        <w:rPr>
          <w:rStyle w:val="32"/>
          <w:b/>
          <w:highlight w:val="none"/>
        </w:rPr>
        <w:t>：30</w:t>
      </w:r>
      <w:r>
        <w:rPr>
          <w:rFonts w:hint="eastAsia" w:cs="微软雅黑"/>
          <w:color w:val="000000"/>
          <w:highlight w:val="none"/>
        </w:rPr>
        <w:t>前</w:t>
      </w:r>
      <w:r>
        <w:rPr>
          <w:rStyle w:val="32"/>
          <w:rFonts w:ascii="宋体" w:hAnsi="宋体"/>
          <w:b/>
          <w:sz w:val="24"/>
          <w:highlight w:val="none"/>
        </w:rPr>
        <w:t>（北</w:t>
      </w:r>
      <w:r>
        <w:rPr>
          <w:rStyle w:val="32"/>
          <w:rFonts w:ascii="宋体" w:hAnsi="宋体"/>
          <w:b/>
          <w:color w:val="000000"/>
          <w:sz w:val="24"/>
          <w:highlight w:val="none"/>
        </w:rPr>
        <w:t>京时间）</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w:t>
      </w:r>
      <w:r>
        <w:rPr>
          <w:rFonts w:hint="eastAsia" w:cs="微软雅黑"/>
          <w:color w:val="000000"/>
          <w:lang w:val="en-US" w:eastAsia="zh-CN"/>
        </w:rPr>
        <w:t>西区</w:t>
      </w:r>
      <w:r>
        <w:rPr>
          <w:rFonts w:hint="eastAsia" w:cs="微软雅黑"/>
          <w:color w:val="000000"/>
          <w:lang w:eastAsia="zh-CN"/>
        </w:rPr>
        <w:t>行政楼</w:t>
      </w:r>
      <w:r>
        <w:rPr>
          <w:rFonts w:hint="eastAsia" w:cs="微软雅黑"/>
          <w:color w:val="000000"/>
        </w:rPr>
        <w:t>四楼采购中心405</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2"/>
          <w:rFonts w:ascii="宋体" w:hAnsi="宋体"/>
          <w:sz w:val="24"/>
        </w:rPr>
      </w:pPr>
      <w:r>
        <w:rPr>
          <w:rStyle w:val="32"/>
          <w:rFonts w:hint="eastAsia" w:ascii="宋体" w:hAnsi="宋体"/>
          <w:sz w:val="24"/>
        </w:rPr>
        <w:t>15.</w:t>
      </w:r>
      <w:r>
        <w:rPr>
          <w:rStyle w:val="32"/>
          <w:rFonts w:ascii="宋体" w:hAnsi="宋体"/>
          <w:sz w:val="24"/>
        </w:rPr>
        <w:t>开标有关信息</w:t>
      </w:r>
    </w:p>
    <w:p>
      <w:pPr>
        <w:adjustRightInd w:val="0"/>
        <w:snapToGrid w:val="0"/>
        <w:spacing w:line="420" w:lineRule="exact"/>
        <w:ind w:firstLine="480" w:firstLineChars="200"/>
        <w:contextualSpacing/>
        <w:rPr>
          <w:rStyle w:val="32"/>
          <w:rFonts w:ascii="宋体" w:hAnsi="宋体"/>
          <w:color w:val="000000"/>
          <w:sz w:val="24"/>
        </w:rPr>
      </w:pPr>
      <w:r>
        <w:rPr>
          <w:rStyle w:val="32"/>
          <w:rFonts w:ascii="宋体" w:hAnsi="宋体"/>
          <w:sz w:val="24"/>
        </w:rPr>
        <w:t>开标时间：</w:t>
      </w:r>
      <w:r>
        <w:rPr>
          <w:rStyle w:val="32"/>
          <w:rFonts w:ascii="宋体" w:hAnsi="宋体"/>
          <w:b/>
          <w:sz w:val="24"/>
          <w:highlight w:val="none"/>
        </w:rPr>
        <w:t>202</w:t>
      </w:r>
      <w:r>
        <w:rPr>
          <w:rStyle w:val="32"/>
          <w:rFonts w:hint="eastAsia" w:ascii="宋体" w:hAnsi="宋体"/>
          <w:b/>
          <w:sz w:val="24"/>
          <w:highlight w:val="none"/>
        </w:rPr>
        <w:t>2</w:t>
      </w:r>
      <w:r>
        <w:rPr>
          <w:rStyle w:val="32"/>
          <w:rFonts w:ascii="宋体" w:hAnsi="宋体"/>
          <w:b/>
          <w:sz w:val="24"/>
          <w:highlight w:val="none"/>
        </w:rPr>
        <w:t>年</w:t>
      </w:r>
      <w:r>
        <w:rPr>
          <w:rStyle w:val="32"/>
          <w:rFonts w:hint="eastAsia" w:ascii="宋体" w:hAnsi="宋体"/>
          <w:b/>
          <w:sz w:val="24"/>
          <w:highlight w:val="none"/>
          <w:lang w:val="en-US" w:eastAsia="zh-CN"/>
        </w:rPr>
        <w:t>12</w:t>
      </w:r>
      <w:r>
        <w:rPr>
          <w:rStyle w:val="32"/>
          <w:rFonts w:ascii="宋体" w:hAnsi="宋体"/>
          <w:b/>
          <w:sz w:val="24"/>
          <w:highlight w:val="none"/>
        </w:rPr>
        <w:t>月</w:t>
      </w:r>
      <w:r>
        <w:rPr>
          <w:rStyle w:val="32"/>
          <w:rFonts w:hint="eastAsia" w:ascii="宋体" w:hAnsi="宋体"/>
          <w:b/>
          <w:sz w:val="24"/>
          <w:highlight w:val="none"/>
          <w:lang w:val="en-US" w:eastAsia="zh-CN"/>
        </w:rPr>
        <w:t>13</w:t>
      </w:r>
      <w:r>
        <w:rPr>
          <w:rStyle w:val="32"/>
          <w:rFonts w:ascii="宋体" w:hAnsi="宋体"/>
          <w:b/>
          <w:sz w:val="24"/>
          <w:highlight w:val="none"/>
        </w:rPr>
        <w:t>日1</w:t>
      </w:r>
      <w:r>
        <w:rPr>
          <w:rStyle w:val="32"/>
          <w:rFonts w:hint="eastAsia" w:ascii="宋体" w:hAnsi="宋体"/>
          <w:b/>
          <w:sz w:val="24"/>
          <w:highlight w:val="none"/>
        </w:rPr>
        <w:t>0</w:t>
      </w:r>
      <w:r>
        <w:rPr>
          <w:rStyle w:val="32"/>
          <w:rFonts w:ascii="宋体" w:hAnsi="宋体"/>
          <w:b/>
          <w:sz w:val="24"/>
          <w:highlight w:val="none"/>
        </w:rPr>
        <w:t>：30（北</w:t>
      </w:r>
      <w:r>
        <w:rPr>
          <w:rStyle w:val="32"/>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2022年</w:t>
      </w:r>
      <w:r>
        <w:rPr>
          <w:rFonts w:hint="eastAsia" w:ascii="宋体" w:hAnsi="宋体" w:cs="宋体"/>
          <w:b/>
          <w:snapToGrid w:val="0"/>
          <w:spacing w:val="-4"/>
          <w:kern w:val="0"/>
          <w:sz w:val="24"/>
          <w:highlight w:val="none"/>
          <w:lang w:val="en-US" w:eastAsia="zh-CN"/>
        </w:rPr>
        <w:t>12</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13</w:t>
      </w:r>
      <w:bookmarkStart w:id="4" w:name="_GoBack"/>
      <w:bookmarkEnd w:id="4"/>
      <w:r>
        <w:rPr>
          <w:rFonts w:hint="eastAsia" w:ascii="宋体" w:hAnsi="宋体" w:cs="宋体"/>
          <w:b/>
          <w:snapToGrid w:val="0"/>
          <w:spacing w:val="-4"/>
          <w:kern w:val="0"/>
          <w:sz w:val="24"/>
          <w:highlight w:val="none"/>
        </w:rPr>
        <w:t>日上午10:30</w:t>
      </w:r>
      <w:r>
        <w:rPr>
          <w:rFonts w:hint="eastAsia" w:ascii="宋体" w:hAnsi="宋体" w:cs="宋体"/>
          <w:snapToGrid w:val="0"/>
          <w:spacing w:val="-4"/>
          <w:kern w:val="0"/>
          <w:sz w:val="24"/>
          <w:highlight w:val="none"/>
        </w:rPr>
        <w:t>前</w:t>
      </w:r>
      <w:r>
        <w:rPr>
          <w:rFonts w:hint="eastAsia" w:ascii="宋体" w:hAnsi="宋体" w:cs="宋体"/>
          <w:snapToGrid w:val="0"/>
          <w:spacing w:val="-4"/>
          <w:kern w:val="0"/>
          <w:sz w:val="24"/>
        </w:rPr>
        <w:t>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四楼采购中心405办公室</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jc w:val="both"/>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rPr>
          <w:rFonts w:hint="eastAsia"/>
        </w:r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firstLine="140" w:firstLineChars="58"/>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firstLine="139" w:firstLineChars="58"/>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使用后未被污染一次性输液袋（瓶）、玻璃输液瓶回收处置服务项目（二次）</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rPr>
        <w:t>1.2项目编号：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20221105</w:t>
      </w:r>
      <w:r>
        <w:rPr>
          <w:rFonts w:hint="eastAsia" w:ascii="宋体" w:hAnsi="宋体" w:cs="宋体"/>
          <w:snapToGrid w:val="0"/>
          <w:kern w:val="0"/>
          <w:sz w:val="24"/>
          <w:highlight w:val="none"/>
        </w:rPr>
        <w:t>号</w:t>
      </w:r>
    </w:p>
    <w:p>
      <w:pPr>
        <w:adjustRightInd w:val="0"/>
        <w:snapToGrid w:val="0"/>
        <w:spacing w:line="440" w:lineRule="exact"/>
        <w:ind w:firstLine="139" w:firstLineChars="58"/>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firstLine="139" w:firstLineChars="58"/>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w:t>
      </w:r>
      <w:r>
        <w:rPr>
          <w:rFonts w:hint="eastAsia" w:ascii="宋体" w:hAnsi="宋体" w:cs="宋体"/>
          <w:snapToGrid w:val="0"/>
          <w:kern w:val="0"/>
          <w:sz w:val="24"/>
          <w:highlight w:val="none"/>
          <w:lang w:eastAsia="zh-CN"/>
        </w:rPr>
        <w:t>最低</w:t>
      </w:r>
      <w:r>
        <w:rPr>
          <w:rFonts w:hint="eastAsia" w:ascii="宋体" w:hAnsi="宋体" w:cs="宋体"/>
          <w:snapToGrid w:val="0"/>
          <w:kern w:val="0"/>
          <w:sz w:val="24"/>
          <w:highlight w:val="none"/>
        </w:rPr>
        <w:t>限价：</w:t>
      </w:r>
      <w:r>
        <w:rPr>
          <w:rFonts w:hint="eastAsia" w:ascii="宋体" w:hAnsi="宋体" w:cs="宋体"/>
          <w:snapToGrid w:val="0"/>
          <w:kern w:val="0"/>
          <w:sz w:val="24"/>
          <w:highlight w:val="none"/>
          <w:lang w:val="en-US" w:eastAsia="zh-CN"/>
        </w:rPr>
        <w:t>3.96</w:t>
      </w:r>
      <w:r>
        <w:rPr>
          <w:rFonts w:hint="eastAsia" w:ascii="宋体" w:hAnsi="宋体" w:cs="宋体"/>
          <w:snapToGrid w:val="0"/>
          <w:kern w:val="0"/>
          <w:sz w:val="24"/>
          <w:highlight w:val="none"/>
        </w:rPr>
        <w:t>万元，投标报价</w:t>
      </w:r>
      <w:r>
        <w:rPr>
          <w:rFonts w:hint="eastAsia" w:ascii="宋体" w:hAnsi="宋体" w:cs="宋体"/>
          <w:snapToGrid w:val="0"/>
          <w:kern w:val="0"/>
          <w:sz w:val="24"/>
          <w:highlight w:val="none"/>
          <w:lang w:eastAsia="zh-CN"/>
        </w:rPr>
        <w:t>低于最低</w:t>
      </w:r>
      <w:r>
        <w:rPr>
          <w:rFonts w:hint="eastAsia" w:ascii="宋体" w:hAnsi="宋体" w:cs="宋体"/>
          <w:snapToGrid w:val="0"/>
          <w:kern w:val="0"/>
          <w:sz w:val="24"/>
          <w:highlight w:val="none"/>
        </w:rPr>
        <w:t>限价作废标处理。</w:t>
      </w:r>
    </w:p>
    <w:p>
      <w:pPr>
        <w:adjustRightInd w:val="0"/>
        <w:snapToGrid w:val="0"/>
        <w:spacing w:line="440" w:lineRule="exact"/>
        <w:ind w:firstLine="140" w:firstLineChars="58"/>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本章所有内容均为实质性要求，均不接受负偏离，否则视为无效响应。</w:t>
      </w:r>
    </w:p>
    <w:p>
      <w:pPr>
        <w:numPr>
          <w:ilvl w:val="0"/>
          <w:numId w:val="2"/>
        </w:numPr>
        <w:adjustRightInd w:val="0"/>
        <w:snapToGrid w:val="0"/>
        <w:spacing w:line="440" w:lineRule="exact"/>
        <w:ind w:firstLine="140" w:firstLineChars="58"/>
        <w:contextualSpacing/>
      </w:pPr>
      <w:r>
        <w:rPr>
          <w:rFonts w:hint="eastAsia" w:ascii="宋体" w:hAnsi="宋体"/>
          <w:b/>
          <w:sz w:val="24"/>
        </w:rPr>
        <w:t>采购项目内容及要求</w:t>
      </w:r>
    </w:p>
    <w:p>
      <w:pPr>
        <w:adjustRightInd w:val="0"/>
        <w:snapToGrid w:val="0"/>
        <w:spacing w:line="440" w:lineRule="exact"/>
        <w:ind w:firstLine="240" w:firstLineChars="100"/>
        <w:contextualSpacing/>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2.1 2019年—2021年及2022年1—10月统计量见下表。</w:t>
      </w:r>
    </w:p>
    <w:tbl>
      <w:tblPr>
        <w:tblStyle w:val="16"/>
        <w:tblpPr w:leftFromText="180" w:rightFromText="180" w:vertAnchor="text" w:horzAnchor="page" w:tblpX="570" w:tblpY="143"/>
        <w:tblOverlap w:val="never"/>
        <w:tblW w:w="109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7"/>
        <w:gridCol w:w="747"/>
        <w:gridCol w:w="1248"/>
        <w:gridCol w:w="873"/>
        <w:gridCol w:w="1248"/>
        <w:gridCol w:w="873"/>
        <w:gridCol w:w="1248"/>
        <w:gridCol w:w="1426"/>
        <w:gridCol w:w="2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096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2019年-2022年一次性输液瓶（袋）统计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年份</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输液袋（公斤）</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玻璃输液瓶（公斤）</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合计（公斤）</w:t>
            </w:r>
          </w:p>
        </w:tc>
        <w:tc>
          <w:tcPr>
            <w:tcW w:w="2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东区</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西区</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东区</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西区</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输液袋</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玻璃输液瓶</w:t>
            </w:r>
          </w:p>
        </w:tc>
        <w:tc>
          <w:tcPr>
            <w:tcW w:w="2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13554.45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19383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17366.18</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27094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32937.45</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44460.18</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2019.3.1-2020.2.29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5195.32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22946.5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40105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12337.32</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63051.5</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2020.3.1-2020.12.31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44894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16798</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74704</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2021.1.1-2021.12.31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12440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32220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11744</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44660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2022年1月-10月</w:t>
            </w:r>
          </w:p>
        </w:tc>
      </w:tr>
    </w:tbl>
    <w:p>
      <w:pPr>
        <w:adjustRightInd w:val="0"/>
        <w:snapToGrid w:val="0"/>
        <w:spacing w:line="440" w:lineRule="exact"/>
        <w:ind w:firstLine="139" w:firstLineChars="58"/>
        <w:contextualSpacing/>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2.2服务内容：乙方有偿依法规范回收处置甲方使用后产生的未被污染的一次性塑料输液袋（瓶、含内袋和外袋）、玻璃输液瓶。乙方需提供回收容器。</w:t>
      </w:r>
    </w:p>
    <w:p>
      <w:pPr>
        <w:adjustRightInd w:val="0"/>
        <w:snapToGrid w:val="0"/>
        <w:spacing w:line="440" w:lineRule="exact"/>
        <w:ind w:firstLine="139" w:firstLineChars="58"/>
        <w:contextualSpacing/>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2.3收货服务周期为7天，必要时根据院方需求1个工作日之内响应。</w:t>
      </w:r>
    </w:p>
    <w:p>
      <w:pPr>
        <w:adjustRightInd w:val="0"/>
        <w:snapToGrid w:val="0"/>
        <w:spacing w:line="440" w:lineRule="exact"/>
        <w:ind w:firstLine="139" w:firstLineChars="58"/>
        <w:contextualSpacing/>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2.4服务期限：三年，自2023年1月1日至2025年12月31日</w:t>
      </w:r>
    </w:p>
    <w:p>
      <w:pPr>
        <w:pStyle w:val="14"/>
        <w:shd w:val="clear" w:color="auto" w:fill="FFFFFF"/>
        <w:spacing w:before="0" w:beforeAutospacing="0" w:after="0" w:afterAutospacing="0"/>
        <w:ind w:firstLine="241" w:firstLineChars="10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3.服务协议</w:t>
      </w:r>
    </w:p>
    <w:p>
      <w:pPr>
        <w:adjustRightInd w:val="0"/>
        <w:snapToGrid w:val="0"/>
        <w:spacing w:line="440" w:lineRule="exact"/>
        <w:ind w:firstLine="480" w:firstLineChars="200"/>
        <w:contextualSpacing/>
        <w:rPr>
          <w:rFonts w:ascii="宋体" w:hAnsi="宋体"/>
          <w:sz w:val="24"/>
        </w:rPr>
      </w:pPr>
      <w:r>
        <w:rPr>
          <w:rFonts w:hint="eastAsia" w:ascii="宋体" w:hAnsi="宋体" w:eastAsia="宋体" w:cs="Times New Roman"/>
          <w:kern w:val="2"/>
          <w:sz w:val="24"/>
          <w:szCs w:val="24"/>
          <w:lang w:val="en-US" w:eastAsia="zh-CN" w:bidi="ar-SA"/>
        </w:rPr>
        <w:t>投标人的服务协议应按不低于招标文件中提出的所有服务要求的标准做出响应。其基本服务要</w:t>
      </w:r>
      <w:r>
        <w:rPr>
          <w:rFonts w:hint="eastAsia" w:ascii="宋体" w:hAnsi="宋体"/>
          <w:sz w:val="24"/>
        </w:rPr>
        <w:t>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3.2明确售后服务能力（包括收货期、收货服务、响应时间、是否提供备用方案等）。</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3.3在服务期限内，投标人应能保证使用方能及时得到响应，确保在合同要求内完成。</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5"/>
        <w:ind w:firstLine="0"/>
      </w:pPr>
    </w:p>
    <w:p>
      <w:pPr>
        <w:jc w:val="center"/>
        <w:rPr>
          <w:rFonts w:ascii="宋体" w:hAnsi="宋体"/>
          <w:b/>
          <w:bCs/>
          <w:sz w:val="36"/>
          <w:szCs w:val="36"/>
        </w:rPr>
      </w:pPr>
      <w:r>
        <w:rPr>
          <w:rFonts w:hint="eastAsia" w:ascii="宋体" w:hAnsi="宋体"/>
          <w:b/>
          <w:bCs/>
          <w:sz w:val="36"/>
          <w:szCs w:val="36"/>
        </w:rPr>
        <w:t>投标文件</w:t>
      </w:r>
    </w:p>
    <w:p>
      <w:pPr>
        <w:pStyle w:val="15"/>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5"/>
        <w:ind w:firstLine="0"/>
      </w:pPr>
    </w:p>
    <w:p>
      <w:pPr>
        <w:pStyle w:val="15"/>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5"/>
        <w:rPr>
          <w:sz w:val="36"/>
          <w:szCs w:val="36"/>
        </w:rPr>
      </w:pPr>
    </w:p>
    <w:p>
      <w:pPr>
        <w:pStyle w:val="15"/>
        <w:rPr>
          <w:sz w:val="36"/>
          <w:szCs w:val="36"/>
        </w:rPr>
      </w:pPr>
    </w:p>
    <w:p>
      <w:pPr>
        <w:pStyle w:val="15"/>
        <w:rPr>
          <w:sz w:val="36"/>
          <w:szCs w:val="36"/>
        </w:rPr>
      </w:pPr>
    </w:p>
    <w:p>
      <w:pPr>
        <w:rPr>
          <w:b/>
          <w:sz w:val="36"/>
          <w:szCs w:val="36"/>
        </w:rPr>
      </w:pPr>
    </w:p>
    <w:p>
      <w:pPr>
        <w:pStyle w:val="15"/>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使用后未被污染一次性输液袋（瓶）、玻璃输液瓶回收处置服务项目（二次）</w:t>
      </w:r>
      <w:r>
        <w:rPr>
          <w:rFonts w:hint="eastAsia" w:ascii="宋体" w:hAnsi="宋体" w:cs="宋体"/>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20221105</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5"/>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5"/>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ind w:firstLine="0"/>
      </w:pPr>
    </w:p>
    <w:p>
      <w:pPr>
        <w:pStyle w:val="15"/>
        <w:ind w:firstLine="0"/>
      </w:pPr>
    </w:p>
    <w:p>
      <w:pPr>
        <w:pStyle w:val="15"/>
        <w:ind w:firstLine="0"/>
      </w:pPr>
    </w:p>
    <w:p>
      <w:pPr>
        <w:pStyle w:val="15"/>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rPr>
          <w:rFonts w:asciiTheme="minorEastAsia" w:hAnsiTheme="minorEastAsia" w:eastAsiaTheme="minorEastAsia"/>
          <w:b/>
          <w:sz w:val="36"/>
        </w:rPr>
      </w:pPr>
    </w:p>
    <w:p>
      <w:pPr>
        <w:pStyle w:val="9"/>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9"/>
        <w:rPr>
          <w:rFonts w:ascii="Times New Roman" w:hAnsi="Times New Roman"/>
          <w:b/>
          <w:sz w:val="36"/>
        </w:rPr>
      </w:pPr>
    </w:p>
    <w:p>
      <w:pPr>
        <w:pStyle w:val="9"/>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9"/>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9"/>
        <w:adjustRightInd w:val="0"/>
        <w:snapToGrid w:val="0"/>
        <w:spacing w:line="44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9"/>
        <w:adjustRightInd w:val="0"/>
        <w:snapToGrid w:val="0"/>
        <w:spacing w:line="50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9"/>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7"/>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3"/>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6"/>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0"/>
              <w:adjustRightInd w:val="0"/>
              <w:snapToGrid w:val="0"/>
              <w:spacing w:line="440" w:lineRule="exact"/>
              <w:contextualSpacing/>
              <w:jc w:val="center"/>
              <w:rPr>
                <w:rFonts w:ascii="Times New Roman"/>
                <w:bCs/>
              </w:rPr>
            </w:pPr>
          </w:p>
        </w:tc>
        <w:tc>
          <w:tcPr>
            <w:tcW w:w="3244" w:type="pct"/>
            <w:vAlign w:val="center"/>
          </w:tcPr>
          <w:p>
            <w:pPr>
              <w:pStyle w:val="30"/>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0"/>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rPr>
          <w:rFonts w:hint="eastAsia" w:ascii="宋体" w:hAnsi="宋体"/>
          <w:b/>
          <w:sz w:val="36"/>
          <w:szCs w:val="36"/>
        </w:rPr>
      </w:pPr>
      <w:bookmarkStart w:id="1" w:name="_Toc513029243"/>
      <w:bookmarkStart w:id="2" w:name="_Toc20823315"/>
      <w:bookmarkStart w:id="3" w:name="_Toc16938559"/>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使用后未被污染一次性输液袋（瓶）、玻璃输液瓶回收处置服务项目（二次）</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rPr>
        <w:t>YDFYXJ-</w:t>
      </w:r>
      <w:r>
        <w:rPr>
          <w:rFonts w:hint="eastAsia" w:hAnsi="宋体" w:cs="宋体"/>
          <w:b/>
          <w:bCs/>
          <w:sz w:val="24"/>
          <w:highlight w:val="none"/>
          <w:lang w:eastAsia="zh-CN"/>
        </w:rPr>
        <w:t>20221105</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民法典》、《关于明确医疗废物分类有关问题的通知》（卫办医发[2005]292号）、《关于切实做好医疗卫生机构使用后未被污染输液瓶（袋）管理工作的通知》（苏卫医政〔2017〕58号）等政府卫生和环境保护部门有关文件要求，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使用后未被污染一次性输液袋（瓶）、玻璃输液瓶回收处置服务项目（二次）</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cs="宋体"/>
          <w:b/>
          <w:bCs/>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使用后未被污染一次性输液袋（瓶）、玻璃输液瓶回收处置服务项目（二次）</w:t>
      </w:r>
      <w:r>
        <w:rPr>
          <w:rFonts w:hint="eastAsia" w:ascii="宋体" w:hAnsi="宋体" w:cs="宋体"/>
          <w:b/>
          <w:bCs/>
          <w:sz w:val="24"/>
        </w:rPr>
        <w:t>。</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int="default" w:hAnsi="宋体"/>
          <w:sz w:val="24"/>
          <w:szCs w:val="24"/>
          <w:lang w:val="en-US" w:eastAsia="zh-CN"/>
        </w:rPr>
      </w:pPr>
      <w:r>
        <w:rPr>
          <w:rFonts w:hint="eastAsia" w:hAnsi="宋体"/>
          <w:sz w:val="24"/>
          <w:szCs w:val="24"/>
          <w:lang w:val="en-US" w:eastAsia="zh-CN"/>
        </w:rPr>
        <w:t>2.服务内容：</w:t>
      </w:r>
      <w:r>
        <w:rPr>
          <w:rFonts w:hint="eastAsia" w:hAnsi="宋体"/>
          <w:sz w:val="24"/>
          <w:szCs w:val="24"/>
        </w:rPr>
        <w:t>乙方有偿依法规范回收处置甲方使用后产生的未被污染的一次性塑料输液瓶、输液袋（含内袋和外袋）。</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default" w:ascii="宋体" w:hAnsi="宋体"/>
          <w:sz w:val="24"/>
          <w:lang w:val="en-US" w:eastAsia="zh-CN"/>
        </w:rPr>
      </w:pPr>
      <w:r>
        <w:rPr>
          <w:rFonts w:hint="eastAsia" w:ascii="宋体" w:hAnsi="宋体"/>
          <w:sz w:val="24"/>
          <w:lang w:val="en-US" w:eastAsia="zh-CN"/>
        </w:rPr>
        <w:t>3.服务期限：三年，自2023年1月1日至2025年12月31日</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highlight w:val="none"/>
        </w:rPr>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w:t>
      </w:r>
      <w:r>
        <w:rPr>
          <w:rFonts w:hint="eastAsia" w:hAnsi="宋体" w:cs="宋体"/>
          <w:bCs/>
          <w:sz w:val="24"/>
          <w:szCs w:val="24"/>
          <w:lang w:eastAsia="zh-CN"/>
        </w:rPr>
        <w:t>、</w:t>
      </w:r>
      <w:r>
        <w:rPr>
          <w:rFonts w:hint="eastAsia" w:hAnsi="宋体" w:cs="宋体"/>
          <w:bCs/>
          <w:sz w:val="24"/>
          <w:szCs w:val="24"/>
          <w:lang w:val="en-US" w:eastAsia="zh-CN"/>
        </w:rPr>
        <w:t>消毒药剂费用、防护穿戴用具费用</w:t>
      </w:r>
      <w:r>
        <w:rPr>
          <w:rFonts w:hint="eastAsia" w:hAnsi="宋体" w:cs="宋体"/>
          <w:bCs/>
          <w:sz w:val="24"/>
          <w:szCs w:val="24"/>
        </w:rPr>
        <w:t>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4"/>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每</w:t>
      </w:r>
      <w:r>
        <w:rPr>
          <w:rFonts w:hint="eastAsia" w:cs="宋体"/>
          <w:sz w:val="24"/>
          <w:lang w:val="en-US" w:eastAsia="zh-CN"/>
        </w:rPr>
        <w:t>年的第一个月内支付当年的全部费用</w:t>
      </w:r>
      <w:r>
        <w:rPr>
          <w:rFonts w:hint="eastAsia" w:ascii="宋体" w:hAnsi="宋体" w:cs="宋体"/>
          <w:sz w:val="24"/>
        </w:rPr>
        <w:t>。</w:t>
      </w:r>
    </w:p>
    <w:p>
      <w:pPr>
        <w:pStyle w:val="9"/>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int="default" w:ascii="宋体" w:hAnsi="宋体" w:eastAsia="宋体" w:cs="宋体"/>
          <w:b/>
          <w:bCs/>
          <w:sz w:val="24"/>
          <w:lang w:val="en-US" w:eastAsia="zh-CN"/>
        </w:rPr>
      </w:pPr>
      <w:r>
        <w:rPr>
          <w:rFonts w:hint="eastAsia" w:ascii="宋体" w:hAnsi="宋体" w:cs="宋体"/>
          <w:b/>
          <w:bCs/>
          <w:sz w:val="24"/>
          <w:lang w:val="en-US" w:eastAsia="zh-CN"/>
        </w:rPr>
        <w:t>五</w:t>
      </w:r>
      <w:r>
        <w:rPr>
          <w:rFonts w:hint="eastAsia" w:ascii="宋体" w:hAnsi="宋体" w:cs="宋体"/>
          <w:b/>
          <w:bCs/>
          <w:sz w:val="24"/>
        </w:rPr>
        <w:t>、</w:t>
      </w:r>
      <w:r>
        <w:rPr>
          <w:rFonts w:hint="eastAsia" w:ascii="宋体" w:hAnsi="宋体" w:cs="宋体"/>
          <w:b/>
          <w:bCs/>
          <w:sz w:val="24"/>
          <w:lang w:val="en-US" w:eastAsia="zh-CN"/>
        </w:rPr>
        <w:t>甲方权利和责任</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int="eastAsia" w:hAnsi="宋体" w:cs="宋体"/>
          <w:sz w:val="24"/>
          <w:lang w:val="en-US" w:eastAsia="zh-CN"/>
        </w:rPr>
      </w:pPr>
      <w:r>
        <w:rPr>
          <w:rFonts w:hint="eastAsia" w:ascii="宋体" w:hAnsi="宋体" w:cs="宋体"/>
          <w:sz w:val="24"/>
        </w:rPr>
        <w:t>1.</w:t>
      </w:r>
      <w:r>
        <w:rPr>
          <w:rFonts w:hint="eastAsia" w:hAnsi="宋体" w:cs="宋体"/>
          <w:sz w:val="24"/>
          <w:lang w:val="en-US" w:eastAsia="zh-CN"/>
        </w:rPr>
        <w:t>甲方向乙方出售甲方使用后产生的未被污染的一次性塑料输液瓶（袋）。</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int="eastAsia" w:hAnsi="宋体" w:cs="宋体"/>
          <w:sz w:val="24"/>
          <w:lang w:val="en-US" w:eastAsia="zh-CN"/>
        </w:rPr>
      </w:pPr>
      <w:r>
        <w:rPr>
          <w:rFonts w:hint="eastAsia" w:hAnsi="宋体" w:cs="宋体"/>
          <w:sz w:val="24"/>
          <w:lang w:val="en-US" w:eastAsia="zh-CN"/>
        </w:rPr>
        <w:t>2.甲方不向乙方出售或转让任何属于医疗废物的物品（包括被污染的应做医疗废物处理的一次性塑料输液瓶（袋））。</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int="eastAsia" w:hAnsi="宋体" w:cs="宋体"/>
          <w:sz w:val="24"/>
          <w:lang w:val="en-US" w:eastAsia="zh-CN"/>
        </w:rPr>
      </w:pPr>
      <w:r>
        <w:rPr>
          <w:rFonts w:hint="eastAsia" w:hAnsi="宋体" w:cs="宋体"/>
          <w:sz w:val="24"/>
          <w:lang w:val="en-US" w:eastAsia="zh-CN"/>
        </w:rPr>
        <w:t>3.甲方将待回收的一次性塑料输液瓶（袋）进行集中装入乙方提供有标准标识、统一规格的回收专用容器内。</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int="eastAsia" w:hAnsi="宋体" w:cs="宋体"/>
          <w:sz w:val="24"/>
          <w:lang w:val="en-US" w:eastAsia="zh-CN"/>
        </w:rPr>
      </w:pPr>
      <w:r>
        <w:rPr>
          <w:rFonts w:hint="eastAsia" w:hAnsi="宋体" w:cs="宋体"/>
          <w:sz w:val="24"/>
          <w:lang w:val="en-US" w:eastAsia="zh-CN"/>
        </w:rPr>
        <w:t>4.甲方有权对乙方的回收处置工作的及时性、规范性进行监督和访查，乙方应予以配合，乙方不服从甲方监督和访查，每出现一次，乙方将被处以100元罚款，合同期内3次以上，甲方有权解除合同。</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int="default" w:hAnsi="宋体" w:cs="宋体"/>
          <w:sz w:val="24"/>
          <w:lang w:val="en-US" w:eastAsia="zh-CN"/>
        </w:rPr>
      </w:pPr>
      <w:r>
        <w:rPr>
          <w:rFonts w:hint="eastAsia" w:hAnsi="宋体" w:cs="宋体"/>
          <w:sz w:val="24"/>
          <w:lang w:val="en-US" w:eastAsia="zh-CN"/>
        </w:rPr>
        <w:t>5.甲方执行交接转移联单（详见附件），交接前，双方规范填写、认真核对重量签字交接，并保存记录三年。</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hint="default" w:ascii="宋体" w:hAnsi="宋体" w:eastAsia="宋体"/>
          <w:kern w:val="20"/>
          <w:sz w:val="24"/>
          <w:lang w:val="en-US" w:eastAsia="zh-CN"/>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lang w:val="en-US" w:eastAsia="zh-CN"/>
        </w:rPr>
        <w:t>乙方权利和责任</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乙方有偿回收处置医疗活动中产生的不属医疗废物及未被污染的一次性塑料输液瓶(袋)。</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2.乙方不得接受任何属于医疗废物的物品，发现有应按医疗废物处理的物品混入的必须及时退还甲方，由甲方按照医疗废物处理程序处理。</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乙方按照营业执照所经营的项目进行回收，且须严格按照国家法律法规及国家、省级卫生健康部门和环境保护部门的有关规定做好物品的回收处置工作，保证回收处置合法依规安全；不得将回收物品用于生产食品、药品、化妆品、洗涤用品等包装容器及服装、被褥、日用品、玩具等可能危害人体健康的产品生产中，否则由此造成的一切后果乙方自负。</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乙方免费向甲方提供回收印有专门标识的专用容器及回收记录册，同时保证容器的完好及密封性，并标有可回收物标志。回收时，乙方指定专人定时上门（可提前电话约定）清点、称重和接收。玻璃瓶内不得留有残液，以免运输破损污染环境。交接后，规范填写交接转移联单并签字交接。</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乙方自行负责回收物品的运输工具及运输安全，乙方必须按照相关卫生法规、程序、标准对回收物品进行运输，严禁丢失、污染环境、违法转卖等，如发现违法行为，甲方有权立即解除协议，且所有责任均由乙方承担。</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6.乙方收集车须定时到甲方指定停车地点回收一次性塑料输液瓶(袋) 及玻璃输液瓶，回收频次每周至少一次，遇法定长假日应于节前、节后1-2天内各回收一次。因甲方特殊工作需求时，乙方应随叫随到。因乙方回收不及时而影响甲方正常工作秩序的，每发生一次将提交100元罚款，合同期内达到3次以上，甲方有权提前终止合同。因乙方回收不及时而造成甲方被政府相关部门处罚的，甲方有权向乙方索赔。</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7.乙方应指定专门上门收取回收物品的工作人员，并提供联系方式，便于甲方相关工作人员联系。乙方如有工作人员变动，须提前七日书面通知甲方并提供新指定人员的上述有关材料。</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8.甲乙双方同意将乙方取得上述资质作为本协议成立并生效的前提条件，双方签订协议书时，乙方须提供国家规定有关资质批准文件的复印件及营业执照（盖公章）附于本协议后。合同生效后，乙方如有资质发生变动，须及时通知甲方。</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9.因乙方违规违法运输、回收、处置等不当行为所造成的一切后果由乙方承担，与甲方无关。</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eastAsia="zh-CN"/>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乙方未按照合同约定提供服务，并在收到甲方的书面警告后不在指定的时间内改正，甲方有权雇用第三方提供服务，乙方负责赔偿甲方全部损失。</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eastAsia="zh-CN"/>
        </w:rPr>
      </w:pP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乙方的违约情况如给甲方造成的损失，甲方有权要求乙方赔偿甲方的全部实际损失。</w:t>
      </w:r>
    </w:p>
    <w:p>
      <w:pPr>
        <w:widowControl/>
        <w:adjustRightInd w:val="0"/>
        <w:snapToGrid w:val="0"/>
        <w:spacing w:line="400" w:lineRule="exact"/>
        <w:ind w:firstLine="482" w:firstLineChars="200"/>
        <w:contextualSpacing/>
        <w:jc w:val="left"/>
        <w:rPr>
          <w:rFonts w:ascii="宋体" w:hAnsi="宋体"/>
          <w:b/>
          <w:bCs/>
          <w:kern w:val="0"/>
          <w:sz w:val="24"/>
        </w:rPr>
      </w:pPr>
      <w:r>
        <w:rPr>
          <w:rFonts w:hint="eastAsia" w:ascii="宋体" w:hAnsi="宋体" w:cs="宋体"/>
          <w:b/>
          <w:bCs/>
          <w:sz w:val="24"/>
          <w:lang w:val="en-US" w:eastAsia="zh-CN"/>
        </w:rPr>
        <w:t>八</w:t>
      </w:r>
      <w:r>
        <w:rPr>
          <w:rFonts w:hint="eastAsia" w:ascii="宋体" w:hAnsi="宋体" w:cs="宋体"/>
          <w:b/>
          <w:bCs/>
          <w:sz w:val="24"/>
        </w:rPr>
        <w:t>、</w:t>
      </w:r>
      <w:r>
        <w:rPr>
          <w:rFonts w:hint="eastAsia" w:ascii="宋体" w:hAnsi="宋体"/>
          <w:b/>
          <w:bCs/>
          <w:kern w:val="0"/>
          <w:sz w:val="24"/>
        </w:rPr>
        <w:t>终止合同</w:t>
      </w:r>
    </w:p>
    <w:p>
      <w:pPr>
        <w:adjustRightInd w:val="0"/>
        <w:snapToGrid w:val="0"/>
        <w:spacing w:line="400" w:lineRule="exact"/>
        <w:ind w:firstLine="480" w:firstLineChars="200"/>
        <w:contextualSpacing/>
        <w:rPr>
          <w:rFonts w:ascii="宋体" w:hAnsi="宋体"/>
          <w:sz w:val="24"/>
        </w:rPr>
      </w:pPr>
      <w:r>
        <w:rPr>
          <w:rFonts w:hint="eastAsia" w:ascii="宋体" w:hAnsi="宋体"/>
          <w:sz w:val="24"/>
        </w:rPr>
        <w:t>甲乙双方约定，存在下列情况之一的，任何一方均可提前终止合同：</w:t>
      </w:r>
    </w:p>
    <w:p>
      <w:pPr>
        <w:pStyle w:val="29"/>
        <w:spacing w:line="400" w:lineRule="exact"/>
        <w:ind w:firstLine="48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乙方不再具有回收处置使用后未被污染的的一次性塑料输液瓶(袋)合法资质的；</w:t>
      </w:r>
    </w:p>
    <w:p>
      <w:pPr>
        <w:adjustRightInd w:val="0"/>
        <w:snapToGrid w:val="0"/>
        <w:spacing w:line="400" w:lineRule="exact"/>
        <w:ind w:firstLine="480" w:firstLineChars="200"/>
        <w:contextualSpacing/>
        <w:rPr>
          <w:rFonts w:ascii="宋体" w:hAnsi="宋体"/>
          <w:sz w:val="24"/>
        </w:rPr>
      </w:pPr>
      <w:r>
        <w:rPr>
          <w:rFonts w:hint="eastAsia" w:ascii="宋体" w:hAnsi="宋体"/>
          <w:sz w:val="24"/>
          <w:lang w:val="en-US" w:eastAsia="zh-CN"/>
        </w:rPr>
        <w:t>2.</w:t>
      </w:r>
      <w:r>
        <w:rPr>
          <w:rFonts w:hint="eastAsia" w:ascii="宋体" w:hAnsi="宋体"/>
          <w:sz w:val="24"/>
        </w:rPr>
        <w:t>乙方因违法、违规处理回收物品受到行政或司法处理的；</w:t>
      </w:r>
    </w:p>
    <w:p>
      <w:pPr>
        <w:adjustRightInd w:val="0"/>
        <w:snapToGrid w:val="0"/>
        <w:spacing w:line="400" w:lineRule="exact"/>
        <w:ind w:firstLine="480" w:firstLineChars="200"/>
        <w:contextualSpacing/>
        <w:rPr>
          <w:rFonts w:ascii="宋体" w:hAnsi="宋体"/>
          <w:sz w:val="24"/>
        </w:rPr>
      </w:pPr>
      <w:r>
        <w:rPr>
          <w:rFonts w:hint="eastAsia" w:ascii="宋体" w:hAnsi="宋体"/>
          <w:sz w:val="24"/>
          <w:lang w:val="en-US" w:eastAsia="zh-CN"/>
        </w:rPr>
        <w:t>3.</w:t>
      </w:r>
      <w:r>
        <w:rPr>
          <w:rFonts w:hint="eastAsia" w:ascii="宋体" w:hAnsi="宋体"/>
          <w:sz w:val="24"/>
        </w:rPr>
        <w:t>乙方因回收处置回收物品不当，致使甲方权益受到影响的；</w:t>
      </w:r>
    </w:p>
    <w:p>
      <w:pPr>
        <w:adjustRightInd w:val="0"/>
        <w:snapToGrid w:val="0"/>
        <w:spacing w:line="400" w:lineRule="exact"/>
        <w:ind w:firstLine="480" w:firstLineChars="200"/>
        <w:contextualSpacing/>
        <w:rPr>
          <w:rFonts w:ascii="宋体" w:hAnsi="宋体"/>
          <w:sz w:val="24"/>
        </w:rPr>
      </w:pPr>
      <w:r>
        <w:rPr>
          <w:rFonts w:hint="eastAsia" w:ascii="宋体" w:hAnsi="宋体"/>
          <w:sz w:val="24"/>
          <w:lang w:val="en-US" w:eastAsia="zh-CN"/>
        </w:rPr>
        <w:t>4.</w:t>
      </w:r>
      <w:r>
        <w:rPr>
          <w:rFonts w:hint="eastAsia" w:ascii="宋体" w:hAnsi="宋体"/>
          <w:sz w:val="24"/>
        </w:rPr>
        <w:t>乙方未按照约定及时上门收取回收物品影响甲方正常工作秩序，情节严重的或达到3次以上；</w:t>
      </w:r>
    </w:p>
    <w:p>
      <w:pPr>
        <w:adjustRightInd w:val="0"/>
        <w:snapToGrid w:val="0"/>
        <w:spacing w:line="400" w:lineRule="exact"/>
        <w:ind w:firstLine="480" w:firstLineChars="200"/>
        <w:contextualSpacing/>
        <w:rPr>
          <w:rFonts w:ascii="宋体" w:hAnsi="宋体"/>
          <w:sz w:val="24"/>
        </w:rPr>
      </w:pPr>
      <w:r>
        <w:rPr>
          <w:rFonts w:hint="eastAsia" w:ascii="宋体" w:hAnsi="宋体"/>
          <w:sz w:val="24"/>
          <w:lang w:val="en-US" w:eastAsia="zh-CN"/>
        </w:rPr>
        <w:t>5.</w:t>
      </w:r>
      <w:r>
        <w:rPr>
          <w:rFonts w:hint="eastAsia" w:ascii="宋体" w:hAnsi="宋体"/>
          <w:sz w:val="24"/>
        </w:rPr>
        <w:t>根据法律法规和相关行政部门政策规定和通知要求，不能继续履行协议的。</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p>
    <w:p>
      <w:pPr>
        <w:pStyle w:val="2"/>
        <w:rPr>
          <w:rFonts w:hint="eastAsia"/>
          <w:lang w:eastAsia="zh-CN"/>
        </w:rPr>
      </w:pPr>
    </w:p>
    <w:p>
      <w:pPr>
        <w:pStyle w:val="15"/>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footerReference r:id="rId3" w:type="default"/>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44848"/>
    <w:multiLevelType w:val="singleLevel"/>
    <w:tmpl w:val="EE644848"/>
    <w:lvl w:ilvl="0" w:tentative="0">
      <w:start w:val="2"/>
      <w:numFmt w:val="decimal"/>
      <w:lvlText w:val="%1."/>
      <w:lvlJc w:val="left"/>
      <w:pPr>
        <w:tabs>
          <w:tab w:val="left" w:pos="312"/>
        </w:tabs>
      </w:pPr>
    </w:lvl>
  </w:abstractNum>
  <w:abstractNum w:abstractNumId="1">
    <w:nsid w:val="FFFFFF83"/>
    <w:multiLevelType w:val="singleLevel"/>
    <w:tmpl w:val="FFFFFF83"/>
    <w:lvl w:ilvl="0" w:tentative="0">
      <w:start w:val="1"/>
      <w:numFmt w:val="bullet"/>
      <w:pStyle w:val="8"/>
      <w:lvlText w:val=""/>
      <w:lvlJc w:val="left"/>
      <w:pPr>
        <w:tabs>
          <w:tab w:val="left" w:pos="780"/>
        </w:tabs>
        <w:ind w:left="780" w:leftChars="200" w:hanging="360" w:hangingChars="20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34D4BC8"/>
    <w:rsid w:val="046C52C3"/>
    <w:rsid w:val="04E61983"/>
    <w:rsid w:val="04F93EF7"/>
    <w:rsid w:val="053E3F8C"/>
    <w:rsid w:val="06477EC8"/>
    <w:rsid w:val="06835001"/>
    <w:rsid w:val="07CD3AA2"/>
    <w:rsid w:val="0907213E"/>
    <w:rsid w:val="0BE47D69"/>
    <w:rsid w:val="0C067990"/>
    <w:rsid w:val="0C4A2728"/>
    <w:rsid w:val="0CF140C8"/>
    <w:rsid w:val="0D2E16CF"/>
    <w:rsid w:val="0D4515B4"/>
    <w:rsid w:val="0E126F52"/>
    <w:rsid w:val="0E2A13BF"/>
    <w:rsid w:val="0EE42777"/>
    <w:rsid w:val="0F3D0F52"/>
    <w:rsid w:val="0FBE0778"/>
    <w:rsid w:val="110961DE"/>
    <w:rsid w:val="15D76399"/>
    <w:rsid w:val="172469D5"/>
    <w:rsid w:val="17407202"/>
    <w:rsid w:val="186D5CBC"/>
    <w:rsid w:val="19826916"/>
    <w:rsid w:val="1A965BFC"/>
    <w:rsid w:val="1C94789B"/>
    <w:rsid w:val="1D762024"/>
    <w:rsid w:val="1E525F06"/>
    <w:rsid w:val="1EAC0AAC"/>
    <w:rsid w:val="1FF236E2"/>
    <w:rsid w:val="205648A9"/>
    <w:rsid w:val="21C93434"/>
    <w:rsid w:val="22EC14F1"/>
    <w:rsid w:val="23735059"/>
    <w:rsid w:val="2466755A"/>
    <w:rsid w:val="24782FEE"/>
    <w:rsid w:val="265C52E6"/>
    <w:rsid w:val="270244AF"/>
    <w:rsid w:val="279829B9"/>
    <w:rsid w:val="28795CAE"/>
    <w:rsid w:val="2881351F"/>
    <w:rsid w:val="28CF6D5C"/>
    <w:rsid w:val="28D728FE"/>
    <w:rsid w:val="290E1224"/>
    <w:rsid w:val="2A6C65F7"/>
    <w:rsid w:val="2AA6133D"/>
    <w:rsid w:val="2BCB5B07"/>
    <w:rsid w:val="2DF86008"/>
    <w:rsid w:val="2E026BA2"/>
    <w:rsid w:val="2E08764D"/>
    <w:rsid w:val="2E9C7F46"/>
    <w:rsid w:val="2EE7735A"/>
    <w:rsid w:val="2F716810"/>
    <w:rsid w:val="2F877A0A"/>
    <w:rsid w:val="30DF7E8F"/>
    <w:rsid w:val="318E7998"/>
    <w:rsid w:val="32542738"/>
    <w:rsid w:val="33482C9D"/>
    <w:rsid w:val="349B0B50"/>
    <w:rsid w:val="357D00D7"/>
    <w:rsid w:val="375A406B"/>
    <w:rsid w:val="395873E0"/>
    <w:rsid w:val="398427FF"/>
    <w:rsid w:val="3B6B7997"/>
    <w:rsid w:val="3C7E55A0"/>
    <w:rsid w:val="3C7E7E4D"/>
    <w:rsid w:val="3D920AB3"/>
    <w:rsid w:val="3E4F54B3"/>
    <w:rsid w:val="3EA006FD"/>
    <w:rsid w:val="406A6438"/>
    <w:rsid w:val="40C726B4"/>
    <w:rsid w:val="40D33B50"/>
    <w:rsid w:val="40D672C6"/>
    <w:rsid w:val="424B0DFC"/>
    <w:rsid w:val="43F56786"/>
    <w:rsid w:val="45977351"/>
    <w:rsid w:val="45F42EB8"/>
    <w:rsid w:val="46056344"/>
    <w:rsid w:val="467B4C8A"/>
    <w:rsid w:val="48B5696C"/>
    <w:rsid w:val="49452500"/>
    <w:rsid w:val="49886E6B"/>
    <w:rsid w:val="49AC543C"/>
    <w:rsid w:val="4ACD2A51"/>
    <w:rsid w:val="4B4053E3"/>
    <w:rsid w:val="4B8D08A2"/>
    <w:rsid w:val="4BD6274F"/>
    <w:rsid w:val="4BF10B67"/>
    <w:rsid w:val="4C2279B2"/>
    <w:rsid w:val="4C472E7D"/>
    <w:rsid w:val="4CB85CB5"/>
    <w:rsid w:val="4CEA2898"/>
    <w:rsid w:val="4E295D4C"/>
    <w:rsid w:val="4F717F10"/>
    <w:rsid w:val="501519DD"/>
    <w:rsid w:val="507C6263"/>
    <w:rsid w:val="508A0E56"/>
    <w:rsid w:val="510F701A"/>
    <w:rsid w:val="51673008"/>
    <w:rsid w:val="5199638E"/>
    <w:rsid w:val="51BD509B"/>
    <w:rsid w:val="537760B9"/>
    <w:rsid w:val="54AC3518"/>
    <w:rsid w:val="560560AD"/>
    <w:rsid w:val="56410E61"/>
    <w:rsid w:val="56DD7AA5"/>
    <w:rsid w:val="57DA3AB3"/>
    <w:rsid w:val="58A415C5"/>
    <w:rsid w:val="591C0A3A"/>
    <w:rsid w:val="5B063544"/>
    <w:rsid w:val="5B3A3011"/>
    <w:rsid w:val="5BD053AF"/>
    <w:rsid w:val="5BE11FCF"/>
    <w:rsid w:val="5C3E22E0"/>
    <w:rsid w:val="5C5B5AEA"/>
    <w:rsid w:val="5C63055C"/>
    <w:rsid w:val="5C936A98"/>
    <w:rsid w:val="5C9D5DDF"/>
    <w:rsid w:val="5CA1516C"/>
    <w:rsid w:val="5CA23409"/>
    <w:rsid w:val="5CDB0A62"/>
    <w:rsid w:val="5D4A6EAE"/>
    <w:rsid w:val="5D9E4640"/>
    <w:rsid w:val="5E584ED9"/>
    <w:rsid w:val="5F190C7E"/>
    <w:rsid w:val="5FC15AD2"/>
    <w:rsid w:val="60186A28"/>
    <w:rsid w:val="60446E43"/>
    <w:rsid w:val="60DB4EA5"/>
    <w:rsid w:val="612E05C2"/>
    <w:rsid w:val="616C3D5B"/>
    <w:rsid w:val="61806483"/>
    <w:rsid w:val="619072D4"/>
    <w:rsid w:val="61F801D2"/>
    <w:rsid w:val="62422129"/>
    <w:rsid w:val="626E3CB0"/>
    <w:rsid w:val="63473929"/>
    <w:rsid w:val="65A7713A"/>
    <w:rsid w:val="65F2258C"/>
    <w:rsid w:val="66A07C1E"/>
    <w:rsid w:val="66AF19DA"/>
    <w:rsid w:val="6710513C"/>
    <w:rsid w:val="675A5AE8"/>
    <w:rsid w:val="677A6507"/>
    <w:rsid w:val="6D633984"/>
    <w:rsid w:val="6DF60098"/>
    <w:rsid w:val="6E1F0C2D"/>
    <w:rsid w:val="708C2B36"/>
    <w:rsid w:val="70903D33"/>
    <w:rsid w:val="70952B65"/>
    <w:rsid w:val="70C57A02"/>
    <w:rsid w:val="70DB38A7"/>
    <w:rsid w:val="70FE780D"/>
    <w:rsid w:val="71D1780D"/>
    <w:rsid w:val="71DC1AE4"/>
    <w:rsid w:val="72217603"/>
    <w:rsid w:val="72487296"/>
    <w:rsid w:val="7282207E"/>
    <w:rsid w:val="73AD596A"/>
    <w:rsid w:val="741C305C"/>
    <w:rsid w:val="74226CB9"/>
    <w:rsid w:val="75006B73"/>
    <w:rsid w:val="764E69E8"/>
    <w:rsid w:val="7787662E"/>
    <w:rsid w:val="77F20BEE"/>
    <w:rsid w:val="79AC4BB9"/>
    <w:rsid w:val="79CC0928"/>
    <w:rsid w:val="7ABB1C53"/>
    <w:rsid w:val="7BF34C08"/>
    <w:rsid w:val="7C6460D0"/>
    <w:rsid w:val="7E4401E2"/>
    <w:rsid w:val="7ECF0FC0"/>
    <w:rsid w:val="7ED51940"/>
    <w:rsid w:val="7F507BB1"/>
    <w:rsid w:val="7F743153"/>
    <w:rsid w:val="7F944C3C"/>
    <w:rsid w:val="7F9B492C"/>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3"/>
    <w:basedOn w:val="1"/>
    <w:next w:val="1"/>
    <w:qFormat/>
    <w:uiPriority w:val="0"/>
    <w:pPr>
      <w:spacing w:after="120" w:afterLines="0"/>
    </w:pPr>
    <w:rPr>
      <w:sz w:val="16"/>
      <w:szCs w:val="16"/>
    </w:rPr>
  </w:style>
  <w:style w:type="paragraph" w:styleId="4">
    <w:name w:val="table of authorities"/>
    <w:basedOn w:val="1"/>
    <w:next w:val="1"/>
    <w:qFormat/>
    <w:uiPriority w:val="0"/>
    <w:pPr>
      <w:ind w:left="420" w:leftChars="200"/>
    </w:pPr>
  </w:style>
  <w:style w:type="paragraph" w:styleId="5">
    <w:name w:val="Normal Indent"/>
    <w:basedOn w:val="1"/>
    <w:link w:val="31"/>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qFormat/>
    <w:uiPriority w:val="0"/>
    <w:pPr>
      <w:ind w:firstLine="576"/>
    </w:pPr>
    <w:rPr>
      <w:b/>
      <w:sz w:val="30"/>
    </w:rPr>
  </w:style>
  <w:style w:type="paragraph" w:styleId="8">
    <w:name w:val="List Bullet 2"/>
    <w:basedOn w:val="1"/>
    <w:unhideWhenUsed/>
    <w:qFormat/>
    <w:uiPriority w:val="0"/>
    <w:pPr>
      <w:numPr>
        <w:ilvl w:val="0"/>
        <w:numId w:val="1"/>
      </w:numPr>
      <w:contextualSpacing/>
    </w:pPr>
    <w:rPr>
      <w:rFonts w:ascii="Calibri" w:hAnsi="Calibri"/>
    </w:rPr>
  </w:style>
  <w:style w:type="paragraph" w:styleId="9">
    <w:name w:val="Plain Text"/>
    <w:basedOn w:val="1"/>
    <w:link w:val="26"/>
    <w:qFormat/>
    <w:uiPriority w:val="99"/>
    <w:rPr>
      <w:rFonts w:ascii="宋体" w:hAnsi="Courier New"/>
      <w:szCs w:val="20"/>
    </w:r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7"/>
    <w:qFormat/>
    <w:uiPriority w:val="0"/>
    <w:pPr>
      <w:ind w:firstLine="42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222222"/>
      <w:u w:val="none"/>
    </w:rPr>
  </w:style>
  <w:style w:type="character" w:styleId="20">
    <w:name w:val="Hyperlink"/>
    <w:basedOn w:val="18"/>
    <w:unhideWhenUsed/>
    <w:qFormat/>
    <w:uiPriority w:val="99"/>
    <w:rPr>
      <w:color w:val="0000FF" w:themeColor="hyperlink"/>
      <w:u w:val="single"/>
    </w:rPr>
  </w:style>
  <w:style w:type="paragraph" w:customStyle="1" w:styleId="21">
    <w:name w:val="正文（缩进）"/>
    <w:basedOn w:val="1"/>
    <w:qFormat/>
    <w:uiPriority w:val="0"/>
    <w:pPr>
      <w:ind w:firstLine="480" w:firstLineChars="200"/>
    </w:pPr>
  </w:style>
  <w:style w:type="paragraph" w:customStyle="1" w:styleId="22">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3">
    <w:name w:val="页眉 Char"/>
    <w:basedOn w:val="18"/>
    <w:link w:val="12"/>
    <w:semiHidden/>
    <w:qFormat/>
    <w:uiPriority w:val="99"/>
    <w:rPr>
      <w:rFonts w:eastAsia="宋体"/>
      <w:kern w:val="2"/>
      <w:sz w:val="18"/>
      <w:szCs w:val="18"/>
    </w:rPr>
  </w:style>
  <w:style w:type="character" w:customStyle="1" w:styleId="24">
    <w:name w:val="页脚 Char"/>
    <w:basedOn w:val="18"/>
    <w:link w:val="11"/>
    <w:semiHidden/>
    <w:qFormat/>
    <w:uiPriority w:val="99"/>
    <w:rPr>
      <w:rFonts w:eastAsia="宋体"/>
      <w:kern w:val="2"/>
      <w:sz w:val="18"/>
      <w:szCs w:val="18"/>
    </w:rPr>
  </w:style>
  <w:style w:type="character" w:customStyle="1" w:styleId="25">
    <w:name w:val="批注框文本 Char"/>
    <w:basedOn w:val="18"/>
    <w:link w:val="10"/>
    <w:semiHidden/>
    <w:qFormat/>
    <w:uiPriority w:val="99"/>
    <w:rPr>
      <w:rFonts w:eastAsia="宋体"/>
      <w:kern w:val="2"/>
      <w:sz w:val="18"/>
      <w:szCs w:val="18"/>
    </w:rPr>
  </w:style>
  <w:style w:type="character" w:customStyle="1" w:styleId="26">
    <w:name w:val="纯文本 Char"/>
    <w:basedOn w:val="18"/>
    <w:link w:val="9"/>
    <w:qFormat/>
    <w:uiPriority w:val="99"/>
    <w:rPr>
      <w:rFonts w:ascii="宋体" w:hAnsi="Courier New" w:eastAsia="宋体"/>
      <w:kern w:val="2"/>
      <w:sz w:val="21"/>
    </w:rPr>
  </w:style>
  <w:style w:type="character" w:customStyle="1" w:styleId="27">
    <w:name w:val="副标题 Char"/>
    <w:qFormat/>
    <w:uiPriority w:val="0"/>
    <w:rPr>
      <w:rFonts w:ascii="Cambria" w:hAnsi="Cambria"/>
      <w:b/>
      <w:bCs/>
      <w:kern w:val="28"/>
      <w:sz w:val="32"/>
      <w:szCs w:val="32"/>
    </w:rPr>
  </w:style>
  <w:style w:type="character" w:customStyle="1" w:styleId="28">
    <w:name w:val="副标题 Char1"/>
    <w:basedOn w:val="18"/>
    <w:link w:val="13"/>
    <w:qFormat/>
    <w:uiPriority w:val="0"/>
    <w:rPr>
      <w:rFonts w:eastAsia="宋体" w:asciiTheme="majorHAnsi" w:hAnsiTheme="majorHAnsi" w:cstheme="majorBidi"/>
      <w:b/>
      <w:bCs/>
      <w:kern w:val="28"/>
      <w:sz w:val="32"/>
      <w:szCs w:val="32"/>
    </w:rPr>
  </w:style>
  <w:style w:type="paragraph" w:styleId="29">
    <w:name w:val="List Paragraph"/>
    <w:basedOn w:val="1"/>
    <w:unhideWhenUsed/>
    <w:qFormat/>
    <w:uiPriority w:val="99"/>
    <w:pPr>
      <w:ind w:firstLine="420" w:firstLineChars="200"/>
    </w:pPr>
  </w:style>
  <w:style w:type="paragraph" w:customStyle="1" w:styleId="30">
    <w:name w:val="普通文字"/>
    <w:basedOn w:val="1"/>
    <w:next w:val="1"/>
    <w:qFormat/>
    <w:uiPriority w:val="0"/>
    <w:rPr>
      <w:rFonts w:ascii="宋体"/>
      <w:kern w:val="0"/>
      <w:sz w:val="24"/>
      <w:u w:color="000000"/>
    </w:rPr>
  </w:style>
  <w:style w:type="character" w:customStyle="1" w:styleId="31">
    <w:name w:val="正文缩进 Char"/>
    <w:link w:val="5"/>
    <w:qFormat/>
    <w:uiPriority w:val="0"/>
    <w:rPr>
      <w:kern w:val="2"/>
      <w:sz w:val="21"/>
      <w:szCs w:val="24"/>
    </w:rPr>
  </w:style>
  <w:style w:type="character" w:customStyle="1" w:styleId="32">
    <w:name w:val="NormalCharacter"/>
    <w:qFormat/>
    <w:uiPriority w:val="0"/>
  </w:style>
  <w:style w:type="character" w:customStyle="1" w:styleId="33">
    <w:name w:val="font11"/>
    <w:basedOn w:val="1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5709</Words>
  <Characters>6293</Characters>
  <Lines>70</Lines>
  <Paragraphs>19</Paragraphs>
  <TotalTime>13</TotalTime>
  <ScaleCrop>false</ScaleCrop>
  <LinksUpToDate>false</LinksUpToDate>
  <CharactersWithSpaces>6941</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2022-12-08T03:05:21Z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A1DAC28A50F347B68D0C2A2E30B9C7D5</vt:lpwstr>
  </property>
</Properties>
</file>