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YDFYXJ-20230404</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东区食堂灶台采购项目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bookmarkStart w:id="4" w:name="_GoBack"/>
      <w:bookmarkEnd w:id="4"/>
    </w:p>
    <w:p>
      <w:pPr>
        <w:pStyle w:val="19"/>
        <w:ind w:firstLine="0"/>
      </w:pPr>
    </w:p>
    <w:p>
      <w:pPr>
        <w:pStyle w:val="19"/>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5</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4</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7"/>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东区食堂灶台采购项目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YDFYXJ-20230404</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东区食堂灶台采购项目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1.9</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5</w:t>
      </w:r>
      <w:r>
        <w:rPr>
          <w:rFonts w:hint="eastAsia" w:ascii="宋体" w:hAnsi="宋体"/>
          <w:b/>
          <w:sz w:val="24"/>
          <w:highlight w:val="none"/>
        </w:rPr>
        <w:t>月</w:t>
      </w:r>
      <w:r>
        <w:rPr>
          <w:rFonts w:hint="eastAsia" w:ascii="宋体" w:hAnsi="宋体"/>
          <w:b/>
          <w:sz w:val="24"/>
          <w:highlight w:val="none"/>
          <w:lang w:val="en-US" w:eastAsia="zh-CN"/>
        </w:rPr>
        <w:t>8</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东区食堂灶台采购项目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东区食堂灶台采购项目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5</w:t>
      </w:r>
      <w:r>
        <w:rPr>
          <w:rFonts w:hint="eastAsia" w:cs="微软雅黑"/>
          <w:b/>
          <w:highlight w:val="none"/>
        </w:rPr>
        <w:t>月</w:t>
      </w:r>
      <w:r>
        <w:rPr>
          <w:rFonts w:hint="eastAsia" w:cs="微软雅黑"/>
          <w:b/>
          <w:highlight w:val="none"/>
          <w:lang w:val="en-US" w:eastAsia="zh-CN"/>
        </w:rPr>
        <w:t>8</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6"/>
          <w:rFonts w:ascii="宋体" w:hAnsi="宋体"/>
          <w:b/>
          <w:sz w:val="24"/>
          <w:highlight w:val="none"/>
        </w:rPr>
        <w:t>（北</w:t>
      </w:r>
      <w:r>
        <w:rPr>
          <w:rStyle w:val="36"/>
          <w:rFonts w:ascii="宋体" w:hAnsi="宋体"/>
          <w:b/>
          <w:color w:val="000000"/>
          <w:sz w:val="24"/>
          <w:highlight w:val="none"/>
        </w:rPr>
        <w:t>京时间）</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6"/>
          <w:rFonts w:ascii="宋体" w:hAnsi="宋体"/>
          <w:sz w:val="24"/>
        </w:rPr>
      </w:pPr>
      <w:r>
        <w:rPr>
          <w:rStyle w:val="36"/>
          <w:rFonts w:hint="eastAsia" w:ascii="宋体" w:hAnsi="宋体"/>
          <w:sz w:val="24"/>
        </w:rPr>
        <w:t>15.</w:t>
      </w:r>
      <w:r>
        <w:rPr>
          <w:rStyle w:val="36"/>
          <w:rFonts w:ascii="宋体" w:hAnsi="宋体"/>
          <w:sz w:val="24"/>
        </w:rPr>
        <w:t>开标有关信息</w:t>
      </w:r>
    </w:p>
    <w:p>
      <w:pPr>
        <w:adjustRightInd w:val="0"/>
        <w:snapToGrid w:val="0"/>
        <w:spacing w:line="420" w:lineRule="exact"/>
        <w:ind w:firstLine="480" w:firstLineChars="200"/>
        <w:contextualSpacing/>
        <w:rPr>
          <w:rStyle w:val="36"/>
          <w:rFonts w:ascii="宋体" w:hAnsi="宋体"/>
          <w:color w:val="000000"/>
          <w:sz w:val="24"/>
        </w:rPr>
      </w:pPr>
      <w:r>
        <w:rPr>
          <w:rStyle w:val="36"/>
          <w:rFonts w:ascii="宋体" w:hAnsi="宋体"/>
          <w:sz w:val="24"/>
        </w:rPr>
        <w:t>开标时间：</w:t>
      </w:r>
      <w:r>
        <w:rPr>
          <w:rStyle w:val="36"/>
          <w:rFonts w:ascii="宋体" w:hAnsi="宋体"/>
          <w:b/>
          <w:sz w:val="24"/>
          <w:highlight w:val="none"/>
        </w:rPr>
        <w:t>202</w:t>
      </w:r>
      <w:r>
        <w:rPr>
          <w:rStyle w:val="36"/>
          <w:rFonts w:hint="eastAsia" w:ascii="宋体" w:hAnsi="宋体"/>
          <w:b/>
          <w:sz w:val="24"/>
          <w:highlight w:val="none"/>
          <w:lang w:val="en-US" w:eastAsia="zh-CN"/>
        </w:rPr>
        <w:t>3</w:t>
      </w:r>
      <w:r>
        <w:rPr>
          <w:rStyle w:val="36"/>
          <w:rFonts w:ascii="宋体" w:hAnsi="宋体"/>
          <w:b/>
          <w:sz w:val="24"/>
          <w:highlight w:val="none"/>
        </w:rPr>
        <w:t>年</w:t>
      </w:r>
      <w:r>
        <w:rPr>
          <w:rStyle w:val="36"/>
          <w:rFonts w:hint="eastAsia" w:ascii="宋体" w:hAnsi="宋体"/>
          <w:b/>
          <w:sz w:val="24"/>
          <w:highlight w:val="none"/>
          <w:lang w:val="en-US" w:eastAsia="zh-CN"/>
        </w:rPr>
        <w:t>5</w:t>
      </w:r>
      <w:r>
        <w:rPr>
          <w:rStyle w:val="36"/>
          <w:rFonts w:ascii="宋体" w:hAnsi="宋体"/>
          <w:b/>
          <w:sz w:val="24"/>
          <w:highlight w:val="none"/>
        </w:rPr>
        <w:t>月</w:t>
      </w:r>
      <w:r>
        <w:rPr>
          <w:rStyle w:val="36"/>
          <w:rFonts w:hint="eastAsia" w:ascii="宋体" w:hAnsi="宋体"/>
          <w:b/>
          <w:sz w:val="24"/>
          <w:highlight w:val="none"/>
          <w:lang w:val="en-US" w:eastAsia="zh-CN"/>
        </w:rPr>
        <w:t>8</w:t>
      </w:r>
      <w:r>
        <w:rPr>
          <w:rStyle w:val="36"/>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6"/>
          <w:rFonts w:ascii="宋体" w:hAnsi="宋体"/>
          <w:b/>
          <w:sz w:val="24"/>
          <w:highlight w:val="none"/>
        </w:rPr>
        <w:t>（北</w:t>
      </w:r>
      <w:r>
        <w:rPr>
          <w:rStyle w:val="36"/>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5</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8</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东区食堂灶台采购项目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YDFYXJ-20230404</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1.9</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tbl>
      <w:tblPr>
        <w:tblStyle w:val="20"/>
        <w:tblW w:w="11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1686"/>
        <w:gridCol w:w="847"/>
        <w:gridCol w:w="780"/>
        <w:gridCol w:w="5940"/>
        <w:gridCol w:w="1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分项工程名称</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双眼大锅灶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1200*800mm，不锈钢台面厚1.2mm，炉身、炉背厚度1.0mm。材质304，内骨架4#标准角钢，半自动水龙头,炉脚采用直径2″不锈钢管内含钢柱，配可调性不锈钢子弹脚，炉头：节能炉头，独立带长明火种设置,安装可靠，炉心：球墨铸铁，炉膛：高AL2O3重质耐火砖、泥。配2台永强250W鼓风机，带熄火保护装置。</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12065</wp:posOffset>
                  </wp:positionH>
                  <wp:positionV relativeFrom="paragraph">
                    <wp:posOffset>393700</wp:posOffset>
                  </wp:positionV>
                  <wp:extent cx="942340" cy="947420"/>
                  <wp:effectExtent l="0" t="0" r="10160" b="5080"/>
                  <wp:wrapSquare wrapText="bothSides"/>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6"/>
                          <a:stretch>
                            <a:fillRect/>
                          </a:stretch>
                        </pic:blipFill>
                        <pic:spPr>
                          <a:xfrm>
                            <a:off x="0" y="0"/>
                            <a:ext cx="942340" cy="9474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6"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双眼炒灶</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1000*800mm，不锈钢台面厚1.2mm，炉身、炉背厚度1.0mm。材质304，内骨架4#标准角钢，半自动水龙头,炉脚采用直径2″不锈钢管内含钢柱，配可调性不锈钢子弹脚，炉头：节能炉头，独立带长明火种设置,安装可靠，炉心：球墨铸铁，炉膛：高AL2O3重质耐火砖、泥。配2台永强250W鼓风机，带熄火保护装置。</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-16510</wp:posOffset>
                  </wp:positionH>
                  <wp:positionV relativeFrom="paragraph">
                    <wp:posOffset>421640</wp:posOffset>
                  </wp:positionV>
                  <wp:extent cx="887730" cy="601980"/>
                  <wp:effectExtent l="0" t="0" r="7620" b="7620"/>
                  <wp:wrapSquare wrapText="bothSides"/>
                  <wp:docPr id="6" name="Picture_45"/>
                  <wp:cNvGraphicFramePr/>
                  <a:graphic xmlns:a="http://schemas.openxmlformats.org/drawingml/2006/main">
                    <a:graphicData uri="http://schemas.openxmlformats.org/drawingml/2006/picture">
                      <pic:pic xmlns:pic="http://schemas.openxmlformats.org/drawingml/2006/picture">
                        <pic:nvPicPr>
                          <pic:cNvPr id="6" name="Picture_45"/>
                          <pic:cNvPicPr/>
                        </pic:nvPicPr>
                        <pic:blipFill>
                          <a:blip r:embed="rId7"/>
                          <a:stretch>
                            <a:fillRect/>
                          </a:stretch>
                        </pic:blipFill>
                        <pic:spPr>
                          <a:xfrm>
                            <a:off x="0" y="0"/>
                            <a:ext cx="887730" cy="6019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单眼炒灶</w:t>
            </w:r>
          </w:p>
        </w:tc>
        <w:tc>
          <w:tcPr>
            <w:tcW w:w="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1100*800mm，不锈钢台面厚1.2mm，炉身、炉背厚度1.0mm。材质304，内骨架4#标准角钢，半自动水龙头,炉脚采用直径2″不锈钢管内含钢柱，配可调性不锈钢子弹脚，炉头：节能炉头，独立带长明火种设置,安装可靠，炉心：球墨铸铁，炉膛：高AL2O3重质耐火砖、泥。配2台永强250W鼓风机，带熄火保护装置。</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141605</wp:posOffset>
                  </wp:positionH>
                  <wp:positionV relativeFrom="paragraph">
                    <wp:posOffset>272415</wp:posOffset>
                  </wp:positionV>
                  <wp:extent cx="648970" cy="758190"/>
                  <wp:effectExtent l="0" t="0" r="17780" b="3810"/>
                  <wp:wrapSquare wrapText="bothSides"/>
                  <wp:docPr id="7" name="图片_4"/>
                  <wp:cNvGraphicFramePr/>
                  <a:graphic xmlns:a="http://schemas.openxmlformats.org/drawingml/2006/main">
                    <a:graphicData uri="http://schemas.openxmlformats.org/drawingml/2006/picture">
                      <pic:pic xmlns:pic="http://schemas.openxmlformats.org/drawingml/2006/picture">
                        <pic:nvPicPr>
                          <pic:cNvPr id="7" name="图片_4"/>
                          <pic:cNvPicPr/>
                        </pic:nvPicPr>
                        <pic:blipFill>
                          <a:blip r:embed="rId8"/>
                          <a:stretch>
                            <a:fillRect/>
                          </a:stretch>
                        </pic:blipFill>
                        <pic:spPr>
                          <a:xfrm>
                            <a:off x="0" y="0"/>
                            <a:ext cx="648970" cy="758190"/>
                          </a:xfrm>
                          <a:prstGeom prst="rect">
                            <a:avLst/>
                          </a:prstGeom>
                          <a:noFill/>
                          <a:ln>
                            <a:noFill/>
                          </a:ln>
                        </pic:spPr>
                      </pic:pic>
                    </a:graphicData>
                  </a:graphic>
                </wp:anchor>
              </w:drawing>
            </w:r>
          </w:p>
        </w:tc>
      </w:tr>
    </w:tbl>
    <w:p>
      <w:pPr>
        <w:adjustRightInd w:val="0"/>
        <w:snapToGrid w:val="0"/>
        <w:spacing w:line="440" w:lineRule="exact"/>
        <w:contextualSpacing/>
        <w:rPr>
          <w:rFonts w:hint="eastAsia" w:ascii="宋体" w:hAnsi="宋体"/>
          <w:b/>
          <w:bCs/>
          <w:sz w:val="24"/>
          <w:lang w:val="en-US" w:eastAsia="zh-CN"/>
        </w:rPr>
      </w:pPr>
    </w:p>
    <w:p>
      <w:pPr>
        <w:adjustRightInd w:val="0"/>
        <w:snapToGrid w:val="0"/>
        <w:spacing w:line="440" w:lineRule="exact"/>
        <w:contextualSpacing/>
        <w:rPr>
          <w:rFonts w:hint="eastAsia" w:ascii="宋体" w:hAnsi="宋体"/>
          <w:b/>
          <w:bCs/>
          <w:sz w:val="24"/>
          <w:lang w:val="en-US" w:eastAsia="zh-CN"/>
        </w:rPr>
      </w:pPr>
      <w:r>
        <w:rPr>
          <w:rFonts w:hint="eastAsia" w:ascii="宋体" w:hAnsi="宋体"/>
          <w:b/>
          <w:bCs/>
          <w:sz w:val="24"/>
          <w:lang w:val="en-US" w:eastAsia="zh-CN"/>
        </w:rPr>
        <w:t>3.服务协议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9"/>
        <w:ind w:firstLine="0"/>
      </w:pPr>
    </w:p>
    <w:p>
      <w:pPr>
        <w:jc w:val="center"/>
        <w:rPr>
          <w:rFonts w:ascii="宋体" w:hAnsi="宋体"/>
          <w:b/>
          <w:bCs/>
          <w:sz w:val="36"/>
          <w:szCs w:val="36"/>
        </w:rPr>
      </w:pPr>
      <w:r>
        <w:rPr>
          <w:rFonts w:hint="eastAsia" w:ascii="宋体" w:hAnsi="宋体"/>
          <w:b/>
          <w:bCs/>
          <w:sz w:val="36"/>
          <w:szCs w:val="36"/>
        </w:rPr>
        <w:t>投标文件</w:t>
      </w:r>
    </w:p>
    <w:p>
      <w:pPr>
        <w:pStyle w:val="19"/>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9"/>
        <w:ind w:firstLine="0"/>
      </w:pPr>
    </w:p>
    <w:p>
      <w:pPr>
        <w:pStyle w:val="19"/>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9"/>
        <w:rPr>
          <w:sz w:val="36"/>
          <w:szCs w:val="36"/>
        </w:rPr>
      </w:pPr>
    </w:p>
    <w:p>
      <w:pPr>
        <w:pStyle w:val="19"/>
        <w:rPr>
          <w:sz w:val="36"/>
          <w:szCs w:val="36"/>
        </w:rPr>
      </w:pPr>
    </w:p>
    <w:p>
      <w:pPr>
        <w:pStyle w:val="19"/>
        <w:rPr>
          <w:sz w:val="36"/>
          <w:szCs w:val="36"/>
        </w:rPr>
      </w:pPr>
    </w:p>
    <w:p>
      <w:pPr>
        <w:rPr>
          <w:b/>
          <w:sz w:val="36"/>
          <w:szCs w:val="36"/>
        </w:rPr>
      </w:pPr>
    </w:p>
    <w:p>
      <w:pPr>
        <w:pStyle w:val="19"/>
        <w:ind w:firstLine="0"/>
        <w:jc w:val="left"/>
      </w:pPr>
    </w:p>
    <w:p>
      <w:pPr>
        <w:jc w:val="center"/>
        <w:rPr>
          <w:rFonts w:ascii="宋体" w:hAnsi="宋体"/>
          <w:b/>
          <w:sz w:val="36"/>
          <w:szCs w:val="36"/>
          <w:u w:val="single"/>
        </w:rPr>
      </w:pPr>
      <w:r>
        <w:rPr>
          <w:rFonts w:hint="eastAsia"/>
          <w:b/>
          <w:sz w:val="36"/>
          <w:szCs w:val="36"/>
        </w:rPr>
        <w:t>目录</w:t>
      </w:r>
    </w:p>
    <w:p>
      <w:pPr>
        <w:pStyle w:val="8"/>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东区食堂灶台采购项目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YDFYXJ-20230404</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9"/>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9"/>
        <w:rPr>
          <w:rFonts w:ascii="宋体" w:hAnsi="宋体" w:cs="宋体"/>
          <w:sz w:val="28"/>
          <w:szCs w:val="28"/>
        </w:rPr>
      </w:pPr>
    </w:p>
    <w:p>
      <w:pPr>
        <w:pStyle w:val="7"/>
        <w:ind w:left="0" w:leftChars="0" w:firstLine="0" w:firstLineChars="0"/>
        <w:rPr>
          <w:b/>
          <w:sz w:val="36"/>
          <w:szCs w:val="36"/>
        </w:rPr>
      </w:pPr>
    </w:p>
    <w:p>
      <w:pPr>
        <w:pStyle w:val="7"/>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ind w:firstLine="0"/>
      </w:pPr>
    </w:p>
    <w:p>
      <w:pPr>
        <w:pStyle w:val="19"/>
        <w:ind w:firstLine="0"/>
      </w:pPr>
    </w:p>
    <w:p>
      <w:pPr>
        <w:pStyle w:val="19"/>
        <w:ind w:firstLine="0"/>
      </w:pPr>
    </w:p>
    <w:p>
      <w:pPr>
        <w:pStyle w:val="19"/>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8"/>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9"/>
        <w:rPr>
          <w:rFonts w:ascii="宋体" w:hAnsi="宋体"/>
          <w:bCs/>
          <w:sz w:val="24"/>
        </w:rPr>
      </w:pPr>
    </w:p>
    <w:p>
      <w:pPr>
        <w:pStyle w:val="19"/>
        <w:rPr>
          <w:rFonts w:ascii="宋体" w:hAnsi="宋体"/>
          <w:bCs/>
          <w:sz w:val="24"/>
        </w:rPr>
      </w:pPr>
    </w:p>
    <w:p>
      <w:pPr>
        <w:pStyle w:val="19"/>
        <w:rPr>
          <w:rFonts w:ascii="宋体" w:hAnsi="宋体"/>
          <w:bCs/>
          <w:sz w:val="24"/>
        </w:rPr>
      </w:pPr>
    </w:p>
    <w:p>
      <w:pPr>
        <w:pStyle w:val="19"/>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21"/>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7"/>
            </w:pPr>
          </w:p>
          <w:p/>
          <w:p>
            <w:pPr>
              <w:pStyle w:val="7"/>
            </w:pPr>
          </w:p>
          <w:p/>
          <w:p>
            <w:pPr>
              <w:pStyle w:val="7"/>
            </w:pPr>
          </w:p>
          <w:p/>
          <w:p>
            <w:pPr>
              <w:pStyle w:val="7"/>
            </w:pPr>
          </w:p>
          <w:p/>
          <w:p>
            <w:pPr>
              <w:pStyle w:val="7"/>
            </w:pPr>
          </w:p>
          <w:p/>
          <w:p>
            <w:pPr>
              <w:pStyle w:val="7"/>
            </w:pPr>
          </w:p>
          <w:p/>
          <w:p>
            <w:pPr>
              <w:pStyle w:val="7"/>
            </w:pPr>
          </w:p>
          <w:p/>
          <w:p>
            <w:pPr>
              <w:pStyle w:val="7"/>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7"/>
        <w:ind w:left="0" w:leftChars="0" w:firstLine="0" w:firstLineChars="0"/>
        <w:rPr>
          <w:rFonts w:ascii="宋体" w:hAnsi="宋体"/>
          <w:kern w:val="0"/>
          <w:sz w:val="36"/>
          <w:szCs w:val="36"/>
        </w:rPr>
      </w:pPr>
    </w:p>
    <w:p/>
    <w:p>
      <w:pPr>
        <w:pStyle w:val="16"/>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7"/>
        <w:rPr>
          <w:rFonts w:ascii="宋体" w:hAnsi="宋体"/>
        </w:rPr>
      </w:pPr>
    </w:p>
    <w:p>
      <w:pPr>
        <w:rPr>
          <w:rFonts w:ascii="宋体" w:hAnsi="宋体"/>
        </w:rPr>
      </w:pPr>
    </w:p>
    <w:p>
      <w:pPr>
        <w:pStyle w:val="7"/>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0"/>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4"/>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7"/>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9"/>
      </w:pPr>
    </w:p>
    <w:p>
      <w:pPr>
        <w:rPr>
          <w:rFonts w:hint="eastAsia" w:ascii="宋体" w:hAnsi="宋体"/>
          <w:b/>
          <w:sz w:val="36"/>
          <w:szCs w:val="36"/>
        </w:rPr>
      </w:pPr>
      <w:bookmarkStart w:id="1" w:name="_Toc16938559"/>
      <w:bookmarkStart w:id="2" w:name="_Toc20823315"/>
      <w:bookmarkStart w:id="3" w:name="_Toc513029243"/>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东区食堂灶台采购项目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YDFYXJ-20230404</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东区食堂灶台采购项目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东区食堂灶台采购项目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服务</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w:t>
      </w:r>
      <w:r>
        <w:rPr>
          <w:rFonts w:hint="eastAsia" w:cs="宋体"/>
          <w:sz w:val="24"/>
          <w:highlight w:val="none"/>
          <w:lang w:val="en-US" w:eastAsia="zh-CN"/>
        </w:rPr>
        <w:t>交付使用</w:t>
      </w:r>
      <w:r>
        <w:rPr>
          <w:rFonts w:hint="eastAsia" w:ascii="宋体" w:hAnsi="宋体" w:cs="宋体"/>
          <w:sz w:val="24"/>
          <w:highlight w:val="none"/>
        </w:rPr>
        <w:t>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3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7</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w:t>
      </w:r>
      <w:r>
        <w:rPr>
          <w:rFonts w:hint="eastAsia" w:ascii="宋体" w:hAnsi="宋体" w:cs="宋体"/>
          <w:color w:val="000000"/>
          <w:kern w:val="0"/>
          <w:sz w:val="24"/>
          <w:lang w:val="en-US" w:eastAsia="zh-CN"/>
        </w:rPr>
        <w:t>安装交付使用</w:t>
      </w:r>
      <w:r>
        <w:rPr>
          <w:rFonts w:hint="eastAsia" w:ascii="宋体" w:hAnsi="宋体" w:cs="宋体"/>
          <w:color w:val="000000"/>
          <w:kern w:val="0"/>
          <w:sz w:val="24"/>
        </w:rPr>
        <w:t>。</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777804"/>
    <w:rsid w:val="018D678E"/>
    <w:rsid w:val="02A1423A"/>
    <w:rsid w:val="034D4BC8"/>
    <w:rsid w:val="04E61983"/>
    <w:rsid w:val="04F93EF7"/>
    <w:rsid w:val="053E3F8C"/>
    <w:rsid w:val="05EB5497"/>
    <w:rsid w:val="06066D24"/>
    <w:rsid w:val="06835001"/>
    <w:rsid w:val="07CD3AA2"/>
    <w:rsid w:val="0907213E"/>
    <w:rsid w:val="0BE47D69"/>
    <w:rsid w:val="0C067990"/>
    <w:rsid w:val="0C4A2728"/>
    <w:rsid w:val="0C704CF9"/>
    <w:rsid w:val="0CF140C8"/>
    <w:rsid w:val="0D095E3B"/>
    <w:rsid w:val="0D2E16CF"/>
    <w:rsid w:val="0D4515B4"/>
    <w:rsid w:val="0E126F52"/>
    <w:rsid w:val="0E2A13BF"/>
    <w:rsid w:val="0EE42777"/>
    <w:rsid w:val="0F825E34"/>
    <w:rsid w:val="110961DE"/>
    <w:rsid w:val="11202626"/>
    <w:rsid w:val="127325D2"/>
    <w:rsid w:val="12860106"/>
    <w:rsid w:val="135E7630"/>
    <w:rsid w:val="13AD2810"/>
    <w:rsid w:val="14574206"/>
    <w:rsid w:val="14A043CE"/>
    <w:rsid w:val="14CA0422"/>
    <w:rsid w:val="151678B8"/>
    <w:rsid w:val="15D76399"/>
    <w:rsid w:val="15F35842"/>
    <w:rsid w:val="17161F71"/>
    <w:rsid w:val="171674CF"/>
    <w:rsid w:val="172469D5"/>
    <w:rsid w:val="17407202"/>
    <w:rsid w:val="17754BB0"/>
    <w:rsid w:val="186D5CBC"/>
    <w:rsid w:val="19826916"/>
    <w:rsid w:val="1A965BFC"/>
    <w:rsid w:val="1B0E6D6D"/>
    <w:rsid w:val="1C94789B"/>
    <w:rsid w:val="1D762024"/>
    <w:rsid w:val="1E1B2D66"/>
    <w:rsid w:val="1E525F06"/>
    <w:rsid w:val="1EAC0AAC"/>
    <w:rsid w:val="1F104C9D"/>
    <w:rsid w:val="1FF236E2"/>
    <w:rsid w:val="205648A9"/>
    <w:rsid w:val="21C93434"/>
    <w:rsid w:val="22A022B9"/>
    <w:rsid w:val="22EC14F1"/>
    <w:rsid w:val="23735059"/>
    <w:rsid w:val="23E9338C"/>
    <w:rsid w:val="2466755A"/>
    <w:rsid w:val="24782FEE"/>
    <w:rsid w:val="24E27B0B"/>
    <w:rsid w:val="26FD1144"/>
    <w:rsid w:val="270244AF"/>
    <w:rsid w:val="279829B9"/>
    <w:rsid w:val="28795CAE"/>
    <w:rsid w:val="28CF6D5C"/>
    <w:rsid w:val="28D728FE"/>
    <w:rsid w:val="290E1224"/>
    <w:rsid w:val="292206E7"/>
    <w:rsid w:val="298A42A2"/>
    <w:rsid w:val="29DD5C6A"/>
    <w:rsid w:val="2A6C65F7"/>
    <w:rsid w:val="2AA6133D"/>
    <w:rsid w:val="2BCB5B07"/>
    <w:rsid w:val="2E026BA2"/>
    <w:rsid w:val="2E0A00DD"/>
    <w:rsid w:val="2E237847"/>
    <w:rsid w:val="2EE7735A"/>
    <w:rsid w:val="2F716810"/>
    <w:rsid w:val="2F877A0A"/>
    <w:rsid w:val="304A7173"/>
    <w:rsid w:val="30D304E7"/>
    <w:rsid w:val="30DF7E8F"/>
    <w:rsid w:val="310442A6"/>
    <w:rsid w:val="312D648E"/>
    <w:rsid w:val="318E7998"/>
    <w:rsid w:val="31FF36A9"/>
    <w:rsid w:val="32542738"/>
    <w:rsid w:val="337C4795"/>
    <w:rsid w:val="343C624B"/>
    <w:rsid w:val="349B0B50"/>
    <w:rsid w:val="354C2853"/>
    <w:rsid w:val="35CA1979"/>
    <w:rsid w:val="35D6255E"/>
    <w:rsid w:val="375A406B"/>
    <w:rsid w:val="37CB42F0"/>
    <w:rsid w:val="395873E0"/>
    <w:rsid w:val="398427FF"/>
    <w:rsid w:val="3B6B7997"/>
    <w:rsid w:val="3C7E55A0"/>
    <w:rsid w:val="3C7E7E4D"/>
    <w:rsid w:val="3C8D3C65"/>
    <w:rsid w:val="3D920AB3"/>
    <w:rsid w:val="3E4F54B3"/>
    <w:rsid w:val="3EA006FD"/>
    <w:rsid w:val="406A6438"/>
    <w:rsid w:val="40C726B4"/>
    <w:rsid w:val="4163555B"/>
    <w:rsid w:val="424B0DFC"/>
    <w:rsid w:val="43487107"/>
    <w:rsid w:val="43F56786"/>
    <w:rsid w:val="4417638D"/>
    <w:rsid w:val="45977351"/>
    <w:rsid w:val="45F42EB8"/>
    <w:rsid w:val="46056344"/>
    <w:rsid w:val="467B4C8A"/>
    <w:rsid w:val="4689608C"/>
    <w:rsid w:val="47CE0BEB"/>
    <w:rsid w:val="47DD46E6"/>
    <w:rsid w:val="48B5696C"/>
    <w:rsid w:val="49AC543C"/>
    <w:rsid w:val="4ACD2A51"/>
    <w:rsid w:val="4B4053E3"/>
    <w:rsid w:val="4B8D08A2"/>
    <w:rsid w:val="4BD6274F"/>
    <w:rsid w:val="4C1B60E3"/>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10328E8"/>
    <w:rsid w:val="510F701A"/>
    <w:rsid w:val="51673008"/>
    <w:rsid w:val="5199638E"/>
    <w:rsid w:val="51BD509B"/>
    <w:rsid w:val="537760B9"/>
    <w:rsid w:val="54422408"/>
    <w:rsid w:val="54AC3518"/>
    <w:rsid w:val="54C65CDC"/>
    <w:rsid w:val="560560AD"/>
    <w:rsid w:val="56410E61"/>
    <w:rsid w:val="56881779"/>
    <w:rsid w:val="57CE325B"/>
    <w:rsid w:val="57DA3AB3"/>
    <w:rsid w:val="58A415C5"/>
    <w:rsid w:val="590F082F"/>
    <w:rsid w:val="59104CF0"/>
    <w:rsid w:val="591C0A3A"/>
    <w:rsid w:val="592A7A9B"/>
    <w:rsid w:val="5AA53F71"/>
    <w:rsid w:val="5AAE4B55"/>
    <w:rsid w:val="5B063544"/>
    <w:rsid w:val="5B3A3011"/>
    <w:rsid w:val="5BD053AF"/>
    <w:rsid w:val="5BE11FCF"/>
    <w:rsid w:val="5C3E22E0"/>
    <w:rsid w:val="5C63055C"/>
    <w:rsid w:val="5C936A98"/>
    <w:rsid w:val="5C9D5DDF"/>
    <w:rsid w:val="5CA1516C"/>
    <w:rsid w:val="5CA23409"/>
    <w:rsid w:val="5CDB0A62"/>
    <w:rsid w:val="5D9E4640"/>
    <w:rsid w:val="5E584ED9"/>
    <w:rsid w:val="5EA77160"/>
    <w:rsid w:val="5F1D0DE7"/>
    <w:rsid w:val="600E4C27"/>
    <w:rsid w:val="60186A28"/>
    <w:rsid w:val="60446E43"/>
    <w:rsid w:val="60DB4EA5"/>
    <w:rsid w:val="612E05C2"/>
    <w:rsid w:val="616C3D5B"/>
    <w:rsid w:val="61806483"/>
    <w:rsid w:val="619072D4"/>
    <w:rsid w:val="61F801D2"/>
    <w:rsid w:val="62682BAD"/>
    <w:rsid w:val="626E3CB0"/>
    <w:rsid w:val="632E169A"/>
    <w:rsid w:val="63473929"/>
    <w:rsid w:val="63AA1A78"/>
    <w:rsid w:val="64D65B4F"/>
    <w:rsid w:val="65F2258C"/>
    <w:rsid w:val="66A07C1E"/>
    <w:rsid w:val="66AF19DA"/>
    <w:rsid w:val="6710513C"/>
    <w:rsid w:val="673E62A6"/>
    <w:rsid w:val="675A5AE8"/>
    <w:rsid w:val="677A6507"/>
    <w:rsid w:val="678D2F92"/>
    <w:rsid w:val="687B1D33"/>
    <w:rsid w:val="68AD3801"/>
    <w:rsid w:val="6A056E3D"/>
    <w:rsid w:val="6D633984"/>
    <w:rsid w:val="6DF60098"/>
    <w:rsid w:val="6E1F0C2D"/>
    <w:rsid w:val="6F882E18"/>
    <w:rsid w:val="708C2B36"/>
    <w:rsid w:val="70952B65"/>
    <w:rsid w:val="70A153BD"/>
    <w:rsid w:val="70C57A02"/>
    <w:rsid w:val="70DB38A7"/>
    <w:rsid w:val="70FE780D"/>
    <w:rsid w:val="71D1780D"/>
    <w:rsid w:val="71DC1AE4"/>
    <w:rsid w:val="72217603"/>
    <w:rsid w:val="72487296"/>
    <w:rsid w:val="7282207E"/>
    <w:rsid w:val="74226CB9"/>
    <w:rsid w:val="75006B73"/>
    <w:rsid w:val="750721CD"/>
    <w:rsid w:val="75126C7B"/>
    <w:rsid w:val="75893D2A"/>
    <w:rsid w:val="764E69E8"/>
    <w:rsid w:val="7787662E"/>
    <w:rsid w:val="77BD4B49"/>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576"/>
    </w:pPr>
    <w:rPr>
      <w:b/>
      <w:sz w:val="30"/>
    </w:rPr>
  </w:style>
  <w:style w:type="paragraph" w:styleId="3">
    <w:name w:val="Body Text"/>
    <w:basedOn w:val="1"/>
    <w:next w:val="4"/>
    <w:qFormat/>
    <w:uiPriority w:val="99"/>
    <w:rPr>
      <w:rFonts w:ascii="楷体_GB2312" w:hAnsi="Arial" w:eastAsia="楷体_GB2312"/>
      <w:kern w:val="0"/>
      <w:sz w:val="28"/>
      <w:szCs w:val="28"/>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table of authorities"/>
    <w:basedOn w:val="1"/>
    <w:next w:val="1"/>
    <w:qFormat/>
    <w:uiPriority w:val="0"/>
    <w:pPr>
      <w:ind w:left="420" w:leftChars="200"/>
    </w:pPr>
  </w:style>
  <w:style w:type="paragraph" w:styleId="8">
    <w:name w:val="Normal Indent"/>
    <w:basedOn w:val="1"/>
    <w:link w:val="35"/>
    <w:unhideWhenUsed/>
    <w:qFormat/>
    <w:uiPriority w:val="0"/>
    <w:pPr>
      <w:ind w:firstLine="420" w:firstLineChars="200"/>
    </w:pPr>
  </w:style>
  <w:style w:type="paragraph" w:styleId="9">
    <w:name w:val="annotation text"/>
    <w:basedOn w:val="1"/>
    <w:semiHidden/>
    <w:unhideWhenUsed/>
    <w:qFormat/>
    <w:uiPriority w:val="99"/>
    <w:pPr>
      <w:jc w:val="left"/>
    </w:pPr>
  </w:style>
  <w:style w:type="paragraph" w:styleId="10">
    <w:name w:val="Body Text 3"/>
    <w:basedOn w:val="1"/>
    <w:next w:val="1"/>
    <w:qFormat/>
    <w:uiPriority w:val="0"/>
    <w:pPr>
      <w:spacing w:after="120" w:afterLines="0"/>
    </w:pPr>
    <w:rPr>
      <w:sz w:val="16"/>
      <w:szCs w:val="16"/>
    </w:rPr>
  </w:style>
  <w:style w:type="paragraph" w:styleId="11">
    <w:name w:val="List Bullet 2"/>
    <w:basedOn w:val="1"/>
    <w:unhideWhenUsed/>
    <w:qFormat/>
    <w:uiPriority w:val="0"/>
    <w:pPr>
      <w:numPr>
        <w:ilvl w:val="0"/>
        <w:numId w:val="1"/>
      </w:numPr>
      <w:contextualSpacing/>
    </w:pPr>
    <w:rPr>
      <w:rFonts w:ascii="Calibri" w:hAnsi="Calibri"/>
    </w:rPr>
  </w:style>
  <w:style w:type="paragraph" w:styleId="12">
    <w:name w:val="Plain Text"/>
    <w:basedOn w:val="1"/>
    <w:link w:val="30"/>
    <w:qFormat/>
    <w:uiPriority w:val="99"/>
    <w:rPr>
      <w:rFonts w:ascii="宋体" w:hAnsi="Courier New"/>
      <w:szCs w:val="20"/>
    </w:rPr>
  </w:style>
  <w:style w:type="paragraph" w:styleId="13">
    <w:name w:val="Balloon Text"/>
    <w:basedOn w:val="1"/>
    <w:link w:val="29"/>
    <w:semiHidden/>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2"/>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7">
    <w:name w:val="Body Text 2"/>
    <w:basedOn w:val="1"/>
    <w:qFormat/>
    <w:uiPriority w:val="0"/>
    <w:pPr>
      <w:spacing w:after="120" w:line="480" w:lineRule="auto"/>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2"/>
    <w:next w:val="8"/>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semiHidden/>
    <w:unhideWhenUsed/>
    <w:qFormat/>
    <w:uiPriority w:val="99"/>
    <w:rPr>
      <w:color w:val="222222"/>
      <w:u w:val="none"/>
    </w:rPr>
  </w:style>
  <w:style w:type="character" w:styleId="24">
    <w:name w:val="Hyperlink"/>
    <w:basedOn w:val="22"/>
    <w:unhideWhenUsed/>
    <w:qFormat/>
    <w:uiPriority w:val="99"/>
    <w:rPr>
      <w:color w:val="0000FF" w:themeColor="hyperlink"/>
      <w:u w:val="single"/>
    </w:rPr>
  </w:style>
  <w:style w:type="paragraph" w:customStyle="1" w:styleId="25">
    <w:name w:val="正文（缩进）"/>
    <w:basedOn w:val="1"/>
    <w:qFormat/>
    <w:uiPriority w:val="0"/>
    <w:pPr>
      <w:ind w:firstLine="480" w:firstLineChars="200"/>
    </w:pPr>
  </w:style>
  <w:style w:type="paragraph" w:customStyle="1" w:styleId="26">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7">
    <w:name w:val="页眉 Char"/>
    <w:basedOn w:val="22"/>
    <w:link w:val="15"/>
    <w:semiHidden/>
    <w:qFormat/>
    <w:uiPriority w:val="99"/>
    <w:rPr>
      <w:rFonts w:eastAsia="宋体"/>
      <w:kern w:val="2"/>
      <w:sz w:val="18"/>
      <w:szCs w:val="18"/>
    </w:rPr>
  </w:style>
  <w:style w:type="character" w:customStyle="1" w:styleId="28">
    <w:name w:val="页脚 Char"/>
    <w:basedOn w:val="22"/>
    <w:link w:val="14"/>
    <w:semiHidden/>
    <w:qFormat/>
    <w:uiPriority w:val="99"/>
    <w:rPr>
      <w:rFonts w:eastAsia="宋体"/>
      <w:kern w:val="2"/>
      <w:sz w:val="18"/>
      <w:szCs w:val="18"/>
    </w:rPr>
  </w:style>
  <w:style w:type="character" w:customStyle="1" w:styleId="29">
    <w:name w:val="批注框文本 Char"/>
    <w:basedOn w:val="22"/>
    <w:link w:val="13"/>
    <w:semiHidden/>
    <w:qFormat/>
    <w:uiPriority w:val="99"/>
    <w:rPr>
      <w:rFonts w:eastAsia="宋体"/>
      <w:kern w:val="2"/>
      <w:sz w:val="18"/>
      <w:szCs w:val="18"/>
    </w:rPr>
  </w:style>
  <w:style w:type="character" w:customStyle="1" w:styleId="30">
    <w:name w:val="纯文本 Char"/>
    <w:basedOn w:val="22"/>
    <w:link w:val="12"/>
    <w:qFormat/>
    <w:uiPriority w:val="99"/>
    <w:rPr>
      <w:rFonts w:ascii="宋体" w:hAnsi="Courier New" w:eastAsia="宋体"/>
      <w:kern w:val="2"/>
      <w:sz w:val="21"/>
    </w:rPr>
  </w:style>
  <w:style w:type="character" w:customStyle="1" w:styleId="31">
    <w:name w:val="副标题 Char"/>
    <w:qFormat/>
    <w:uiPriority w:val="0"/>
    <w:rPr>
      <w:rFonts w:ascii="Cambria" w:hAnsi="Cambria"/>
      <w:b/>
      <w:bCs/>
      <w:kern w:val="28"/>
      <w:sz w:val="32"/>
      <w:szCs w:val="32"/>
    </w:rPr>
  </w:style>
  <w:style w:type="character" w:customStyle="1" w:styleId="32">
    <w:name w:val="副标题 Char1"/>
    <w:basedOn w:val="22"/>
    <w:link w:val="16"/>
    <w:qFormat/>
    <w:uiPriority w:val="0"/>
    <w:rPr>
      <w:rFonts w:eastAsia="宋体" w:asciiTheme="majorHAnsi" w:hAnsiTheme="majorHAnsi" w:cstheme="majorBidi"/>
      <w:b/>
      <w:bCs/>
      <w:kern w:val="28"/>
      <w:sz w:val="32"/>
      <w:szCs w:val="32"/>
    </w:rPr>
  </w:style>
  <w:style w:type="paragraph" w:styleId="33">
    <w:name w:val="List Paragraph"/>
    <w:basedOn w:val="1"/>
    <w:unhideWhenUsed/>
    <w:qFormat/>
    <w:uiPriority w:val="99"/>
    <w:pPr>
      <w:ind w:firstLine="420" w:firstLineChars="200"/>
    </w:pPr>
  </w:style>
  <w:style w:type="paragraph" w:customStyle="1" w:styleId="34">
    <w:name w:val="普通文字"/>
    <w:basedOn w:val="1"/>
    <w:next w:val="1"/>
    <w:qFormat/>
    <w:uiPriority w:val="0"/>
    <w:rPr>
      <w:rFonts w:ascii="宋体"/>
      <w:kern w:val="0"/>
      <w:sz w:val="24"/>
      <w:u w:color="000000"/>
    </w:rPr>
  </w:style>
  <w:style w:type="character" w:customStyle="1" w:styleId="35">
    <w:name w:val="正文缩进 Char"/>
    <w:link w:val="8"/>
    <w:qFormat/>
    <w:uiPriority w:val="0"/>
    <w:rPr>
      <w:kern w:val="2"/>
      <w:sz w:val="21"/>
      <w:szCs w:val="24"/>
    </w:rPr>
  </w:style>
  <w:style w:type="character" w:customStyle="1" w:styleId="36">
    <w:name w:val="NormalCharacter"/>
    <w:qFormat/>
    <w:uiPriority w:val="0"/>
  </w:style>
  <w:style w:type="character" w:customStyle="1" w:styleId="37">
    <w:name w:val="font11"/>
    <w:basedOn w:val="22"/>
    <w:qFormat/>
    <w:uiPriority w:val="0"/>
    <w:rPr>
      <w:rFonts w:hint="eastAsia" w:ascii="宋体" w:hAnsi="宋体" w:eastAsia="宋体" w:cs="宋体"/>
      <w:b/>
      <w:bCs/>
      <w:color w:val="000000"/>
      <w:sz w:val="22"/>
      <w:szCs w:val="22"/>
      <w:u w:val="none"/>
    </w:rPr>
  </w:style>
  <w:style w:type="character" w:customStyle="1" w:styleId="38">
    <w:name w:val="font71"/>
    <w:basedOn w:val="22"/>
    <w:qFormat/>
    <w:uiPriority w:val="0"/>
    <w:rPr>
      <w:rFonts w:hint="eastAsia" w:ascii="宋体" w:hAnsi="宋体" w:eastAsia="宋体" w:cs="宋体"/>
      <w:b/>
      <w:bCs/>
      <w:color w:val="000000"/>
      <w:sz w:val="22"/>
      <w:szCs w:val="22"/>
      <w:u w:val="none"/>
    </w:rPr>
  </w:style>
  <w:style w:type="paragraph" w:customStyle="1" w:styleId="39">
    <w:name w:val="CM20"/>
    <w:basedOn w:val="40"/>
    <w:next w:val="40"/>
    <w:qFormat/>
    <w:uiPriority w:val="0"/>
    <w:pPr>
      <w:spacing w:line="411" w:lineRule="atLeast"/>
    </w:pPr>
    <w:rPr>
      <w:rFonts w:cs="Times New Roman"/>
      <w:color w:val="auto"/>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font2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4604</Words>
  <Characters>5031</Characters>
  <Lines>70</Lines>
  <Paragraphs>19</Paragraphs>
  <TotalTime>56</TotalTime>
  <ScaleCrop>false</ScaleCrop>
  <LinksUpToDate>false</LinksUpToDate>
  <CharactersWithSpaces>5682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2023-05-04T00:25:40Z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