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highlight w:val="none"/>
        </w:rPr>
      </w:pPr>
      <w:r>
        <w:rPr>
          <w:rFonts w:hint="eastAsia" w:ascii="宋体" w:hAnsi="宋体" w:cs="宋体"/>
          <w:b/>
          <w:snapToGrid w:val="0"/>
          <w:kern w:val="0"/>
          <w:sz w:val="32"/>
          <w:szCs w:val="32"/>
          <w:highlight w:val="none"/>
        </w:rPr>
        <w:t>YDFYXJ-</w:t>
      </w:r>
      <w:r>
        <w:rPr>
          <w:rFonts w:hint="eastAsia" w:ascii="宋体" w:hAnsi="宋体" w:cs="宋体"/>
          <w:b/>
          <w:snapToGrid w:val="0"/>
          <w:kern w:val="0"/>
          <w:sz w:val="32"/>
          <w:szCs w:val="32"/>
          <w:highlight w:val="none"/>
          <w:lang w:eastAsia="zh-CN"/>
        </w:rPr>
        <w:t>20230901</w:t>
      </w:r>
      <w:r>
        <w:rPr>
          <w:rFonts w:hint="eastAsia" w:ascii="宋体" w:hAnsi="宋体" w:cs="宋体"/>
          <w:b/>
          <w:snapToGrid w:val="0"/>
          <w:kern w:val="0"/>
          <w:sz w:val="32"/>
          <w:szCs w:val="32"/>
          <w:highlight w:val="none"/>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8"/>
          <w:szCs w:val="48"/>
        </w:rPr>
      </w:pPr>
      <w:r>
        <w:rPr>
          <w:rFonts w:hint="eastAsia"/>
          <w:b/>
          <w:sz w:val="48"/>
          <w:szCs w:val="48"/>
        </w:rPr>
        <w:t>扬州大学附属医院</w:t>
      </w:r>
    </w:p>
    <w:p>
      <w:pPr>
        <w:adjustRightInd w:val="0"/>
        <w:snapToGrid w:val="0"/>
        <w:spacing w:line="800" w:lineRule="exact"/>
        <w:contextualSpacing/>
        <w:jc w:val="center"/>
        <w:rPr>
          <w:rFonts w:hint="eastAsia" w:ascii="宋体" w:hAnsi="宋体" w:cs="宋体"/>
          <w:b/>
          <w:snapToGrid w:val="0"/>
          <w:kern w:val="0"/>
          <w:sz w:val="48"/>
          <w:szCs w:val="48"/>
          <w:highlight w:val="none"/>
          <w:lang w:val="en-US" w:eastAsia="zh-CN"/>
        </w:rPr>
      </w:pPr>
      <w:bookmarkStart w:id="4" w:name="_GoBack"/>
      <w:r>
        <w:rPr>
          <w:rFonts w:hint="eastAsia" w:ascii="宋体" w:hAnsi="宋体" w:cs="宋体"/>
          <w:b/>
          <w:snapToGrid w:val="0"/>
          <w:kern w:val="0"/>
          <w:sz w:val="48"/>
          <w:szCs w:val="48"/>
          <w:highlight w:val="none"/>
          <w:lang w:val="en-US" w:eastAsia="zh-CN"/>
        </w:rPr>
        <w:t>东西区二次供水水箱清洗消毒服务项目</w:t>
      </w:r>
    </w:p>
    <w:bookmarkEnd w:id="4"/>
    <w:p>
      <w:pPr>
        <w:adjustRightInd w:val="0"/>
        <w:snapToGrid w:val="0"/>
        <w:spacing w:line="800" w:lineRule="exact"/>
        <w:contextualSpacing/>
        <w:jc w:val="center"/>
        <w:rPr>
          <w:b/>
          <w:sz w:val="48"/>
          <w:szCs w:val="48"/>
        </w:rPr>
      </w:pPr>
      <w:r>
        <w:rPr>
          <w:rFonts w:hint="eastAsia"/>
          <w:b/>
          <w:sz w:val="48"/>
          <w:szCs w:val="48"/>
        </w:rPr>
        <w:t>询价文件</w:t>
      </w:r>
    </w:p>
    <w:p>
      <w:pPr>
        <w:pStyle w:val="15"/>
        <w:ind w:firstLine="0"/>
      </w:pPr>
    </w:p>
    <w:p>
      <w:pPr>
        <w:pStyle w:val="15"/>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3</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w w:val="90"/>
          <w:kern w:val="0"/>
          <w:sz w:val="32"/>
          <w:szCs w:val="32"/>
          <w:highlight w:val="none"/>
          <w:lang w:val="en-US" w:eastAsia="zh-CN"/>
        </w:rPr>
        <w:t>8</w:t>
      </w:r>
      <w:r>
        <w:rPr>
          <w:rFonts w:hint="eastAsia" w:asciiTheme="minorEastAsia" w:hAnsiTheme="minorEastAsia" w:eastAsiaTheme="minorEastAsia"/>
          <w:b/>
          <w:w w:val="90"/>
          <w:kern w:val="0"/>
          <w:sz w:val="32"/>
          <w:szCs w:val="32"/>
          <w:highlight w:val="none"/>
        </w:rPr>
        <w:t>月</w:t>
      </w:r>
      <w:r>
        <w:rPr>
          <w:rFonts w:hint="eastAsia" w:asciiTheme="minorEastAsia" w:hAnsiTheme="minorEastAsia" w:eastAsiaTheme="minorEastAsia"/>
          <w:b/>
          <w:w w:val="90"/>
          <w:kern w:val="0"/>
          <w:sz w:val="32"/>
          <w:szCs w:val="32"/>
          <w:highlight w:val="none"/>
          <w:lang w:val="en-US" w:eastAsia="zh-CN"/>
        </w:rPr>
        <w:t>31</w:t>
      </w:r>
      <w:r>
        <w:rPr>
          <w:rFonts w:hint="eastAsia" w:asciiTheme="minorEastAsia" w:hAnsiTheme="minorEastAsia" w:eastAsiaTheme="minorEastAsia"/>
          <w:b/>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4"/>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东西区二次供水水箱清洗消毒服务项目</w:t>
      </w:r>
      <w:r>
        <w:rPr>
          <w:rFonts w:hint="eastAsia" w:ascii="宋体" w:hAnsi="宋体" w:cs="宋体"/>
          <w:snapToGrid w:val="0"/>
          <w:kern w:val="0"/>
          <w:sz w:val="24"/>
        </w:rPr>
        <w:t>（编号：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20230901</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东西区二次供水水箱清洗消毒服务项目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0.9</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w:t>
      </w:r>
      <w:r>
        <w:rPr>
          <w:rFonts w:hint="eastAsia" w:ascii="宋体" w:hAnsi="宋体"/>
          <w:b/>
          <w:sz w:val="24"/>
          <w:highlight w:val="none"/>
          <w:lang w:val="en-US" w:eastAsia="zh-CN"/>
        </w:rPr>
        <w:t>3</w:t>
      </w:r>
      <w:r>
        <w:rPr>
          <w:rFonts w:hint="eastAsia" w:ascii="宋体" w:hAnsi="宋体"/>
          <w:b/>
          <w:sz w:val="24"/>
          <w:highlight w:val="none"/>
        </w:rPr>
        <w:t>年</w:t>
      </w:r>
      <w:r>
        <w:rPr>
          <w:rFonts w:hint="eastAsia" w:ascii="宋体" w:hAnsi="宋体"/>
          <w:b/>
          <w:sz w:val="24"/>
          <w:highlight w:val="none"/>
          <w:lang w:val="en-US" w:eastAsia="zh-CN"/>
        </w:rPr>
        <w:t>9</w:t>
      </w:r>
      <w:r>
        <w:rPr>
          <w:rFonts w:hint="eastAsia" w:ascii="宋体" w:hAnsi="宋体"/>
          <w:b/>
          <w:sz w:val="24"/>
          <w:highlight w:val="none"/>
        </w:rPr>
        <w:t>月</w:t>
      </w:r>
      <w:r>
        <w:rPr>
          <w:rFonts w:hint="eastAsia" w:ascii="宋体" w:hAnsi="宋体"/>
          <w:b/>
          <w:sz w:val="24"/>
          <w:highlight w:val="none"/>
          <w:lang w:val="en-US" w:eastAsia="zh-CN"/>
        </w:rPr>
        <w:t>11</w:t>
      </w:r>
      <w:r>
        <w:rPr>
          <w:rFonts w:hint="eastAsia" w:ascii="宋体" w:hAnsi="宋体"/>
          <w:b/>
          <w:sz w:val="24"/>
          <w:highlight w:val="none"/>
        </w:rPr>
        <w:t>日上午10：30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东西区二次供水水箱清洗消毒服务项目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东西区二次供水水箱清洗消毒服务项目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每次清洗完，经由第三方将样水送经符合标准的具有国家资质认可的机构检测，并出具合格检验报告，乙方凭甲方的验收单及开具的正规增值税发票等材料向甲方办理付款手续，甲方凭手续齐全的票据付单次清洗价的100%。（以上均不计息）</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w:t>
      </w:r>
      <w:r>
        <w:rPr>
          <w:rFonts w:hint="eastAsia" w:cs="微软雅黑"/>
          <w:b/>
          <w:highlight w:val="none"/>
          <w:lang w:val="en-US" w:eastAsia="zh-CN"/>
        </w:rPr>
        <w:t>3</w:t>
      </w:r>
      <w:r>
        <w:rPr>
          <w:rFonts w:hint="eastAsia" w:cs="微软雅黑"/>
          <w:b/>
          <w:highlight w:val="none"/>
        </w:rPr>
        <w:t>年</w:t>
      </w:r>
      <w:r>
        <w:rPr>
          <w:rFonts w:hint="eastAsia" w:cs="微软雅黑"/>
          <w:b/>
          <w:highlight w:val="none"/>
          <w:lang w:val="en-US" w:eastAsia="zh-CN"/>
        </w:rPr>
        <w:t>9</w:t>
      </w:r>
      <w:r>
        <w:rPr>
          <w:rFonts w:hint="eastAsia" w:cs="微软雅黑"/>
          <w:b/>
          <w:highlight w:val="none"/>
        </w:rPr>
        <w:t>月</w:t>
      </w:r>
      <w:r>
        <w:rPr>
          <w:rFonts w:hint="eastAsia" w:cs="微软雅黑"/>
          <w:b/>
          <w:highlight w:val="none"/>
          <w:lang w:val="en-US" w:eastAsia="zh-CN"/>
        </w:rPr>
        <w:t>11</w:t>
      </w:r>
      <w:r>
        <w:rPr>
          <w:rFonts w:hint="eastAsia" w:cs="微软雅黑"/>
          <w:b/>
          <w:highlight w:val="none"/>
        </w:rPr>
        <w:t>日</w:t>
      </w:r>
      <w:r>
        <w:rPr>
          <w:rStyle w:val="32"/>
          <w:b/>
          <w:highlight w:val="none"/>
        </w:rPr>
        <w:t>1</w:t>
      </w:r>
      <w:r>
        <w:rPr>
          <w:rStyle w:val="32"/>
          <w:rFonts w:hint="eastAsia"/>
          <w:b/>
          <w:highlight w:val="none"/>
        </w:rPr>
        <w:t>0</w:t>
      </w:r>
      <w:r>
        <w:rPr>
          <w:rStyle w:val="32"/>
          <w:b/>
          <w:highlight w:val="none"/>
        </w:rPr>
        <w:t>：30</w:t>
      </w:r>
      <w:r>
        <w:rPr>
          <w:rFonts w:hint="eastAsia" w:cs="微软雅黑"/>
          <w:color w:val="000000"/>
          <w:highlight w:val="none"/>
        </w:rPr>
        <w:t>前</w:t>
      </w:r>
      <w:r>
        <w:rPr>
          <w:rStyle w:val="32"/>
          <w:rFonts w:ascii="宋体" w:hAnsi="宋体"/>
          <w:b/>
          <w:sz w:val="24"/>
          <w:highlight w:val="none"/>
        </w:rPr>
        <w:t>（北</w:t>
      </w:r>
      <w:r>
        <w:rPr>
          <w:rStyle w:val="32"/>
          <w:rFonts w:ascii="宋体" w:hAnsi="宋体"/>
          <w:b/>
          <w:color w:val="000000"/>
          <w:sz w:val="24"/>
          <w:highlight w:val="none"/>
        </w:rPr>
        <w:t>京时间）</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w:t>
      </w:r>
      <w:r>
        <w:rPr>
          <w:rFonts w:hint="eastAsia" w:cs="微软雅黑"/>
          <w:color w:val="000000"/>
          <w:lang w:val="en-US" w:eastAsia="zh-CN"/>
        </w:rPr>
        <w:t>西区</w:t>
      </w:r>
      <w:r>
        <w:rPr>
          <w:rFonts w:hint="eastAsia" w:cs="微软雅黑"/>
          <w:color w:val="000000"/>
          <w:lang w:eastAsia="zh-CN"/>
        </w:rPr>
        <w:t>行政楼</w:t>
      </w:r>
      <w:r>
        <w:rPr>
          <w:rFonts w:hint="eastAsia" w:cs="微软雅黑"/>
          <w:color w:val="000000"/>
        </w:rPr>
        <w:t>四楼采购中心405</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0514—82981199—83118</w:t>
      </w:r>
    </w:p>
    <w:p>
      <w:pPr>
        <w:adjustRightInd w:val="0"/>
        <w:snapToGrid w:val="0"/>
        <w:spacing w:line="420" w:lineRule="exact"/>
        <w:ind w:firstLine="480" w:firstLineChars="200"/>
        <w:contextualSpacing/>
        <w:rPr>
          <w:rStyle w:val="32"/>
          <w:rFonts w:ascii="宋体" w:hAnsi="宋体"/>
          <w:sz w:val="24"/>
        </w:rPr>
      </w:pPr>
      <w:r>
        <w:rPr>
          <w:rStyle w:val="32"/>
          <w:rFonts w:hint="eastAsia" w:ascii="宋体" w:hAnsi="宋体"/>
          <w:sz w:val="24"/>
        </w:rPr>
        <w:t>15.</w:t>
      </w:r>
      <w:r>
        <w:rPr>
          <w:rStyle w:val="32"/>
          <w:rFonts w:ascii="宋体" w:hAnsi="宋体"/>
          <w:sz w:val="24"/>
        </w:rPr>
        <w:t>开标有关信息</w:t>
      </w:r>
    </w:p>
    <w:p>
      <w:pPr>
        <w:adjustRightInd w:val="0"/>
        <w:snapToGrid w:val="0"/>
        <w:spacing w:line="420" w:lineRule="exact"/>
        <w:ind w:firstLine="480" w:firstLineChars="200"/>
        <w:contextualSpacing/>
        <w:rPr>
          <w:rStyle w:val="32"/>
          <w:rFonts w:ascii="宋体" w:hAnsi="宋体"/>
          <w:color w:val="000000"/>
          <w:sz w:val="24"/>
        </w:rPr>
      </w:pPr>
      <w:r>
        <w:rPr>
          <w:rStyle w:val="32"/>
          <w:rFonts w:ascii="宋体" w:hAnsi="宋体"/>
          <w:sz w:val="24"/>
        </w:rPr>
        <w:t>开标时间：</w:t>
      </w:r>
      <w:r>
        <w:rPr>
          <w:rStyle w:val="32"/>
          <w:rFonts w:ascii="宋体" w:hAnsi="宋体"/>
          <w:b/>
          <w:sz w:val="24"/>
          <w:highlight w:val="none"/>
        </w:rPr>
        <w:t>202</w:t>
      </w:r>
      <w:r>
        <w:rPr>
          <w:rStyle w:val="32"/>
          <w:rFonts w:hint="eastAsia" w:ascii="宋体" w:hAnsi="宋体"/>
          <w:b/>
          <w:sz w:val="24"/>
          <w:highlight w:val="none"/>
          <w:lang w:val="en-US" w:eastAsia="zh-CN"/>
        </w:rPr>
        <w:t>3</w:t>
      </w:r>
      <w:r>
        <w:rPr>
          <w:rStyle w:val="32"/>
          <w:rFonts w:ascii="宋体" w:hAnsi="宋体"/>
          <w:b/>
          <w:sz w:val="24"/>
          <w:highlight w:val="none"/>
        </w:rPr>
        <w:t>年</w:t>
      </w:r>
      <w:r>
        <w:rPr>
          <w:rStyle w:val="32"/>
          <w:rFonts w:hint="eastAsia" w:ascii="宋体" w:hAnsi="宋体"/>
          <w:b/>
          <w:sz w:val="24"/>
          <w:highlight w:val="none"/>
          <w:lang w:val="en-US" w:eastAsia="zh-CN"/>
        </w:rPr>
        <w:t>9</w:t>
      </w:r>
      <w:r>
        <w:rPr>
          <w:rStyle w:val="32"/>
          <w:rFonts w:ascii="宋体" w:hAnsi="宋体"/>
          <w:b/>
          <w:sz w:val="24"/>
          <w:highlight w:val="none"/>
        </w:rPr>
        <w:t>月</w:t>
      </w:r>
      <w:r>
        <w:rPr>
          <w:rStyle w:val="32"/>
          <w:rFonts w:hint="eastAsia" w:ascii="宋体" w:hAnsi="宋体"/>
          <w:b/>
          <w:sz w:val="24"/>
          <w:highlight w:val="none"/>
          <w:lang w:val="en-US" w:eastAsia="zh-CN"/>
        </w:rPr>
        <w:t>11</w:t>
      </w:r>
      <w:r>
        <w:rPr>
          <w:rStyle w:val="32"/>
          <w:rFonts w:ascii="宋体" w:hAnsi="宋体"/>
          <w:b/>
          <w:sz w:val="24"/>
          <w:highlight w:val="none"/>
        </w:rPr>
        <w:t>日1</w:t>
      </w:r>
      <w:r>
        <w:rPr>
          <w:rStyle w:val="32"/>
          <w:rFonts w:hint="eastAsia" w:ascii="宋体" w:hAnsi="宋体"/>
          <w:b/>
          <w:sz w:val="24"/>
          <w:highlight w:val="none"/>
        </w:rPr>
        <w:t>0</w:t>
      </w:r>
      <w:r>
        <w:rPr>
          <w:rStyle w:val="32"/>
          <w:rFonts w:ascii="宋体" w:hAnsi="宋体"/>
          <w:b/>
          <w:sz w:val="24"/>
          <w:highlight w:val="none"/>
        </w:rPr>
        <w:t>：30（北</w:t>
      </w:r>
      <w:r>
        <w:rPr>
          <w:rStyle w:val="32"/>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w:t>
      </w:r>
      <w:r>
        <w:rPr>
          <w:rFonts w:hint="eastAsia" w:ascii="宋体" w:hAnsi="宋体" w:cs="宋体"/>
          <w:b/>
          <w:snapToGrid w:val="0"/>
          <w:spacing w:val="-4"/>
          <w:kern w:val="0"/>
          <w:sz w:val="24"/>
          <w:highlight w:val="none"/>
          <w:lang w:val="en-US" w:eastAsia="zh-CN"/>
        </w:rPr>
        <w:t>3</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9</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11</w:t>
      </w:r>
      <w:r>
        <w:rPr>
          <w:rFonts w:hint="eastAsia" w:ascii="宋体" w:hAnsi="宋体" w:cs="宋体"/>
          <w:b/>
          <w:snapToGrid w:val="0"/>
          <w:spacing w:val="-4"/>
          <w:kern w:val="0"/>
          <w:sz w:val="24"/>
          <w:highlight w:val="none"/>
        </w:rPr>
        <w:t>日上午10:30</w:t>
      </w:r>
      <w:r>
        <w:rPr>
          <w:rFonts w:hint="eastAsia" w:ascii="宋体" w:hAnsi="宋体" w:cs="宋体"/>
          <w:snapToGrid w:val="0"/>
          <w:spacing w:val="-4"/>
          <w:kern w:val="0"/>
          <w:sz w:val="24"/>
          <w:highlight w:val="none"/>
        </w:rPr>
        <w:t>前</w:t>
      </w:r>
      <w:r>
        <w:rPr>
          <w:rFonts w:hint="eastAsia" w:ascii="宋体" w:hAnsi="宋体" w:cs="宋体"/>
          <w:snapToGrid w:val="0"/>
          <w:spacing w:val="-4"/>
          <w:kern w:val="0"/>
          <w:sz w:val="24"/>
        </w:rPr>
        <w:t>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hint="eastAsia" w:ascii="宋体" w:hAnsi="宋体" w:cs="宋体"/>
          <w:snapToGrid w:val="0"/>
          <w:kern w:val="0"/>
          <w:sz w:val="24"/>
          <w:highlight w:val="none"/>
        </w:rPr>
      </w:pPr>
      <w:r>
        <w:rPr>
          <w:rFonts w:hint="eastAsia" w:ascii="宋体" w:hAnsi="宋体" w:cs="宋体"/>
          <w:snapToGrid w:val="0"/>
          <w:kern w:val="0"/>
          <w:sz w:val="24"/>
          <w:highlight w:val="none"/>
        </w:rPr>
        <w:t>联系电话：0514—82981199—83118</w:t>
      </w:r>
    </w:p>
    <w:p>
      <w:pPr>
        <w:jc w:val="both"/>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both"/>
        <w:rPr>
          <w:rFonts w:hint="eastAsia" w:ascii="宋体" w:hAnsi="宋体"/>
          <w:b/>
          <w:sz w:val="36"/>
          <w:szCs w:val="36"/>
        </w:r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firstLine="140" w:firstLineChars="58"/>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firstLine="139" w:firstLineChars="58"/>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东西区二次供水水箱清洗消毒服务项目</w:t>
      </w:r>
    </w:p>
    <w:p>
      <w:pPr>
        <w:adjustRightInd w:val="0"/>
        <w:snapToGrid w:val="0"/>
        <w:spacing w:line="440" w:lineRule="exact"/>
        <w:ind w:firstLine="139" w:firstLineChars="58"/>
        <w:contextualSpacing/>
        <w:rPr>
          <w:rFonts w:ascii="宋体" w:hAnsi="宋体" w:cs="宋体"/>
          <w:snapToGrid w:val="0"/>
          <w:kern w:val="0"/>
          <w:sz w:val="24"/>
          <w:highlight w:val="none"/>
        </w:rPr>
      </w:pPr>
      <w:r>
        <w:rPr>
          <w:rFonts w:hint="eastAsia" w:ascii="宋体" w:hAnsi="宋体" w:cs="宋体"/>
          <w:snapToGrid w:val="0"/>
          <w:kern w:val="0"/>
          <w:sz w:val="24"/>
        </w:rPr>
        <w:t>1.2项目编号：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20230901</w:t>
      </w:r>
      <w:r>
        <w:rPr>
          <w:rFonts w:hint="eastAsia" w:ascii="宋体" w:hAnsi="宋体" w:cs="宋体"/>
          <w:snapToGrid w:val="0"/>
          <w:kern w:val="0"/>
          <w:sz w:val="24"/>
          <w:highlight w:val="none"/>
        </w:rPr>
        <w:t>号</w:t>
      </w:r>
    </w:p>
    <w:p>
      <w:pPr>
        <w:adjustRightInd w:val="0"/>
        <w:snapToGrid w:val="0"/>
        <w:spacing w:line="440" w:lineRule="exact"/>
        <w:ind w:firstLine="139" w:firstLineChars="58"/>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firstLine="139" w:firstLineChars="58"/>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0.9</w:t>
      </w:r>
      <w:r>
        <w:rPr>
          <w:rFonts w:hint="eastAsia" w:ascii="宋体" w:hAnsi="宋体" w:cs="宋体"/>
          <w:snapToGrid w:val="0"/>
          <w:kern w:val="0"/>
          <w:sz w:val="24"/>
          <w:highlight w:val="none"/>
        </w:rPr>
        <w:t>万元，投标报价高于最高限价作废标处理。</w:t>
      </w:r>
    </w:p>
    <w:p>
      <w:pPr>
        <w:tabs>
          <w:tab w:val="left" w:pos="540"/>
          <w:tab w:val="left" w:pos="720"/>
        </w:tabs>
        <w:adjustRightInd w:val="0"/>
        <w:snapToGrid w:val="0"/>
        <w:spacing w:line="440" w:lineRule="exact"/>
        <w:ind w:firstLine="140" w:firstLineChars="58"/>
        <w:contextualSpacing/>
        <w:rPr>
          <w:rFonts w:hint="eastAsia" w:asciiTheme="minorEastAsia" w:hAnsiTheme="minorEastAsia" w:eastAsiaTheme="minorEastAsia"/>
          <w:b/>
          <w:bCs/>
          <w:sz w:val="24"/>
        </w:rPr>
      </w:pPr>
      <w:r>
        <w:rPr>
          <w:rFonts w:hint="eastAsia" w:asciiTheme="minorEastAsia" w:hAnsiTheme="minorEastAsia" w:eastAsiaTheme="minorEastAsia"/>
          <w:b/>
          <w:bCs/>
          <w:sz w:val="24"/>
          <w:lang w:val="en-US" w:eastAsia="zh-CN"/>
        </w:rPr>
        <w:t>2.</w:t>
      </w:r>
      <w:r>
        <w:rPr>
          <w:rFonts w:hint="eastAsia" w:asciiTheme="minorEastAsia" w:hAnsiTheme="minorEastAsia" w:eastAsiaTheme="minorEastAsia"/>
          <w:b/>
          <w:bCs/>
          <w:sz w:val="24"/>
        </w:rPr>
        <w:t>采购项目内容及要求</w:t>
      </w:r>
    </w:p>
    <w:p>
      <w:pPr>
        <w:adjustRightInd w:val="0"/>
        <w:snapToGrid w:val="0"/>
        <w:spacing w:line="440" w:lineRule="exact"/>
        <w:ind w:firstLine="480" w:firstLineChars="200"/>
        <w:contextualSpacing/>
        <w:rPr>
          <w:rFonts w:hint="default" w:ascii="宋体" w:hAnsi="宋体" w:eastAsia="宋体" w:cs="Times New Roman"/>
          <w:sz w:val="24"/>
          <w:lang w:val="en-US" w:eastAsia="zh-CN"/>
        </w:rPr>
      </w:pPr>
      <w:r>
        <w:rPr>
          <w:rFonts w:hint="eastAsia" w:ascii="宋体" w:hAnsi="宋体" w:cs="Times New Roman"/>
          <w:sz w:val="24"/>
          <w:lang w:val="en-US" w:eastAsia="zh-CN"/>
        </w:rPr>
        <w:t>2.1服务期限：壹年，自</w:t>
      </w:r>
      <w:r>
        <w:rPr>
          <w:rFonts w:hint="eastAsia" w:ascii="宋体" w:hAnsi="宋体" w:cs="宋体"/>
          <w:snapToGrid w:val="0"/>
          <w:kern w:val="0"/>
          <w:sz w:val="24"/>
          <w:lang w:val="en-US" w:eastAsia="zh-CN"/>
        </w:rPr>
        <w:t>2023年12月1日至2024年11月30日。</w:t>
      </w:r>
    </w:p>
    <w:p>
      <w:pPr>
        <w:adjustRightInd w:val="0"/>
        <w:snapToGrid w:val="0"/>
        <w:spacing w:line="440" w:lineRule="exact"/>
        <w:ind w:firstLine="480" w:firstLineChars="200"/>
        <w:contextualSpacing/>
        <w:rPr>
          <w:rFonts w:hint="eastAsia" w:ascii="宋体" w:hAnsi="宋体" w:cs="Times New Roman"/>
          <w:sz w:val="24"/>
          <w:lang w:val="en-US" w:eastAsia="zh-CN"/>
        </w:rPr>
      </w:pPr>
      <w:r>
        <w:rPr>
          <w:rFonts w:hint="eastAsia" w:ascii="宋体" w:hAnsi="宋体" w:eastAsia="宋体" w:cs="Times New Roman"/>
          <w:sz w:val="24"/>
          <w:lang w:val="en-US" w:eastAsia="zh-CN"/>
        </w:rPr>
        <w:t>2.</w:t>
      </w:r>
      <w:r>
        <w:rPr>
          <w:rFonts w:hint="eastAsia" w:ascii="宋体" w:hAnsi="宋体" w:cs="Times New Roman"/>
          <w:sz w:val="24"/>
          <w:lang w:val="en-US" w:eastAsia="zh-CN"/>
        </w:rPr>
        <w:t>2清洗频率：两次，具体时间以医院通知为准。</w:t>
      </w:r>
    </w:p>
    <w:p>
      <w:pPr>
        <w:adjustRightInd w:val="0"/>
        <w:snapToGrid w:val="0"/>
        <w:spacing w:line="440" w:lineRule="exact"/>
        <w:ind w:firstLine="480" w:firstLineChars="200"/>
        <w:contextualSpacing/>
        <w:rPr>
          <w:rFonts w:hint="eastAsia" w:ascii="宋体" w:hAnsi="宋体" w:cs="Times New Roman"/>
          <w:sz w:val="24"/>
          <w:lang w:val="en-US" w:eastAsia="zh-CN"/>
        </w:rPr>
      </w:pPr>
      <w:r>
        <w:rPr>
          <w:rFonts w:hint="eastAsia" w:ascii="宋体" w:hAnsi="宋体" w:cs="Times New Roman"/>
          <w:sz w:val="24"/>
          <w:lang w:val="en-US" w:eastAsia="zh-CN"/>
        </w:rPr>
        <w:t>2.3具体要求：清洗水箱一共3个，分别是东区7号楼负一楼，约30m³；西区住院楼负一楼，约240m³；住院楼25楼，约60m³。清洗消毒人员须持有健康证明。须按上级防疫卫生部门的二次供水水箱清洗技术规范要求进行清洗消毒，清洗后水质达到国家饮用水最新卫生标准。</w:t>
      </w:r>
    </w:p>
    <w:p>
      <w:pPr>
        <w:adjustRightInd w:val="0"/>
        <w:snapToGrid w:val="0"/>
        <w:spacing w:line="440" w:lineRule="exact"/>
        <w:ind w:firstLine="480" w:firstLineChars="200"/>
        <w:contextualSpacing/>
        <w:rPr>
          <w:rFonts w:hint="default"/>
          <w:lang w:val="en-US" w:eastAsia="zh-CN"/>
        </w:rPr>
      </w:pPr>
      <w:r>
        <w:rPr>
          <w:rFonts w:hint="eastAsia" w:ascii="宋体" w:hAnsi="宋体" w:eastAsia="宋体" w:cs="Times New Roman"/>
          <w:sz w:val="24"/>
          <w:lang w:val="en-US" w:eastAsia="zh-CN"/>
        </w:rPr>
        <w:t>2.</w:t>
      </w:r>
      <w:r>
        <w:rPr>
          <w:rFonts w:hint="eastAsia" w:ascii="宋体" w:hAnsi="宋体" w:cs="Times New Roman"/>
          <w:sz w:val="24"/>
          <w:lang w:val="en-US" w:eastAsia="zh-CN"/>
        </w:rPr>
        <w:t>4验收标准：清洗、消毒后水箱水必须达到国家生活饮用水标准，GB5749-2022《生活饮用水卫生标准》，并经甲方通过符合标准的具有国家资质认可的第三方检测机构出具的达标报告为准。</w:t>
      </w:r>
    </w:p>
    <w:p>
      <w:pPr>
        <w:pStyle w:val="14"/>
        <w:shd w:val="clear" w:color="auto" w:fill="FFFFFF"/>
        <w:spacing w:before="0" w:beforeAutospacing="0" w:after="0" w:afterAutospacing="0"/>
        <w:ind w:firstLine="241" w:firstLineChars="100"/>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3.服务协议</w:t>
      </w:r>
    </w:p>
    <w:p>
      <w:pPr>
        <w:adjustRightInd w:val="0"/>
        <w:snapToGrid w:val="0"/>
        <w:spacing w:line="440" w:lineRule="exact"/>
        <w:ind w:firstLine="480" w:firstLineChars="200"/>
        <w:contextualSpacing/>
        <w:rPr>
          <w:rFonts w:hint="eastAsia" w:ascii="宋体" w:hAnsi="宋体" w:cs="Times New Roman"/>
          <w:sz w:val="24"/>
          <w:lang w:val="en-US" w:eastAsia="zh-CN"/>
        </w:rPr>
      </w:pPr>
      <w:r>
        <w:rPr>
          <w:rFonts w:hint="eastAsia" w:ascii="宋体" w:hAnsi="宋体" w:cs="Times New Roman"/>
          <w:sz w:val="24"/>
          <w:lang w:val="en-US" w:eastAsia="zh-CN"/>
        </w:rPr>
        <w:t>投标人的服务协议应按不低于招标文件中提出的所有服务要求的标准做出响应。其基本服务要求如下：</w:t>
      </w:r>
    </w:p>
    <w:p>
      <w:pPr>
        <w:adjustRightInd w:val="0"/>
        <w:snapToGrid w:val="0"/>
        <w:spacing w:line="440" w:lineRule="exact"/>
        <w:ind w:firstLine="480" w:firstLineChars="200"/>
        <w:contextualSpacing/>
        <w:rPr>
          <w:rFonts w:hint="eastAsia" w:ascii="宋体" w:hAnsi="宋体" w:cs="Times New Roman"/>
          <w:sz w:val="24"/>
          <w:lang w:val="en-US" w:eastAsia="zh-CN"/>
        </w:rPr>
      </w:pPr>
      <w:r>
        <w:rPr>
          <w:rFonts w:hint="eastAsia" w:ascii="宋体" w:hAnsi="宋体" w:cs="Times New Roman"/>
          <w:sz w:val="24"/>
          <w:lang w:val="en-US" w:eastAsia="zh-CN"/>
        </w:rPr>
        <w:t>3.1供应商收到甲方通知后需按指定的时间进场清洗消毒，并在规定时间内完成清洗消毒任务，并提供 7×24 小时免费电话技术支持。</w:t>
      </w:r>
    </w:p>
    <w:p>
      <w:pPr>
        <w:adjustRightInd w:val="0"/>
        <w:snapToGrid w:val="0"/>
        <w:spacing w:line="440" w:lineRule="exact"/>
        <w:ind w:firstLine="480" w:firstLineChars="200"/>
        <w:contextualSpacing/>
        <w:rPr>
          <w:rFonts w:hint="eastAsia" w:ascii="宋体" w:hAnsi="宋体" w:cs="Times New Roman"/>
          <w:sz w:val="24"/>
          <w:lang w:val="en-US" w:eastAsia="zh-CN"/>
        </w:rPr>
      </w:pPr>
      <w:r>
        <w:rPr>
          <w:rFonts w:hint="eastAsia" w:ascii="宋体" w:hAnsi="宋体" w:cs="Times New Roman"/>
          <w:sz w:val="24"/>
          <w:lang w:val="en-US" w:eastAsia="zh-CN"/>
        </w:rPr>
        <w:t>3.2响应文件中须提供供应商与上述人员签订的在有效期内的劳动合同复印件并加盖公章。</w:t>
      </w:r>
    </w:p>
    <w:p>
      <w:pPr>
        <w:adjustRightInd w:val="0"/>
        <w:snapToGrid w:val="0"/>
        <w:spacing w:line="440" w:lineRule="exact"/>
        <w:ind w:firstLine="480" w:firstLineChars="200"/>
        <w:contextualSpacing/>
        <w:rPr>
          <w:rFonts w:hint="eastAsia" w:ascii="宋体" w:hAnsi="宋体" w:cs="Times New Roman"/>
          <w:sz w:val="24"/>
          <w:lang w:val="en-US" w:eastAsia="zh-CN"/>
        </w:rPr>
      </w:pPr>
      <w:r>
        <w:rPr>
          <w:rFonts w:hint="eastAsia" w:ascii="宋体" w:hAnsi="宋体" w:cs="Times New Roman"/>
          <w:sz w:val="24"/>
          <w:lang w:val="en-US" w:eastAsia="zh-CN"/>
        </w:rPr>
        <w:t>3.3甲方权利和责任</w:t>
      </w:r>
    </w:p>
    <w:p>
      <w:pPr>
        <w:adjustRightInd w:val="0"/>
        <w:snapToGrid w:val="0"/>
        <w:spacing w:line="440" w:lineRule="exact"/>
        <w:ind w:firstLine="480" w:firstLineChars="200"/>
        <w:contextualSpacing/>
        <w:rPr>
          <w:rFonts w:hint="eastAsia" w:ascii="宋体" w:hAnsi="宋体" w:cs="Times New Roman"/>
          <w:sz w:val="24"/>
          <w:lang w:val="en-US" w:eastAsia="zh-CN"/>
        </w:rPr>
      </w:pPr>
      <w:r>
        <w:rPr>
          <w:rFonts w:hint="eastAsia" w:ascii="宋体" w:hAnsi="宋体" w:cs="Times New Roman"/>
          <w:sz w:val="24"/>
          <w:lang w:val="en-US" w:eastAsia="zh-CN"/>
        </w:rPr>
        <w:t>3.3.1提前一周通知乙方作业时间，并做好院内停水通知发布工作。</w:t>
      </w:r>
    </w:p>
    <w:p>
      <w:pPr>
        <w:adjustRightInd w:val="0"/>
        <w:snapToGrid w:val="0"/>
        <w:spacing w:line="440" w:lineRule="exact"/>
        <w:ind w:firstLine="480" w:firstLineChars="200"/>
        <w:contextualSpacing/>
        <w:rPr>
          <w:rFonts w:hint="eastAsia" w:ascii="宋体" w:hAnsi="宋体" w:cs="Times New Roman"/>
          <w:sz w:val="24"/>
          <w:lang w:val="en-US" w:eastAsia="zh-CN"/>
        </w:rPr>
      </w:pPr>
      <w:r>
        <w:rPr>
          <w:rFonts w:hint="eastAsia" w:ascii="宋体" w:hAnsi="宋体" w:cs="Times New Roman"/>
          <w:sz w:val="24"/>
          <w:lang w:val="en-US" w:eastAsia="zh-CN"/>
        </w:rPr>
        <w:t>3.3.2委派工作人员现场协助乙方，提供清洗用水、电源及保证排水管道通畅。</w:t>
      </w:r>
    </w:p>
    <w:p>
      <w:pPr>
        <w:adjustRightInd w:val="0"/>
        <w:snapToGrid w:val="0"/>
        <w:spacing w:line="440" w:lineRule="exact"/>
        <w:ind w:firstLine="480" w:firstLineChars="200"/>
        <w:contextualSpacing/>
        <w:rPr>
          <w:rFonts w:hint="eastAsia" w:ascii="宋体" w:hAnsi="宋体" w:cs="Times New Roman"/>
          <w:sz w:val="24"/>
          <w:lang w:val="en-US" w:eastAsia="zh-CN"/>
        </w:rPr>
      </w:pPr>
      <w:r>
        <w:rPr>
          <w:rFonts w:hint="eastAsia" w:ascii="宋体" w:hAnsi="宋体" w:cs="Times New Roman"/>
          <w:sz w:val="24"/>
          <w:lang w:val="en-US" w:eastAsia="zh-CN"/>
        </w:rPr>
        <w:t>3.3.3乙方清洗、消毒结束后，由甲方及时通知完成第三方机构水质检测工作，接收达标报告后按期付款。</w:t>
      </w:r>
    </w:p>
    <w:p>
      <w:pPr>
        <w:adjustRightInd w:val="0"/>
        <w:snapToGrid w:val="0"/>
        <w:spacing w:line="440" w:lineRule="exact"/>
        <w:ind w:firstLine="480" w:firstLineChars="200"/>
        <w:contextualSpacing/>
        <w:rPr>
          <w:rFonts w:hint="eastAsia" w:ascii="宋体" w:hAnsi="宋体" w:cs="Times New Roman"/>
          <w:sz w:val="24"/>
          <w:lang w:val="en-US" w:eastAsia="zh-CN"/>
        </w:rPr>
      </w:pPr>
      <w:r>
        <w:rPr>
          <w:rFonts w:hint="eastAsia" w:ascii="宋体" w:hAnsi="宋体" w:cs="Times New Roman"/>
          <w:sz w:val="24"/>
          <w:lang w:val="en-US" w:eastAsia="zh-CN"/>
        </w:rPr>
        <w:t>3.4乙方权利和责任</w:t>
      </w:r>
    </w:p>
    <w:p>
      <w:pPr>
        <w:adjustRightInd w:val="0"/>
        <w:snapToGrid w:val="0"/>
        <w:spacing w:line="440" w:lineRule="exact"/>
        <w:ind w:firstLine="480" w:firstLineChars="200"/>
        <w:contextualSpacing/>
        <w:rPr>
          <w:rFonts w:hint="eastAsia" w:ascii="宋体" w:hAnsi="宋体" w:cs="Times New Roman"/>
          <w:sz w:val="24"/>
          <w:lang w:val="en-US" w:eastAsia="zh-CN"/>
        </w:rPr>
      </w:pPr>
      <w:r>
        <w:rPr>
          <w:rFonts w:hint="eastAsia" w:ascii="宋体" w:hAnsi="宋体" w:cs="Times New Roman"/>
          <w:sz w:val="24"/>
          <w:lang w:val="en-US" w:eastAsia="zh-CN"/>
        </w:rPr>
        <w:t>3.4.1乙方在清洗、消毒时，应派出现场负责人严格把关施工人员安全工作质量，规范各种工作程序。委派的清洗人员须持有效健康合格证明、消毒药剂符合卫生标准，并将以上材料提供复印件报甲方批准。</w:t>
      </w:r>
    </w:p>
    <w:p>
      <w:pPr>
        <w:adjustRightInd w:val="0"/>
        <w:snapToGrid w:val="0"/>
        <w:spacing w:line="440" w:lineRule="exact"/>
        <w:ind w:firstLine="480" w:firstLineChars="200"/>
        <w:contextualSpacing/>
        <w:rPr>
          <w:rFonts w:hint="eastAsia" w:ascii="宋体" w:hAnsi="宋体" w:cs="Times New Roman"/>
          <w:color w:val="auto"/>
          <w:sz w:val="24"/>
          <w:lang w:val="en-US" w:eastAsia="zh-CN"/>
        </w:rPr>
      </w:pPr>
      <w:r>
        <w:rPr>
          <w:rFonts w:hint="eastAsia" w:ascii="宋体" w:hAnsi="宋体" w:cs="Times New Roman"/>
          <w:color w:val="auto"/>
          <w:sz w:val="24"/>
          <w:lang w:val="en-US" w:eastAsia="zh-CN"/>
        </w:rPr>
        <w:t>3.4.2乙方在规定期限内，按甲方要求当日完成清洗工作，不得影响院内正常供水。如未按甲方要求及时响应，每延迟一天按总中标价格的5%进行扣罚。</w:t>
      </w:r>
    </w:p>
    <w:p>
      <w:pPr>
        <w:adjustRightInd w:val="0"/>
        <w:snapToGrid w:val="0"/>
        <w:spacing w:line="440" w:lineRule="exact"/>
        <w:ind w:firstLine="480" w:firstLineChars="200"/>
        <w:contextualSpacing/>
        <w:rPr>
          <w:rFonts w:hint="eastAsia" w:ascii="宋体" w:hAnsi="宋体" w:cs="Times New Roman"/>
          <w:sz w:val="24"/>
          <w:lang w:val="en-US" w:eastAsia="zh-CN"/>
        </w:rPr>
      </w:pPr>
      <w:r>
        <w:rPr>
          <w:rFonts w:hint="eastAsia" w:ascii="宋体" w:hAnsi="宋体" w:cs="Times New Roman"/>
          <w:sz w:val="24"/>
          <w:lang w:val="en-US" w:eastAsia="zh-CN"/>
        </w:rPr>
        <w:t>3.4.3乙方应切实做好清洗人员的安全保障工作，如因乙方措施不到位造成的人身安全事故均与甲方无关。</w:t>
      </w:r>
    </w:p>
    <w:p>
      <w:pPr>
        <w:adjustRightInd w:val="0"/>
        <w:snapToGrid w:val="0"/>
        <w:spacing w:line="440" w:lineRule="exact"/>
        <w:ind w:firstLine="480" w:firstLineChars="200"/>
        <w:contextualSpacing/>
        <w:rPr>
          <w:rFonts w:hint="eastAsia" w:ascii="宋体" w:hAnsi="宋体" w:cs="Times New Roman"/>
          <w:sz w:val="24"/>
          <w:lang w:val="en-US" w:eastAsia="zh-CN"/>
        </w:rPr>
      </w:pPr>
      <w:r>
        <w:rPr>
          <w:rFonts w:hint="eastAsia" w:ascii="宋体" w:hAnsi="宋体" w:cs="Times New Roman"/>
          <w:sz w:val="24"/>
          <w:lang w:val="en-US" w:eastAsia="zh-CN"/>
        </w:rPr>
        <w:t>3.4.4作业后及时完成台账记录，并向院方提供清洗、消毒工作过程相关视频照片和记录留存。</w:t>
      </w:r>
    </w:p>
    <w:p>
      <w:pPr>
        <w:adjustRightInd w:val="0"/>
        <w:snapToGrid w:val="0"/>
        <w:spacing w:line="440" w:lineRule="exact"/>
        <w:ind w:firstLine="480" w:firstLineChars="200"/>
        <w:contextualSpacing/>
        <w:rPr>
          <w:rFonts w:hint="eastAsia" w:ascii="宋体" w:hAnsi="宋体" w:cs="Times New Roman"/>
          <w:sz w:val="24"/>
          <w:lang w:val="en-US" w:eastAsia="zh-CN"/>
        </w:rPr>
      </w:pPr>
      <w:r>
        <w:rPr>
          <w:rFonts w:hint="eastAsia" w:ascii="宋体" w:hAnsi="宋体" w:cs="Times New Roman"/>
          <w:sz w:val="24"/>
          <w:lang w:val="en-US" w:eastAsia="zh-CN"/>
        </w:rPr>
        <w:t>3.4.5水箱清洗、消毒后的水样由国家认证检测机构进行检测，如检测过程中有指标不达标，乙方无偿再次清洗至由甲方指定的第三方资质单位检测合格为止，期间产生的清洗、消毒、水质检测等一切费用由乙方全额承担，因水质清洗、消毒工作不到位、不达标造成的公共卫生事件由乙方全权承担。</w:t>
      </w:r>
    </w:p>
    <w:p>
      <w:pPr>
        <w:adjustRightInd w:val="0"/>
        <w:snapToGrid w:val="0"/>
        <w:spacing w:line="440" w:lineRule="exact"/>
        <w:ind w:firstLine="480" w:firstLineChars="200"/>
        <w:contextualSpacing/>
        <w:rPr>
          <w:rFonts w:hint="eastAsia" w:ascii="宋体" w:hAnsi="宋体" w:cs="Times New Roman"/>
          <w:sz w:val="24"/>
          <w:lang w:val="en-US" w:eastAsia="zh-CN"/>
        </w:rPr>
      </w:pPr>
      <w:r>
        <w:rPr>
          <w:rFonts w:hint="eastAsia" w:ascii="宋体" w:hAnsi="宋体" w:cs="Times New Roman"/>
          <w:sz w:val="24"/>
          <w:lang w:val="en-US" w:eastAsia="zh-CN"/>
        </w:rPr>
        <w:t>3.4.6乙方在为甲方服务期间应爱护建筑物及室内的各种设施，由于乙方原因造成安全事故或实物损失，乙方应全部负责或承担赔偿。</w:t>
      </w:r>
    </w:p>
    <w:p>
      <w:pPr>
        <w:adjustRightInd w:val="0"/>
        <w:snapToGrid w:val="0"/>
        <w:spacing w:line="440" w:lineRule="exact"/>
        <w:ind w:firstLine="480" w:firstLineChars="200"/>
        <w:contextualSpacing/>
        <w:rPr>
          <w:rFonts w:hint="eastAsia" w:ascii="宋体" w:hAnsi="宋体" w:cs="Times New Roman"/>
          <w:sz w:val="24"/>
          <w:lang w:val="en-US" w:eastAsia="zh-CN"/>
        </w:rPr>
      </w:pPr>
      <w:r>
        <w:rPr>
          <w:rFonts w:hint="eastAsia" w:ascii="宋体" w:hAnsi="宋体" w:cs="Times New Roman"/>
          <w:sz w:val="24"/>
          <w:lang w:val="en-US" w:eastAsia="zh-CN"/>
        </w:rPr>
        <w:t>3.5其他服务。</w:t>
      </w:r>
    </w:p>
    <w:p>
      <w:pPr>
        <w:adjustRightInd w:val="0"/>
        <w:snapToGrid w:val="0"/>
        <w:spacing w:line="440" w:lineRule="exact"/>
        <w:ind w:firstLine="480" w:firstLineChars="200"/>
        <w:contextualSpacing/>
        <w:rPr>
          <w:rFonts w:hint="eastAsia" w:ascii="宋体" w:hAnsi="宋体" w:cs="Times New Roman"/>
          <w:sz w:val="24"/>
          <w:lang w:val="en-US" w:eastAsia="zh-CN"/>
        </w:rPr>
      </w:pP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5"/>
        <w:ind w:firstLine="0"/>
      </w:pPr>
    </w:p>
    <w:p>
      <w:pPr>
        <w:jc w:val="center"/>
        <w:rPr>
          <w:rFonts w:ascii="宋体" w:hAnsi="宋体"/>
          <w:b/>
          <w:bCs/>
          <w:sz w:val="36"/>
          <w:szCs w:val="36"/>
        </w:rPr>
      </w:pPr>
      <w:r>
        <w:rPr>
          <w:rFonts w:hint="eastAsia" w:ascii="宋体" w:hAnsi="宋体"/>
          <w:b/>
          <w:bCs/>
          <w:sz w:val="36"/>
          <w:szCs w:val="36"/>
        </w:rPr>
        <w:t>投标文件</w:t>
      </w:r>
    </w:p>
    <w:p>
      <w:pPr>
        <w:pStyle w:val="15"/>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5"/>
        <w:ind w:firstLine="0"/>
      </w:pPr>
    </w:p>
    <w:p>
      <w:pPr>
        <w:pStyle w:val="15"/>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5"/>
        <w:rPr>
          <w:sz w:val="36"/>
          <w:szCs w:val="36"/>
        </w:rPr>
      </w:pPr>
    </w:p>
    <w:p>
      <w:pPr>
        <w:pStyle w:val="15"/>
        <w:rPr>
          <w:sz w:val="36"/>
          <w:szCs w:val="36"/>
        </w:rPr>
      </w:pPr>
    </w:p>
    <w:p>
      <w:pPr>
        <w:pStyle w:val="15"/>
        <w:rPr>
          <w:sz w:val="36"/>
          <w:szCs w:val="36"/>
        </w:rPr>
      </w:pPr>
    </w:p>
    <w:p>
      <w:pPr>
        <w:rPr>
          <w:b/>
          <w:sz w:val="36"/>
          <w:szCs w:val="36"/>
        </w:rPr>
      </w:pPr>
    </w:p>
    <w:p>
      <w:pPr>
        <w:pStyle w:val="15"/>
        <w:ind w:firstLine="0"/>
        <w:jc w:val="left"/>
      </w:pPr>
    </w:p>
    <w:p>
      <w:pPr>
        <w:jc w:val="center"/>
        <w:rPr>
          <w:rFonts w:ascii="宋体" w:hAnsi="宋体"/>
          <w:b/>
          <w:sz w:val="36"/>
          <w:szCs w:val="36"/>
          <w:u w:val="single"/>
        </w:rPr>
      </w:pPr>
      <w:r>
        <w:rPr>
          <w:rFonts w:hint="eastAsia"/>
          <w:b/>
          <w:sz w:val="36"/>
          <w:szCs w:val="36"/>
        </w:rPr>
        <w:t>目录</w:t>
      </w:r>
    </w:p>
    <w:p>
      <w:pPr>
        <w:pStyle w:val="5"/>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东西区二次供水水箱清洗消毒服务项目</w:t>
      </w:r>
      <w:r>
        <w:rPr>
          <w:rFonts w:hint="eastAsia" w:ascii="宋体" w:hAnsi="宋体" w:cs="宋体"/>
          <w:sz w:val="24"/>
        </w:rPr>
        <w:t>（编号：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20230901</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5"/>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2022年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0514-82981199-83118</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5"/>
        <w:rPr>
          <w:rFonts w:ascii="宋体" w:hAnsi="宋体" w:cs="宋体"/>
          <w:sz w:val="28"/>
          <w:szCs w:val="28"/>
        </w:rPr>
      </w:pPr>
    </w:p>
    <w:p>
      <w:pPr>
        <w:pStyle w:val="4"/>
        <w:ind w:left="0" w:leftChars="0" w:firstLine="0" w:firstLineChars="0"/>
        <w:rPr>
          <w:b/>
          <w:sz w:val="36"/>
          <w:szCs w:val="36"/>
        </w:rPr>
      </w:pPr>
    </w:p>
    <w:p>
      <w:pPr>
        <w:pStyle w:val="4"/>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ind w:firstLine="0"/>
      </w:pPr>
    </w:p>
    <w:p>
      <w:pPr>
        <w:pStyle w:val="15"/>
        <w:ind w:firstLine="0"/>
      </w:pPr>
    </w:p>
    <w:p>
      <w:pPr>
        <w:pStyle w:val="15"/>
        <w:ind w:firstLine="0"/>
      </w:pPr>
    </w:p>
    <w:p>
      <w:pPr>
        <w:pStyle w:val="15"/>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5"/>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5"/>
        <w:rPr>
          <w:rFonts w:ascii="宋体" w:hAnsi="宋体"/>
          <w:bCs/>
          <w:sz w:val="24"/>
        </w:rPr>
      </w:pPr>
    </w:p>
    <w:p>
      <w:pPr>
        <w:pStyle w:val="15"/>
        <w:rPr>
          <w:rFonts w:ascii="宋体" w:hAnsi="宋体"/>
          <w:bCs/>
          <w:sz w:val="24"/>
        </w:rPr>
      </w:pPr>
    </w:p>
    <w:p>
      <w:pPr>
        <w:pStyle w:val="15"/>
        <w:rPr>
          <w:rFonts w:ascii="宋体" w:hAnsi="宋体"/>
          <w:bCs/>
          <w:sz w:val="24"/>
        </w:rPr>
      </w:pPr>
    </w:p>
    <w:p>
      <w:pPr>
        <w:pStyle w:val="15"/>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rPr>
          <w:rFonts w:asciiTheme="minorEastAsia" w:hAnsiTheme="minorEastAsia" w:eastAsiaTheme="minorEastAsia"/>
          <w:b/>
          <w:sz w:val="36"/>
        </w:rPr>
      </w:pPr>
    </w:p>
    <w:p>
      <w:pPr>
        <w:pStyle w:val="9"/>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9"/>
        <w:rPr>
          <w:rFonts w:ascii="Times New Roman" w:hAnsi="Times New Roman"/>
          <w:b/>
          <w:sz w:val="36"/>
        </w:rPr>
      </w:pPr>
    </w:p>
    <w:p>
      <w:pPr>
        <w:pStyle w:val="9"/>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9"/>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9"/>
        <w:adjustRightInd w:val="0"/>
        <w:snapToGrid w:val="0"/>
        <w:spacing w:line="44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9"/>
        <w:adjustRightInd w:val="0"/>
        <w:snapToGrid w:val="0"/>
        <w:spacing w:line="50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9"/>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7"/>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0" w:type="dxa"/>
          </w:tcPr>
          <w:p>
            <w:pPr>
              <w:adjustRightInd w:val="0"/>
              <w:snapToGrid w:val="0"/>
              <w:spacing w:line="440" w:lineRule="exact"/>
              <w:contextualSpacing/>
            </w:pPr>
          </w:p>
          <w:p>
            <w:pPr>
              <w:pStyle w:val="4"/>
            </w:pPr>
          </w:p>
          <w:p/>
          <w:p>
            <w:pPr>
              <w:pStyle w:val="4"/>
            </w:pPr>
          </w:p>
          <w:p/>
          <w:p>
            <w:pPr>
              <w:pStyle w:val="4"/>
            </w:pPr>
          </w:p>
          <w:p/>
          <w:p>
            <w:pPr>
              <w:pStyle w:val="4"/>
            </w:pPr>
          </w:p>
          <w:p/>
          <w:p>
            <w:pPr>
              <w:pStyle w:val="4"/>
            </w:pPr>
          </w:p>
          <w:p/>
          <w:p>
            <w:pPr>
              <w:pStyle w:val="4"/>
            </w:pPr>
          </w:p>
          <w:p/>
          <w:p>
            <w:pPr>
              <w:pStyle w:val="4"/>
            </w:pPr>
          </w:p>
          <w:p/>
          <w:p>
            <w:pPr>
              <w:pStyle w:val="4"/>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4"/>
        <w:ind w:left="0" w:leftChars="0" w:firstLine="0" w:firstLineChars="0"/>
        <w:rPr>
          <w:rFonts w:ascii="宋体" w:hAnsi="宋体"/>
          <w:kern w:val="0"/>
          <w:sz w:val="36"/>
          <w:szCs w:val="36"/>
        </w:rPr>
      </w:pPr>
    </w:p>
    <w:p/>
    <w:p>
      <w:pPr>
        <w:pStyle w:val="13"/>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4"/>
        <w:rPr>
          <w:rFonts w:ascii="宋体" w:hAnsi="宋体"/>
        </w:rPr>
      </w:pPr>
    </w:p>
    <w:p>
      <w:pPr>
        <w:rPr>
          <w:rFonts w:ascii="宋体" w:hAnsi="宋体"/>
        </w:rPr>
      </w:pPr>
    </w:p>
    <w:p>
      <w:pPr>
        <w:pStyle w:val="4"/>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6"/>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0"/>
              <w:adjustRightInd w:val="0"/>
              <w:snapToGrid w:val="0"/>
              <w:spacing w:line="440" w:lineRule="exact"/>
              <w:contextualSpacing/>
              <w:jc w:val="center"/>
              <w:rPr>
                <w:rFonts w:ascii="Times New Roman"/>
                <w:bCs/>
              </w:rPr>
            </w:pPr>
          </w:p>
        </w:tc>
        <w:tc>
          <w:tcPr>
            <w:tcW w:w="3244" w:type="pct"/>
            <w:vAlign w:val="center"/>
          </w:tcPr>
          <w:p>
            <w:pPr>
              <w:pStyle w:val="30"/>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0"/>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4"/>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5"/>
      </w:pPr>
    </w:p>
    <w:p>
      <w:pPr>
        <w:rPr>
          <w:rFonts w:hint="eastAsia" w:ascii="宋体" w:hAnsi="宋体"/>
          <w:b/>
          <w:sz w:val="36"/>
          <w:szCs w:val="36"/>
        </w:rPr>
      </w:pPr>
      <w:bookmarkStart w:id="1" w:name="_Toc513029243"/>
      <w:bookmarkStart w:id="2" w:name="_Toc20823315"/>
      <w:bookmarkStart w:id="3" w:name="_Toc16938559"/>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服务协议</w:t>
      </w:r>
    </w:p>
    <w:p>
      <w:pPr>
        <w:pStyle w:val="9"/>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东西区二次供水水箱清洗消毒服务项目</w:t>
      </w:r>
    </w:p>
    <w:p>
      <w:pPr>
        <w:pStyle w:val="9"/>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rPr>
        <w:t>YDFYXJ-</w:t>
      </w:r>
      <w:r>
        <w:rPr>
          <w:rFonts w:hint="eastAsia" w:hAnsi="宋体" w:cs="宋体"/>
          <w:b/>
          <w:bCs/>
          <w:sz w:val="24"/>
          <w:highlight w:val="none"/>
          <w:lang w:eastAsia="zh-CN"/>
        </w:rPr>
        <w:t>20230901</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w:t>
      </w:r>
      <w:r>
        <w:rPr>
          <w:rFonts w:hint="eastAsia" w:hAnsi="宋体" w:cs="宋体"/>
          <w:snapToGrid w:val="0"/>
          <w:spacing w:val="-4"/>
          <w:kern w:val="0"/>
          <w:sz w:val="24"/>
          <w:szCs w:val="24"/>
          <w:lang w:eastAsia="zh-CN"/>
        </w:rPr>
        <w:t>、</w:t>
      </w:r>
      <w:r>
        <w:rPr>
          <w:rFonts w:hint="eastAsia" w:hAnsi="宋体" w:cs="宋体"/>
          <w:snapToGrid w:val="0"/>
          <w:spacing w:val="-4"/>
          <w:kern w:val="0"/>
          <w:sz w:val="24"/>
          <w:szCs w:val="24"/>
        </w:rPr>
        <w:t>《中华人民共和国质量法》等法律法规的规定</w:t>
      </w:r>
      <w:r>
        <w:rPr>
          <w:rFonts w:hint="eastAsia" w:hAnsi="宋体" w:cs="宋体"/>
          <w:snapToGrid w:val="0"/>
          <w:spacing w:val="-4"/>
          <w:kern w:val="0"/>
          <w:sz w:val="24"/>
          <w:szCs w:val="24"/>
          <w:lang w:val="en-US" w:eastAsia="zh-CN"/>
        </w:rPr>
        <w:t>及医院生活饮用水管理工作要求</w:t>
      </w:r>
      <w:r>
        <w:rPr>
          <w:rFonts w:hint="eastAsia" w:hAnsi="宋体" w:cs="宋体"/>
          <w:snapToGrid w:val="0"/>
          <w:spacing w:val="-4"/>
          <w:kern w:val="0"/>
          <w:sz w:val="24"/>
          <w:szCs w:val="24"/>
        </w:rPr>
        <w:t>，甲乙双方就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东西区二次供水水箱清洗消毒服务项目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东西区二次供水水箱清洗消毒服务项目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2.本项目产品名称、型号、规格、数量及技术等要求。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highlight w:val="none"/>
        </w:rPr>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w:t>
      </w:r>
      <w:r>
        <w:rPr>
          <w:rFonts w:hint="eastAsia" w:hAnsi="宋体" w:cs="宋体"/>
          <w:bCs/>
          <w:sz w:val="24"/>
          <w:szCs w:val="24"/>
          <w:lang w:eastAsia="zh-CN"/>
        </w:rPr>
        <w:t>、</w:t>
      </w:r>
      <w:r>
        <w:rPr>
          <w:rFonts w:hint="eastAsia" w:hAnsi="宋体" w:cs="宋体"/>
          <w:bCs/>
          <w:sz w:val="24"/>
          <w:szCs w:val="24"/>
          <w:lang w:val="en-US" w:eastAsia="zh-CN"/>
        </w:rPr>
        <w:t>消毒药剂费用、防护穿戴用具费用</w:t>
      </w:r>
      <w:r>
        <w:rPr>
          <w:rFonts w:hint="eastAsia" w:hAnsi="宋体" w:cs="宋体"/>
          <w:bCs/>
          <w:sz w:val="24"/>
          <w:szCs w:val="24"/>
        </w:rPr>
        <w:t>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4"/>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napToGrid w:val="0"/>
          <w:kern w:val="0"/>
          <w:sz w:val="24"/>
          <w:highlight w:val="none"/>
          <w:lang w:val="en-US" w:eastAsia="zh-CN"/>
        </w:rPr>
        <w:t>付款方式为在每次清洗完，经由第三方将样水送经符合标准的具有国家资质认可的机构检测，并出具合格检验报告，乙方凭甲方的验收单及开具的正规增值税发票等材料向甲方办理付款手续，甲方凭手续齐全的票据付单次清洗价的100%（以上均不计息）</w:t>
      </w:r>
      <w:r>
        <w:rPr>
          <w:rFonts w:hint="eastAsia" w:ascii="宋体" w:hAnsi="宋体" w:cs="宋体"/>
          <w:sz w:val="24"/>
        </w:rPr>
        <w:t>。</w:t>
      </w:r>
    </w:p>
    <w:p>
      <w:pPr>
        <w:pStyle w:val="9"/>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int="default" w:ascii="宋体" w:hAnsi="宋体" w:eastAsia="宋体" w:cs="宋体"/>
          <w:b/>
          <w:bCs/>
          <w:sz w:val="24"/>
          <w:lang w:val="en-US" w:eastAsia="zh-CN"/>
        </w:rPr>
      </w:pPr>
      <w:r>
        <w:rPr>
          <w:rFonts w:hint="eastAsia" w:ascii="宋体" w:hAnsi="宋体" w:cs="宋体"/>
          <w:b/>
          <w:bCs/>
          <w:sz w:val="24"/>
          <w:lang w:val="en-US" w:eastAsia="zh-CN"/>
        </w:rPr>
        <w:t>五</w:t>
      </w:r>
      <w:r>
        <w:rPr>
          <w:rFonts w:hint="eastAsia" w:ascii="宋体" w:hAnsi="宋体" w:cs="宋体"/>
          <w:b/>
          <w:bCs/>
          <w:sz w:val="24"/>
        </w:rPr>
        <w:t>、</w:t>
      </w:r>
      <w:r>
        <w:rPr>
          <w:rFonts w:hint="eastAsia" w:ascii="宋体" w:hAnsi="宋体" w:cs="宋体"/>
          <w:b/>
          <w:bCs/>
          <w:sz w:val="24"/>
          <w:lang w:val="en-US" w:eastAsia="zh-CN"/>
        </w:rPr>
        <w:t>甲方权利和责任</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int="eastAsia" w:hAnsi="宋体" w:cs="宋体"/>
          <w:sz w:val="24"/>
          <w:lang w:val="en-US" w:eastAsia="zh-CN"/>
        </w:rPr>
      </w:pPr>
      <w:r>
        <w:rPr>
          <w:rFonts w:hint="eastAsia" w:ascii="宋体" w:hAnsi="宋体" w:cs="宋体"/>
          <w:sz w:val="24"/>
        </w:rPr>
        <w:t>1.</w:t>
      </w:r>
      <w:r>
        <w:rPr>
          <w:rFonts w:hint="eastAsia" w:hAnsi="宋体" w:cs="宋体"/>
          <w:sz w:val="24"/>
          <w:lang w:val="en-US" w:eastAsia="zh-CN"/>
        </w:rPr>
        <w:t>提前通知乙方作业时间，并做好院内停水通知发布工作。</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int="eastAsia" w:hAnsi="宋体" w:cs="宋体"/>
          <w:sz w:val="24"/>
          <w:lang w:val="en-US" w:eastAsia="zh-CN"/>
        </w:rPr>
      </w:pPr>
      <w:r>
        <w:rPr>
          <w:rFonts w:hint="eastAsia" w:hAnsi="宋体" w:cs="宋体"/>
          <w:sz w:val="24"/>
          <w:lang w:val="en-US" w:eastAsia="zh-CN"/>
        </w:rPr>
        <w:t>2.委派工作人员现场协助乙方，提供清洗用水、电源及保证排水管道通畅。</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int="default" w:hAnsi="宋体" w:cs="宋体"/>
          <w:sz w:val="24"/>
          <w:lang w:val="en-US" w:eastAsia="zh-CN"/>
        </w:rPr>
      </w:pPr>
      <w:r>
        <w:rPr>
          <w:rFonts w:hint="eastAsia" w:hAnsi="宋体" w:cs="宋体"/>
          <w:sz w:val="24"/>
          <w:lang w:val="en-US" w:eastAsia="zh-CN"/>
        </w:rPr>
        <w:t>3.乙方清洗、消毒结束后，由甲方及时通知完成第三方机构水质检测工作，接收达标报告后按期付款。</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hint="default" w:ascii="宋体" w:hAnsi="宋体" w:eastAsia="宋体"/>
          <w:kern w:val="20"/>
          <w:sz w:val="24"/>
          <w:lang w:val="en-US" w:eastAsia="zh-CN"/>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lang w:val="en-US" w:eastAsia="zh-CN"/>
        </w:rPr>
        <w:t>乙方权利和责任</w:t>
      </w:r>
    </w:p>
    <w:p>
      <w:pPr>
        <w:pStyle w:val="8"/>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r>
        <w:rPr>
          <w:rFonts w:hint="eastAsia" w:ascii="宋体" w:hAnsi="宋体" w:cs="宋体"/>
          <w:color w:val="000000"/>
          <w:kern w:val="0"/>
          <w:sz w:val="24"/>
        </w:rPr>
        <w:t>1.</w:t>
      </w:r>
      <w:r>
        <w:rPr>
          <w:rFonts w:hint="eastAsia" w:ascii="宋体" w:hAnsi="宋体" w:cs="宋体"/>
          <w:color w:val="000000"/>
          <w:kern w:val="0"/>
          <w:sz w:val="24"/>
          <w:lang w:val="en-US" w:eastAsia="zh-CN"/>
        </w:rPr>
        <w:t>乙方在清洗、消毒时，应派出现场负责人严格把关施工人员安全工作质量，规范各种工作程序。委派的清洗人员须持有效健康合格证明、消毒药剂符合卫生标准，并将以上材料提供复印件报甲方批准。</w:t>
      </w:r>
    </w:p>
    <w:p>
      <w:pPr>
        <w:pStyle w:val="8"/>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2.乙方在规定期限内，按甲方要求当日完成清洗工作，不得影响院内正常供水。如未按甲方要求及时响应，每延迟一天按总中标价格的5%进行扣罚。</w:t>
      </w:r>
    </w:p>
    <w:p>
      <w:pPr>
        <w:pStyle w:val="8"/>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3.乙方应切实做好清洗人员的安全保障工作，如因乙方措施不到位造成的人身安全事故均与甲方无关。</w:t>
      </w:r>
    </w:p>
    <w:p>
      <w:pPr>
        <w:pStyle w:val="8"/>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4.作业后及时完成台账记录，并向院方提供清洗、消毒工作过程相关视频照片和记录留存。</w:t>
      </w:r>
    </w:p>
    <w:p>
      <w:pPr>
        <w:pStyle w:val="8"/>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5.水箱清洗、消毒后的水样由国家认证检测机构进行检测，如检测过程中有指标不达标，乙方无偿再次清洗至由甲方指定的第三方资质单位检测合格为止，期间产生的清洗、消毒、水质检测等一切费用由乙方全额承担，因水质清洗、消毒工作不到位、不达标造成的公共卫生事件由乙方全权承担。</w:t>
      </w:r>
    </w:p>
    <w:p>
      <w:pPr>
        <w:pStyle w:val="8"/>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6.乙方在为甲方服务期间应爱护建筑物及室内的各种设施，由于乙方原因造成安全事故或实物损失，乙方应全部负责或承担赔偿。</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15"/>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footerReference r:id="rId3" w:type="default"/>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8"/>
      <w:lvlText w:val=""/>
      <w:lvlJc w:val="left"/>
      <w:pPr>
        <w:tabs>
          <w:tab w:val="left" w:pos="780"/>
        </w:tabs>
        <w:ind w:left="780" w:leftChars="200" w:hanging="360" w:hangingChars="2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34D4BC8"/>
    <w:rsid w:val="04E61983"/>
    <w:rsid w:val="04F93EF7"/>
    <w:rsid w:val="053E3F8C"/>
    <w:rsid w:val="06477EC8"/>
    <w:rsid w:val="06835001"/>
    <w:rsid w:val="07CD3AA2"/>
    <w:rsid w:val="0907213E"/>
    <w:rsid w:val="0BE47D69"/>
    <w:rsid w:val="0C067990"/>
    <w:rsid w:val="0C4A2728"/>
    <w:rsid w:val="0CF140C8"/>
    <w:rsid w:val="0D2E16CF"/>
    <w:rsid w:val="0D4515B4"/>
    <w:rsid w:val="0E126F52"/>
    <w:rsid w:val="0E2A13BF"/>
    <w:rsid w:val="0EE42777"/>
    <w:rsid w:val="0FBE0778"/>
    <w:rsid w:val="110961DE"/>
    <w:rsid w:val="15D76399"/>
    <w:rsid w:val="172469D5"/>
    <w:rsid w:val="17407202"/>
    <w:rsid w:val="186D5CBC"/>
    <w:rsid w:val="19826916"/>
    <w:rsid w:val="1A965BFC"/>
    <w:rsid w:val="1C94789B"/>
    <w:rsid w:val="1D762024"/>
    <w:rsid w:val="1E525F06"/>
    <w:rsid w:val="1EAC0AAC"/>
    <w:rsid w:val="1FF236E2"/>
    <w:rsid w:val="205648A9"/>
    <w:rsid w:val="21C93434"/>
    <w:rsid w:val="22EC14F1"/>
    <w:rsid w:val="23735059"/>
    <w:rsid w:val="2466755A"/>
    <w:rsid w:val="24782FEE"/>
    <w:rsid w:val="265C52E6"/>
    <w:rsid w:val="270244AF"/>
    <w:rsid w:val="279829B9"/>
    <w:rsid w:val="28795CAE"/>
    <w:rsid w:val="28CF6D5C"/>
    <w:rsid w:val="28D728FE"/>
    <w:rsid w:val="290E1224"/>
    <w:rsid w:val="2A6C65F7"/>
    <w:rsid w:val="2AA6133D"/>
    <w:rsid w:val="2BCB5B07"/>
    <w:rsid w:val="2E026BA2"/>
    <w:rsid w:val="2EE7735A"/>
    <w:rsid w:val="2F716810"/>
    <w:rsid w:val="2F877A0A"/>
    <w:rsid w:val="30DF7E8F"/>
    <w:rsid w:val="318E7998"/>
    <w:rsid w:val="32542738"/>
    <w:rsid w:val="349B0B50"/>
    <w:rsid w:val="357D00D7"/>
    <w:rsid w:val="375A406B"/>
    <w:rsid w:val="395873E0"/>
    <w:rsid w:val="398427FF"/>
    <w:rsid w:val="3B6B7997"/>
    <w:rsid w:val="3C7E55A0"/>
    <w:rsid w:val="3C7E7E4D"/>
    <w:rsid w:val="3D920AB3"/>
    <w:rsid w:val="3E4F54B3"/>
    <w:rsid w:val="3EA006FD"/>
    <w:rsid w:val="406A6438"/>
    <w:rsid w:val="40C726B4"/>
    <w:rsid w:val="424B0DFC"/>
    <w:rsid w:val="43F56786"/>
    <w:rsid w:val="45977351"/>
    <w:rsid w:val="45F42EB8"/>
    <w:rsid w:val="46056344"/>
    <w:rsid w:val="467B4C8A"/>
    <w:rsid w:val="48B5696C"/>
    <w:rsid w:val="49452500"/>
    <w:rsid w:val="49886E6B"/>
    <w:rsid w:val="49AC543C"/>
    <w:rsid w:val="4ACD2A51"/>
    <w:rsid w:val="4B4053E3"/>
    <w:rsid w:val="4B8D08A2"/>
    <w:rsid w:val="4BD6274F"/>
    <w:rsid w:val="4C2279B2"/>
    <w:rsid w:val="4C472E7D"/>
    <w:rsid w:val="4CB85CB5"/>
    <w:rsid w:val="4E295D4C"/>
    <w:rsid w:val="4F717F10"/>
    <w:rsid w:val="501519DD"/>
    <w:rsid w:val="507C6263"/>
    <w:rsid w:val="508A0E56"/>
    <w:rsid w:val="510F701A"/>
    <w:rsid w:val="51673008"/>
    <w:rsid w:val="5199638E"/>
    <w:rsid w:val="51BD509B"/>
    <w:rsid w:val="537760B9"/>
    <w:rsid w:val="54AC3518"/>
    <w:rsid w:val="560560AD"/>
    <w:rsid w:val="56410E61"/>
    <w:rsid w:val="56DD7AA5"/>
    <w:rsid w:val="57DA3AB3"/>
    <w:rsid w:val="58A415C5"/>
    <w:rsid w:val="58D6552C"/>
    <w:rsid w:val="591C0A3A"/>
    <w:rsid w:val="5B063544"/>
    <w:rsid w:val="5B3A3011"/>
    <w:rsid w:val="5BD053AF"/>
    <w:rsid w:val="5BE11FCF"/>
    <w:rsid w:val="5C3E22E0"/>
    <w:rsid w:val="5C63055C"/>
    <w:rsid w:val="5C936A98"/>
    <w:rsid w:val="5C9D5DDF"/>
    <w:rsid w:val="5CA1516C"/>
    <w:rsid w:val="5CA23409"/>
    <w:rsid w:val="5CDB0A62"/>
    <w:rsid w:val="5D9E4640"/>
    <w:rsid w:val="5E584ED9"/>
    <w:rsid w:val="5F190C7E"/>
    <w:rsid w:val="60186A28"/>
    <w:rsid w:val="60446E43"/>
    <w:rsid w:val="60DB4EA5"/>
    <w:rsid w:val="612E05C2"/>
    <w:rsid w:val="616C3D5B"/>
    <w:rsid w:val="61806483"/>
    <w:rsid w:val="619072D4"/>
    <w:rsid w:val="61F801D2"/>
    <w:rsid w:val="62422129"/>
    <w:rsid w:val="626E3CB0"/>
    <w:rsid w:val="63473929"/>
    <w:rsid w:val="65F2258C"/>
    <w:rsid w:val="66A07C1E"/>
    <w:rsid w:val="66AF19DA"/>
    <w:rsid w:val="6710513C"/>
    <w:rsid w:val="675A5AE8"/>
    <w:rsid w:val="677A6507"/>
    <w:rsid w:val="6D633984"/>
    <w:rsid w:val="6DF60098"/>
    <w:rsid w:val="6E1F0C2D"/>
    <w:rsid w:val="708C2B36"/>
    <w:rsid w:val="70952B65"/>
    <w:rsid w:val="70C57A02"/>
    <w:rsid w:val="70DB38A7"/>
    <w:rsid w:val="70FE780D"/>
    <w:rsid w:val="71D1780D"/>
    <w:rsid w:val="71DC1AE4"/>
    <w:rsid w:val="72217603"/>
    <w:rsid w:val="72487296"/>
    <w:rsid w:val="7282207E"/>
    <w:rsid w:val="72D21883"/>
    <w:rsid w:val="73AD596A"/>
    <w:rsid w:val="741C305C"/>
    <w:rsid w:val="74226CB9"/>
    <w:rsid w:val="75006B73"/>
    <w:rsid w:val="764E69E8"/>
    <w:rsid w:val="7787662E"/>
    <w:rsid w:val="77F20BEE"/>
    <w:rsid w:val="79AC4BB9"/>
    <w:rsid w:val="79CC0928"/>
    <w:rsid w:val="7ABB1C53"/>
    <w:rsid w:val="7BF34C08"/>
    <w:rsid w:val="7C6460D0"/>
    <w:rsid w:val="7E4401E2"/>
    <w:rsid w:val="7ECF0FC0"/>
    <w:rsid w:val="7F743153"/>
    <w:rsid w:val="7F944C3C"/>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rFonts w:ascii="楷体_GB2312" w:hAnsi="Arial" w:eastAsia="楷体_GB2312"/>
      <w:kern w:val="0"/>
      <w:sz w:val="28"/>
      <w:szCs w:val="28"/>
    </w:rPr>
  </w:style>
  <w:style w:type="paragraph" w:styleId="3">
    <w:name w:val="Body Text 3"/>
    <w:basedOn w:val="1"/>
    <w:next w:val="1"/>
    <w:qFormat/>
    <w:uiPriority w:val="0"/>
    <w:pPr>
      <w:spacing w:after="120" w:afterLines="0"/>
    </w:pPr>
    <w:rPr>
      <w:sz w:val="16"/>
      <w:szCs w:val="16"/>
    </w:rPr>
  </w:style>
  <w:style w:type="paragraph" w:styleId="4">
    <w:name w:val="table of authorities"/>
    <w:basedOn w:val="1"/>
    <w:next w:val="1"/>
    <w:qFormat/>
    <w:uiPriority w:val="0"/>
    <w:pPr>
      <w:ind w:left="420" w:leftChars="200"/>
    </w:pPr>
  </w:style>
  <w:style w:type="paragraph" w:styleId="5">
    <w:name w:val="Normal Indent"/>
    <w:basedOn w:val="1"/>
    <w:link w:val="31"/>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Indent"/>
    <w:basedOn w:val="1"/>
    <w:qFormat/>
    <w:uiPriority w:val="0"/>
    <w:pPr>
      <w:ind w:firstLine="576"/>
    </w:pPr>
    <w:rPr>
      <w:b/>
      <w:sz w:val="30"/>
    </w:rPr>
  </w:style>
  <w:style w:type="paragraph" w:styleId="8">
    <w:name w:val="List Bullet 2"/>
    <w:basedOn w:val="1"/>
    <w:unhideWhenUsed/>
    <w:qFormat/>
    <w:uiPriority w:val="0"/>
    <w:pPr>
      <w:numPr>
        <w:ilvl w:val="0"/>
        <w:numId w:val="1"/>
      </w:numPr>
      <w:contextualSpacing/>
    </w:pPr>
    <w:rPr>
      <w:rFonts w:ascii="Calibri" w:hAnsi="Calibri"/>
    </w:rPr>
  </w:style>
  <w:style w:type="paragraph" w:styleId="9">
    <w:name w:val="Plain Text"/>
    <w:basedOn w:val="1"/>
    <w:link w:val="26"/>
    <w:qFormat/>
    <w:uiPriority w:val="99"/>
    <w:rPr>
      <w:rFonts w:ascii="宋体" w:hAnsi="Courier New"/>
      <w:szCs w:val="20"/>
    </w:rPr>
  </w:style>
  <w:style w:type="paragraph" w:styleId="10">
    <w:name w:val="Balloon Text"/>
    <w:basedOn w:val="1"/>
    <w:link w:val="25"/>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8"/>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2"/>
    <w:basedOn w:val="7"/>
    <w:qFormat/>
    <w:uiPriority w:val="0"/>
    <w:pPr>
      <w:ind w:firstLine="42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semiHidden/>
    <w:unhideWhenUsed/>
    <w:qFormat/>
    <w:uiPriority w:val="99"/>
    <w:rPr>
      <w:color w:val="222222"/>
      <w:u w:val="none"/>
    </w:rPr>
  </w:style>
  <w:style w:type="character" w:styleId="20">
    <w:name w:val="Hyperlink"/>
    <w:basedOn w:val="18"/>
    <w:unhideWhenUsed/>
    <w:qFormat/>
    <w:uiPriority w:val="99"/>
    <w:rPr>
      <w:color w:val="0000FF" w:themeColor="hyperlink"/>
      <w:u w:val="single"/>
    </w:rPr>
  </w:style>
  <w:style w:type="paragraph" w:customStyle="1" w:styleId="21">
    <w:name w:val="正文（缩进）"/>
    <w:basedOn w:val="1"/>
    <w:qFormat/>
    <w:uiPriority w:val="0"/>
    <w:pPr>
      <w:ind w:firstLine="480" w:firstLineChars="200"/>
    </w:pPr>
  </w:style>
  <w:style w:type="paragraph" w:customStyle="1" w:styleId="22">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3">
    <w:name w:val="页眉 Char"/>
    <w:basedOn w:val="18"/>
    <w:link w:val="12"/>
    <w:semiHidden/>
    <w:qFormat/>
    <w:uiPriority w:val="99"/>
    <w:rPr>
      <w:rFonts w:eastAsia="宋体"/>
      <w:kern w:val="2"/>
      <w:sz w:val="18"/>
      <w:szCs w:val="18"/>
    </w:rPr>
  </w:style>
  <w:style w:type="character" w:customStyle="1" w:styleId="24">
    <w:name w:val="页脚 Char"/>
    <w:basedOn w:val="18"/>
    <w:link w:val="11"/>
    <w:semiHidden/>
    <w:qFormat/>
    <w:uiPriority w:val="99"/>
    <w:rPr>
      <w:rFonts w:eastAsia="宋体"/>
      <w:kern w:val="2"/>
      <w:sz w:val="18"/>
      <w:szCs w:val="18"/>
    </w:rPr>
  </w:style>
  <w:style w:type="character" w:customStyle="1" w:styleId="25">
    <w:name w:val="批注框文本 Char"/>
    <w:basedOn w:val="18"/>
    <w:link w:val="10"/>
    <w:semiHidden/>
    <w:qFormat/>
    <w:uiPriority w:val="99"/>
    <w:rPr>
      <w:rFonts w:eastAsia="宋体"/>
      <w:kern w:val="2"/>
      <w:sz w:val="18"/>
      <w:szCs w:val="18"/>
    </w:rPr>
  </w:style>
  <w:style w:type="character" w:customStyle="1" w:styleId="26">
    <w:name w:val="纯文本 Char"/>
    <w:basedOn w:val="18"/>
    <w:link w:val="9"/>
    <w:qFormat/>
    <w:uiPriority w:val="99"/>
    <w:rPr>
      <w:rFonts w:ascii="宋体" w:hAnsi="Courier New" w:eastAsia="宋体"/>
      <w:kern w:val="2"/>
      <w:sz w:val="21"/>
    </w:rPr>
  </w:style>
  <w:style w:type="character" w:customStyle="1" w:styleId="27">
    <w:name w:val="副标题 Char"/>
    <w:qFormat/>
    <w:uiPriority w:val="0"/>
    <w:rPr>
      <w:rFonts w:ascii="Cambria" w:hAnsi="Cambria"/>
      <w:b/>
      <w:bCs/>
      <w:kern w:val="28"/>
      <w:sz w:val="32"/>
      <w:szCs w:val="32"/>
    </w:rPr>
  </w:style>
  <w:style w:type="character" w:customStyle="1" w:styleId="28">
    <w:name w:val="副标题 Char1"/>
    <w:basedOn w:val="18"/>
    <w:link w:val="13"/>
    <w:qFormat/>
    <w:uiPriority w:val="0"/>
    <w:rPr>
      <w:rFonts w:eastAsia="宋体" w:asciiTheme="majorHAnsi" w:hAnsiTheme="majorHAnsi" w:cstheme="majorBidi"/>
      <w:b/>
      <w:bCs/>
      <w:kern w:val="28"/>
      <w:sz w:val="32"/>
      <w:szCs w:val="32"/>
    </w:rPr>
  </w:style>
  <w:style w:type="paragraph" w:styleId="29">
    <w:name w:val="List Paragraph"/>
    <w:basedOn w:val="1"/>
    <w:unhideWhenUsed/>
    <w:qFormat/>
    <w:uiPriority w:val="99"/>
    <w:pPr>
      <w:ind w:firstLine="420" w:firstLineChars="200"/>
    </w:pPr>
  </w:style>
  <w:style w:type="paragraph" w:customStyle="1" w:styleId="30">
    <w:name w:val="普通文字"/>
    <w:basedOn w:val="1"/>
    <w:next w:val="1"/>
    <w:qFormat/>
    <w:uiPriority w:val="0"/>
    <w:rPr>
      <w:rFonts w:ascii="宋体"/>
      <w:kern w:val="0"/>
      <w:sz w:val="24"/>
      <w:u w:color="000000"/>
    </w:rPr>
  </w:style>
  <w:style w:type="character" w:customStyle="1" w:styleId="31">
    <w:name w:val="正文缩进 Char"/>
    <w:link w:val="5"/>
    <w:qFormat/>
    <w:uiPriority w:val="0"/>
    <w:rPr>
      <w:kern w:val="2"/>
      <w:sz w:val="21"/>
      <w:szCs w:val="24"/>
    </w:rPr>
  </w:style>
  <w:style w:type="character" w:customStyle="1" w:styleId="32">
    <w:name w:val="NormalCharacter"/>
    <w:qFormat/>
    <w:uiPriority w:val="0"/>
  </w:style>
  <w:style w:type="character" w:customStyle="1" w:styleId="33">
    <w:name w:val="font11"/>
    <w:basedOn w:val="18"/>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5404</Words>
  <Characters>5796</Characters>
  <Lines>70</Lines>
  <Paragraphs>19</Paragraphs>
  <TotalTime>17</TotalTime>
  <ScaleCrop>false</ScaleCrop>
  <LinksUpToDate>false</LinksUpToDate>
  <CharactersWithSpaces>6445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2023-08-31T00:53:46Z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A1DAC28A50F347B68D0C2A2E30B9C7D5</vt:lpwstr>
  </property>
</Properties>
</file>