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20231106</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default"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东西区氧气站空压机维保服务项目</w:t>
      </w:r>
    </w:p>
    <w:p>
      <w:pPr>
        <w:adjustRightInd w:val="0"/>
        <w:snapToGrid w:val="0"/>
        <w:spacing w:line="800" w:lineRule="exact"/>
        <w:contextualSpacing/>
        <w:jc w:val="center"/>
        <w:rPr>
          <w:b/>
          <w:sz w:val="48"/>
          <w:szCs w:val="48"/>
          <w:highlight w:val="none"/>
        </w:rPr>
      </w:pPr>
      <w:r>
        <w:rPr>
          <w:rFonts w:hint="eastAsia"/>
          <w:b/>
          <w:sz w:val="48"/>
          <w:szCs w:val="48"/>
          <w:highlight w:val="none"/>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w:t>
      </w:r>
      <w:r>
        <w:rPr>
          <w:rFonts w:hint="eastAsia" w:asciiTheme="minorEastAsia" w:hAnsiTheme="minorEastAsia" w:eastAsiaTheme="minorEastAsia"/>
          <w:b/>
          <w:w w:val="90"/>
          <w:kern w:val="0"/>
          <w:sz w:val="32"/>
          <w:szCs w:val="32"/>
          <w:highlight w:val="none"/>
          <w:lang w:val="en-US" w:eastAsia="zh-CN"/>
        </w:rPr>
        <w:t>11</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21</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东西区氧气站空压机维保服务项目</w:t>
      </w:r>
      <w:r>
        <w:rPr>
          <w:rFonts w:hint="eastAsia" w:ascii="宋体" w:hAnsi="宋体" w:cs="宋体"/>
          <w:snapToGrid w:val="0"/>
          <w:kern w:val="0"/>
          <w:sz w:val="24"/>
          <w:highlight w:val="none"/>
        </w:rPr>
        <w:t>（编号：YDFYXJ-</w:t>
      </w:r>
      <w:r>
        <w:rPr>
          <w:rFonts w:hint="eastAsia" w:ascii="宋体" w:hAnsi="宋体" w:cs="宋体"/>
          <w:snapToGrid w:val="0"/>
          <w:kern w:val="0"/>
          <w:sz w:val="24"/>
          <w:highlight w:val="none"/>
          <w:lang w:eastAsia="zh-CN"/>
        </w:rPr>
        <w:t>20231106</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东西区氧气站空压机维保服务项目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1.88</w:t>
      </w:r>
      <w:r>
        <w:rPr>
          <w:rFonts w:hint="eastAsia" w:ascii="宋体" w:hAnsi="宋体" w:cs="宋体"/>
          <w:snapToGrid w:val="0"/>
          <w:kern w:val="0"/>
          <w:sz w:val="24"/>
          <w:highlight w:val="none"/>
        </w:rPr>
        <w:t>万元</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11</w:t>
      </w:r>
      <w:r>
        <w:rPr>
          <w:rFonts w:hint="eastAsia" w:ascii="宋体" w:hAnsi="宋体"/>
          <w:b/>
          <w:sz w:val="24"/>
          <w:highlight w:val="none"/>
        </w:rPr>
        <w:t>月</w:t>
      </w:r>
      <w:r>
        <w:rPr>
          <w:rFonts w:hint="eastAsia" w:ascii="宋体" w:hAnsi="宋体"/>
          <w:b/>
          <w:sz w:val="24"/>
          <w:highlight w:val="none"/>
          <w:lang w:val="en-US" w:eastAsia="zh-CN"/>
        </w:rPr>
        <w:t>27</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东西区氧气站空压机维保服务项目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东西区氧气站空压机维保服务项目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11</w:t>
      </w:r>
      <w:r>
        <w:rPr>
          <w:rFonts w:hint="eastAsia" w:cs="微软雅黑"/>
          <w:b/>
          <w:highlight w:val="none"/>
        </w:rPr>
        <w:t>月</w:t>
      </w:r>
      <w:r>
        <w:rPr>
          <w:rFonts w:hint="eastAsia" w:cs="微软雅黑"/>
          <w:b/>
          <w:highlight w:val="none"/>
          <w:lang w:val="en-US" w:eastAsia="zh-CN"/>
        </w:rPr>
        <w:t>27</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扬州大学附属医院（西区医院）</w:t>
      </w:r>
      <w:r>
        <w:rPr>
          <w:rFonts w:hint="eastAsia" w:cs="微软雅黑"/>
          <w:color w:val="000000"/>
          <w:lang w:eastAsia="zh-CN"/>
        </w:rPr>
        <w:t>行政楼</w:t>
      </w:r>
      <w:r>
        <w:rPr>
          <w:rFonts w:hint="eastAsia" w:cs="微软雅黑"/>
          <w:color w:val="000000"/>
        </w:rPr>
        <w:t>四楼采购中心405办公室</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lang w:val="en-US" w:eastAsia="zh-CN"/>
        </w:rPr>
        <w:t>3</w:t>
      </w:r>
      <w:r>
        <w:rPr>
          <w:rStyle w:val="32"/>
          <w:rFonts w:ascii="宋体" w:hAnsi="宋体"/>
          <w:b/>
          <w:sz w:val="24"/>
          <w:highlight w:val="none"/>
        </w:rPr>
        <w:t>年</w:t>
      </w:r>
      <w:r>
        <w:rPr>
          <w:rStyle w:val="32"/>
          <w:rFonts w:hint="eastAsia" w:ascii="宋体" w:hAnsi="宋体"/>
          <w:b/>
          <w:sz w:val="24"/>
          <w:highlight w:val="none"/>
          <w:lang w:val="en-US" w:eastAsia="zh-CN"/>
        </w:rPr>
        <w:t>11</w:t>
      </w:r>
      <w:r>
        <w:rPr>
          <w:rStyle w:val="32"/>
          <w:rFonts w:ascii="宋体" w:hAnsi="宋体"/>
          <w:b/>
          <w:sz w:val="24"/>
          <w:highlight w:val="none"/>
        </w:rPr>
        <w:t>月</w:t>
      </w:r>
      <w:r>
        <w:rPr>
          <w:rStyle w:val="32"/>
          <w:rFonts w:hint="eastAsia" w:ascii="宋体" w:hAnsi="宋体"/>
          <w:b/>
          <w:sz w:val="24"/>
          <w:highlight w:val="none"/>
          <w:lang w:val="en-US" w:eastAsia="zh-CN"/>
        </w:rPr>
        <w:t>27</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w:t>
      </w:r>
      <w:r>
        <w:rPr>
          <w:rFonts w:hint="eastAsia" w:ascii="宋体" w:hAnsi="宋体"/>
          <w:sz w:val="24"/>
          <w:lang w:eastAsia="zh-CN"/>
        </w:rPr>
        <w:t>行政楼</w:t>
      </w:r>
      <w:r>
        <w:rPr>
          <w:rFonts w:hint="eastAsia" w:ascii="宋体" w:hAnsi="宋体"/>
          <w:sz w:val="24"/>
        </w:rPr>
        <w:t>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27</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东西区氧气站空压机维保服务项目</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1.2项目编号：YDFYXJ-</w:t>
      </w:r>
      <w:r>
        <w:rPr>
          <w:rFonts w:hint="eastAsia" w:ascii="宋体" w:hAnsi="宋体" w:cs="宋体"/>
          <w:snapToGrid w:val="0"/>
          <w:kern w:val="0"/>
          <w:sz w:val="24"/>
          <w:highlight w:val="none"/>
          <w:lang w:eastAsia="zh-CN"/>
        </w:rPr>
        <w:t>20231106</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1.88</w:t>
      </w:r>
      <w:r>
        <w:rPr>
          <w:rFonts w:hint="eastAsia" w:ascii="宋体" w:hAnsi="宋体" w:cs="宋体"/>
          <w:snapToGrid w:val="0"/>
          <w:kern w:val="0"/>
          <w:sz w:val="24"/>
          <w:highlight w:val="none"/>
        </w:rPr>
        <w:t>万元。</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p>
      <w:pPr>
        <w:pStyle w:val="8"/>
        <w:widowControl w:val="0"/>
        <w:numPr>
          <w:ilvl w:val="0"/>
          <w:numId w:val="0"/>
        </w:numPr>
        <w:contextualSpacing/>
        <w:jc w:val="both"/>
        <w:rPr>
          <w:rFonts w:hint="eastAsia" w:ascii="宋体" w:hAnsi="宋体" w:cs="宋体"/>
          <w:snapToGrid w:val="0"/>
          <w:kern w:val="0"/>
          <w:sz w:val="24"/>
        </w:rPr>
      </w:pPr>
      <w:r>
        <w:rPr>
          <w:rFonts w:hint="eastAsia" w:ascii="宋体" w:hAnsi="宋体" w:eastAsia="宋体" w:cs="宋体"/>
          <w:snapToGrid w:val="0"/>
          <w:kern w:val="0"/>
          <w:sz w:val="24"/>
          <w:szCs w:val="24"/>
          <w:highlight w:val="none"/>
          <w:lang w:val="en-US" w:eastAsia="zh-CN" w:bidi="ar-SA"/>
        </w:rPr>
        <w:t>本项目设备保养内容为对东西区氧气站空压机设备及油水过滤装置进行维保并更换滤芯，具体清单如下：</w:t>
      </w:r>
    </w:p>
    <w:tbl>
      <w:tblPr>
        <w:tblStyle w:val="16"/>
        <w:tblpPr w:leftFromText="180" w:rightFromText="180" w:vertAnchor="text" w:horzAnchor="page" w:tblpX="2380" w:tblpY="96"/>
        <w:tblOverlap w:val="never"/>
        <w:tblW w:w="7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83"/>
        <w:gridCol w:w="3419"/>
        <w:gridCol w:w="1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180" w:type="dxa"/>
            <w:gridSpan w:val="3"/>
            <w:tcBorders>
              <w:bottom w:val="single" w:color="auto" w:sz="12" w:space="0"/>
            </w:tcBorders>
            <w:noWrap w:val="0"/>
            <w:vAlign w:val="top"/>
          </w:tcPr>
          <w:p>
            <w:pPr>
              <w:pStyle w:val="2"/>
              <w:rPr>
                <w:rFonts w:hint="default" w:eastAsia="楷体_GB2312"/>
                <w:lang w:val="en-US" w:eastAsia="zh-CN"/>
              </w:rPr>
            </w:pPr>
            <w:r>
              <w:rPr>
                <w:rFonts w:hint="eastAsia"/>
                <w:lang w:val="en-US" w:eastAsia="zh-CN"/>
              </w:rPr>
              <w:t>东区清单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183" w:type="dxa"/>
            <w:tcBorders>
              <w:top w:val="single" w:color="auto" w:sz="12"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机   型</w:t>
            </w:r>
          </w:p>
        </w:tc>
        <w:tc>
          <w:tcPr>
            <w:tcW w:w="3419" w:type="dxa"/>
            <w:tcBorders>
              <w:top w:val="single" w:color="auto" w:sz="12" w:space="0"/>
              <w:left w:val="single" w:color="auto" w:sz="6"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项   目</w:t>
            </w:r>
          </w:p>
        </w:tc>
        <w:tc>
          <w:tcPr>
            <w:tcW w:w="1578" w:type="dxa"/>
            <w:tcBorders>
              <w:top w:val="single" w:color="auto" w:sz="12" w:space="0"/>
              <w:left w:val="single" w:color="auto" w:sz="6" w:space="0"/>
              <w:bottom w:val="single" w:color="auto" w:sz="6" w:space="0"/>
              <w:right w:val="single" w:color="auto" w:sz="6" w:space="0"/>
            </w:tcBorders>
            <w:noWrap w:val="0"/>
            <w:vAlign w:val="top"/>
          </w:tcPr>
          <w:p>
            <w:pPr>
              <w:tabs>
                <w:tab w:val="left" w:pos="780"/>
              </w:tabs>
              <w:ind w:left="211" w:hanging="211" w:hangingChars="100"/>
              <w:jc w:val="center"/>
              <w:rPr>
                <w:rFonts w:hint="eastAsia" w:ascii="宋体" w:hAnsi="宋体"/>
                <w:b/>
                <w:color w:val="000000"/>
                <w:szCs w:val="21"/>
              </w:rPr>
            </w:pPr>
            <w:r>
              <w:rPr>
                <w:rFonts w:hint="eastAsia" w:ascii="宋体" w:hAnsi="宋体"/>
                <w:b/>
                <w:color w:val="000000"/>
                <w:szCs w:val="21"/>
              </w:rPr>
              <w:t>数 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restart"/>
            <w:tcBorders>
              <w:top w:val="single" w:color="auto" w:sz="4" w:space="0"/>
              <w:right w:val="single" w:color="auto" w:sz="6" w:space="0"/>
            </w:tcBorders>
            <w:noWrap w:val="0"/>
            <w:vAlign w:val="top"/>
          </w:tcPr>
          <w:p>
            <w:pPr>
              <w:jc w:val="center"/>
              <w:rPr>
                <w:rFonts w:hint="eastAsia" w:ascii="宋体" w:hAnsi="宋体"/>
                <w:color w:val="000000"/>
                <w:sz w:val="30"/>
                <w:szCs w:val="30"/>
              </w:rPr>
            </w:pPr>
          </w:p>
          <w:p>
            <w:pPr>
              <w:jc w:val="center"/>
              <w:rPr>
                <w:rFonts w:hint="eastAsia" w:ascii="宋体" w:hAnsi="宋体"/>
                <w:color w:val="000000"/>
                <w:sz w:val="30"/>
                <w:szCs w:val="30"/>
              </w:rPr>
            </w:pPr>
            <w:r>
              <w:rPr>
                <w:rFonts w:hint="eastAsia" w:ascii="宋体" w:hAnsi="宋体"/>
                <w:color w:val="000000"/>
                <w:sz w:val="30"/>
                <w:szCs w:val="30"/>
              </w:rPr>
              <w:t>CA7-10</w:t>
            </w:r>
          </w:p>
          <w:p>
            <w:pPr>
              <w:ind w:firstLine="300" w:firstLineChars="100"/>
              <w:rPr>
                <w:rFonts w:hint="eastAsia" w:ascii="宋体" w:hAnsi="宋体"/>
                <w:color w:val="000000"/>
                <w:sz w:val="30"/>
                <w:szCs w:val="30"/>
              </w:rPr>
            </w:pPr>
            <w:r>
              <w:rPr>
                <w:rFonts w:hint="eastAsia" w:ascii="宋体" w:hAnsi="宋体"/>
                <w:color w:val="000000"/>
                <w:sz w:val="30"/>
                <w:szCs w:val="30"/>
              </w:rPr>
              <w:t xml:space="preserve">（二台）  </w:t>
            </w: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RIF-N半合成油</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2桶（4L）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 w:val="30"/>
                <w:szCs w:val="30"/>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eastAsia="宋体"/>
                <w:color w:val="000000"/>
                <w:szCs w:val="21"/>
                <w:lang w:eastAsia="zh-CN"/>
              </w:rPr>
            </w:pPr>
            <w:r>
              <w:rPr>
                <w:rFonts w:hint="eastAsia" w:ascii="宋体" w:hAnsi="宋体"/>
                <w:color w:val="000000"/>
                <w:szCs w:val="21"/>
              </w:rPr>
              <w:t>过滤器</w:t>
            </w:r>
            <w:r>
              <w:rPr>
                <w:rFonts w:hint="eastAsia" w:ascii="宋体" w:hAnsi="宋体"/>
                <w:color w:val="000000"/>
                <w:szCs w:val="21"/>
                <w:lang w:val="en-US" w:eastAsia="zh-CN"/>
              </w:rPr>
              <w:t>保养包</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2套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Cs w:val="21"/>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DDW30过滤芯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PDW30过滤芯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QDW30过滤芯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rPr>
                <w:rFonts w:hint="eastAsia" w:ascii="宋体" w:hAnsi="宋体"/>
                <w:color w:val="000000"/>
                <w:sz w:val="20"/>
              </w:rPr>
            </w:pPr>
            <w:r>
              <w:rPr>
                <w:rFonts w:hint="eastAsia" w:ascii="宋体" w:hAnsi="宋体"/>
                <w:color w:val="000000"/>
                <w:sz w:val="20"/>
              </w:rPr>
              <w:t xml:space="preserve">     3套</w:t>
            </w:r>
          </w:p>
        </w:tc>
      </w:tr>
    </w:tbl>
    <w:p>
      <w:pPr>
        <w:pStyle w:val="2"/>
        <w:rPr>
          <w:rFonts w:hint="eastAsia" w:ascii="宋体" w:hAnsi="宋体"/>
          <w:b/>
          <w:sz w:val="24"/>
        </w:rPr>
      </w:pPr>
    </w:p>
    <w:p>
      <w:pPr>
        <w:pStyle w:val="3"/>
        <w:rPr>
          <w:rFonts w:hint="eastAsia" w:ascii="宋体" w:hAnsi="宋体"/>
          <w:b/>
          <w:sz w:val="24"/>
        </w:rPr>
      </w:pPr>
    </w:p>
    <w:p>
      <w:pPr>
        <w:rPr>
          <w:rFonts w:hint="eastAsia" w:ascii="宋体" w:hAnsi="宋体"/>
          <w:b/>
          <w:sz w:val="24"/>
        </w:rPr>
      </w:pPr>
    </w:p>
    <w:p>
      <w:pPr>
        <w:pStyle w:val="2"/>
        <w:rPr>
          <w:rFonts w:hint="eastAsia" w:ascii="宋体" w:hAnsi="宋体"/>
          <w:b/>
          <w:sz w:val="24"/>
        </w:rPr>
      </w:pPr>
    </w:p>
    <w:p>
      <w:pPr>
        <w:pStyle w:val="3"/>
        <w:rPr>
          <w:rFonts w:hint="eastAsia" w:ascii="宋体" w:hAnsi="宋体"/>
          <w:b/>
          <w:sz w:val="24"/>
        </w:rPr>
      </w:pPr>
    </w:p>
    <w:p/>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tbl>
      <w:tblPr>
        <w:tblStyle w:val="16"/>
        <w:tblpPr w:leftFromText="180" w:rightFromText="180" w:vertAnchor="text" w:horzAnchor="page" w:tblpX="2380" w:tblpY="96"/>
        <w:tblOverlap w:val="never"/>
        <w:tblW w:w="7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83"/>
        <w:gridCol w:w="3419"/>
        <w:gridCol w:w="1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180" w:type="dxa"/>
            <w:gridSpan w:val="3"/>
            <w:tcBorders>
              <w:bottom w:val="single" w:color="auto" w:sz="12" w:space="0"/>
            </w:tcBorders>
            <w:noWrap w:val="0"/>
            <w:vAlign w:val="top"/>
          </w:tcPr>
          <w:p>
            <w:pPr>
              <w:pStyle w:val="2"/>
              <w:rPr>
                <w:rFonts w:hint="default" w:eastAsia="楷体_GB2312"/>
                <w:lang w:val="en-US" w:eastAsia="zh-CN"/>
              </w:rPr>
            </w:pPr>
            <w:r>
              <w:rPr>
                <w:rFonts w:hint="eastAsia"/>
                <w:lang w:val="en-US" w:eastAsia="zh-CN"/>
              </w:rPr>
              <w:t>西区清单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183" w:type="dxa"/>
            <w:tcBorders>
              <w:top w:val="single" w:color="auto" w:sz="12"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机   型</w:t>
            </w:r>
          </w:p>
        </w:tc>
        <w:tc>
          <w:tcPr>
            <w:tcW w:w="3419" w:type="dxa"/>
            <w:tcBorders>
              <w:top w:val="single" w:color="auto" w:sz="12" w:space="0"/>
              <w:left w:val="single" w:color="auto" w:sz="6" w:space="0"/>
              <w:bottom w:val="single" w:color="auto" w:sz="6" w:space="0"/>
              <w:right w:val="single" w:color="auto" w:sz="6" w:space="0"/>
            </w:tcBorders>
            <w:noWrap w:val="0"/>
            <w:vAlign w:val="top"/>
          </w:tcPr>
          <w:p>
            <w:pPr>
              <w:tabs>
                <w:tab w:val="left" w:pos="780"/>
              </w:tabs>
              <w:jc w:val="center"/>
              <w:rPr>
                <w:rFonts w:ascii="宋体" w:hAnsi="宋体"/>
                <w:b/>
                <w:color w:val="000000"/>
                <w:szCs w:val="21"/>
              </w:rPr>
            </w:pPr>
            <w:r>
              <w:rPr>
                <w:rFonts w:hint="eastAsia" w:ascii="宋体" w:hAnsi="宋体"/>
                <w:b/>
                <w:color w:val="000000"/>
                <w:szCs w:val="21"/>
              </w:rPr>
              <w:t>项   目</w:t>
            </w:r>
          </w:p>
        </w:tc>
        <w:tc>
          <w:tcPr>
            <w:tcW w:w="1578" w:type="dxa"/>
            <w:tcBorders>
              <w:top w:val="single" w:color="auto" w:sz="12" w:space="0"/>
              <w:left w:val="single" w:color="auto" w:sz="6" w:space="0"/>
              <w:bottom w:val="single" w:color="auto" w:sz="6" w:space="0"/>
              <w:right w:val="single" w:color="auto" w:sz="6" w:space="0"/>
            </w:tcBorders>
            <w:noWrap w:val="0"/>
            <w:vAlign w:val="top"/>
          </w:tcPr>
          <w:p>
            <w:pPr>
              <w:tabs>
                <w:tab w:val="left" w:pos="780"/>
              </w:tabs>
              <w:ind w:left="211" w:hanging="211" w:hangingChars="100"/>
              <w:jc w:val="center"/>
              <w:rPr>
                <w:rFonts w:hint="eastAsia" w:ascii="宋体" w:hAnsi="宋体"/>
                <w:b/>
                <w:color w:val="000000"/>
                <w:szCs w:val="21"/>
              </w:rPr>
            </w:pPr>
            <w:r>
              <w:rPr>
                <w:rFonts w:hint="eastAsia" w:ascii="宋体" w:hAnsi="宋体"/>
                <w:b/>
                <w:color w:val="000000"/>
                <w:szCs w:val="21"/>
              </w:rPr>
              <w:t>数 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restart"/>
            <w:tcBorders>
              <w:top w:val="single" w:color="auto" w:sz="4" w:space="0"/>
              <w:right w:val="single" w:color="auto" w:sz="6" w:space="0"/>
            </w:tcBorders>
            <w:noWrap w:val="0"/>
            <w:vAlign w:val="top"/>
          </w:tcPr>
          <w:p>
            <w:pPr>
              <w:jc w:val="center"/>
              <w:rPr>
                <w:rFonts w:hint="eastAsia" w:ascii="宋体" w:hAnsi="宋体"/>
                <w:color w:val="000000"/>
                <w:sz w:val="30"/>
                <w:szCs w:val="30"/>
              </w:rPr>
            </w:pPr>
          </w:p>
          <w:p>
            <w:pPr>
              <w:jc w:val="center"/>
              <w:rPr>
                <w:rFonts w:hint="eastAsia" w:ascii="宋体" w:hAnsi="宋体"/>
                <w:color w:val="000000"/>
                <w:sz w:val="30"/>
                <w:szCs w:val="30"/>
              </w:rPr>
            </w:pPr>
            <w:r>
              <w:rPr>
                <w:rFonts w:hint="eastAsia" w:ascii="宋体" w:hAnsi="宋体"/>
                <w:color w:val="000000"/>
                <w:sz w:val="30"/>
                <w:szCs w:val="30"/>
              </w:rPr>
              <w:t>CA7-10</w:t>
            </w:r>
          </w:p>
          <w:p>
            <w:pPr>
              <w:ind w:firstLine="300" w:firstLineChars="100"/>
              <w:rPr>
                <w:rFonts w:hint="eastAsia" w:ascii="宋体" w:hAnsi="宋体"/>
                <w:color w:val="000000"/>
                <w:sz w:val="30"/>
                <w:szCs w:val="30"/>
              </w:rPr>
            </w:pPr>
            <w:r>
              <w:rPr>
                <w:rFonts w:hint="eastAsia" w:ascii="宋体" w:hAnsi="宋体"/>
                <w:color w:val="000000"/>
                <w:sz w:val="30"/>
                <w:szCs w:val="30"/>
              </w:rPr>
              <w:t>（</w:t>
            </w:r>
            <w:r>
              <w:rPr>
                <w:rFonts w:hint="eastAsia" w:ascii="宋体" w:hAnsi="宋体"/>
                <w:color w:val="000000"/>
                <w:sz w:val="30"/>
                <w:szCs w:val="30"/>
                <w:lang w:val="en-US" w:eastAsia="zh-CN"/>
              </w:rPr>
              <w:t>三</w:t>
            </w:r>
            <w:r>
              <w:rPr>
                <w:rFonts w:hint="eastAsia" w:ascii="宋体" w:hAnsi="宋体"/>
                <w:color w:val="000000"/>
                <w:sz w:val="30"/>
                <w:szCs w:val="30"/>
              </w:rPr>
              <w:t xml:space="preserve">台）  </w:t>
            </w: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color w:val="000000"/>
                <w:szCs w:val="21"/>
              </w:rPr>
            </w:pPr>
            <w:r>
              <w:rPr>
                <w:rFonts w:hint="eastAsia" w:ascii="宋体" w:hAnsi="宋体"/>
                <w:color w:val="000000"/>
                <w:szCs w:val="21"/>
              </w:rPr>
              <w:t>RIF-N半合成油</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lang w:val="en-US" w:eastAsia="zh-CN"/>
              </w:rPr>
              <w:t>3</w:t>
            </w:r>
            <w:r>
              <w:rPr>
                <w:rFonts w:hint="eastAsia" w:ascii="宋体" w:hAnsi="宋体"/>
                <w:color w:val="000000"/>
                <w:sz w:val="20"/>
              </w:rPr>
              <w:t>桶（4L）</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 w:val="30"/>
                <w:szCs w:val="30"/>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rPr>
                <w:rFonts w:hint="eastAsia" w:ascii="宋体" w:hAnsi="宋体" w:eastAsia="宋体"/>
                <w:color w:val="000000"/>
                <w:szCs w:val="21"/>
                <w:lang w:eastAsia="zh-CN"/>
              </w:rPr>
            </w:pPr>
            <w:r>
              <w:rPr>
                <w:rFonts w:hint="eastAsia" w:ascii="宋体" w:hAnsi="宋体"/>
                <w:color w:val="000000"/>
                <w:szCs w:val="21"/>
              </w:rPr>
              <w:t>过滤器</w:t>
            </w:r>
            <w:r>
              <w:rPr>
                <w:rFonts w:hint="eastAsia" w:ascii="宋体" w:hAnsi="宋体"/>
                <w:color w:val="000000"/>
                <w:szCs w:val="21"/>
                <w:lang w:val="en-US" w:eastAsia="zh-CN"/>
              </w:rPr>
              <w:t>保养包</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lang w:val="en-US" w:eastAsia="zh-CN"/>
              </w:rPr>
              <w:t>3</w:t>
            </w:r>
            <w:r>
              <w:rPr>
                <w:rFonts w:hint="eastAsia" w:ascii="宋体" w:hAnsi="宋体"/>
                <w:color w:val="000000"/>
                <w:sz w:val="20"/>
              </w:rPr>
              <w:t>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jc w:val="center"/>
              <w:rPr>
                <w:rFonts w:hint="eastAsia" w:ascii="宋体" w:hAnsi="宋体"/>
                <w:color w:val="000000"/>
                <w:szCs w:val="21"/>
              </w:rPr>
            </w:pPr>
          </w:p>
        </w:tc>
        <w:tc>
          <w:tcPr>
            <w:tcW w:w="3419" w:type="dxa"/>
            <w:tcBorders>
              <w:top w:val="single" w:color="auto" w:sz="4" w:space="0"/>
              <w:left w:val="single" w:color="auto" w:sz="6" w:space="0"/>
              <w:bottom w:val="single" w:color="auto" w:sz="4"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DD</w:t>
            </w:r>
            <w:r>
              <w:rPr>
                <w:rFonts w:hint="eastAsia" w:ascii="宋体" w:hAnsi="宋体"/>
                <w:color w:val="000000"/>
                <w:szCs w:val="21"/>
                <w:lang w:val="en-US" w:eastAsia="zh-CN"/>
              </w:rPr>
              <w:t>32</w:t>
            </w:r>
            <w:r>
              <w:rPr>
                <w:rFonts w:hint="eastAsia" w:ascii="宋体" w:hAnsi="宋体"/>
                <w:color w:val="000000"/>
                <w:szCs w:val="21"/>
              </w:rPr>
              <w:t>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PD</w:t>
            </w:r>
            <w:r>
              <w:rPr>
                <w:rFonts w:hint="eastAsia" w:ascii="宋体" w:hAnsi="宋体"/>
                <w:color w:val="000000"/>
                <w:szCs w:val="21"/>
                <w:lang w:val="en-US" w:eastAsia="zh-CN"/>
              </w:rPr>
              <w:t>32</w:t>
            </w:r>
            <w:r>
              <w:rPr>
                <w:rFonts w:hint="eastAsia" w:ascii="宋体" w:hAnsi="宋体"/>
                <w:color w:val="000000"/>
                <w:szCs w:val="21"/>
              </w:rPr>
              <w:t>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jc w:val="center"/>
              <w:rPr>
                <w:rFonts w:hint="eastAsia" w:ascii="宋体" w:hAnsi="宋体"/>
                <w:color w:val="000000"/>
                <w:sz w:val="20"/>
              </w:rPr>
            </w:pPr>
            <w:r>
              <w:rPr>
                <w:rFonts w:hint="eastAsia" w:ascii="宋体" w:hAnsi="宋体"/>
                <w:color w:val="000000"/>
                <w:sz w:val="20"/>
              </w:rPr>
              <w:t>3套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6" w:hRule="atLeast"/>
        </w:trPr>
        <w:tc>
          <w:tcPr>
            <w:tcW w:w="2183" w:type="dxa"/>
            <w:vMerge w:val="continue"/>
            <w:tcBorders>
              <w:right w:val="single" w:color="auto" w:sz="6" w:space="0"/>
            </w:tcBorders>
            <w:noWrap w:val="0"/>
            <w:vAlign w:val="top"/>
          </w:tcPr>
          <w:p>
            <w:pPr>
              <w:tabs>
                <w:tab w:val="left" w:pos="780"/>
              </w:tabs>
              <w:jc w:val="left"/>
              <w:rPr>
                <w:rFonts w:hint="eastAsia" w:ascii="宋体" w:hAnsi="宋体"/>
                <w:color w:val="000000"/>
                <w:szCs w:val="21"/>
              </w:rPr>
            </w:pPr>
          </w:p>
        </w:tc>
        <w:tc>
          <w:tcPr>
            <w:tcW w:w="3419" w:type="dxa"/>
            <w:tcBorders>
              <w:top w:val="single" w:color="auto" w:sz="4" w:space="0"/>
              <w:left w:val="single" w:color="auto" w:sz="6" w:space="0"/>
              <w:bottom w:val="single" w:color="auto" w:sz="6" w:space="0"/>
              <w:right w:val="single" w:color="auto" w:sz="6" w:space="0"/>
            </w:tcBorders>
            <w:noWrap w:val="0"/>
            <w:vAlign w:val="top"/>
          </w:tcPr>
          <w:p>
            <w:pPr>
              <w:tabs>
                <w:tab w:val="left" w:pos="780"/>
              </w:tabs>
              <w:jc w:val="left"/>
              <w:rPr>
                <w:rFonts w:hint="eastAsia" w:ascii="宋体" w:hAnsi="宋体"/>
                <w:color w:val="000000"/>
                <w:szCs w:val="21"/>
              </w:rPr>
            </w:pPr>
            <w:r>
              <w:rPr>
                <w:rFonts w:hint="eastAsia" w:ascii="宋体" w:hAnsi="宋体"/>
                <w:color w:val="000000"/>
                <w:szCs w:val="21"/>
              </w:rPr>
              <w:t>QD</w:t>
            </w:r>
            <w:r>
              <w:rPr>
                <w:rFonts w:hint="eastAsia" w:ascii="宋体" w:hAnsi="宋体"/>
                <w:color w:val="000000"/>
                <w:szCs w:val="21"/>
                <w:lang w:val="en-US" w:eastAsia="zh-CN"/>
              </w:rPr>
              <w:t>32</w:t>
            </w:r>
            <w:r>
              <w:rPr>
                <w:rFonts w:hint="eastAsia" w:ascii="宋体" w:hAnsi="宋体"/>
                <w:color w:val="000000"/>
                <w:szCs w:val="21"/>
              </w:rPr>
              <w:t>过滤芯</w:t>
            </w:r>
          </w:p>
        </w:tc>
        <w:tc>
          <w:tcPr>
            <w:tcW w:w="1578" w:type="dxa"/>
            <w:tcBorders>
              <w:top w:val="single" w:color="auto" w:sz="6" w:space="0"/>
              <w:left w:val="single" w:color="auto" w:sz="6" w:space="0"/>
              <w:bottom w:val="single" w:color="auto" w:sz="6" w:space="0"/>
              <w:right w:val="single" w:color="auto" w:sz="6" w:space="0"/>
            </w:tcBorders>
            <w:noWrap w:val="0"/>
            <w:vAlign w:val="top"/>
          </w:tcPr>
          <w:p>
            <w:pPr>
              <w:tabs>
                <w:tab w:val="left" w:pos="780"/>
              </w:tabs>
              <w:rPr>
                <w:rFonts w:hint="eastAsia" w:ascii="宋体" w:hAnsi="宋体"/>
                <w:color w:val="000000"/>
                <w:sz w:val="20"/>
              </w:rPr>
            </w:pPr>
            <w:r>
              <w:rPr>
                <w:rFonts w:hint="eastAsia" w:ascii="宋体" w:hAnsi="宋体"/>
                <w:color w:val="000000"/>
                <w:sz w:val="20"/>
              </w:rPr>
              <w:t xml:space="preserve">     3套</w:t>
            </w:r>
          </w:p>
        </w:tc>
      </w:tr>
    </w:tbl>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p>
      <w:pPr>
        <w:pStyle w:val="8"/>
        <w:widowControl w:val="0"/>
        <w:numPr>
          <w:ilvl w:val="0"/>
          <w:numId w:val="0"/>
        </w:numPr>
        <w:contextualSpacing/>
        <w:jc w:val="both"/>
        <w:rPr>
          <w:rFonts w:hint="eastAsia" w:ascii="宋体" w:hAnsi="宋体" w:cs="宋体"/>
          <w:snapToGrid w:val="0"/>
          <w:kern w:val="0"/>
          <w:sz w:val="24"/>
        </w:rPr>
      </w:pPr>
    </w:p>
    <w:p>
      <w:pPr>
        <w:pStyle w:val="14"/>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
      <w:pPr>
        <w:pStyle w:val="7"/>
      </w:pPr>
    </w:p>
    <w:p>
      <w:pPr>
        <w:pStyle w:val="2"/>
      </w:pPr>
    </w:p>
    <w:p>
      <w:pPr>
        <w:pStyle w:val="34"/>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pStyle w:val="2"/>
      </w:pPr>
    </w:p>
    <w:p>
      <w:pPr>
        <w:autoSpaceDE w:val="0"/>
        <w:autoSpaceDN w:val="0"/>
        <w:jc w:val="left"/>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东西区氧气站空压机维保服务项目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YDFYXJ-2023110</w:t>
      </w:r>
      <w:r>
        <w:rPr>
          <w:rFonts w:hint="eastAsia" w:ascii="宋体" w:hAnsi="宋体" w:cs="宋体"/>
          <w:snapToGrid w:val="0"/>
          <w:kern w:val="0"/>
          <w:sz w:val="24"/>
          <w:highlight w:val="none"/>
          <w:lang w:val="en-US" w:eastAsia="zh-CN"/>
        </w:rPr>
        <w:t>6</w:t>
      </w:r>
      <w:bookmarkStart w:id="1" w:name="_GoBack"/>
      <w:bookmarkEnd w:id="1"/>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rPr>
          <w:b/>
          <w:sz w:val="36"/>
          <w:szCs w:val="36"/>
        </w:rPr>
      </w:pPr>
    </w:p>
    <w:p>
      <w:pPr>
        <w:pStyle w:val="7"/>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pStyle w:val="15"/>
      </w:pPr>
    </w:p>
    <w:p>
      <w:pPr>
        <w:pStyle w:val="15"/>
      </w:pPr>
    </w:p>
    <w:p>
      <w:pPr>
        <w:pStyle w:val="15"/>
      </w:pPr>
    </w:p>
    <w:p>
      <w:pPr>
        <w:pStyle w:val="15"/>
      </w:pPr>
    </w:p>
    <w:p>
      <w:pPr>
        <w:pStyle w:val="15"/>
      </w:pPr>
    </w:p>
    <w:p>
      <w:pPr>
        <w:pStyle w:val="15"/>
      </w:pPr>
    </w:p>
    <w:p>
      <w:pPr>
        <w:pStyle w:val="15"/>
      </w:pPr>
    </w:p>
    <w:p>
      <w:pPr>
        <w:pStyle w:val="15"/>
      </w:pPr>
    </w:p>
    <w:p>
      <w:r>
        <w:br w:type="page"/>
      </w:r>
    </w:p>
    <w:p>
      <w:pPr>
        <w:pStyle w:val="15"/>
        <w:ind w:left="0" w:leftChars="0" w:firstLine="0" w:firstLineChars="0"/>
      </w:pPr>
    </w:p>
    <w:p>
      <w:pPr>
        <w:pStyle w:val="15"/>
      </w:pP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东西区氧气站空压机维保服务项目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20231106</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东西区氧气站空压机维保服务项目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东西区氧气站空压机维保服务项目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维保配件</w:t>
      </w:r>
      <w:r>
        <w:rPr>
          <w:rFonts w:hint="eastAsia" w:ascii="宋体" w:hAnsi="宋体"/>
          <w:sz w:val="24"/>
        </w:rPr>
        <w:t>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A1423A"/>
    <w:rsid w:val="034D4BC8"/>
    <w:rsid w:val="04E61983"/>
    <w:rsid w:val="04F93EF7"/>
    <w:rsid w:val="053E3F8C"/>
    <w:rsid w:val="06835001"/>
    <w:rsid w:val="07CD3AA2"/>
    <w:rsid w:val="0907213E"/>
    <w:rsid w:val="0BE47D69"/>
    <w:rsid w:val="0C067990"/>
    <w:rsid w:val="0C4A2728"/>
    <w:rsid w:val="0C704CF9"/>
    <w:rsid w:val="0CF140C8"/>
    <w:rsid w:val="0D2E16CF"/>
    <w:rsid w:val="0D4515B4"/>
    <w:rsid w:val="0E126F52"/>
    <w:rsid w:val="0E2A13BF"/>
    <w:rsid w:val="0EE42777"/>
    <w:rsid w:val="110961DE"/>
    <w:rsid w:val="11202626"/>
    <w:rsid w:val="135E7630"/>
    <w:rsid w:val="151678B8"/>
    <w:rsid w:val="15D76399"/>
    <w:rsid w:val="172469D5"/>
    <w:rsid w:val="17407202"/>
    <w:rsid w:val="186D5CBC"/>
    <w:rsid w:val="19826916"/>
    <w:rsid w:val="1A965BFC"/>
    <w:rsid w:val="1C94789B"/>
    <w:rsid w:val="1D762024"/>
    <w:rsid w:val="1E525F06"/>
    <w:rsid w:val="1EAC0AAC"/>
    <w:rsid w:val="1FF236E2"/>
    <w:rsid w:val="1FFB1E28"/>
    <w:rsid w:val="203B1F21"/>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0442A6"/>
    <w:rsid w:val="318E7998"/>
    <w:rsid w:val="31FF36A9"/>
    <w:rsid w:val="32542738"/>
    <w:rsid w:val="349B0B50"/>
    <w:rsid w:val="375A406B"/>
    <w:rsid w:val="395873E0"/>
    <w:rsid w:val="398427FF"/>
    <w:rsid w:val="3B6B7997"/>
    <w:rsid w:val="3C7E55A0"/>
    <w:rsid w:val="3C7E7E4D"/>
    <w:rsid w:val="3D920AB3"/>
    <w:rsid w:val="3E4F54B3"/>
    <w:rsid w:val="3EA006FD"/>
    <w:rsid w:val="402811DC"/>
    <w:rsid w:val="406A6438"/>
    <w:rsid w:val="40C726B4"/>
    <w:rsid w:val="424B0DFC"/>
    <w:rsid w:val="43F56786"/>
    <w:rsid w:val="45977351"/>
    <w:rsid w:val="45F42EB8"/>
    <w:rsid w:val="46056344"/>
    <w:rsid w:val="467B4C8A"/>
    <w:rsid w:val="4689608C"/>
    <w:rsid w:val="48357C85"/>
    <w:rsid w:val="48B5696C"/>
    <w:rsid w:val="49AC543C"/>
    <w:rsid w:val="4ACD2A51"/>
    <w:rsid w:val="4B4053E3"/>
    <w:rsid w:val="4B8D08A2"/>
    <w:rsid w:val="4BD6274F"/>
    <w:rsid w:val="4C2279B2"/>
    <w:rsid w:val="4C472E7D"/>
    <w:rsid w:val="4CB85CB5"/>
    <w:rsid w:val="4E295D4C"/>
    <w:rsid w:val="4F717F10"/>
    <w:rsid w:val="501519DD"/>
    <w:rsid w:val="507C6263"/>
    <w:rsid w:val="508A0E56"/>
    <w:rsid w:val="510328E8"/>
    <w:rsid w:val="510F701A"/>
    <w:rsid w:val="51673008"/>
    <w:rsid w:val="5199638E"/>
    <w:rsid w:val="51BD509B"/>
    <w:rsid w:val="537760B9"/>
    <w:rsid w:val="54AC3518"/>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0E4C27"/>
    <w:rsid w:val="60186A28"/>
    <w:rsid w:val="60446E43"/>
    <w:rsid w:val="60DB4EA5"/>
    <w:rsid w:val="612E05C2"/>
    <w:rsid w:val="616C3D5B"/>
    <w:rsid w:val="61806483"/>
    <w:rsid w:val="619072D4"/>
    <w:rsid w:val="61F801D2"/>
    <w:rsid w:val="626E3CB0"/>
    <w:rsid w:val="63473929"/>
    <w:rsid w:val="65D81E2F"/>
    <w:rsid w:val="65F2258C"/>
    <w:rsid w:val="668120C0"/>
    <w:rsid w:val="66A07C1E"/>
    <w:rsid w:val="66AF19DA"/>
    <w:rsid w:val="6710513C"/>
    <w:rsid w:val="673E62A6"/>
    <w:rsid w:val="675A5AE8"/>
    <w:rsid w:val="677A6507"/>
    <w:rsid w:val="678D2F92"/>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65D75BC"/>
    <w:rsid w:val="7787662E"/>
    <w:rsid w:val="77F20BEE"/>
    <w:rsid w:val="79AC4BB9"/>
    <w:rsid w:val="79CC0928"/>
    <w:rsid w:val="7ABB1C53"/>
    <w:rsid w:val="7BF34C08"/>
    <w:rsid w:val="7C6460D0"/>
    <w:rsid w:val="7E4401E2"/>
    <w:rsid w:val="7ECF0FC0"/>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 w:type="paragraph" w:customStyle="1" w:styleId="34">
    <w:name w:val="一级条标题"/>
    <w:basedOn w:val="35"/>
    <w:next w:val="36"/>
    <w:qFormat/>
    <w:uiPriority w:val="0"/>
    <w:pPr>
      <w:spacing w:line="240" w:lineRule="auto"/>
      <w:ind w:left="420"/>
      <w:outlineLvl w:val="2"/>
    </w:pPr>
  </w:style>
  <w:style w:type="paragraph" w:customStyle="1" w:styleId="3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3186</Words>
  <Characters>3471</Characters>
  <Lines>70</Lines>
  <Paragraphs>19</Paragraphs>
  <TotalTime>1</TotalTime>
  <ScaleCrop>false</ScaleCrop>
  <LinksUpToDate>false</LinksUpToDate>
  <CharactersWithSpaces>3812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2022-09-28T23:48:00Z</cp:lastPrinted>
  <dcterms:modified xsi:type="dcterms:W3CDTF">2023-11-21T00:51:10Z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