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YDFYXJ-</w:t>
      </w:r>
      <w:r>
        <w:rPr>
          <w:rFonts w:hint="eastAsia" w:ascii="宋体" w:hAnsi="宋体" w:cs="宋体"/>
          <w:b/>
          <w:snapToGrid w:val="0"/>
          <w:kern w:val="0"/>
          <w:sz w:val="32"/>
          <w:szCs w:val="32"/>
          <w:lang w:eastAsia="zh-CN"/>
        </w:rPr>
        <w:t>2024017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eastAsia" w:ascii="宋体" w:hAnsi="宋体" w:eastAsia="宋体" w:cs="宋体"/>
          <w:b/>
          <w:snapToGrid w:val="0"/>
          <w:kern w:val="0"/>
          <w:sz w:val="40"/>
          <w:szCs w:val="40"/>
          <w:lang w:eastAsia="zh-CN"/>
        </w:rPr>
      </w:pPr>
      <w:r>
        <w:rPr>
          <w:rFonts w:hint="eastAsia" w:ascii="宋体" w:hAnsi="宋体" w:cs="宋体"/>
          <w:b/>
          <w:snapToGrid w:val="0"/>
          <w:kern w:val="0"/>
          <w:sz w:val="40"/>
          <w:szCs w:val="40"/>
          <w:lang w:eastAsia="zh-CN"/>
        </w:rPr>
        <w:t>淮海路校区19号楼排险项目</w:t>
      </w:r>
    </w:p>
    <w:p>
      <w:pPr>
        <w:adjustRightInd w:val="0"/>
        <w:snapToGrid w:val="0"/>
        <w:spacing w:line="800" w:lineRule="exact"/>
        <w:contextualSpacing/>
        <w:jc w:val="center"/>
        <w:rPr>
          <w:b/>
          <w:sz w:val="40"/>
          <w:szCs w:val="40"/>
        </w:rPr>
      </w:pPr>
      <w:r>
        <w:rPr>
          <w:rFonts w:hint="eastAsia"/>
          <w:b/>
          <w:sz w:val="40"/>
          <w:szCs w:val="40"/>
        </w:rPr>
        <w:t>询价文件</w:t>
      </w:r>
    </w:p>
    <w:p>
      <w:pPr>
        <w:pStyle w:val="17"/>
        <w:ind w:firstLine="0"/>
      </w:pPr>
    </w:p>
    <w:p>
      <w:pPr>
        <w:pStyle w:val="17"/>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6"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rPr>
        <w:t>2024年</w:t>
      </w:r>
      <w:r>
        <w:rPr>
          <w:rFonts w:hint="eastAsia" w:asciiTheme="minorEastAsia" w:hAnsiTheme="minorEastAsia" w:eastAsiaTheme="minorEastAsia"/>
          <w:b/>
          <w:color w:val="000000" w:themeColor="text1"/>
          <w:w w:val="90"/>
          <w:kern w:val="0"/>
          <w:sz w:val="32"/>
          <w:szCs w:val="32"/>
          <w:lang w:val="en-US" w:eastAsia="zh-CN"/>
          <w14:textFill>
            <w14:solidFill>
              <w14:schemeClr w14:val="tx1"/>
            </w14:solidFill>
          </w14:textFill>
        </w:rPr>
        <w:t>5</w:t>
      </w:r>
      <w:r>
        <w:rPr>
          <w:rFonts w:hint="eastAsia" w:asciiTheme="minorEastAsia" w:hAnsiTheme="minorEastAsia" w:eastAsiaTheme="minorEastAsia"/>
          <w:b/>
          <w:color w:val="000000" w:themeColor="text1"/>
          <w:w w:val="90"/>
          <w:kern w:val="0"/>
          <w:sz w:val="32"/>
          <w:szCs w:val="32"/>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lang w:val="en-US" w:eastAsia="zh-CN"/>
          <w14:textFill>
            <w14:solidFill>
              <w14:schemeClr w14:val="tx1"/>
            </w14:solidFill>
          </w14:textFill>
        </w:rPr>
        <w:t>14</w:t>
      </w:r>
      <w:r>
        <w:rPr>
          <w:rFonts w:hint="eastAsia" w:asciiTheme="minorEastAsia" w:hAnsiTheme="minorEastAsia" w:eastAsiaTheme="minorEastAsia"/>
          <w:b/>
          <w:color w:val="000000" w:themeColor="text1"/>
          <w:w w:val="90"/>
          <w:kern w:val="0"/>
          <w:sz w:val="32"/>
          <w:szCs w:val="32"/>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ind w:firstLine="960" w:firstLineChars="400"/>
        <w:rPr>
          <w:rFonts w:ascii="宋体" w:hAnsi="宋体" w:cs="宋体"/>
          <w:snapToGrid w:val="0"/>
          <w:kern w:val="0"/>
          <w:sz w:val="24"/>
        </w:rPr>
      </w:pP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扬州大学附属医院</w:t>
      </w:r>
      <w:r>
        <w:rPr>
          <w:rFonts w:hint="eastAsia" w:ascii="宋体" w:hAnsi="宋体" w:cs="宋体"/>
          <w:snapToGrid w:val="0"/>
          <w:kern w:val="0"/>
          <w:sz w:val="24"/>
          <w:lang w:eastAsia="zh-CN"/>
        </w:rPr>
        <w:t>淮海路校区19号楼排险项目</w:t>
      </w:r>
      <w:r>
        <w:rPr>
          <w:rFonts w:hint="eastAsia" w:ascii="宋体" w:hAnsi="宋体" w:cs="宋体"/>
          <w:snapToGrid w:val="0"/>
          <w:kern w:val="0"/>
          <w:sz w:val="24"/>
        </w:rPr>
        <w:t>（编号：YDFYXJ-</w:t>
      </w:r>
      <w:r>
        <w:rPr>
          <w:rFonts w:hint="eastAsia" w:ascii="宋体" w:hAnsi="宋体" w:cs="宋体"/>
          <w:snapToGrid w:val="0"/>
          <w:kern w:val="0"/>
          <w:sz w:val="24"/>
          <w:lang w:eastAsia="zh-CN"/>
        </w:rPr>
        <w:t>2024017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1.项目名称：扬州大学附属医院</w:t>
      </w:r>
      <w:r>
        <w:rPr>
          <w:rFonts w:hint="eastAsia" w:ascii="宋体" w:hAnsi="宋体" w:cs="宋体"/>
          <w:snapToGrid w:val="0"/>
          <w:kern w:val="0"/>
          <w:sz w:val="24"/>
          <w:lang w:eastAsia="zh-CN"/>
        </w:rPr>
        <w:t>淮海路校区19号楼排险项目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lang w:val="en-US" w:eastAsia="zh-CN"/>
        </w:rPr>
        <w:t>2</w:t>
      </w:r>
      <w:r>
        <w:rPr>
          <w:rFonts w:hint="eastAsia" w:ascii="宋体" w:hAnsi="宋体" w:cs="宋体"/>
          <w:snapToGrid w:val="0"/>
          <w:kern w:val="0"/>
          <w:sz w:val="24"/>
        </w:rPr>
        <w:t>万元，投标报价高于最高限价作废标处理。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4.1投标人应具备《中华人民共和国政府采购法》第二十二条规定的条件。</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5.1供应商单位负责人为同一人或者存在直接控股、管理关系的不同供应商，不得参加同一协议项下的政府采购活动。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口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在2024年</w:t>
      </w:r>
      <w:r>
        <w:rPr>
          <w:rFonts w:hint="eastAsia" w:ascii="宋体" w:hAnsi="宋体"/>
          <w:b/>
          <w:sz w:val="24"/>
          <w:lang w:val="en-US" w:eastAsia="zh-CN"/>
        </w:rPr>
        <w:t>5</w:t>
      </w:r>
      <w:r>
        <w:rPr>
          <w:rFonts w:hint="eastAsia" w:ascii="宋体" w:hAnsi="宋体"/>
          <w:b/>
          <w:sz w:val="24"/>
        </w:rPr>
        <w:t>月</w:t>
      </w:r>
      <w:r>
        <w:rPr>
          <w:rFonts w:hint="eastAsia" w:ascii="宋体" w:hAnsi="宋体"/>
          <w:b/>
          <w:sz w:val="24"/>
          <w:lang w:val="en-US" w:eastAsia="zh-CN"/>
        </w:rPr>
        <w:t>21</w:t>
      </w:r>
      <w:r>
        <w:rPr>
          <w:rFonts w:hint="eastAsia" w:ascii="宋体" w:hAnsi="宋体"/>
          <w:b/>
          <w:sz w:val="24"/>
        </w:rPr>
        <w:t>日上午10：30</w:t>
      </w:r>
      <w:r>
        <w:rPr>
          <w:rFonts w:hint="eastAsia" w:ascii="宋体" w:hAnsi="宋体"/>
          <w:sz w:val="24"/>
        </w:rPr>
        <w:t>前，向本单位做出一次性书面报价（单价及总价）。该报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报价函将作为协议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lang w:eastAsia="zh-CN"/>
        </w:rPr>
        <w:t>淮海路校区19号楼排险项目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lang w:eastAsia="zh-CN"/>
        </w:rPr>
        <w:t>淮海路校区19号楼排险项目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12.协议结算方式：本协议价款采用固定总价协议方式确定。</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13.项目款支付：付款方式为在安装完成后，乙方凭开具的正规增值税发票等材料向甲方办理付款手续，甲方凭手续齐全的票据付合同价的100%。（以上均不计息）</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rPr>
        <w:t>2024年</w:t>
      </w:r>
      <w:r>
        <w:rPr>
          <w:rFonts w:hint="eastAsia" w:cs="微软雅黑"/>
          <w:b/>
          <w:lang w:val="en-US" w:eastAsia="zh-CN"/>
        </w:rPr>
        <w:t>5</w:t>
      </w:r>
      <w:r>
        <w:rPr>
          <w:rFonts w:hint="eastAsia" w:cs="微软雅黑"/>
          <w:b/>
        </w:rPr>
        <w:t>月</w:t>
      </w:r>
      <w:r>
        <w:rPr>
          <w:rFonts w:hint="eastAsia" w:cs="微软雅黑"/>
          <w:b/>
          <w:lang w:val="en-US" w:eastAsia="zh-CN"/>
        </w:rPr>
        <w:t>21</w:t>
      </w:r>
      <w:r>
        <w:rPr>
          <w:rFonts w:hint="eastAsia" w:cs="微软雅黑"/>
          <w:b/>
        </w:rPr>
        <w:t>日</w:t>
      </w:r>
      <w:r>
        <w:rPr>
          <w:rFonts w:hint="eastAsia"/>
          <w:b/>
        </w:rPr>
        <w:t>上午10：30</w:t>
      </w:r>
      <w:r>
        <w:rPr>
          <w:rFonts w:hint="eastAsia" w:cs="微软雅黑"/>
          <w:color w:val="000000"/>
        </w:rPr>
        <w:t>前</w:t>
      </w:r>
      <w:r>
        <w:rPr>
          <w:rStyle w:val="37"/>
          <w:b/>
        </w:rPr>
        <w:t>（北</w:t>
      </w:r>
      <w:r>
        <w:rPr>
          <w:rStyle w:val="37"/>
          <w:b/>
          <w:color w:val="000000"/>
        </w:rPr>
        <w:t>京时间）</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rPr>
        <w:t>扬州市邗江中路368号</w:t>
      </w:r>
      <w:r>
        <w:rPr>
          <w:rFonts w:hint="eastAsia" w:cs="微软雅黑"/>
          <w:color w:val="000000"/>
        </w:rPr>
        <w:t>扬州大学附属医院西区行政楼四楼采购中心405</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联系人：胡老师   联系电话：0514—82099555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rPr>
        <w:t>202</w:t>
      </w:r>
      <w:r>
        <w:rPr>
          <w:rStyle w:val="37"/>
          <w:rFonts w:hint="eastAsia" w:ascii="宋体" w:hAnsi="宋体"/>
          <w:b/>
          <w:sz w:val="24"/>
        </w:rPr>
        <w:t>4</w:t>
      </w:r>
      <w:r>
        <w:rPr>
          <w:rStyle w:val="37"/>
          <w:rFonts w:ascii="宋体" w:hAnsi="宋体"/>
          <w:b/>
          <w:sz w:val="24"/>
        </w:rPr>
        <w:t>年</w:t>
      </w:r>
      <w:r>
        <w:rPr>
          <w:rStyle w:val="37"/>
          <w:rFonts w:hint="eastAsia" w:ascii="宋体" w:hAnsi="宋体"/>
          <w:b/>
          <w:sz w:val="24"/>
          <w:lang w:val="en-US" w:eastAsia="zh-CN"/>
        </w:rPr>
        <w:t>5</w:t>
      </w:r>
      <w:r>
        <w:rPr>
          <w:rStyle w:val="37"/>
          <w:rFonts w:hint="eastAsia" w:ascii="宋体" w:hAnsi="宋体"/>
          <w:b/>
          <w:sz w:val="24"/>
        </w:rPr>
        <w:t>月</w:t>
      </w:r>
      <w:r>
        <w:rPr>
          <w:rStyle w:val="37"/>
          <w:rFonts w:hint="eastAsia" w:ascii="宋体" w:hAnsi="宋体"/>
          <w:b/>
          <w:sz w:val="24"/>
          <w:lang w:val="en-US" w:eastAsia="zh-CN"/>
        </w:rPr>
        <w:t>21</w:t>
      </w:r>
      <w:r>
        <w:rPr>
          <w:rStyle w:val="37"/>
          <w:rFonts w:ascii="宋体" w:hAnsi="宋体"/>
          <w:b/>
          <w:sz w:val="24"/>
        </w:rPr>
        <w:t>日</w:t>
      </w:r>
      <w:r>
        <w:rPr>
          <w:rFonts w:hint="eastAsia" w:ascii="宋体" w:hAnsi="宋体"/>
          <w:b/>
          <w:sz w:val="24"/>
        </w:rPr>
        <w:t>上午10：30</w:t>
      </w:r>
      <w:r>
        <w:rPr>
          <w:rStyle w:val="37"/>
          <w:rFonts w:ascii="宋体" w:hAnsi="宋体"/>
          <w:b/>
          <w:sz w:val="24"/>
        </w:rPr>
        <w:t>（北</w:t>
      </w:r>
      <w:r>
        <w:rPr>
          <w:rStyle w:val="37"/>
          <w:rFonts w:ascii="宋体" w:hAnsi="宋体"/>
          <w:b/>
          <w:color w:val="000000"/>
          <w:sz w:val="24"/>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扬州市邗江中路368号扬州大学附属医院西区行政楼四楼采购中心404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Cs/>
          <w:snapToGrid w:val="0"/>
          <w:kern w:val="0"/>
          <w:sz w:val="24"/>
        </w:rPr>
        <w:t>.</w:t>
      </w:r>
      <w:r>
        <w:rPr>
          <w:rFonts w:hint="eastAsia" w:ascii="宋体" w:hAnsi="宋体" w:cs="宋体"/>
          <w:b/>
          <w:snapToGrid w:val="0"/>
          <w:kern w:val="0"/>
          <w:sz w:val="24"/>
        </w:rPr>
        <w:t>供应商如确定参加投标，请如实填写招标文件内《供应商参加投标确认函》，并在接收截止时间前将加盖公章的确认函扫描件发送至电子邮箱（hoytyzdx@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rPr>
        <w:t>.com）。（投标确认函格式附后）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rPr>
        <w:t>2024年</w:t>
      </w:r>
      <w:r>
        <w:rPr>
          <w:rFonts w:hint="eastAsia" w:ascii="宋体" w:hAnsi="宋体" w:cs="宋体"/>
          <w:b/>
          <w:snapToGrid w:val="0"/>
          <w:spacing w:val="-4"/>
          <w:kern w:val="0"/>
          <w:sz w:val="24"/>
          <w:lang w:val="en-US" w:eastAsia="zh-CN"/>
        </w:rPr>
        <w:t>5</w:t>
      </w:r>
      <w:r>
        <w:rPr>
          <w:rFonts w:hint="eastAsia" w:ascii="宋体" w:hAnsi="宋体" w:cs="宋体"/>
          <w:b/>
          <w:snapToGrid w:val="0"/>
          <w:spacing w:val="-4"/>
          <w:kern w:val="0"/>
          <w:sz w:val="24"/>
        </w:rPr>
        <w:t>月</w:t>
      </w:r>
      <w:r>
        <w:rPr>
          <w:rFonts w:hint="eastAsia" w:ascii="宋体" w:hAnsi="宋体" w:cs="宋体"/>
          <w:b/>
          <w:snapToGrid w:val="0"/>
          <w:spacing w:val="-4"/>
          <w:kern w:val="0"/>
          <w:sz w:val="24"/>
          <w:lang w:val="en-US" w:eastAsia="zh-CN"/>
        </w:rPr>
        <w:t>21</w:t>
      </w:r>
      <w:bookmarkStart w:id="4" w:name="_GoBack"/>
      <w:bookmarkEnd w:id="4"/>
      <w:r>
        <w:rPr>
          <w:rFonts w:hint="eastAsia" w:ascii="宋体" w:hAnsi="宋体" w:cs="宋体"/>
          <w:b/>
          <w:snapToGrid w:val="0"/>
          <w:spacing w:val="-4"/>
          <w:kern w:val="0"/>
          <w:sz w:val="24"/>
        </w:rPr>
        <w:t>日</w:t>
      </w:r>
      <w:r>
        <w:rPr>
          <w:rFonts w:hint="eastAsia" w:ascii="宋体" w:hAnsi="宋体"/>
          <w:b/>
          <w:sz w:val="24"/>
        </w:rPr>
        <w:t>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扬州市邗江中路368号，扬州大学附属医院西区行政楼四楼采购中心405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z w:val="24"/>
        </w:rPr>
        <w:t>联 系 人：胡老师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napToGrid w:val="0"/>
          <w:kern w:val="0"/>
          <w:sz w:val="24"/>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1.1项目名称：扬州大学附属医院</w:t>
      </w:r>
      <w:r>
        <w:rPr>
          <w:rFonts w:hint="eastAsia" w:ascii="宋体" w:hAnsi="宋体" w:cs="宋体"/>
          <w:snapToGrid w:val="0"/>
          <w:kern w:val="0"/>
          <w:sz w:val="24"/>
          <w:lang w:eastAsia="zh-CN"/>
        </w:rPr>
        <w:t>淮海路校区19号楼排险项目</w:t>
      </w:r>
    </w:p>
    <w:p>
      <w:pPr>
        <w:adjustRightInd w:val="0"/>
        <w:snapToGrid w:val="0"/>
        <w:spacing w:line="440" w:lineRule="exact"/>
        <w:contextualSpacing/>
        <w:rPr>
          <w:rFonts w:ascii="宋体" w:hAnsi="宋体" w:cs="宋体"/>
          <w:snapToGrid w:val="0"/>
          <w:kern w:val="0"/>
          <w:sz w:val="24"/>
        </w:rPr>
      </w:pPr>
      <w:r>
        <w:rPr>
          <w:rFonts w:hint="eastAsia" w:ascii="宋体" w:hAnsi="宋体" w:cs="宋体"/>
          <w:snapToGrid w:val="0"/>
          <w:kern w:val="0"/>
          <w:sz w:val="24"/>
        </w:rPr>
        <w:t>1.2项目编号：YDFYXJ-</w:t>
      </w:r>
      <w:r>
        <w:rPr>
          <w:rFonts w:hint="eastAsia" w:ascii="宋体" w:hAnsi="宋体" w:cs="宋体"/>
          <w:snapToGrid w:val="0"/>
          <w:kern w:val="0"/>
          <w:sz w:val="24"/>
          <w:lang w:eastAsia="zh-CN"/>
        </w:rPr>
        <w:t>2024017</w:t>
      </w:r>
      <w:r>
        <w:rPr>
          <w:rFonts w:hint="eastAsia" w:ascii="宋体" w:hAnsi="宋体" w:cs="宋体"/>
          <w:snapToGrid w:val="0"/>
          <w:kern w:val="0"/>
          <w:sz w:val="24"/>
        </w:rPr>
        <w:t>号</w:t>
      </w:r>
    </w:p>
    <w:p>
      <w:pPr>
        <w:adjustRightInd w:val="0"/>
        <w:snapToGrid w:val="0"/>
        <w:spacing w:line="440" w:lineRule="exact"/>
        <w:contextualSpacing/>
        <w:rPr>
          <w:rFonts w:ascii="宋体" w:hAnsi="宋体" w:cs="宋体"/>
          <w:snapToGrid w:val="0"/>
          <w:kern w:val="0"/>
          <w:sz w:val="24"/>
        </w:rPr>
      </w:pPr>
      <w:r>
        <w:rPr>
          <w:rFonts w:hint="eastAsia" w:ascii="宋体" w:hAnsi="宋体" w:cs="宋体"/>
          <w:snapToGrid w:val="0"/>
          <w:kern w:val="0"/>
          <w:sz w:val="24"/>
        </w:rPr>
        <w:t>1.3项目地点：扬州大学附属医院</w:t>
      </w:r>
    </w:p>
    <w:p>
      <w:pPr>
        <w:adjustRightInd w:val="0"/>
        <w:snapToGrid w:val="0"/>
        <w:spacing w:line="440" w:lineRule="exact"/>
        <w:contextualSpacing/>
        <w:rPr>
          <w:rFonts w:ascii="宋体" w:hAnsi="宋体" w:cs="宋体"/>
          <w:snapToGrid w:val="0"/>
          <w:kern w:val="0"/>
          <w:sz w:val="24"/>
        </w:rPr>
      </w:pPr>
      <w:r>
        <w:rPr>
          <w:rFonts w:hint="eastAsia" w:ascii="宋体" w:hAnsi="宋体" w:cs="宋体"/>
          <w:snapToGrid w:val="0"/>
          <w:kern w:val="0"/>
          <w:sz w:val="24"/>
        </w:rPr>
        <w:t>1.4最高限价：</w:t>
      </w:r>
      <w:r>
        <w:rPr>
          <w:rFonts w:hint="eastAsia" w:ascii="宋体" w:hAnsi="宋体" w:cs="宋体"/>
          <w:snapToGrid w:val="0"/>
          <w:kern w:val="0"/>
          <w:sz w:val="24"/>
          <w:lang w:val="en-US" w:eastAsia="zh-CN"/>
        </w:rPr>
        <w:t>2</w:t>
      </w:r>
      <w:r>
        <w:rPr>
          <w:rFonts w:hint="eastAsia" w:ascii="宋体" w:hAnsi="宋体" w:cs="宋体"/>
          <w:snapToGrid w:val="0"/>
          <w:kern w:val="0"/>
          <w:sz w:val="24"/>
        </w:rPr>
        <w:t>万元，投标报价高于最高限价作废标处理。</w:t>
      </w:r>
    </w:p>
    <w:p>
      <w:pPr>
        <w:numPr>
          <w:ilvl w:val="0"/>
          <w:numId w:val="2"/>
        </w:numPr>
        <w:adjustRightInd w:val="0"/>
        <w:snapToGrid w:val="0"/>
        <w:spacing w:line="440" w:lineRule="exact"/>
        <w:contextualSpacing/>
      </w:pPr>
      <w:r>
        <w:rPr>
          <w:rFonts w:hint="eastAsia" w:ascii="宋体" w:hAnsi="宋体" w:cs="宋体"/>
          <w:b/>
          <w:bCs/>
          <w:snapToGrid w:val="0"/>
          <w:kern w:val="0"/>
          <w:sz w:val="24"/>
        </w:rPr>
        <w:t>采购项目内容及要求</w:t>
      </w:r>
    </w:p>
    <w:p>
      <w:pPr>
        <w:tabs>
          <w:tab w:val="left" w:pos="3495"/>
        </w:tabs>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2.1项目简介</w:t>
      </w:r>
    </w:p>
    <w:p>
      <w:pPr>
        <w:tabs>
          <w:tab w:val="left" w:pos="3495"/>
        </w:tabs>
        <w:ind w:firstLine="480" w:firstLineChars="200"/>
        <w:jc w:val="both"/>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大楼外墙水泥砂浆层发生大面积脱落，需整体排患处理，总面积约</w:t>
      </w:r>
      <w:r>
        <w:rPr>
          <w:rFonts w:hint="eastAsia" w:asciiTheme="minorEastAsia" w:hAnsiTheme="minorEastAsia" w:cstheme="minorEastAsia"/>
          <w:sz w:val="24"/>
          <w:szCs w:val="24"/>
          <w:lang w:val="en-US" w:eastAsia="zh-CN"/>
        </w:rPr>
        <w:t>500㎡，外墙水泥砂浆层、外贴砖，需全部打毛至墙体，排除松散脱落层隐患。</w:t>
      </w:r>
    </w:p>
    <w:p>
      <w:pPr>
        <w:tabs>
          <w:tab w:val="left" w:pos="3495"/>
        </w:tabs>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2.2项目要求</w:t>
      </w:r>
    </w:p>
    <w:p>
      <w:pPr>
        <w:tabs>
          <w:tab w:val="left" w:pos="3495"/>
        </w:tabs>
        <w:jc w:val="both"/>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拆除需提前安装封闭式围挡措施，高度不低于1.8m，悬挂警示标志位于显眼处，围挡距离主体距离大于2.5m。现场配备雾炮车一台降尘，储水量不小于5m³。拆除前应对作业人员进行安全技术交底和安全培训，拆除地面必须配备专人指控指挥，拆除顺序由上至下逐层拆除打毛排患。拆除垃圾乙方及时清运处理。本项目高空作业人员必须持有备高空作业证，人证合一，持证上岗。涉及电线，电箱需要移位由乙方处理。</w:t>
      </w:r>
    </w:p>
    <w:p>
      <w:pPr>
        <w:tabs>
          <w:tab w:val="left" w:pos="3495"/>
        </w:tabs>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2.3现场图片</w:t>
      </w:r>
    </w:p>
    <w:p>
      <w:pPr>
        <w:tabs>
          <w:tab w:val="left" w:pos="3495"/>
        </w:tabs>
        <w:jc w:val="both"/>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drawing>
          <wp:inline distT="0" distB="0" distL="114300" distR="114300">
            <wp:extent cx="2542540" cy="2312670"/>
            <wp:effectExtent l="0" t="0" r="10160" b="11430"/>
            <wp:docPr id="2" name="图片 2" descr="68d2390d24024a0e48f7620dbb1b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d2390d24024a0e48f7620dbb1bc83"/>
                    <pic:cNvPicPr>
                      <a:picLocks noChangeAspect="1"/>
                    </pic:cNvPicPr>
                  </pic:nvPicPr>
                  <pic:blipFill>
                    <a:blip r:embed="rId7"/>
                    <a:srcRect b="16680"/>
                    <a:stretch>
                      <a:fillRect/>
                    </a:stretch>
                  </pic:blipFill>
                  <pic:spPr>
                    <a:xfrm>
                      <a:off x="0" y="0"/>
                      <a:ext cx="2542540" cy="2312670"/>
                    </a:xfrm>
                    <a:prstGeom prst="rect">
                      <a:avLst/>
                    </a:prstGeom>
                  </pic:spPr>
                </pic:pic>
              </a:graphicData>
            </a:graphic>
          </wp:inline>
        </w:drawing>
      </w:r>
      <w:r>
        <w:rPr>
          <w:rFonts w:hint="eastAsia" w:asciiTheme="minorEastAsia" w:hAnsiTheme="minorEastAsia" w:cstheme="minorEastAsia"/>
          <w:b/>
          <w:bCs/>
          <w:sz w:val="24"/>
          <w:szCs w:val="24"/>
          <w:lang w:val="en-US" w:eastAsia="zh-CN"/>
        </w:rPr>
        <w:t xml:space="preserve"> </w:t>
      </w:r>
      <w:r>
        <w:rPr>
          <w:rFonts w:hint="default" w:asciiTheme="minorEastAsia" w:hAnsiTheme="minorEastAsia" w:cstheme="minorEastAsia"/>
          <w:b/>
          <w:bCs/>
          <w:sz w:val="24"/>
          <w:szCs w:val="24"/>
          <w:lang w:val="en-US" w:eastAsia="zh-CN"/>
        </w:rPr>
        <w:drawing>
          <wp:inline distT="0" distB="0" distL="114300" distR="114300">
            <wp:extent cx="2308225" cy="2322195"/>
            <wp:effectExtent l="0" t="0" r="15875" b="1905"/>
            <wp:docPr id="4" name="图片 4" descr="e4e8e36d746f733507eb9604194d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4e8e36d746f733507eb9604194d739"/>
                    <pic:cNvPicPr>
                      <a:picLocks noChangeAspect="1"/>
                    </pic:cNvPicPr>
                  </pic:nvPicPr>
                  <pic:blipFill>
                    <a:blip r:embed="rId8"/>
                    <a:stretch>
                      <a:fillRect/>
                    </a:stretch>
                  </pic:blipFill>
                  <pic:spPr>
                    <a:xfrm>
                      <a:off x="0" y="0"/>
                      <a:ext cx="2308225" cy="2322195"/>
                    </a:xfrm>
                    <a:prstGeom prst="rect">
                      <a:avLst/>
                    </a:prstGeom>
                  </pic:spPr>
                </pic:pic>
              </a:graphicData>
            </a:graphic>
          </wp:inline>
        </w:drawing>
      </w:r>
    </w:p>
    <w:p>
      <w:pPr>
        <w:tabs>
          <w:tab w:val="left" w:pos="3495"/>
        </w:tabs>
        <w:jc w:val="both"/>
        <w:rPr>
          <w:rFonts w:hint="eastAsia"/>
          <w:b/>
          <w:bCs/>
          <w:lang w:val="en-US" w:eastAsia="zh-CN"/>
        </w:rPr>
      </w:pPr>
      <w:r>
        <w:rPr>
          <w:rFonts w:hint="eastAsia" w:asciiTheme="minorEastAsia" w:hAnsiTheme="minorEastAsia" w:cstheme="minorEastAsia"/>
          <w:b/>
          <w:bCs/>
          <w:sz w:val="24"/>
          <w:szCs w:val="24"/>
          <w:lang w:val="en-US" w:eastAsia="zh-CN"/>
        </w:rPr>
        <w:t>2.4工期10天</w:t>
      </w:r>
    </w:p>
    <w:p>
      <w:pPr>
        <w:numPr>
          <w:ilvl w:val="0"/>
          <w:numId w:val="2"/>
        </w:numPr>
        <w:adjustRightInd w:val="0"/>
        <w:snapToGrid w:val="0"/>
        <w:spacing w:line="440" w:lineRule="exact"/>
        <w:contextualSpacing/>
        <w:rPr>
          <w:rFonts w:ascii="宋体" w:hAnsi="宋体" w:cs="宋体"/>
          <w:b/>
          <w:bCs/>
          <w:snapToGrid w:val="0"/>
          <w:kern w:val="0"/>
          <w:sz w:val="24"/>
        </w:rPr>
      </w:pPr>
      <w:r>
        <w:rPr>
          <w:rFonts w:hint="eastAsia" w:ascii="宋体" w:hAnsi="宋体" w:cs="宋体"/>
          <w:b/>
          <w:bCs/>
          <w:snapToGrid w:val="0"/>
          <w:kern w:val="0"/>
          <w:sz w:val="24"/>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3.4其他服务。</w:t>
      </w:r>
    </w:p>
    <w:p>
      <w:pPr>
        <w:pStyle w:val="17"/>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7"/>
        <w:ind w:firstLine="0"/>
      </w:pPr>
    </w:p>
    <w:p>
      <w:pPr>
        <w:jc w:val="center"/>
        <w:rPr>
          <w:rFonts w:ascii="宋体" w:hAnsi="宋体"/>
          <w:b/>
          <w:bCs/>
          <w:sz w:val="36"/>
          <w:szCs w:val="36"/>
        </w:rPr>
      </w:pPr>
      <w:r>
        <w:rPr>
          <w:rFonts w:hint="eastAsia" w:ascii="宋体" w:hAnsi="宋体"/>
          <w:b/>
          <w:bCs/>
          <w:sz w:val="36"/>
          <w:szCs w:val="36"/>
        </w:rPr>
        <w:t>投标文件</w:t>
      </w:r>
    </w:p>
    <w:p>
      <w:pPr>
        <w:pStyle w:val="17"/>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7"/>
        <w:ind w:firstLine="0"/>
      </w:pPr>
    </w:p>
    <w:p>
      <w:pPr>
        <w:pStyle w:val="17"/>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pStyle w:val="17"/>
        <w:ind w:firstLine="0"/>
        <w:rPr>
          <w:sz w:val="36"/>
          <w:szCs w:val="36"/>
        </w:rPr>
      </w:pPr>
    </w:p>
    <w:p>
      <w:pPr>
        <w:pStyle w:val="23"/>
        <w:ind w:left="0"/>
      </w:pPr>
    </w:p>
    <w:p>
      <w:pPr>
        <w:pStyle w:val="17"/>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5.投标函原件；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6.投标报价表；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rPr>
        <w:t>7.投标分项报价表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8.投标人认为需要提供的其他材料。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pStyle w:val="3"/>
        <w:ind w:firstLine="883"/>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78"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u w:val="single"/>
        </w:rPr>
        <w:t>扬州大学附属医院</w:t>
      </w:r>
      <w:r>
        <w:rPr>
          <w:rFonts w:hint="eastAsia" w:ascii="宋体" w:hAnsi="宋体" w:cs="宋体"/>
          <w:bCs/>
          <w:sz w:val="24"/>
          <w:u w:val="single"/>
          <w:lang w:eastAsia="zh-CN"/>
        </w:rPr>
        <w:t>淮海路校区19号楼排险项目</w:t>
      </w:r>
      <w:r>
        <w:rPr>
          <w:rFonts w:hint="eastAsia" w:ascii="宋体" w:hAnsi="宋体" w:cs="宋体"/>
          <w:sz w:val="24"/>
        </w:rPr>
        <w:t>（编号：</w:t>
      </w:r>
      <w:r>
        <w:rPr>
          <w:rFonts w:hint="eastAsia" w:ascii="宋体" w:hAnsi="宋体" w:cs="宋体"/>
          <w:snapToGrid w:val="0"/>
          <w:kern w:val="0"/>
          <w:sz w:val="24"/>
        </w:rPr>
        <w:t>YDFYXJ-</w:t>
      </w:r>
      <w:r>
        <w:rPr>
          <w:rFonts w:hint="eastAsia" w:ascii="宋体" w:hAnsi="宋体" w:cs="宋体"/>
          <w:snapToGrid w:val="0"/>
          <w:kern w:val="0"/>
          <w:sz w:val="24"/>
          <w:lang w:eastAsia="zh-CN"/>
        </w:rPr>
        <w:t>2024017</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7"/>
        <w:ind w:firstLine="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2024年月日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rPr>
      </w:pPr>
    </w:p>
    <w:p>
      <w:pPr>
        <w:ind w:left="3960" w:hanging="3960" w:hangingChars="1650"/>
        <w:rPr>
          <w:rFonts w:ascii="宋体" w:hAnsi="宋体" w:cs="楷体"/>
          <w:b/>
          <w:sz w:val="24"/>
        </w:rPr>
      </w:pPr>
      <w:r>
        <w:rPr>
          <w:rFonts w:hint="eastAsia" w:ascii="宋体" w:hAnsi="宋体" w:cs="楷体"/>
          <w:sz w:val="24"/>
        </w:rPr>
        <w:t>附：</w:t>
      </w:r>
    </w:p>
    <w:p>
      <w:pPr>
        <w:ind w:left="3975" w:hanging="3975" w:hangingChars="1650"/>
        <w:jc w:val="center"/>
        <w:rPr>
          <w:rFonts w:ascii="宋体" w:hAnsi="宋体" w:cs="楷体"/>
          <w:b/>
          <w:sz w:val="24"/>
        </w:rPr>
      </w:pPr>
      <w:r>
        <w:rPr>
          <w:rFonts w:hint="eastAsia" w:ascii="宋体" w:hAnsi="宋体" w:cs="楷体"/>
          <w:b/>
          <w:sz w:val="24"/>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497" w:type="dxa"/>
          </w:tcPr>
          <w:p>
            <w:pPr>
              <w:spacing w:line="480" w:lineRule="auto"/>
              <w:jc w:val="center"/>
              <w:rPr>
                <w:rFonts w:ascii="宋体" w:hAnsi="宋体"/>
                <w:sz w:val="24"/>
              </w:rPr>
            </w:pPr>
            <w:r>
              <w:rPr>
                <w:rFonts w:ascii="宋体" w:hAnsi="宋体"/>
                <w:sz w:val="24"/>
              </w:rPr>
              <w:t>单位名称</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统一社会信用代码</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单位地址</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法定代表人</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单位电话</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rPr>
            </w:pPr>
            <w:r>
              <w:rPr>
                <w:rFonts w:ascii="宋体" w:hAnsi="宋体"/>
                <w:sz w:val="24"/>
              </w:rPr>
              <w:t>项目联系人</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邮    箱</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rPr>
            </w:pPr>
            <w:r>
              <w:rPr>
                <w:rFonts w:ascii="宋体" w:hAnsi="宋体"/>
                <w:sz w:val="24"/>
              </w:rPr>
              <w:t>联系人电话</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联系人手机</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rPr>
            </w:pPr>
            <w:r>
              <w:rPr>
                <w:rFonts w:ascii="宋体" w:hAnsi="宋体"/>
                <w:sz w:val="24"/>
              </w:rPr>
              <w:t>所投项目名称</w:t>
            </w:r>
          </w:p>
        </w:tc>
        <w:tc>
          <w:tcPr>
            <w:tcW w:w="6005" w:type="dxa"/>
            <w:gridSpan w:val="3"/>
            <w:vAlign w:val="center"/>
          </w:tcPr>
          <w:p>
            <w:pPr>
              <w:spacing w:line="480" w:lineRule="auto"/>
              <w:jc w:val="center"/>
              <w:rPr>
                <w:rFonts w:ascii="宋体" w:hAnsi="宋体"/>
                <w:sz w:val="24"/>
              </w:rPr>
            </w:pPr>
          </w:p>
        </w:tc>
      </w:tr>
    </w:tbl>
    <w:p>
      <w:pPr>
        <w:adjustRightInd w:val="0"/>
        <w:snapToGrid w:val="0"/>
        <w:spacing w:line="440" w:lineRule="exact"/>
        <w:ind w:firstLine="482" w:firstLineChars="200"/>
        <w:contextualSpacing/>
        <w:rPr>
          <w:rFonts w:ascii="宋体" w:hAnsi="宋体" w:cs="宋体"/>
          <w:b/>
          <w:sz w:val="24"/>
        </w:rPr>
      </w:pPr>
      <w:r>
        <w:rPr>
          <w:rFonts w:hint="eastAsia" w:ascii="宋体" w:hAnsi="宋体" w:cs="宋体"/>
          <w:b/>
          <w:sz w:val="24"/>
        </w:rPr>
        <w:t>备注：</w:t>
      </w:r>
      <w:r>
        <w:rPr>
          <w:rFonts w:ascii="宋体" w:hAnsi="宋体" w:cs="宋体"/>
          <w:b/>
          <w:sz w:val="24"/>
        </w:rPr>
        <w:t>1</w:t>
      </w:r>
      <w:r>
        <w:rPr>
          <w:rFonts w:hint="eastAsia" w:ascii="宋体" w:hAnsi="宋体" w:cs="宋体"/>
          <w:b/>
          <w:sz w:val="24"/>
        </w:rPr>
        <w:t>.请准备参与本项目投标的供应商如实填写（以上信息均为必填内容）后邮件至采购中心（邮箱：</w:t>
      </w:r>
      <w:r>
        <w:rPr>
          <w:rFonts w:hint="eastAsia" w:ascii="宋体" w:hAnsi="宋体" w:cs="宋体"/>
          <w:b/>
          <w:snapToGrid w:val="0"/>
          <w:kern w:val="0"/>
          <w:sz w:val="24"/>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rPr>
        <w:t>.com</w:t>
      </w:r>
      <w:r>
        <w:rPr>
          <w:rFonts w:hint="eastAsia" w:ascii="宋体" w:hAnsi="宋体" w:cs="宋体"/>
          <w:b/>
          <w:sz w:val="24"/>
        </w:rPr>
        <w:t>，固定电话：</w:t>
      </w:r>
      <w:r>
        <w:rPr>
          <w:rFonts w:hint="eastAsia" w:ascii="宋体" w:hAnsi="宋体" w:cs="宋体"/>
          <w:b/>
          <w:snapToGrid w:val="0"/>
          <w:kern w:val="0"/>
          <w:sz w:val="24"/>
        </w:rPr>
        <w:t>0514-82099555</w:t>
      </w:r>
      <w:r>
        <w:rPr>
          <w:rFonts w:hint="eastAsia" w:ascii="宋体" w:hAnsi="宋体" w:cs="宋体"/>
          <w:b/>
          <w:sz w:val="24"/>
        </w:rPr>
        <w:t>）。</w:t>
      </w:r>
    </w:p>
    <w:p>
      <w:pPr>
        <w:adjustRightInd w:val="0"/>
        <w:snapToGrid w:val="0"/>
        <w:spacing w:line="440" w:lineRule="exact"/>
        <w:ind w:firstLine="482" w:firstLineChars="200"/>
        <w:contextualSpacing/>
        <w:rPr>
          <w:rFonts w:ascii="宋体" w:hAnsi="宋体" w:cs="宋体"/>
          <w:b/>
          <w:sz w:val="24"/>
        </w:rPr>
      </w:pPr>
      <w:r>
        <w:rPr>
          <w:rFonts w:ascii="宋体" w:hAnsi="宋体" w:cs="宋体"/>
          <w:b/>
          <w:sz w:val="24"/>
        </w:rPr>
        <w:t>2</w:t>
      </w:r>
      <w:r>
        <w:rPr>
          <w:rFonts w:hint="eastAsia" w:ascii="宋体" w:hAnsi="宋体" w:cs="宋体"/>
          <w:b/>
          <w:sz w:val="24"/>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312" w:afterLines="100" w:line="360" w:lineRule="auto"/>
        <w:jc w:val="center"/>
        <w:rPr>
          <w:rFonts w:ascii="宋体" w:hAnsi="宋体"/>
          <w:b/>
          <w:bCs/>
          <w:szCs w:val="21"/>
        </w:rPr>
      </w:pPr>
    </w:p>
    <w:p>
      <w:pPr>
        <w:spacing w:after="312"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本授权委托书声明：我系的法定代表人，现授权委托我单位的(姓名)为我公司代理人。代理人在项目招投标活动中所签署的一切文件和处理与之有关的一切事务，我均予以承认。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约束双方的协议文件的组成部分。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ind w:firstLine="0"/>
      </w:pPr>
    </w:p>
    <w:p>
      <w:pPr>
        <w:spacing w:line="340" w:lineRule="exact"/>
        <w:jc w:val="center"/>
        <w:rPr>
          <w:rFonts w:ascii="宋体" w:hAnsi="宋体"/>
          <w:b/>
          <w:sz w:val="36"/>
          <w:szCs w:val="36"/>
        </w:rPr>
      </w:pPr>
      <w:r>
        <w:rPr>
          <w:rFonts w:hint="eastAsia" w:ascii="宋体" w:hAnsi="宋体"/>
          <w:b/>
          <w:sz w:val="36"/>
          <w:szCs w:val="36"/>
        </w:rPr>
        <w:t>（七）投标分项报价表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rPr>
          <w:rFonts w:ascii="宋体" w:hAnsi="宋体"/>
          <w:b/>
          <w:sz w:val="36"/>
          <w:szCs w:val="36"/>
        </w:rPr>
      </w:pPr>
      <w:bookmarkStart w:id="1" w:name="_Toc16938559"/>
      <w:bookmarkStart w:id="2" w:name="_Toc513029243"/>
      <w:bookmarkStart w:id="3" w:name="_Toc20823315"/>
    </w:p>
    <w:bookmarkEnd w:id="1"/>
    <w:bookmarkEnd w:id="2"/>
    <w:bookmarkEnd w:id="3"/>
    <w:p>
      <w:pPr>
        <w:rPr>
          <w:rFonts w:ascii="宋体" w:hAnsi="宋体"/>
          <w:b/>
          <w:sz w:val="36"/>
          <w:szCs w:val="36"/>
        </w:rPr>
      </w:pPr>
      <w:r>
        <w:rPr>
          <w:rFonts w:hint="eastAsia" w:ascii="宋体" w:hAnsi="宋体"/>
          <w:b/>
          <w:sz w:val="36"/>
          <w:szCs w:val="36"/>
        </w:rPr>
        <w:br w:type="page"/>
      </w:r>
    </w:p>
    <w:p>
      <w:pPr>
        <w:spacing w:line="440" w:lineRule="exact"/>
        <w:jc w:val="center"/>
        <w:rPr>
          <w:rFonts w:ascii="宋体" w:hAnsi="宋体" w:cs="宋体"/>
          <w:b/>
          <w:bCs/>
          <w:szCs w:val="21"/>
        </w:rPr>
      </w:pPr>
      <w:r>
        <w:rPr>
          <w:rFonts w:hint="eastAsia" w:ascii="宋体" w:hAnsi="宋体"/>
          <w:b/>
          <w:sz w:val="36"/>
          <w:szCs w:val="36"/>
        </w:rPr>
        <w:t>维修协议</w:t>
      </w:r>
    </w:p>
    <w:p>
      <w:pPr>
        <w:pStyle w:val="11"/>
        <w:snapToGrid w:val="0"/>
        <w:spacing w:before="120" w:after="120" w:line="360" w:lineRule="auto"/>
        <w:rPr>
          <w:rFonts w:hint="eastAsia" w:hAnsi="宋体" w:eastAsia="宋体" w:cs="宋体"/>
          <w:color w:val="000000"/>
          <w:lang w:eastAsia="zh-CN"/>
        </w:rPr>
      </w:pPr>
      <w:r>
        <w:rPr>
          <w:rFonts w:hint="eastAsia" w:hAnsi="宋体" w:cs="宋体"/>
          <w:color w:val="000000"/>
        </w:rPr>
        <w:t>项目名称：</w:t>
      </w:r>
      <w:r>
        <w:rPr>
          <w:rFonts w:hint="eastAsia" w:hAnsi="宋体" w:cs="宋体"/>
          <w:b/>
          <w:bCs/>
          <w:color w:val="000000"/>
        </w:rPr>
        <w:t>扬州大学附属医院</w:t>
      </w:r>
      <w:r>
        <w:rPr>
          <w:rFonts w:hint="eastAsia" w:hAnsi="宋体" w:cs="宋体"/>
          <w:b/>
          <w:bCs/>
          <w:color w:val="000000"/>
          <w:lang w:eastAsia="zh-CN"/>
        </w:rPr>
        <w:t>淮海路校区19号楼排险项目</w:t>
      </w:r>
    </w:p>
    <w:p>
      <w:pPr>
        <w:pStyle w:val="11"/>
        <w:snapToGrid w:val="0"/>
        <w:spacing w:before="120" w:after="120" w:line="360" w:lineRule="auto"/>
        <w:rPr>
          <w:rFonts w:hint="eastAsia" w:hAnsi="宋体" w:eastAsia="宋体" w:cs="宋体"/>
          <w:color w:val="000000"/>
          <w:lang w:eastAsia="zh-CN"/>
        </w:rPr>
      </w:pPr>
      <w:r>
        <w:rPr>
          <w:rFonts w:hint="eastAsia" w:hAnsi="宋体" w:cs="宋体"/>
          <w:color w:val="000000"/>
        </w:rPr>
        <w:t>协议编号：YDFYXJ-</w:t>
      </w:r>
      <w:r>
        <w:rPr>
          <w:rFonts w:hint="eastAsia" w:hAnsi="宋体" w:cs="宋体"/>
          <w:color w:val="000000"/>
          <w:lang w:eastAsia="zh-CN"/>
        </w:rPr>
        <w:t>2024017</w:t>
      </w:r>
    </w:p>
    <w:p>
      <w:pPr>
        <w:pStyle w:val="11"/>
        <w:snapToGrid w:val="0"/>
        <w:spacing w:before="120" w:after="120" w:line="360" w:lineRule="auto"/>
        <w:rPr>
          <w:rFonts w:hAnsi="宋体" w:cs="宋体"/>
          <w:color w:val="000000"/>
        </w:rPr>
      </w:pPr>
      <w:r>
        <w:rPr>
          <w:rFonts w:hint="eastAsia" w:hAnsi="宋体" w:cs="宋体"/>
          <w:color w:val="000000"/>
        </w:rPr>
        <w:t xml:space="preserve">甲方（采购人/买方）：扬州大学附属医院      </w:t>
      </w:r>
    </w:p>
    <w:p>
      <w:pPr>
        <w:pStyle w:val="11"/>
        <w:snapToGrid w:val="0"/>
        <w:spacing w:before="120" w:after="120" w:line="360" w:lineRule="auto"/>
        <w:rPr>
          <w:rFonts w:hAnsi="宋体" w:cs="宋体"/>
          <w:color w:val="000000"/>
          <w:u w:val="single"/>
        </w:rPr>
      </w:pPr>
      <w:r>
        <w:rPr>
          <w:rFonts w:hint="eastAsia" w:hAnsi="宋体" w:cs="宋体"/>
          <w:color w:val="000000"/>
        </w:rPr>
        <w:t>乙方（供应商/卖方）：</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根据《中华人民共和国政府采购法》、《中华人民共和国民法典》等法律法规的规定，甲乙双方按照本项目询价结果签订本合同。</w:t>
      </w:r>
    </w:p>
    <w:p>
      <w:pPr>
        <w:pStyle w:val="11"/>
        <w:snapToGrid w:val="0"/>
        <w:spacing w:before="120" w:after="120" w:line="360" w:lineRule="auto"/>
        <w:ind w:firstLine="422" w:firstLineChars="200"/>
        <w:rPr>
          <w:rFonts w:hAnsi="宋体"/>
          <w:b/>
          <w:bCs/>
          <w:color w:val="000000"/>
        </w:rPr>
      </w:pPr>
      <w:r>
        <w:rPr>
          <w:rFonts w:hint="eastAsia" w:hAnsi="宋体"/>
          <w:b/>
          <w:bCs/>
          <w:color w:val="000000"/>
        </w:rPr>
        <w:t>1、合同标的</w:t>
      </w:r>
    </w:p>
    <w:p>
      <w:pPr>
        <w:pStyle w:val="11"/>
        <w:snapToGrid w:val="0"/>
        <w:spacing w:before="120" w:after="120" w:line="360" w:lineRule="auto"/>
        <w:ind w:firstLine="420" w:firstLineChars="200"/>
        <w:rPr>
          <w:rFonts w:hAnsi="宋体"/>
          <w:color w:val="000000"/>
        </w:rPr>
      </w:pPr>
      <w:r>
        <w:rPr>
          <w:rFonts w:hint="eastAsia" w:hAnsi="宋体"/>
          <w:color w:val="000000"/>
        </w:rPr>
        <w:t>乙方根据甲方需求，提供下列服务：</w:t>
      </w:r>
      <w:r>
        <w:rPr>
          <w:rFonts w:hint="eastAsia" w:hAnsi="宋体"/>
          <w:color w:val="000000"/>
          <w:u w:val="single"/>
          <w:lang w:eastAsia="zh-CN"/>
        </w:rPr>
        <w:t>淮海路校区19号楼排险项目</w:t>
      </w:r>
      <w:r>
        <w:rPr>
          <w:rFonts w:hint="eastAsia" w:hAnsi="宋体"/>
          <w:color w:val="000000"/>
          <w:u w:val="single"/>
        </w:rPr>
        <w:t xml:space="preserve"> </w:t>
      </w:r>
      <w:r>
        <w:rPr>
          <w:rFonts w:hint="eastAsia" w:hAnsi="宋体"/>
          <w:color w:val="000000"/>
        </w:rPr>
        <w:t>。</w:t>
      </w:r>
    </w:p>
    <w:p>
      <w:pPr>
        <w:pStyle w:val="11"/>
        <w:snapToGrid w:val="0"/>
        <w:spacing w:before="120" w:after="120" w:line="360" w:lineRule="auto"/>
        <w:ind w:firstLine="420" w:firstLineChars="200"/>
        <w:rPr>
          <w:rFonts w:hAnsi="宋体"/>
          <w:b/>
          <w:color w:val="000000"/>
        </w:rPr>
      </w:pPr>
      <w:r>
        <w:rPr>
          <w:rFonts w:hint="eastAsia" w:hAnsi="宋体"/>
          <w:color w:val="000000"/>
        </w:rPr>
        <w:t>服务名称、规格及数量等要求详见附件。</w:t>
      </w:r>
    </w:p>
    <w:p>
      <w:pPr>
        <w:pStyle w:val="11"/>
        <w:snapToGrid w:val="0"/>
        <w:spacing w:before="120" w:after="120" w:line="360" w:lineRule="auto"/>
        <w:ind w:firstLine="422" w:firstLineChars="200"/>
        <w:rPr>
          <w:rFonts w:hAnsi="宋体"/>
          <w:b/>
          <w:bCs/>
          <w:color w:val="000000"/>
        </w:rPr>
      </w:pPr>
      <w:r>
        <w:rPr>
          <w:rFonts w:hint="eastAsia" w:hAnsi="宋体"/>
          <w:b/>
          <w:bCs/>
          <w:color w:val="000000"/>
        </w:rPr>
        <w:t>2、合同总金额</w:t>
      </w:r>
    </w:p>
    <w:p>
      <w:pPr>
        <w:pStyle w:val="11"/>
        <w:snapToGrid w:val="0"/>
        <w:spacing w:before="120" w:after="120" w:line="360" w:lineRule="auto"/>
        <w:ind w:left="315" w:leftChars="150" w:firstLine="105" w:firstLineChars="50"/>
        <w:rPr>
          <w:rFonts w:hAnsi="宋体"/>
          <w:color w:val="000000"/>
        </w:rPr>
      </w:pPr>
      <w:r>
        <w:rPr>
          <w:rFonts w:hint="eastAsia" w:hAnsi="宋体"/>
          <w:color w:val="000000"/>
        </w:rPr>
        <w:t>2.1 本合同金额为</w:t>
      </w:r>
      <w:r>
        <w:rPr>
          <w:rFonts w:hint="eastAsia" w:hAnsi="宋体"/>
          <w:b/>
          <w:bCs/>
          <w:color w:val="000000"/>
          <w:u w:val="single"/>
        </w:rPr>
        <w:t>人民币整（¥）</w:t>
      </w:r>
      <w:r>
        <w:rPr>
          <w:rFonts w:hint="eastAsia" w:hAnsi="宋体"/>
          <w:color w:val="000000"/>
        </w:rPr>
        <w:t>。</w:t>
      </w:r>
    </w:p>
    <w:p>
      <w:pPr>
        <w:pStyle w:val="11"/>
        <w:snapToGrid w:val="0"/>
        <w:spacing w:before="120" w:after="120" w:line="360" w:lineRule="auto"/>
        <w:ind w:firstLine="420" w:firstLineChars="200"/>
        <w:rPr>
          <w:rFonts w:hAnsi="宋体"/>
          <w:color w:val="000000"/>
        </w:rPr>
      </w:pPr>
      <w:r>
        <w:rPr>
          <w:rFonts w:hint="eastAsia" w:hAnsi="宋体"/>
          <w:color w:val="000000"/>
        </w:rPr>
        <w:t>2.2本合同总金额包括乙方提供的服务及其他有关的为完成本项目发生的所有费用，包含但不限于提供的增值税、各种税费、各种规费、材料费、检测费、运输费、装卸费、保险费、人工费、管理费、培训费、资料费、机械使用费、工具使用费、进品商品关税等进口环节税、政策性文件规定的各项应有费用、质保费等直至完成本项目发生的所有费用和利润。招标文件中另有规定的除外。</w:t>
      </w:r>
    </w:p>
    <w:p>
      <w:pPr>
        <w:pStyle w:val="11"/>
        <w:snapToGrid w:val="0"/>
        <w:spacing w:before="120" w:after="120" w:line="360" w:lineRule="auto"/>
        <w:ind w:firstLine="420" w:firstLineChars="200"/>
        <w:rPr>
          <w:rFonts w:hAnsi="宋体"/>
          <w:color w:val="000000"/>
        </w:rPr>
      </w:pPr>
      <w:r>
        <w:rPr>
          <w:rFonts w:hint="eastAsia" w:hAnsi="宋体"/>
          <w:color w:val="000000"/>
        </w:rPr>
        <w:t>2.3本合同总价款还包含乙方根据甲方需要应当提供的伴随服务费用。</w:t>
      </w:r>
    </w:p>
    <w:p>
      <w:pPr>
        <w:pStyle w:val="11"/>
        <w:snapToGrid w:val="0"/>
        <w:spacing w:before="120" w:after="120" w:line="360" w:lineRule="auto"/>
        <w:ind w:firstLine="420" w:firstLineChars="200"/>
        <w:rPr>
          <w:rFonts w:hAnsi="宋体"/>
          <w:color w:val="000000"/>
        </w:rPr>
      </w:pPr>
      <w:r>
        <w:rPr>
          <w:rFonts w:hint="eastAsia" w:hAnsi="宋体"/>
          <w:color w:val="000000"/>
        </w:rPr>
        <w:t>2.4本合同执行期间合同单价、总价款不变。</w:t>
      </w:r>
    </w:p>
    <w:p>
      <w:pPr>
        <w:pStyle w:val="11"/>
        <w:snapToGrid w:val="0"/>
        <w:spacing w:before="120" w:after="120" w:line="360" w:lineRule="auto"/>
        <w:ind w:firstLine="420" w:firstLineChars="200"/>
        <w:rPr>
          <w:rFonts w:hAnsi="宋体"/>
          <w:color w:val="000000"/>
        </w:rPr>
      </w:pPr>
      <w:r>
        <w:rPr>
          <w:rFonts w:hint="eastAsia" w:hAnsi="宋体"/>
          <w:color w:val="000000"/>
        </w:rPr>
        <w:t>2.5在</w:t>
      </w:r>
      <w:r>
        <w:rPr>
          <w:rFonts w:hint="eastAsia" w:hAnsi="宋体" w:cs="宋体"/>
          <w:color w:val="000000"/>
        </w:rPr>
        <w:t>询价</w:t>
      </w:r>
      <w:r>
        <w:rPr>
          <w:rFonts w:hint="eastAsia" w:hAnsi="宋体"/>
          <w:color w:val="000000"/>
        </w:rPr>
        <w:t>文件未列明，而乙方认为履行本合同必需的费用也包含在合同总金额中。</w:t>
      </w:r>
    </w:p>
    <w:p>
      <w:pPr>
        <w:pStyle w:val="11"/>
        <w:snapToGrid w:val="0"/>
        <w:spacing w:before="120" w:after="120" w:line="360" w:lineRule="auto"/>
        <w:ind w:firstLine="422" w:firstLineChars="200"/>
        <w:rPr>
          <w:rFonts w:hAnsi="宋体" w:cs="宋体"/>
          <w:b/>
          <w:bCs/>
          <w:color w:val="000000"/>
        </w:rPr>
      </w:pPr>
      <w:r>
        <w:rPr>
          <w:rFonts w:hint="eastAsia" w:hAnsi="宋体" w:cs="宋体"/>
          <w:b/>
          <w:bCs/>
          <w:color w:val="000000"/>
        </w:rPr>
        <w:t>3、组成本合同的有关文件</w:t>
      </w:r>
    </w:p>
    <w:p>
      <w:pPr>
        <w:pStyle w:val="11"/>
        <w:snapToGrid w:val="0"/>
        <w:spacing w:before="120" w:after="120" w:line="360" w:lineRule="auto"/>
        <w:ind w:left="315" w:leftChars="150" w:firstLine="105" w:firstLineChars="50"/>
        <w:rPr>
          <w:rFonts w:hAnsi="宋体" w:cs="宋体"/>
          <w:color w:val="000000"/>
        </w:rPr>
      </w:pPr>
      <w:r>
        <w:rPr>
          <w:rFonts w:hint="eastAsia" w:hAnsi="宋体" w:cs="宋体"/>
          <w:color w:val="000000"/>
        </w:rPr>
        <w:t>3.1乙方应按询价文件规定的时间向甲方提供服务的有关技术资料。</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3.2 没有甲方事先书面同意，乙方不得将由甲方提供的有关合同或任何合同条文或资料提供给任何其他人。即使向履行本合同有关的人员提供，也应注意保密并限于履行合同的必需范围。</w:t>
      </w:r>
    </w:p>
    <w:p>
      <w:pPr>
        <w:pStyle w:val="11"/>
        <w:snapToGrid w:val="0"/>
        <w:spacing w:before="120" w:after="120" w:line="360" w:lineRule="auto"/>
        <w:ind w:left="315" w:leftChars="150" w:firstLine="105" w:firstLineChars="50"/>
        <w:rPr>
          <w:rFonts w:hAnsi="宋体" w:cs="宋体"/>
          <w:color w:val="000000"/>
        </w:rPr>
      </w:pPr>
      <w:r>
        <w:rPr>
          <w:rFonts w:hint="eastAsia" w:hAnsi="宋体" w:cs="宋体"/>
          <w:color w:val="000000"/>
        </w:rPr>
        <w:t>3.3 关于本项目采购的询价文件、响应文件以及与本次采购活动方式相适应的文件及有关附件是本合同不可分割的组成部分，这些文件包括但不限于：</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（1）询价文件；               （2）询价报价文件；</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（3）项目组人员表                 （4）技术参数、商务条款响应及偏离表；</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（5）服务承诺；                   （6）成交通知书；</w:t>
      </w:r>
    </w:p>
    <w:p>
      <w:pPr>
        <w:pStyle w:val="11"/>
        <w:snapToGrid w:val="0"/>
        <w:spacing w:before="120" w:after="120" w:line="360" w:lineRule="auto"/>
        <w:ind w:left="359" w:hanging="359" w:hangingChars="171"/>
        <w:rPr>
          <w:rFonts w:hAnsi="宋体" w:cs="宋体"/>
          <w:color w:val="000000"/>
        </w:rPr>
      </w:pPr>
      <w:r>
        <w:rPr>
          <w:rFonts w:hint="eastAsia" w:hAnsi="宋体" w:cs="宋体"/>
          <w:color w:val="000000"/>
        </w:rPr>
        <w:t xml:space="preserve">   （7）甲乙双方补充协议；           （8）乙方参加谈判时提供的响应文件。</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4、知识产权保证</w:t>
      </w:r>
    </w:p>
    <w:p>
      <w:pPr>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乙方保证甲方在使用、接受本合同服务或其任何一部分时，不受第三方提出侵犯其专利权、版权、商标权和工业设计权等知识产权的起诉。一旦出现侵权，由乙方负全部责任。</w:t>
      </w:r>
    </w:p>
    <w:p>
      <w:pPr>
        <w:pStyle w:val="11"/>
        <w:snapToGrid w:val="0"/>
        <w:spacing w:before="120" w:after="120" w:line="360" w:lineRule="auto"/>
        <w:ind w:firstLine="422" w:firstLineChars="200"/>
        <w:rPr>
          <w:rFonts w:hAnsi="宋体" w:cs="宋体"/>
          <w:b/>
          <w:bCs/>
          <w:color w:val="000000"/>
        </w:rPr>
      </w:pPr>
      <w:r>
        <w:rPr>
          <w:rFonts w:hint="eastAsia" w:hAnsi="宋体" w:cs="宋体"/>
          <w:b/>
          <w:bCs/>
          <w:color w:val="000000"/>
        </w:rPr>
        <w:t>5、产权保证</w:t>
      </w:r>
    </w:p>
    <w:p>
      <w:pPr>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乙方保证所交付的服务和服务所涉及的物品所有权无任何抵押、查封等权利瑕疵。</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6、履约保证金</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6.1无</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7、转包或分包</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7.1 本合同禁止转包，本合同范围的货物，应由乙方直接提供的，不得转让他人提供。</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7.2 经甲方同意，乙方可以依法采取分包方式履行合同，但是分包方式履行的，乙方应就采购项目向甲方负全责。</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8、质保期等其他约定</w:t>
      </w:r>
    </w:p>
    <w:p>
      <w:pPr>
        <w:pStyle w:val="11"/>
        <w:snapToGrid w:val="0"/>
        <w:spacing w:before="120" w:after="120" w:line="360" w:lineRule="auto"/>
        <w:ind w:left="315" w:leftChars="150" w:firstLine="105" w:firstLineChars="50"/>
        <w:rPr>
          <w:rFonts w:hAnsi="宋体"/>
          <w:color w:val="000000"/>
        </w:rPr>
      </w:pPr>
      <w:r>
        <w:rPr>
          <w:rFonts w:hint="eastAsia" w:hAnsi="宋体"/>
          <w:color w:val="000000"/>
        </w:rPr>
        <w:t>8.1 质保期</w:t>
      </w:r>
      <w:r>
        <w:rPr>
          <w:rFonts w:hint="eastAsia" w:hAnsi="宋体"/>
          <w:b/>
          <w:bCs/>
          <w:color w:val="000000"/>
          <w:u w:val="single"/>
        </w:rPr>
        <w:t>2</w:t>
      </w:r>
      <w:r>
        <w:rPr>
          <w:rFonts w:hint="eastAsia" w:hAnsi="宋体"/>
          <w:color w:val="000000"/>
        </w:rPr>
        <w:t>年。（按每个类别产品保质期分别计算，自项目验收合格之日起计）</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8.2 所有安全责任与赔偿由乙方负责，甲方不负责，甲乙双方就此签订协议。</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9、交货期、交货方式及交货地点</w:t>
      </w:r>
    </w:p>
    <w:p>
      <w:pPr>
        <w:pStyle w:val="11"/>
        <w:snapToGrid w:val="0"/>
        <w:spacing w:before="120" w:after="120" w:line="360" w:lineRule="auto"/>
        <w:ind w:firstLine="420" w:firstLineChars="200"/>
        <w:rPr>
          <w:rFonts w:hAnsi="宋体"/>
          <w:bCs/>
          <w:color w:val="000000"/>
        </w:rPr>
      </w:pPr>
      <w:r>
        <w:rPr>
          <w:rFonts w:hint="eastAsia" w:hAnsi="宋体"/>
          <w:bCs/>
          <w:color w:val="000000"/>
        </w:rPr>
        <w:t>9.1 交货期：</w:t>
      </w:r>
      <w:r>
        <w:rPr>
          <w:rFonts w:hint="eastAsia" w:hAnsi="宋体"/>
          <w:color w:val="000000"/>
          <w:u w:val="single"/>
        </w:rPr>
        <w:t>自签订合同之日起</w:t>
      </w:r>
      <w:r>
        <w:rPr>
          <w:rFonts w:hint="eastAsia" w:hAnsi="宋体"/>
          <w:color w:val="000000"/>
          <w:highlight w:val="none"/>
          <w:u w:val="single"/>
          <w:lang w:val="en-US" w:eastAsia="zh-CN"/>
        </w:rPr>
        <w:t>10</w:t>
      </w:r>
      <w:r>
        <w:rPr>
          <w:rFonts w:hint="eastAsia" w:hAnsi="宋体"/>
          <w:color w:val="000000"/>
          <w:u w:val="single"/>
        </w:rPr>
        <w:t>日历天内完成维修施工。</w:t>
      </w:r>
    </w:p>
    <w:p>
      <w:pPr>
        <w:pStyle w:val="11"/>
        <w:snapToGrid w:val="0"/>
        <w:spacing w:before="120" w:after="120" w:line="360" w:lineRule="auto"/>
        <w:ind w:firstLine="420" w:firstLineChars="200"/>
        <w:rPr>
          <w:rFonts w:hAnsi="宋体"/>
          <w:bCs/>
          <w:color w:val="000000"/>
        </w:rPr>
      </w:pPr>
      <w:r>
        <w:rPr>
          <w:rFonts w:hint="eastAsia" w:hAnsi="宋体"/>
          <w:bCs/>
          <w:color w:val="000000"/>
        </w:rPr>
        <w:t>9.2 交货方式：</w:t>
      </w:r>
      <w:r>
        <w:rPr>
          <w:rFonts w:hint="eastAsia" w:hAnsi="宋体"/>
          <w:color w:val="000000"/>
          <w:u w:val="single"/>
        </w:rPr>
        <w:t>按甲方指定地点送货上门安装调试交付使用。</w:t>
      </w:r>
    </w:p>
    <w:p>
      <w:pPr>
        <w:pStyle w:val="11"/>
        <w:snapToGrid w:val="0"/>
        <w:spacing w:before="120" w:after="120" w:line="360" w:lineRule="auto"/>
        <w:ind w:firstLine="420" w:firstLineChars="200"/>
        <w:rPr>
          <w:rFonts w:hAnsi="宋体"/>
          <w:b/>
          <w:color w:val="000000"/>
        </w:rPr>
      </w:pPr>
      <w:r>
        <w:rPr>
          <w:rFonts w:hint="eastAsia" w:hAnsi="宋体"/>
          <w:bCs/>
          <w:color w:val="000000"/>
        </w:rPr>
        <w:t>9.3 交货地点：</w:t>
      </w:r>
      <w:r>
        <w:rPr>
          <w:rFonts w:hint="eastAsia" w:hAnsi="宋体"/>
          <w:bCs/>
          <w:color w:val="000000"/>
          <w:u w:val="single"/>
        </w:rPr>
        <w:t>甲方指定地点</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10、货款支付</w:t>
      </w:r>
    </w:p>
    <w:p>
      <w:pPr>
        <w:autoSpaceDE w:val="0"/>
        <w:autoSpaceDN w:val="0"/>
        <w:spacing w:line="360" w:lineRule="auto"/>
        <w:ind w:firstLine="420" w:firstLineChars="200"/>
        <w:rPr>
          <w:rFonts w:ascii="宋体" w:hAnsi="宋体"/>
          <w:color w:val="000000"/>
        </w:rPr>
      </w:pPr>
      <w:r>
        <w:rPr>
          <w:rFonts w:ascii="宋体" w:hAnsi="宋体"/>
          <w:color w:val="000000"/>
        </w:rPr>
        <w:t xml:space="preserve">10.1 </w:t>
      </w:r>
      <w:r>
        <w:rPr>
          <w:rFonts w:hint="eastAsia" w:ascii="宋体" w:hAnsi="宋体"/>
          <w:color w:val="000000"/>
        </w:rPr>
        <w:t xml:space="preserve">本合同项下所有款项均以人民币支付。 </w:t>
      </w:r>
    </w:p>
    <w:p>
      <w:pPr>
        <w:autoSpaceDE w:val="0"/>
        <w:autoSpaceDN w:val="0"/>
        <w:spacing w:line="360" w:lineRule="auto"/>
        <w:ind w:firstLine="420" w:firstLineChars="200"/>
        <w:rPr>
          <w:rFonts w:ascii="宋体" w:hAnsi="宋体"/>
          <w:color w:val="000000"/>
        </w:rPr>
      </w:pPr>
      <w:r>
        <w:rPr>
          <w:rFonts w:hint="eastAsia" w:ascii="宋体" w:hAnsi="宋体"/>
          <w:color w:val="000000"/>
        </w:rPr>
        <w:t>10.2 本合同项下的采购资金由甲方支付，付款前乙方向甲方开具发票。若乙方开票不及时或违反合同约定，甲方有权拒付，由此造成的责任和损失由乙方承担。</w:t>
      </w:r>
    </w:p>
    <w:p>
      <w:pPr>
        <w:autoSpaceDE w:val="0"/>
        <w:autoSpaceDN w:val="0"/>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0.3</w:t>
      </w:r>
      <w:r>
        <w:rPr>
          <w:rFonts w:hint="eastAsia" w:ascii="宋体" w:hAnsi="宋体"/>
          <w:color w:val="000000"/>
        </w:rPr>
        <w:t>采用固定单价合同，合同价款中包括的风险范围：全部风险已包含在投标报价中，乙方投标时已充分考虑风险范围，并计算风险系数。</w:t>
      </w:r>
    </w:p>
    <w:p>
      <w:pPr>
        <w:autoSpaceDE w:val="0"/>
        <w:autoSpaceDN w:val="0"/>
        <w:spacing w:line="360" w:lineRule="auto"/>
        <w:ind w:firstLine="420" w:firstLineChars="200"/>
        <w:rPr>
          <w:rFonts w:ascii="宋体" w:hAnsi="宋体"/>
          <w:color w:val="000000"/>
        </w:rPr>
      </w:pPr>
      <w:r>
        <w:rPr>
          <w:rFonts w:ascii="宋体" w:hAnsi="宋体"/>
          <w:color w:val="000000"/>
        </w:rPr>
        <w:t>10.4</w:t>
      </w:r>
      <w:r>
        <w:rPr>
          <w:rFonts w:hint="eastAsia" w:ascii="宋体" w:hAnsi="宋体"/>
          <w:color w:val="000000"/>
        </w:rPr>
        <w:t>由设计变更或甲方要求变动的内容引起的工程量清单已有项目的工程量的增加和减少，其相应单价不变，工程量据实增减，按最终工程量决算支付。</w:t>
      </w:r>
    </w:p>
    <w:p>
      <w:pPr>
        <w:spacing w:line="360" w:lineRule="auto"/>
        <w:ind w:firstLine="420" w:firstLineChars="200"/>
        <w:rPr>
          <w:rFonts w:hAnsi="宋体"/>
          <w:color w:val="000000"/>
        </w:rPr>
      </w:pPr>
      <w:r>
        <w:rPr>
          <w:rFonts w:hint="eastAsia" w:hAnsi="宋体"/>
          <w:color w:val="000000"/>
        </w:rPr>
        <w:t>10.5 付款方式：</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合同生效后，乙方按甲方需求即时维修，经甲方指定人员验收，验收合格的可在一个月内结算费用。结算金额以甲方签收维修数量*合同单价计算，乙方必须提供甲方的验收单及开具的正规增值税发票等材料交甲方办理付款手续，甲方凭手续齐全的单据支付该批次货款。</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11、税费</w:t>
      </w:r>
    </w:p>
    <w:p>
      <w:pPr>
        <w:pStyle w:val="11"/>
        <w:snapToGrid w:val="0"/>
        <w:spacing w:before="120" w:after="120" w:line="360" w:lineRule="auto"/>
        <w:ind w:firstLine="420" w:firstLineChars="200"/>
        <w:rPr>
          <w:rFonts w:hAnsi="宋体" w:cs="宋体"/>
          <w:b/>
          <w:bCs/>
          <w:color w:val="000000"/>
        </w:rPr>
      </w:pPr>
      <w:r>
        <w:rPr>
          <w:rFonts w:hint="eastAsia" w:hAnsi="宋体" w:cs="宋体"/>
          <w:color w:val="000000"/>
        </w:rPr>
        <w:t>本合同执行中相关的一切税费均由乙方负担。</w:t>
      </w:r>
    </w:p>
    <w:p>
      <w:pPr>
        <w:pStyle w:val="11"/>
        <w:snapToGrid w:val="0"/>
        <w:spacing w:before="120" w:after="120" w:line="360" w:lineRule="auto"/>
        <w:ind w:left="315" w:leftChars="150" w:firstLine="105" w:firstLineChars="50"/>
        <w:rPr>
          <w:rFonts w:hAnsi="宋体" w:cs="宋体"/>
          <w:b/>
          <w:bCs/>
          <w:color w:val="000000"/>
        </w:rPr>
      </w:pPr>
      <w:r>
        <w:rPr>
          <w:rFonts w:hint="eastAsia" w:hAnsi="宋体" w:cs="宋体"/>
          <w:b/>
          <w:bCs/>
          <w:color w:val="000000"/>
        </w:rPr>
        <w:t>12、质量保证及售后服务</w:t>
      </w:r>
    </w:p>
    <w:p>
      <w:pPr>
        <w:spacing w:before="156" w:beforeLines="50" w:after="156" w:afterLines="50" w:line="360" w:lineRule="auto"/>
        <w:ind w:firstLine="420" w:firstLineChars="200"/>
        <w:rPr>
          <w:rFonts w:ascii="宋体" w:hAnsi="宋体"/>
          <w:color w:val="000000"/>
        </w:rPr>
      </w:pPr>
      <w:r>
        <w:rPr>
          <w:rFonts w:hint="eastAsia" w:ascii="宋体" w:hAnsi="宋体" w:cs="宋体"/>
          <w:color w:val="000000"/>
          <w:szCs w:val="21"/>
        </w:rPr>
        <w:t>12.1 乙方应按询价文件规定及响应文件承诺的技术要求、质量标准向甲方提供服务；若技术性能无特殊说明，则按国家有关部门最新</w:t>
      </w:r>
      <w:r>
        <w:rPr>
          <w:rFonts w:hint="eastAsia" w:ascii="宋体" w:hAnsi="宋体"/>
          <w:color w:val="000000"/>
        </w:rPr>
        <w:t>颁布的标准及规范为准。</w:t>
      </w:r>
    </w:p>
    <w:p>
      <w:pPr>
        <w:spacing w:before="156" w:beforeLines="50" w:after="156" w:afterLines="50" w:line="360" w:lineRule="auto"/>
        <w:ind w:firstLine="420" w:firstLineChars="200"/>
        <w:rPr>
          <w:rFonts w:ascii="宋体" w:hAnsi="宋体"/>
          <w:color w:val="000000"/>
        </w:rPr>
      </w:pPr>
      <w:r>
        <w:rPr>
          <w:rFonts w:hint="eastAsia" w:ascii="宋体" w:hAnsi="宋体"/>
          <w:color w:val="000000"/>
        </w:rPr>
        <w:t>12.2乙方应保证其提供的服务是全面和规范的。货物验收后，在质量保证期内，乙方应对由于设计、工艺或材料的缺陷所发生的任何不足或故障负责，所需费用由乙方承担。</w:t>
      </w:r>
    </w:p>
    <w:p>
      <w:pPr>
        <w:spacing w:before="156" w:beforeLines="50" w:after="156" w:afterLines="50" w:line="360" w:lineRule="auto"/>
        <w:ind w:firstLine="420" w:firstLineChars="200"/>
        <w:rPr>
          <w:rFonts w:ascii="宋体" w:hAnsi="宋体"/>
          <w:color w:val="000000"/>
        </w:rPr>
      </w:pPr>
      <w:r>
        <w:rPr>
          <w:rFonts w:hint="eastAsia" w:ascii="宋体" w:hAnsi="宋体"/>
          <w:color w:val="000000"/>
        </w:rPr>
        <w:t>12.3 服务过程中，乙方应对所提供服务出现的质量及安全问题负责处理解决并承担一切费用。</w:t>
      </w:r>
    </w:p>
    <w:p>
      <w:pPr>
        <w:spacing w:before="156" w:beforeLines="50" w:after="156" w:afterLines="50" w:line="360" w:lineRule="auto"/>
        <w:ind w:firstLine="420" w:firstLineChars="200"/>
        <w:rPr>
          <w:rFonts w:ascii="宋体" w:hAnsi="宋体"/>
          <w:color w:val="000000"/>
        </w:rPr>
      </w:pPr>
      <w:r>
        <w:rPr>
          <w:rFonts w:hint="eastAsia" w:ascii="宋体" w:hAnsi="宋体"/>
          <w:color w:val="000000"/>
        </w:rPr>
        <w:t>12.4 如在使用过程中发生质量问题，乙方应在1小时内响应，2小时内赶到故障现场进行维护服务，24小时内解决问题（因不可抗力或甲方同意延期修理的除外）。</w:t>
      </w:r>
    </w:p>
    <w:p>
      <w:pPr>
        <w:widowControl/>
        <w:tabs>
          <w:tab w:val="left" w:pos="284"/>
          <w:tab w:val="left" w:pos="993"/>
          <w:tab w:val="left" w:pos="1134"/>
        </w:tabs>
        <w:adjustRightInd w:val="0"/>
        <w:snapToGrid w:val="0"/>
        <w:spacing w:line="440" w:lineRule="exact"/>
        <w:ind w:firstLine="422" w:firstLineChars="200"/>
        <w:contextualSpacing/>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1</w:t>
      </w:r>
      <w:r>
        <w:rPr>
          <w:rFonts w:cs="仿宋" w:asciiTheme="minorEastAsia" w:hAnsiTheme="minorEastAsia" w:eastAsiaTheme="minorEastAsia"/>
          <w:b/>
          <w:bCs/>
          <w:snapToGrid w:val="0"/>
          <w:kern w:val="0"/>
          <w:szCs w:val="21"/>
        </w:rPr>
        <w:t>3.</w:t>
      </w:r>
      <w:r>
        <w:rPr>
          <w:rFonts w:hint="eastAsia" w:cs="仿宋" w:asciiTheme="minorEastAsia" w:hAnsiTheme="minorEastAsia" w:eastAsiaTheme="minorEastAsia"/>
          <w:b/>
          <w:bCs/>
          <w:snapToGrid w:val="0"/>
          <w:kern w:val="0"/>
          <w:szCs w:val="21"/>
        </w:rPr>
        <w:t>施工组织设计和工期</w:t>
      </w:r>
    </w:p>
    <w:p>
      <w:pPr>
        <w:widowControl/>
        <w:tabs>
          <w:tab w:val="left" w:pos="284"/>
          <w:tab w:val="left" w:pos="993"/>
          <w:tab w:val="left" w:pos="1134"/>
        </w:tabs>
        <w:adjustRightInd w:val="0"/>
        <w:snapToGrid w:val="0"/>
        <w:spacing w:line="440" w:lineRule="exact"/>
        <w:ind w:firstLine="420" w:firstLineChars="200"/>
        <w:contextualSpacing/>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13.1</w:t>
      </w:r>
      <w:r>
        <w:rPr>
          <w:rFonts w:hint="eastAsia" w:cs="仿宋" w:asciiTheme="minorEastAsia" w:hAnsiTheme="minorEastAsia" w:eastAsiaTheme="minorEastAsia"/>
          <w:snapToGrid w:val="0"/>
          <w:kern w:val="0"/>
          <w:szCs w:val="21"/>
        </w:rPr>
        <w:t>进度计划</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13.1.1</w:t>
      </w:r>
      <w:r>
        <w:rPr>
          <w:rFonts w:hint="eastAsia" w:cs="仿宋" w:asciiTheme="minorEastAsia" w:hAnsiTheme="minorEastAsia" w:eastAsiaTheme="minorEastAsia"/>
          <w:snapToGrid w:val="0"/>
          <w:kern w:val="0"/>
          <w:szCs w:val="21"/>
        </w:rPr>
        <w:t>乙方提供维修施工组织设计(施工方案)和进度计划的时间:</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u w:val="single"/>
        </w:rPr>
        <w:t>开工前5天以书面形式向甲方和监理提交施工组织设计和进度计划，甲方和监理方审核同意后的施工组织设计作为施工中甲方与监理方进行监督受理的依据</w:t>
      </w:r>
      <w:r>
        <w:rPr>
          <w:rFonts w:hint="eastAsia" w:cs="仿宋" w:asciiTheme="minorEastAsia" w:hAnsiTheme="minorEastAsia" w:eastAsiaTheme="minorEastAsia"/>
          <w:snapToGrid w:val="0"/>
          <w:kern w:val="0"/>
          <w:szCs w:val="21"/>
        </w:rPr>
        <w:t>；</w:t>
      </w:r>
    </w:p>
    <w:p>
      <w:pPr>
        <w:widowControl/>
        <w:tabs>
          <w:tab w:val="left" w:pos="284"/>
          <w:tab w:val="left" w:pos="993"/>
          <w:tab w:val="left" w:pos="1134"/>
        </w:tabs>
        <w:adjustRightInd w:val="0"/>
        <w:snapToGrid w:val="0"/>
        <w:spacing w:line="440" w:lineRule="exact"/>
        <w:ind w:firstLine="420" w:firstLineChars="200"/>
        <w:rPr>
          <w:rFonts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工程师确认的时间:</w:t>
      </w:r>
      <w:r>
        <w:rPr>
          <w:rFonts w:hint="eastAsia" w:cs="仿宋" w:asciiTheme="minorEastAsia" w:hAnsiTheme="minorEastAsia" w:eastAsiaTheme="minorEastAsia"/>
          <w:snapToGrid w:val="0"/>
          <w:kern w:val="0"/>
          <w:szCs w:val="21"/>
          <w:u w:val="single"/>
        </w:rPr>
        <w:t>送达后7日历天内</w:t>
      </w:r>
      <w:r>
        <w:rPr>
          <w:rFonts w:hint="eastAsia" w:cs="仿宋" w:asciiTheme="minorEastAsia" w:hAnsiTheme="minorEastAsia" w:eastAsiaTheme="minorEastAsia"/>
          <w:snapToGrid w:val="0"/>
          <w:kern w:val="0"/>
          <w:szCs w:val="21"/>
        </w:rPr>
        <w:t>。</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w:t>
      </w:r>
      <w:r>
        <w:rPr>
          <w:rFonts w:hint="eastAsia" w:cs="仿宋" w:asciiTheme="minorEastAsia" w:hAnsiTheme="minorEastAsia" w:eastAsiaTheme="minorEastAsia"/>
          <w:snapToGrid w:val="0"/>
          <w:kern w:val="0"/>
          <w:szCs w:val="21"/>
        </w:rPr>
        <w:t>工期延误</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13.2.1</w:t>
      </w:r>
      <w:r>
        <w:rPr>
          <w:rFonts w:hint="eastAsia" w:cs="仿宋" w:asciiTheme="minorEastAsia" w:hAnsiTheme="minorEastAsia" w:eastAsiaTheme="minorEastAsia"/>
          <w:snapToGrid w:val="0"/>
          <w:kern w:val="0"/>
          <w:szCs w:val="21"/>
        </w:rPr>
        <w:t>合同工期按乙方中标工期执行，如因乙方原因延误工期的，乙方应承担违约责任。</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13.2.2</w:t>
      </w:r>
      <w:r>
        <w:rPr>
          <w:rFonts w:hint="eastAsia" w:cs="仿宋" w:asciiTheme="minorEastAsia" w:hAnsiTheme="minorEastAsia" w:eastAsiaTheme="minorEastAsia"/>
          <w:snapToGrid w:val="0"/>
          <w:kern w:val="0"/>
          <w:szCs w:val="21"/>
        </w:rPr>
        <w:t>双方约定工期顺延的其他情况:</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若出现以下情况造成工期延误的乙方不承担费用，只认可工期顺延，顺延时间双方另行协商。</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（1）不可抗力（战争以及地震、水灾、暴风雪等严重自然灾害）；</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（2）因甲方设计变更在结构形式、设计标准作重大调整，增加的工程量使乙方工程进度无法按原计划实施进行的；</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（3）非因乙方原因停水、停电连续24小时以上的；</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（4）政府行为：政府强制要求停工（非乙方原因引起，如全市性的安全整顿，要求建设工地停工等）。</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13.2.3</w:t>
      </w:r>
      <w:r>
        <w:rPr>
          <w:rFonts w:hint="eastAsia" w:cs="仿宋" w:asciiTheme="minorEastAsia" w:hAnsiTheme="minorEastAsia" w:eastAsiaTheme="minorEastAsia"/>
          <w:snapToGrid w:val="0"/>
          <w:kern w:val="0"/>
          <w:szCs w:val="21"/>
        </w:rPr>
        <w:t>乙方不得以任何理由停工，包括由于变更引起价格改变，发生分歧等，如有争议应协商解决，如因停工造成工期延误，乙方承担违约责任。</w:t>
      </w:r>
    </w:p>
    <w:p>
      <w:pPr>
        <w:widowControl/>
        <w:tabs>
          <w:tab w:val="left" w:pos="284"/>
          <w:tab w:val="left" w:pos="993"/>
          <w:tab w:val="left" w:pos="1134"/>
        </w:tabs>
        <w:adjustRightInd w:val="0"/>
        <w:snapToGrid w:val="0"/>
        <w:spacing w:line="440" w:lineRule="exact"/>
        <w:ind w:firstLine="422" w:firstLineChars="200"/>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1</w:t>
      </w:r>
      <w:r>
        <w:rPr>
          <w:rFonts w:cs="仿宋" w:asciiTheme="minorEastAsia" w:hAnsiTheme="minorEastAsia" w:eastAsiaTheme="minorEastAsia"/>
          <w:b/>
          <w:bCs/>
          <w:snapToGrid w:val="0"/>
          <w:kern w:val="0"/>
          <w:szCs w:val="21"/>
        </w:rPr>
        <w:t>4.</w:t>
      </w:r>
      <w:r>
        <w:rPr>
          <w:rFonts w:hint="eastAsia" w:cs="仿宋" w:asciiTheme="minorEastAsia" w:hAnsiTheme="minorEastAsia" w:eastAsiaTheme="minorEastAsia"/>
          <w:b/>
          <w:bCs/>
          <w:snapToGrid w:val="0"/>
          <w:kern w:val="0"/>
          <w:szCs w:val="21"/>
        </w:rPr>
        <w:t>质量与验收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质量要求：符合合格标准。</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要求维修项目必须一次性验收达到合格。因乙方原因达不到合同约定质量要求，除合同价5%的违约金外，乙方必须保证整改后工程质量达到合格标准，由于乙方原因出现质量问题所造成的一切经济损失由乙方负责。</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w:t>
      </w:r>
      <w:r>
        <w:rPr>
          <w:rFonts w:hint="eastAsia" w:cs="仿宋" w:asciiTheme="minorEastAsia" w:hAnsiTheme="minorEastAsia" w:eastAsiaTheme="minorEastAsia"/>
          <w:snapToGrid w:val="0"/>
          <w:kern w:val="0"/>
          <w:szCs w:val="21"/>
        </w:rPr>
        <w:t>隐蔽工程和中间验收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14.1.1</w:t>
      </w:r>
      <w:r>
        <w:rPr>
          <w:rFonts w:hint="eastAsia" w:cs="仿宋" w:asciiTheme="minorEastAsia" w:hAnsiTheme="minorEastAsia" w:eastAsiaTheme="minorEastAsia"/>
          <w:snapToGrid w:val="0"/>
          <w:kern w:val="0"/>
          <w:szCs w:val="21"/>
        </w:rPr>
        <w:t>双方约定中间验收部位: 按规定及监理认为确有必要进行验收的分部。</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14.1.2</w:t>
      </w:r>
      <w:r>
        <w:rPr>
          <w:rFonts w:hint="eastAsia" w:cs="仿宋" w:asciiTheme="minorEastAsia" w:hAnsiTheme="minorEastAsia" w:eastAsiaTheme="minorEastAsia"/>
          <w:snapToGrid w:val="0"/>
          <w:kern w:val="0"/>
          <w:szCs w:val="21"/>
        </w:rPr>
        <w:t>验收前乙方首先进行自检，在隐蔽工程验收和中间验收前应提前</w:t>
      </w:r>
      <w:r>
        <w:rPr>
          <w:rFonts w:cs="仿宋" w:asciiTheme="minorEastAsia" w:hAnsiTheme="minorEastAsia" w:eastAsiaTheme="minorEastAsia"/>
          <w:snapToGrid w:val="0"/>
          <w:kern w:val="0"/>
          <w:szCs w:val="21"/>
        </w:rPr>
        <w:t>24小时通知甲方、</w:t>
      </w:r>
      <w:r>
        <w:rPr>
          <w:rFonts w:hint="eastAsia" w:cs="仿宋" w:asciiTheme="minorEastAsia" w:hAnsiTheme="minorEastAsia" w:eastAsiaTheme="minorEastAsia"/>
          <w:snapToGrid w:val="0"/>
          <w:kern w:val="0"/>
          <w:szCs w:val="21"/>
        </w:rPr>
        <w:t>监理方，并提供相关资料。不论甲方、监理方是否参与验收，当甲方或工程师提出对隐蔽工程需进行重新验收时，乙方必须配合工作且在检验后重新覆盖，若验收合格，甲方承担此项费用，并相应顺延工期，若验收不合格，乙方承担所有损失，且工期不顺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14.1.3</w:t>
      </w:r>
      <w:r>
        <w:rPr>
          <w:rFonts w:hint="eastAsia" w:cs="仿宋" w:asciiTheme="minorEastAsia" w:hAnsiTheme="minorEastAsia" w:eastAsiaTheme="minorEastAsia"/>
          <w:snapToGrid w:val="0"/>
          <w:kern w:val="0"/>
          <w:szCs w:val="21"/>
        </w:rPr>
        <w:t>达不到约定条件的部分，监理方或甲方一经发现，可要求乙方返工，乙方应按监理方或甲方的要求返工，直到符合约定条件，因乙方原因达不到约定条件，由乙方承担返工费用，工期不予顺延。返工后仍不能达到约定条件，乙方承担违约责任。因甲方原因达不到约定条件的，甲方承担经济损失，工期相应顺延。</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14.1.4</w:t>
      </w:r>
      <w:r>
        <w:rPr>
          <w:rFonts w:hint="eastAsia" w:cs="仿宋" w:asciiTheme="minorEastAsia" w:hAnsiTheme="minorEastAsia" w:eastAsiaTheme="minorEastAsia"/>
          <w:snapToGrid w:val="0"/>
          <w:kern w:val="0"/>
          <w:szCs w:val="21"/>
        </w:rPr>
        <w:t>监理方或甲方发现工程质量问题，可下达停工令，乙方在3天内提出书面整改措施，经报项目总监和甲方代表审批同意后，实施整改达到合格，由此所产生的工期延误和整改费用，由乙方承担，否则甲方有权停止拨付工程款。</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14.1.5</w:t>
      </w:r>
      <w:r>
        <w:rPr>
          <w:rFonts w:hint="eastAsia" w:cs="仿宋" w:asciiTheme="minorEastAsia" w:hAnsiTheme="minorEastAsia" w:eastAsiaTheme="minorEastAsia"/>
          <w:snapToGrid w:val="0"/>
          <w:kern w:val="0"/>
          <w:szCs w:val="21"/>
        </w:rPr>
        <w:t>验收时间：除质检站、设计院等其他部门参加验收，乙方需提前72小时书面报告以便及时联系和安排外，其余均提前24小时即可。</w:t>
      </w:r>
    </w:p>
    <w:p>
      <w:pPr>
        <w:widowControl/>
        <w:tabs>
          <w:tab w:val="left" w:pos="284"/>
          <w:tab w:val="left" w:pos="993"/>
          <w:tab w:val="left" w:pos="1134"/>
        </w:tabs>
        <w:adjustRightInd w:val="0"/>
        <w:snapToGrid w:val="0"/>
        <w:spacing w:line="440" w:lineRule="exact"/>
        <w:ind w:firstLine="422" w:firstLineChars="200"/>
        <w:rPr>
          <w:rFonts w:cs="仿宋" w:asciiTheme="minorEastAsia" w:hAnsiTheme="minorEastAsia" w:eastAsiaTheme="minorEastAsia"/>
          <w:b/>
          <w:bCs/>
          <w:snapToGrid w:val="0"/>
          <w:kern w:val="0"/>
          <w:szCs w:val="21"/>
        </w:rPr>
      </w:pPr>
      <w:r>
        <w:rPr>
          <w:rFonts w:cs="仿宋" w:asciiTheme="minorEastAsia" w:hAnsiTheme="minorEastAsia" w:eastAsiaTheme="minorEastAsia"/>
          <w:b/>
          <w:bCs/>
          <w:snapToGrid w:val="0"/>
          <w:kern w:val="0"/>
          <w:szCs w:val="21"/>
        </w:rPr>
        <w:t>15.</w:t>
      </w:r>
      <w:r>
        <w:rPr>
          <w:rFonts w:hint="eastAsia" w:cs="仿宋" w:asciiTheme="minorEastAsia" w:hAnsiTheme="minorEastAsia" w:eastAsiaTheme="minorEastAsia"/>
          <w:b/>
          <w:bCs/>
          <w:snapToGrid w:val="0"/>
          <w:kern w:val="0"/>
          <w:szCs w:val="21"/>
        </w:rPr>
        <w:t>工程试车</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15.1</w:t>
      </w:r>
      <w:r>
        <w:rPr>
          <w:rFonts w:hint="eastAsia" w:cs="仿宋" w:asciiTheme="minorEastAsia" w:hAnsiTheme="minorEastAsia" w:eastAsiaTheme="minorEastAsia"/>
          <w:snapToGrid w:val="0"/>
          <w:kern w:val="0"/>
          <w:szCs w:val="21"/>
        </w:rPr>
        <w:t>试车费用的承担: 安排相关的技术人员无条件配合联合试车工作。</w:t>
      </w:r>
    </w:p>
    <w:p>
      <w:pPr>
        <w:widowControl/>
        <w:tabs>
          <w:tab w:val="left" w:pos="284"/>
          <w:tab w:val="left" w:pos="993"/>
          <w:tab w:val="left" w:pos="1134"/>
        </w:tabs>
        <w:adjustRightInd w:val="0"/>
        <w:snapToGrid w:val="0"/>
        <w:spacing w:line="440" w:lineRule="exact"/>
        <w:ind w:firstLine="422" w:firstLineChars="200"/>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1</w:t>
      </w:r>
      <w:r>
        <w:rPr>
          <w:rFonts w:cs="仿宋" w:asciiTheme="minorEastAsia" w:hAnsiTheme="minorEastAsia" w:eastAsiaTheme="minorEastAsia"/>
          <w:b/>
          <w:bCs/>
          <w:snapToGrid w:val="0"/>
          <w:kern w:val="0"/>
          <w:szCs w:val="21"/>
        </w:rPr>
        <w:t>6</w:t>
      </w:r>
      <w:r>
        <w:rPr>
          <w:rFonts w:hint="eastAsia" w:cs="仿宋" w:asciiTheme="minorEastAsia" w:hAnsiTheme="minorEastAsia" w:eastAsiaTheme="minorEastAsia"/>
          <w:b/>
          <w:bCs/>
          <w:snapToGrid w:val="0"/>
          <w:kern w:val="0"/>
          <w:szCs w:val="21"/>
        </w:rPr>
        <w:t>、安全文明施工要求</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16.1乙方对现场作业和现有施工方法的安全承担全部责任，并赔偿因乙方责任给甲方造成的一切损失；</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16.2乙方应采取控制措施使施工现场达到市环保和政府其它部门对建筑工地的要求，避免伤害或妨碍公众及周围环境。如因妨碍或伤害造成的行政处罚等其它赔偿均由乙方承担；</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16.3乙方负责现场保卫和管理；</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16.4乙方应遵守工程建设安全生产有关管理规定，严格按安全标准组织施工，随时接受行业、监理方的安全检查和监督，并针对该工程特点</w:t>
      </w:r>
      <w:r>
        <w:rPr>
          <w:rFonts w:cs="仿宋" w:asciiTheme="minorEastAsia" w:hAnsiTheme="minorEastAsia" w:eastAsiaTheme="minorEastAsia"/>
          <w:snapToGrid w:val="0"/>
          <w:kern w:val="0"/>
          <w:szCs w:val="21"/>
        </w:rPr>
        <w:t>,采取一切必要的安全防护措施，消除事故隐患，承担施工中的全部安全责任及费用（包括乙方和乙方原因造成的第三方）；</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w:t>
      </w:r>
      <w:r>
        <w:rPr>
          <w:rFonts w:cs="仿宋" w:asciiTheme="minorEastAsia" w:hAnsiTheme="minorEastAsia" w:eastAsiaTheme="minorEastAsia"/>
          <w:snapToGrid w:val="0"/>
          <w:kern w:val="0"/>
          <w:szCs w:val="21"/>
        </w:rPr>
        <w:t>施工单位进场后必须签署</w:t>
      </w:r>
      <w:r>
        <w:rPr>
          <w:rFonts w:hint="eastAsia" w:cs="仿宋" w:asciiTheme="minorEastAsia" w:hAnsiTheme="minorEastAsia" w:eastAsiaTheme="minorEastAsia"/>
          <w:snapToGrid w:val="0"/>
          <w:kern w:val="0"/>
          <w:szCs w:val="21"/>
        </w:rPr>
        <w:t>《外来施工单位安全、防火、治安协议书》，并遵守《工程施工现场管理规定》、《建设工程施工安全管理规定》以及《建设工程文明施工管理规定》，不得影响甲方单位正常工作运行，并达到市级安全文明工地要求；</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16.6</w:t>
      </w:r>
      <w:r>
        <w:rPr>
          <w:rFonts w:cs="仿宋" w:asciiTheme="minorEastAsia" w:hAnsiTheme="minorEastAsia" w:eastAsiaTheme="minorEastAsia"/>
          <w:snapToGrid w:val="0"/>
          <w:kern w:val="0"/>
          <w:szCs w:val="21"/>
        </w:rPr>
        <w:t>严格遵守施工现场总平面的规划，服从</w:t>
      </w:r>
      <w:r>
        <w:rPr>
          <w:rFonts w:hint="eastAsia" w:cs="仿宋" w:asciiTheme="minorEastAsia" w:hAnsiTheme="minorEastAsia" w:eastAsiaTheme="minorEastAsia"/>
          <w:snapToGrid w:val="0"/>
          <w:kern w:val="0"/>
          <w:szCs w:val="21"/>
        </w:rPr>
        <w:t>监理与甲方统一指挥，甲方与监理将组织定期检查，对于出现的问题，甲方及监理有权要求乙方进行整改，否则视乙方为违约；</w:t>
      </w:r>
    </w:p>
    <w:p>
      <w:pPr>
        <w:widowControl/>
        <w:tabs>
          <w:tab w:val="left" w:pos="284"/>
          <w:tab w:val="left" w:pos="993"/>
          <w:tab w:val="left" w:pos="1134"/>
        </w:tabs>
        <w:adjustRightInd w:val="0"/>
        <w:snapToGrid w:val="0"/>
        <w:spacing w:line="440" w:lineRule="exact"/>
        <w:ind w:firstLine="420" w:firstLineChars="2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16.7若发生安全事故，乙方承担全部责任，与甲方无关。乙方应按规定立即报告建设主管部门并通知甲方和监理。如因此造成甲方承担责任的，甲方有权向乙方索赔；</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1</w:t>
      </w:r>
      <w:r>
        <w:rPr>
          <w:rFonts w:hAnsi="宋体"/>
          <w:b/>
          <w:bCs/>
          <w:color w:val="000000"/>
        </w:rPr>
        <w:t>7</w:t>
      </w:r>
      <w:r>
        <w:rPr>
          <w:rFonts w:hint="eastAsia" w:hAnsi="宋体"/>
          <w:b/>
          <w:bCs/>
          <w:color w:val="000000"/>
        </w:rPr>
        <w:t>、货物包装、发运及运输</w:t>
      </w:r>
    </w:p>
    <w:p>
      <w:pPr>
        <w:pStyle w:val="11"/>
        <w:snapToGrid w:val="0"/>
        <w:spacing w:before="120" w:after="120" w:line="360" w:lineRule="auto"/>
        <w:ind w:firstLine="420" w:firstLineChars="200"/>
        <w:rPr>
          <w:rFonts w:hAnsi="宋体"/>
          <w:color w:val="000000"/>
        </w:rPr>
      </w:pPr>
      <w:r>
        <w:rPr>
          <w:rFonts w:hint="eastAsia" w:hAnsi="宋体"/>
          <w:color w:val="000000"/>
        </w:rPr>
        <w:t>17.1乙方应对其提供的服务所涉及物品在发运前对其进行满足运输距离、防潮、防震、防锈和防破损装卸等要求包装，以保证安全运达甲方指定地点。</w:t>
      </w:r>
    </w:p>
    <w:p>
      <w:pPr>
        <w:spacing w:line="360" w:lineRule="auto"/>
        <w:ind w:firstLine="420" w:firstLineChars="200"/>
        <w:rPr>
          <w:rFonts w:ascii="宋体" w:hAnsi="宋体"/>
          <w:color w:val="000000"/>
        </w:rPr>
      </w:pPr>
      <w:r>
        <w:rPr>
          <w:rFonts w:hint="eastAsia" w:ascii="宋体" w:hAnsi="宋体"/>
          <w:color w:val="000000"/>
        </w:rPr>
        <w:t>17.2 根据甲方通知的时间和指定的地点，乙方负责安排送货、装卸、清点、堆放、保管，费用乙方承担。</w:t>
      </w:r>
    </w:p>
    <w:p>
      <w:pPr>
        <w:spacing w:line="360" w:lineRule="auto"/>
        <w:ind w:firstLine="420" w:firstLineChars="200"/>
        <w:rPr>
          <w:rFonts w:ascii="宋体" w:hAnsi="宋体"/>
          <w:color w:val="000000"/>
        </w:rPr>
      </w:pPr>
      <w:r>
        <w:rPr>
          <w:rFonts w:hint="eastAsia" w:ascii="宋体" w:hAnsi="宋体"/>
          <w:color w:val="000000"/>
        </w:rPr>
        <w:t>17.3 服务在交付甲方前发生的风险均由乙方负责。</w:t>
      </w:r>
    </w:p>
    <w:p>
      <w:pPr>
        <w:spacing w:line="360" w:lineRule="auto"/>
        <w:ind w:firstLine="420" w:firstLineChars="200"/>
        <w:rPr>
          <w:rFonts w:ascii="宋体" w:hAnsi="宋体"/>
          <w:color w:val="000000"/>
        </w:rPr>
      </w:pPr>
      <w:r>
        <w:rPr>
          <w:rFonts w:hint="eastAsia" w:ascii="宋体" w:hAnsi="宋体"/>
          <w:color w:val="000000"/>
        </w:rPr>
        <w:t xml:space="preserve">17.4 </w:t>
      </w:r>
      <w:r>
        <w:rPr>
          <w:rFonts w:hint="eastAsia"/>
        </w:rPr>
        <w:t>服务在规定的交付期限内由乙方送达甲方指定的地点。</w:t>
      </w:r>
    </w:p>
    <w:p>
      <w:pPr>
        <w:pStyle w:val="11"/>
        <w:snapToGrid w:val="0"/>
        <w:spacing w:before="120" w:after="120" w:line="360" w:lineRule="auto"/>
        <w:ind w:left="315" w:leftChars="150" w:firstLine="105" w:firstLineChars="50"/>
        <w:rPr>
          <w:rFonts w:hAnsi="宋体" w:cs="Courier New"/>
          <w:b/>
          <w:bCs/>
          <w:color w:val="000000"/>
        </w:rPr>
      </w:pPr>
      <w:r>
        <w:rPr>
          <w:rFonts w:hint="eastAsia" w:hAnsi="宋体"/>
          <w:b/>
          <w:bCs/>
          <w:color w:val="000000"/>
        </w:rPr>
        <w:t>1</w:t>
      </w:r>
      <w:r>
        <w:rPr>
          <w:rFonts w:hAnsi="宋体"/>
          <w:b/>
          <w:bCs/>
          <w:color w:val="000000"/>
        </w:rPr>
        <w:t>8</w:t>
      </w:r>
      <w:r>
        <w:rPr>
          <w:rFonts w:hint="eastAsia" w:hAnsi="宋体"/>
          <w:b/>
          <w:bCs/>
          <w:color w:val="000000"/>
        </w:rPr>
        <w:t>、违约责任</w:t>
      </w:r>
    </w:p>
    <w:p>
      <w:pPr>
        <w:spacing w:line="360" w:lineRule="auto"/>
        <w:ind w:firstLine="420" w:firstLineChars="200"/>
        <w:rPr>
          <w:rFonts w:ascii="宋体" w:hAnsi="宋体"/>
          <w:color w:val="000000"/>
        </w:rPr>
      </w:pPr>
      <w:r>
        <w:rPr>
          <w:rFonts w:hint="eastAsia" w:ascii="宋体" w:hAnsi="宋体"/>
          <w:color w:val="000000"/>
        </w:rPr>
        <w:t>18.1 甲方无正当理由拒绝初验收和终验收服务项目的（乙方未符合合同规定的情况除外），甲方应按未付服务项目款金额每日万分之五向乙方支付违约金。</w:t>
      </w:r>
    </w:p>
    <w:p>
      <w:pPr>
        <w:spacing w:line="360" w:lineRule="auto"/>
        <w:ind w:firstLine="420" w:firstLineChars="200"/>
        <w:rPr>
          <w:rFonts w:ascii="宋体" w:hAnsi="宋体"/>
          <w:color w:val="000000"/>
        </w:rPr>
      </w:pPr>
      <w:r>
        <w:rPr>
          <w:rFonts w:hint="eastAsia" w:ascii="宋体" w:hAnsi="宋体"/>
          <w:color w:val="000000"/>
        </w:rPr>
        <w:t>18.2 甲方无故逾期验收和无故逾期办理款项支付手续的（乙方未符合合同规定的情况除外）,甲方应按逾期付款金额每日万分之五向乙方支付违约金。</w:t>
      </w:r>
    </w:p>
    <w:p>
      <w:pPr>
        <w:spacing w:line="360" w:lineRule="auto"/>
        <w:ind w:firstLine="420" w:firstLineChars="200"/>
        <w:rPr>
          <w:rFonts w:ascii="宋体" w:hAnsi="宋体"/>
          <w:color w:val="000000"/>
        </w:rPr>
      </w:pPr>
      <w:r>
        <w:rPr>
          <w:rFonts w:hint="eastAsia" w:ascii="宋体" w:hAnsi="宋体"/>
          <w:color w:val="000000"/>
        </w:rPr>
        <w:t>18.3乙方违约，在消除违约情形前，应按本合同项目总额每日万分之五向甲方支付违约金，甲方可以从待付款项中扣除。</w:t>
      </w:r>
    </w:p>
    <w:p>
      <w:pPr>
        <w:spacing w:line="360" w:lineRule="auto"/>
        <w:ind w:firstLine="420" w:firstLineChars="200"/>
        <w:rPr>
          <w:rFonts w:ascii="宋体" w:hAnsi="宋体"/>
          <w:color w:val="000000"/>
        </w:rPr>
      </w:pPr>
      <w:r>
        <w:rPr>
          <w:rFonts w:hint="eastAsia" w:ascii="宋体" w:hAnsi="宋体"/>
          <w:color w:val="000000"/>
        </w:rPr>
        <w:t>18.4乙方因逾期交付服务项目或因其他违约行为，导致甲方解除合同的，乙方应向甲方支付合同总值5%的违约金，如造成甲方损失超过违约金的，超出部分由乙方继续承担赔偿责任。</w:t>
      </w:r>
    </w:p>
    <w:p>
      <w:pPr>
        <w:spacing w:line="360" w:lineRule="auto"/>
        <w:ind w:firstLine="420" w:firstLineChars="200"/>
        <w:rPr>
          <w:rFonts w:ascii="宋体" w:hAnsi="宋体"/>
          <w:color w:val="000000"/>
        </w:rPr>
      </w:pPr>
      <w:r>
        <w:rPr>
          <w:rFonts w:hint="eastAsia" w:ascii="宋体" w:hAnsi="宋体"/>
          <w:color w:val="000000"/>
        </w:rPr>
        <w:t>18.5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pPr>
        <w:spacing w:line="360" w:lineRule="auto"/>
        <w:ind w:firstLine="420" w:firstLineChars="200"/>
        <w:rPr>
          <w:rFonts w:ascii="宋体" w:hAnsi="宋体"/>
          <w:color w:val="000000"/>
        </w:rPr>
      </w:pPr>
      <w:r>
        <w:rPr>
          <w:rFonts w:hint="eastAsia" w:ascii="宋体" w:hAnsi="宋体"/>
          <w:color w:val="000000"/>
        </w:rPr>
        <w:t>18.6合同生效后，发现乙方投标属虚假承诺，或经权威部门监测提供的服务不能满足招标文件要求，造成合同无法继续履行的，乙方应向甲方支付合同总值5%的违约金。</w:t>
      </w:r>
    </w:p>
    <w:p>
      <w:pPr>
        <w:spacing w:line="360" w:lineRule="auto"/>
        <w:ind w:firstLine="420" w:firstLineChars="200"/>
      </w:pPr>
      <w:r>
        <w:rPr>
          <w:rFonts w:hint="eastAsia" w:ascii="宋体" w:hAnsi="宋体"/>
          <w:color w:val="000000"/>
        </w:rPr>
        <w:t>18.7乙方应加强工作人员的管理，禁止乙方以各种手段腐蚀、贿赂甲方单位工作人员，并将诚信档案记录的工作人员违规不良行为纳入违约行为,如有违反，甲方将停止履行合同，并追究乙方违约责任。</w:t>
      </w:r>
    </w:p>
    <w:p>
      <w:pPr>
        <w:pStyle w:val="11"/>
        <w:snapToGrid w:val="0"/>
        <w:spacing w:before="120" w:after="120" w:line="360" w:lineRule="auto"/>
        <w:ind w:left="315" w:leftChars="150" w:firstLine="105" w:firstLineChars="50"/>
        <w:rPr>
          <w:rFonts w:hAnsi="宋体" w:cs="Courier New"/>
          <w:b/>
          <w:bCs/>
          <w:color w:val="000000"/>
        </w:rPr>
      </w:pPr>
      <w:r>
        <w:rPr>
          <w:rFonts w:hint="eastAsia" w:hAnsi="宋体"/>
          <w:b/>
          <w:bCs/>
          <w:color w:val="000000"/>
        </w:rPr>
        <w:t>1</w:t>
      </w:r>
      <w:r>
        <w:rPr>
          <w:rFonts w:hAnsi="宋体"/>
          <w:b/>
          <w:bCs/>
          <w:color w:val="000000"/>
        </w:rPr>
        <w:t>9</w:t>
      </w:r>
      <w:r>
        <w:rPr>
          <w:rFonts w:hint="eastAsia" w:hAnsi="宋体"/>
          <w:b/>
          <w:bCs/>
          <w:color w:val="000000"/>
        </w:rPr>
        <w:t>、不可抗力事件处理</w:t>
      </w:r>
    </w:p>
    <w:p>
      <w:pPr>
        <w:pStyle w:val="11"/>
        <w:snapToGrid w:val="0"/>
        <w:spacing w:before="120" w:after="120" w:line="360" w:lineRule="auto"/>
        <w:ind w:firstLine="420" w:firstLineChars="200"/>
        <w:rPr>
          <w:rFonts w:hAnsi="宋体"/>
          <w:color w:val="000000"/>
        </w:rPr>
      </w:pPr>
      <w:r>
        <w:rPr>
          <w:rFonts w:hint="eastAsia" w:hAnsi="宋体"/>
          <w:color w:val="000000"/>
        </w:rPr>
        <w:t>19.1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1"/>
        <w:snapToGrid w:val="0"/>
        <w:spacing w:before="120" w:after="120" w:line="360" w:lineRule="auto"/>
        <w:ind w:firstLine="420" w:firstLineChars="200"/>
        <w:rPr>
          <w:rFonts w:hAnsi="宋体"/>
          <w:color w:val="000000"/>
        </w:rPr>
      </w:pPr>
      <w:r>
        <w:rPr>
          <w:rFonts w:hint="eastAsia" w:hAnsi="宋体"/>
          <w:color w:val="000000"/>
        </w:rPr>
        <w:t>19.2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1"/>
        <w:snapToGrid w:val="0"/>
        <w:spacing w:before="120" w:after="120" w:line="360" w:lineRule="auto"/>
        <w:ind w:left="315" w:leftChars="150" w:firstLine="105" w:firstLineChars="50"/>
        <w:rPr>
          <w:rFonts w:hAnsi="宋体"/>
          <w:b/>
          <w:bCs/>
          <w:color w:val="000000"/>
        </w:rPr>
      </w:pPr>
      <w:r>
        <w:rPr>
          <w:rFonts w:hAnsi="宋体"/>
          <w:b/>
          <w:bCs/>
          <w:color w:val="000000"/>
        </w:rPr>
        <w:t>20</w:t>
      </w:r>
      <w:r>
        <w:rPr>
          <w:rFonts w:hint="eastAsia" w:hAnsi="宋体"/>
          <w:b/>
          <w:bCs/>
          <w:color w:val="000000"/>
        </w:rPr>
        <w:t>、争议解决</w:t>
      </w:r>
    </w:p>
    <w:p>
      <w:pPr>
        <w:pStyle w:val="11"/>
        <w:snapToGrid w:val="0"/>
        <w:spacing w:before="120" w:after="120" w:line="360" w:lineRule="auto"/>
        <w:ind w:firstLine="420" w:firstLineChars="200"/>
        <w:rPr>
          <w:rFonts w:hAnsi="宋体"/>
          <w:color w:val="000000"/>
        </w:rPr>
      </w:pPr>
      <w:r>
        <w:rPr>
          <w:rFonts w:hint="eastAsia" w:hAnsi="宋体"/>
          <w:color w:val="000000"/>
        </w:rPr>
        <w:t>20.1 因服务的品质质量问题发生争议的，可在国家认可的质量检测机构对服务内容质量进行鉴定。服务符合标准的，鉴定费由甲方承担；服务项目不符合质量标准的，鉴定费由乙方承担。</w:t>
      </w:r>
    </w:p>
    <w:p>
      <w:pPr>
        <w:pStyle w:val="11"/>
        <w:snapToGrid w:val="0"/>
        <w:spacing w:before="120" w:after="120" w:line="360" w:lineRule="auto"/>
        <w:ind w:firstLine="420" w:firstLineChars="200"/>
        <w:rPr>
          <w:rFonts w:hAnsi="宋体"/>
          <w:color w:val="000000"/>
        </w:rPr>
      </w:pPr>
      <w:r>
        <w:rPr>
          <w:rFonts w:hint="eastAsia" w:hAnsi="宋体"/>
          <w:color w:val="000000"/>
        </w:rPr>
        <w:t>20.2 因履行本合同引起的或与本合同有关的争议，甲、乙双方应首先通过友好协商解决；如果协商不能解决争议，甲乙双方同意采取下列两种方式的第</w:t>
      </w:r>
      <w:r>
        <w:rPr>
          <w:rFonts w:hint="eastAsia" w:hAnsi="宋体"/>
          <w:color w:val="000000"/>
          <w:u w:val="single"/>
        </w:rPr>
        <w:t>（ 1 ）</w:t>
      </w:r>
      <w:r>
        <w:rPr>
          <w:rFonts w:hint="eastAsia" w:hAnsi="宋体"/>
          <w:color w:val="000000"/>
        </w:rPr>
        <w:t>种方式解决争议：</w:t>
      </w:r>
    </w:p>
    <w:p>
      <w:pPr>
        <w:pStyle w:val="11"/>
        <w:snapToGrid w:val="0"/>
        <w:spacing w:before="120" w:after="120" w:line="360" w:lineRule="auto"/>
        <w:ind w:firstLine="315" w:firstLineChars="150"/>
        <w:rPr>
          <w:rFonts w:hAnsi="宋体"/>
          <w:color w:val="000000"/>
        </w:rPr>
      </w:pPr>
      <w:r>
        <w:rPr>
          <w:rFonts w:hint="eastAsia" w:hAnsi="宋体"/>
          <w:color w:val="000000"/>
        </w:rPr>
        <w:t>（1）向甲方所在地有管辖权的人民法院提起诉讼，适用中华人民共和国法律；</w:t>
      </w:r>
    </w:p>
    <w:p>
      <w:pPr>
        <w:pStyle w:val="11"/>
        <w:snapToGrid w:val="0"/>
        <w:spacing w:before="120" w:after="120" w:line="360" w:lineRule="auto"/>
        <w:ind w:left="420" w:leftChars="150" w:hanging="105" w:hangingChars="50"/>
        <w:rPr>
          <w:rFonts w:hAnsi="宋体"/>
          <w:color w:val="000000"/>
        </w:rPr>
      </w:pPr>
      <w:r>
        <w:rPr>
          <w:rFonts w:hint="eastAsia" w:hAnsi="宋体"/>
          <w:color w:val="000000"/>
        </w:rPr>
        <w:t>（2）向扬州仲裁委员会按其仲裁规则申请仲裁。</w:t>
      </w:r>
    </w:p>
    <w:p>
      <w:pPr>
        <w:pStyle w:val="11"/>
        <w:snapToGrid w:val="0"/>
        <w:spacing w:before="120" w:after="120" w:line="360" w:lineRule="auto"/>
        <w:ind w:firstLine="420" w:firstLineChars="200"/>
        <w:rPr>
          <w:rFonts w:hAnsi="宋体"/>
          <w:color w:val="000000"/>
        </w:rPr>
      </w:pPr>
      <w:r>
        <w:rPr>
          <w:rFonts w:hint="eastAsia" w:hAnsi="宋体"/>
          <w:color w:val="000000"/>
        </w:rPr>
        <w:t>20.3 若甲乙双方任何一方都没有选择解除合同的，为避免扩大损失，在诉讼或仲裁期间，双方应继续履行。</w:t>
      </w:r>
    </w:p>
    <w:p>
      <w:pPr>
        <w:pStyle w:val="11"/>
        <w:snapToGrid w:val="0"/>
        <w:spacing w:before="120" w:after="120" w:line="360" w:lineRule="auto"/>
        <w:ind w:left="315" w:leftChars="150" w:firstLine="105" w:firstLineChars="50"/>
        <w:rPr>
          <w:rFonts w:hAnsi="宋体"/>
          <w:b/>
          <w:bCs/>
          <w:color w:val="000000"/>
        </w:rPr>
      </w:pPr>
      <w:r>
        <w:rPr>
          <w:rFonts w:hint="eastAsia" w:hAnsi="宋体"/>
          <w:b/>
          <w:bCs/>
          <w:color w:val="000000"/>
        </w:rPr>
        <w:t>2</w:t>
      </w:r>
      <w:r>
        <w:rPr>
          <w:rFonts w:hAnsi="宋体"/>
          <w:b/>
          <w:bCs/>
          <w:color w:val="000000"/>
        </w:rPr>
        <w:t>1.</w:t>
      </w:r>
      <w:r>
        <w:rPr>
          <w:rFonts w:hint="eastAsia" w:hAnsi="宋体"/>
          <w:b/>
          <w:bCs/>
          <w:color w:val="000000"/>
        </w:rPr>
        <w:t>材料品牌要求</w:t>
      </w:r>
    </w:p>
    <w:p>
      <w:pPr>
        <w:pStyle w:val="11"/>
        <w:snapToGrid w:val="0"/>
        <w:spacing w:before="120" w:after="120" w:line="360" w:lineRule="auto"/>
        <w:ind w:firstLine="420" w:firstLineChars="200"/>
        <w:rPr>
          <w:rFonts w:hAnsi="宋体"/>
          <w:color w:val="000000"/>
        </w:rPr>
      </w:pPr>
      <w:r>
        <w:rPr>
          <w:rFonts w:hint="eastAsia" w:hAnsi="宋体"/>
          <w:color w:val="000000"/>
        </w:rPr>
        <w:t>21.1乙方采购的主要材料必须在以下甲方推荐的几个品牌中选择一个，未指明品牌的主材投标时须注明品牌、生产厂家及规格型号，在征得甲方确认后才能使用，重要主材进场前应送样确认，材料壁厚等重要技术指标不得小于甲方规定。</w:t>
      </w:r>
    </w:p>
    <w:p>
      <w:pPr>
        <w:pStyle w:val="11"/>
        <w:snapToGrid w:val="0"/>
        <w:spacing w:before="120" w:after="120" w:line="360" w:lineRule="auto"/>
        <w:ind w:firstLine="420" w:firstLineChars="200"/>
        <w:rPr>
          <w:rFonts w:hAnsi="宋体" w:cs="宋体"/>
          <w:b/>
          <w:bCs/>
          <w:color w:val="000000"/>
        </w:rPr>
      </w:pPr>
      <w:r>
        <w:rPr>
          <w:rFonts w:hint="eastAsia" w:hAnsi="宋体"/>
          <w:color w:val="000000"/>
        </w:rPr>
        <w:t>21.2所有产品均应符合国家标准与环保要求，并提供相关资料。</w:t>
      </w:r>
    </w:p>
    <w:p>
      <w:pPr>
        <w:pStyle w:val="11"/>
        <w:snapToGrid w:val="0"/>
        <w:spacing w:before="120" w:after="120" w:line="360" w:lineRule="auto"/>
        <w:ind w:left="315" w:leftChars="150" w:firstLine="105" w:firstLineChars="50"/>
        <w:rPr>
          <w:rFonts w:hAnsi="宋体" w:cs="宋体"/>
          <w:b/>
          <w:bCs/>
          <w:color w:val="000000"/>
        </w:rPr>
      </w:pPr>
      <w:r>
        <w:rPr>
          <w:rFonts w:hAnsi="宋体" w:cs="宋体"/>
          <w:b/>
          <w:bCs/>
          <w:color w:val="000000"/>
        </w:rPr>
        <w:t>22</w:t>
      </w:r>
      <w:r>
        <w:rPr>
          <w:rFonts w:hint="eastAsia" w:hAnsi="宋体" w:cs="宋体"/>
          <w:b/>
          <w:bCs/>
          <w:color w:val="000000"/>
        </w:rPr>
        <w:t>、合同其它</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22.1 乙方应诚实信用，严格按照招标文件要求和投标承诺履行合同，不向甲方进行商业贿赂或者提供不正当利益。</w:t>
      </w:r>
    </w:p>
    <w:p>
      <w:pPr>
        <w:pStyle w:val="11"/>
        <w:snapToGrid w:val="0"/>
        <w:spacing w:before="120" w:after="120" w:line="360" w:lineRule="auto"/>
        <w:ind w:firstLine="420" w:firstLineChars="200"/>
        <w:rPr>
          <w:rFonts w:hAnsi="宋体" w:cs="宋体"/>
          <w:color w:val="000000"/>
        </w:rPr>
      </w:pPr>
      <w:r>
        <w:rPr>
          <w:rFonts w:hint="eastAsia" w:hAnsi="宋体" w:cs="宋体"/>
          <w:color w:val="000000"/>
        </w:rPr>
        <w:t>22.2 合同经双方法定代表人或授权代表签字并盖章后生效。</w:t>
      </w:r>
    </w:p>
    <w:p>
      <w:pPr>
        <w:pStyle w:val="11"/>
        <w:snapToGrid w:val="0"/>
        <w:spacing w:before="120" w:after="120" w:line="360" w:lineRule="auto"/>
        <w:ind w:firstLine="420" w:firstLineChars="200"/>
        <w:rPr>
          <w:rFonts w:hAnsi="宋体" w:cs="宋体"/>
          <w:color w:val="000000"/>
          <w:u w:val="single"/>
        </w:rPr>
      </w:pPr>
      <w:r>
        <w:rPr>
          <w:rFonts w:hint="eastAsia" w:hAnsi="宋体" w:cs="宋体"/>
          <w:color w:val="000000"/>
        </w:rPr>
        <w:t>22.3本合同未尽事宜，遵照《中华人民共和国民法典》有关条文执行。</w:t>
      </w:r>
    </w:p>
    <w:p>
      <w:pPr>
        <w:pStyle w:val="11"/>
        <w:snapToGrid w:val="0"/>
        <w:spacing w:before="120" w:after="120" w:line="360" w:lineRule="auto"/>
        <w:ind w:firstLine="420" w:firstLineChars="200"/>
        <w:rPr>
          <w:rFonts w:hAnsi="宋体" w:cs="宋体"/>
        </w:rPr>
      </w:pPr>
      <w:r>
        <w:rPr>
          <w:rFonts w:hint="eastAsia" w:hAnsi="宋体" w:cs="宋体"/>
          <w:color w:val="000000"/>
        </w:rPr>
        <w:t xml:space="preserve">22.4 </w:t>
      </w:r>
      <w:r>
        <w:rPr>
          <w:rFonts w:hint="eastAsia" w:hAnsi="宋体" w:cs="宋体"/>
        </w:rPr>
        <w:t>本合同正本一式肆份，甲方</w:t>
      </w:r>
      <w:r>
        <w:rPr>
          <w:rFonts w:hint="eastAsia" w:hAnsi="宋体" w:cs="宋体"/>
          <w:b/>
          <w:u w:val="single"/>
        </w:rPr>
        <w:t>贰</w:t>
      </w:r>
      <w:r>
        <w:rPr>
          <w:rFonts w:hint="eastAsia" w:hAnsi="宋体" w:cs="宋体"/>
        </w:rPr>
        <w:t>份，乙方</w:t>
      </w:r>
      <w:r>
        <w:rPr>
          <w:rFonts w:hint="eastAsia" w:hAnsi="宋体" w:cs="宋体"/>
          <w:b/>
          <w:u w:val="single"/>
        </w:rPr>
        <w:t>贰</w:t>
      </w:r>
      <w:r>
        <w:rPr>
          <w:rFonts w:hint="eastAsia" w:hAnsi="宋体" w:cs="宋体"/>
        </w:rPr>
        <w:t>份。具有同等法律效力。</w:t>
      </w:r>
    </w:p>
    <w:p>
      <w:pPr>
        <w:pStyle w:val="11"/>
        <w:snapToGrid w:val="0"/>
        <w:spacing w:before="120" w:after="120" w:line="360" w:lineRule="auto"/>
        <w:ind w:firstLine="420" w:firstLineChars="200"/>
        <w:rPr>
          <w:rFonts w:hAnsi="宋体" w:cs="宋体"/>
        </w:rPr>
      </w:pPr>
    </w:p>
    <w:p>
      <w:pPr>
        <w:pStyle w:val="11"/>
        <w:snapToGrid w:val="0"/>
        <w:spacing w:before="120" w:after="120" w:line="360" w:lineRule="auto"/>
        <w:ind w:firstLine="420" w:firstLineChars="200"/>
        <w:rPr>
          <w:rFonts w:hAnsi="宋体" w:cs="宋体"/>
        </w:rPr>
      </w:pPr>
    </w:p>
    <w:p>
      <w:pPr>
        <w:spacing w:line="440" w:lineRule="exact"/>
        <w:rPr>
          <w:rFonts w:cs="宋体"/>
          <w:b/>
          <w:bCs/>
          <w:color w:val="000000"/>
          <w:kern w:val="0"/>
        </w:rPr>
      </w:pPr>
      <w:r>
        <w:rPr>
          <w:rFonts w:hint="eastAsia" w:cs="宋体"/>
          <w:color w:val="000000"/>
          <w:kern w:val="0"/>
        </w:rPr>
        <w:t>甲方：</w:t>
      </w:r>
      <w:r>
        <w:rPr>
          <w:rFonts w:hint="eastAsia" w:cs="宋体"/>
          <w:b/>
          <w:bCs/>
          <w:color w:val="000000"/>
          <w:kern w:val="0"/>
        </w:rPr>
        <w:t xml:space="preserve">扬州大学附属医院   </w:t>
      </w:r>
      <w:r>
        <w:rPr>
          <w:rFonts w:hint="eastAsia" w:cs="宋体"/>
          <w:color w:val="000000"/>
          <w:kern w:val="0"/>
        </w:rPr>
        <w:t xml:space="preserve">           乙方：</w:t>
      </w:r>
    </w:p>
    <w:p>
      <w:pPr>
        <w:spacing w:line="440" w:lineRule="exact"/>
        <w:rPr>
          <w:rFonts w:cs="宋体"/>
          <w:color w:val="000000"/>
          <w:kern w:val="0"/>
        </w:rPr>
      </w:pPr>
      <w:r>
        <w:rPr>
          <w:rFonts w:hint="eastAsia" w:cs="宋体"/>
          <w:color w:val="000000"/>
          <w:kern w:val="0"/>
        </w:rPr>
        <w:t>法定代表人或授权签约人              法定代表人或授权签约人</w:t>
      </w:r>
    </w:p>
    <w:p>
      <w:pPr>
        <w:widowControl/>
        <w:spacing w:line="440" w:lineRule="exact"/>
        <w:jc w:val="left"/>
        <w:rPr>
          <w:rFonts w:cs="宋体"/>
          <w:color w:val="000000"/>
          <w:kern w:val="0"/>
        </w:rPr>
      </w:pPr>
      <w:r>
        <w:rPr>
          <w:rFonts w:hint="eastAsia" w:cs="宋体"/>
          <w:color w:val="000000"/>
          <w:kern w:val="0"/>
        </w:rPr>
        <w:t>（签字）：                         （签字）：</w:t>
      </w:r>
    </w:p>
    <w:p>
      <w:pPr>
        <w:pStyle w:val="5"/>
      </w:pPr>
    </w:p>
    <w:p>
      <w:pPr>
        <w:widowControl/>
        <w:spacing w:line="440" w:lineRule="exact"/>
        <w:jc w:val="left"/>
        <w:rPr>
          <w:rFonts w:cs="宋体"/>
          <w:color w:val="000000"/>
          <w:kern w:val="0"/>
        </w:rPr>
      </w:pPr>
      <w:r>
        <w:rPr>
          <w:rFonts w:hint="eastAsia" w:cs="宋体"/>
          <w:color w:val="000000"/>
          <w:kern w:val="0"/>
        </w:rPr>
        <w:t>地    址：扬州市邗江中路368号      地    址：</w:t>
      </w:r>
    </w:p>
    <w:p>
      <w:pPr>
        <w:widowControl/>
        <w:spacing w:line="440" w:lineRule="exact"/>
        <w:jc w:val="left"/>
        <w:rPr>
          <w:rFonts w:cs="宋体"/>
          <w:color w:val="000000"/>
          <w:kern w:val="0"/>
        </w:rPr>
      </w:pPr>
      <w:r>
        <w:rPr>
          <w:rFonts w:hint="eastAsia" w:cs="宋体"/>
          <w:color w:val="000000"/>
          <w:kern w:val="0"/>
        </w:rPr>
        <w:t>信用代码：123210004688337887        邮    编：</w:t>
      </w:r>
    </w:p>
    <w:p>
      <w:pPr>
        <w:spacing w:line="440" w:lineRule="exact"/>
        <w:rPr>
          <w:rFonts w:cs="宋体"/>
          <w:color w:val="000000"/>
          <w:kern w:val="0"/>
        </w:rPr>
      </w:pPr>
      <w:r>
        <w:rPr>
          <w:rFonts w:hint="eastAsia" w:cs="宋体"/>
          <w:color w:val="000000"/>
          <w:kern w:val="0"/>
        </w:rPr>
        <w:t>电    话：0514-82981199             电    话：</w:t>
      </w:r>
    </w:p>
    <w:p>
      <w:pPr>
        <w:spacing w:line="440" w:lineRule="exact"/>
        <w:rPr>
          <w:rFonts w:cs="宋体"/>
          <w:color w:val="000000"/>
          <w:kern w:val="0"/>
        </w:rPr>
      </w:pPr>
      <w:r>
        <w:rPr>
          <w:rFonts w:hint="eastAsia" w:cs="宋体"/>
          <w:color w:val="000000"/>
          <w:kern w:val="0"/>
        </w:rPr>
        <w:t>开户银行：                          开户银行：</w:t>
      </w:r>
    </w:p>
    <w:p>
      <w:pPr>
        <w:spacing w:line="440" w:lineRule="exact"/>
        <w:rPr>
          <w:rFonts w:cs="宋体"/>
          <w:color w:val="000000"/>
          <w:kern w:val="0"/>
        </w:rPr>
      </w:pPr>
      <w:r>
        <w:rPr>
          <w:rFonts w:hint="eastAsia" w:cs="宋体"/>
          <w:color w:val="000000"/>
          <w:kern w:val="0"/>
        </w:rPr>
        <w:t>账    号：                          账    号：</w:t>
      </w:r>
    </w:p>
    <w:p>
      <w:pPr>
        <w:adjustRightInd w:val="0"/>
        <w:spacing w:line="440" w:lineRule="exact"/>
        <w:contextualSpacing/>
        <w:rPr>
          <w:rFonts w:cs="宋体"/>
          <w:b/>
          <w:color w:val="000000"/>
          <w:kern w:val="0"/>
        </w:rPr>
      </w:pPr>
      <w:r>
        <w:rPr>
          <w:rFonts w:hint="eastAsia" w:cs="宋体"/>
          <w:color w:val="000000"/>
          <w:kern w:val="0"/>
        </w:rPr>
        <w:t>日    期:2024年    月   日          日     期：2024年   月   日</w:t>
      </w:r>
    </w:p>
    <w:p>
      <w:pPr>
        <w:pStyle w:val="11"/>
        <w:snapToGrid w:val="0"/>
        <w:spacing w:before="120" w:after="120" w:line="360" w:lineRule="auto"/>
        <w:ind w:firstLine="210" w:firstLineChars="100"/>
        <w:rPr>
          <w:rFonts w:hAnsi="宋体" w:cs="宋体"/>
          <w:color w:val="000000"/>
        </w:rPr>
      </w:pPr>
    </w:p>
    <w:p>
      <w:pPr>
        <w:pStyle w:val="11"/>
        <w:snapToGrid w:val="0"/>
        <w:spacing w:before="120" w:after="120" w:line="360" w:lineRule="auto"/>
        <w:ind w:firstLine="210" w:firstLineChars="100"/>
        <w:rPr>
          <w:rFonts w:hAnsi="宋体" w:cs="宋体"/>
          <w:color w:val="000000"/>
        </w:rPr>
      </w:pPr>
    </w:p>
    <w:p>
      <w:pPr>
        <w:pStyle w:val="11"/>
        <w:snapToGrid w:val="0"/>
        <w:spacing w:before="120" w:after="120" w:line="360" w:lineRule="auto"/>
        <w:ind w:firstLine="210" w:firstLineChars="100"/>
        <w:rPr>
          <w:rFonts w:hAnsi="宋体" w:cs="宋体"/>
          <w:color w:val="000000"/>
        </w:rPr>
      </w:pPr>
    </w:p>
    <w:p>
      <w:pPr>
        <w:spacing w:line="460" w:lineRule="exact"/>
        <w:jc w:val="both"/>
        <w:rPr>
          <w:b/>
          <w:kern w:val="36"/>
          <w:sz w:val="36"/>
          <w:szCs w:val="36"/>
        </w:rPr>
      </w:pPr>
    </w:p>
    <w:p>
      <w:pPr>
        <w:spacing w:line="460" w:lineRule="exact"/>
        <w:jc w:val="center"/>
        <w:rPr>
          <w:b/>
          <w:kern w:val="36"/>
          <w:sz w:val="36"/>
          <w:szCs w:val="36"/>
        </w:rPr>
      </w:pPr>
      <w:r>
        <w:rPr>
          <w:rFonts w:hint="eastAsia"/>
          <w:b/>
          <w:kern w:val="36"/>
          <w:sz w:val="36"/>
          <w:szCs w:val="36"/>
        </w:rPr>
        <w:t>廉洁合作协议</w:t>
      </w:r>
    </w:p>
    <w:p>
      <w:pPr>
        <w:spacing w:line="460" w:lineRule="exact"/>
        <w:rPr>
          <w:rFonts w:hint="eastAsia" w:eastAsia="宋体"/>
          <w:lang w:eastAsia="zh-CN"/>
        </w:rPr>
      </w:pPr>
      <w:r>
        <w:rPr>
          <w:rFonts w:hint="eastAsia" w:cs="宋体"/>
          <w:color w:val="000000"/>
          <w:kern w:val="0"/>
        </w:rPr>
        <w:t>合同编号：</w:t>
      </w:r>
      <w:r>
        <w:rPr>
          <w:rFonts w:hint="eastAsia"/>
        </w:rPr>
        <w:t>YDFYXJ-</w:t>
      </w:r>
      <w:r>
        <w:rPr>
          <w:rFonts w:hint="eastAsia"/>
          <w:lang w:eastAsia="zh-CN"/>
        </w:rPr>
        <w:t>2024017</w:t>
      </w:r>
    </w:p>
    <w:p>
      <w:pPr>
        <w:spacing w:line="460" w:lineRule="exact"/>
        <w:rPr>
          <w:rFonts w:cs="宋体"/>
          <w:b/>
          <w:color w:val="000000"/>
          <w:kern w:val="0"/>
        </w:rPr>
      </w:pPr>
      <w:r>
        <w:rPr>
          <w:rFonts w:hint="eastAsia" w:cs="宋体"/>
          <w:color w:val="000000"/>
          <w:kern w:val="0"/>
        </w:rPr>
        <w:t>甲方名称</w:t>
      </w:r>
      <w:r>
        <w:rPr>
          <w:rFonts w:cs="宋体"/>
          <w:color w:val="000000"/>
          <w:kern w:val="0"/>
        </w:rPr>
        <w:t>:</w:t>
      </w:r>
      <w:r>
        <w:rPr>
          <w:rFonts w:hint="eastAsia"/>
          <w:b/>
        </w:rPr>
        <w:t>扬州大学附属医院</w:t>
      </w:r>
    </w:p>
    <w:p>
      <w:pPr>
        <w:spacing w:line="460" w:lineRule="exact"/>
      </w:pPr>
      <w:r>
        <w:rPr>
          <w:rFonts w:hint="eastAsia"/>
        </w:rPr>
        <w:t>乙方</w:t>
      </w:r>
      <w:r>
        <w:rPr>
          <w:rFonts w:hint="eastAsia" w:cs="宋体"/>
          <w:color w:val="000000"/>
          <w:kern w:val="0"/>
        </w:rPr>
        <w:t>名称</w:t>
      </w:r>
      <w:r>
        <w:rPr>
          <w:rFonts w:hint="eastAsia"/>
        </w:rPr>
        <w:t>：</w:t>
      </w:r>
    </w:p>
    <w:p>
      <w:pPr>
        <w:spacing w:line="340" w:lineRule="exact"/>
        <w:ind w:firstLine="420" w:firstLineChars="200"/>
        <w:rPr>
          <w:kern w:val="0"/>
        </w:rPr>
      </w:pPr>
      <w:r>
        <w:rPr>
          <w:rFonts w:hint="eastAsia"/>
          <w:kern w:val="0"/>
        </w:rPr>
        <w:t>在甲乙双方订立、履行合同过程中，为保持廉洁自律的工作作风，防止各种不正当行为的发生，甲乙双方订立协议如下：</w:t>
      </w:r>
    </w:p>
    <w:p>
      <w:pPr>
        <w:spacing w:line="340" w:lineRule="exact"/>
        <w:ind w:firstLine="420" w:firstLineChars="200"/>
        <w:rPr>
          <w:kern w:val="0"/>
        </w:rPr>
      </w:pPr>
      <w:r>
        <w:rPr>
          <w:rFonts w:hint="eastAsia"/>
          <w:kern w:val="0"/>
        </w:rPr>
        <w:t>一、甲乙双方应当自觉遵守国家、地方法律法规以及本协议的约定，在合同的订立、履行过程中廉洁自律。</w:t>
      </w:r>
    </w:p>
    <w:p>
      <w:pPr>
        <w:spacing w:line="340" w:lineRule="exact"/>
        <w:ind w:firstLine="420" w:firstLineChars="200"/>
        <w:rPr>
          <w:kern w:val="0"/>
        </w:rPr>
      </w:pPr>
      <w:r>
        <w:rPr>
          <w:rFonts w:hint="eastAsia"/>
          <w:kern w:val="0"/>
        </w:rPr>
        <w:t>二、甲方工作人员严禁进行商业目的的统方，不得以任何形式向乙方索要和收受个人回扣等好处费。</w:t>
      </w:r>
    </w:p>
    <w:p>
      <w:pPr>
        <w:spacing w:line="340" w:lineRule="exact"/>
        <w:ind w:firstLine="420" w:firstLineChars="200"/>
        <w:rPr>
          <w:kern w:val="0"/>
        </w:rPr>
      </w:pPr>
      <w:r>
        <w:rPr>
          <w:rFonts w:hint="eastAsia"/>
          <w:kern w:val="0"/>
        </w:rPr>
        <w:t>三、甲方工作人员应当保持与乙方的正常业务交往，不得接受乙方的礼金、有价证券和贵重物品，不得在乙方报销任何应由其个人承担的费用。</w:t>
      </w:r>
    </w:p>
    <w:p>
      <w:pPr>
        <w:spacing w:line="340" w:lineRule="exact"/>
        <w:ind w:firstLine="420" w:firstLineChars="200"/>
        <w:rPr>
          <w:kern w:val="0"/>
        </w:rPr>
      </w:pPr>
      <w:r>
        <w:rPr>
          <w:rFonts w:hint="eastAsia"/>
          <w:kern w:val="0"/>
        </w:rPr>
        <w:t>四、甲方工作人员不得参加可能对公正开展业务有影响的宴请和娱乐活动。如甲方工作人员确因实际情况须参加宴请、进行娱乐活动的，须事先报上一级批准。</w:t>
      </w:r>
    </w:p>
    <w:p>
      <w:pPr>
        <w:spacing w:line="340" w:lineRule="exact"/>
        <w:ind w:firstLine="420" w:firstLineChars="200"/>
        <w:rPr>
          <w:kern w:val="0"/>
        </w:rPr>
      </w:pPr>
      <w:r>
        <w:rPr>
          <w:rFonts w:hint="eastAsia"/>
          <w:kern w:val="0"/>
        </w:rPr>
        <w:t>五、甲方工作人员不得要求或者接受乙方为其住房装修、婚丧嫁娶、家属和子女的工作安排以及出国等提供方便。</w:t>
      </w:r>
    </w:p>
    <w:p>
      <w:pPr>
        <w:spacing w:line="340" w:lineRule="exact"/>
        <w:ind w:firstLine="420" w:firstLineChars="200"/>
        <w:rPr>
          <w:kern w:val="0"/>
        </w:rPr>
      </w:pPr>
      <w:r>
        <w:rPr>
          <w:rFonts w:hint="eastAsia"/>
          <w:kern w:val="0"/>
        </w:rPr>
        <w:t>六、乙方不得接受甲方工作人员介绍的家属或者亲友从事与合同相关的业务。</w:t>
      </w:r>
    </w:p>
    <w:p>
      <w:pPr>
        <w:spacing w:line="340" w:lineRule="exact"/>
        <w:ind w:firstLine="420" w:firstLineChars="200"/>
        <w:rPr>
          <w:kern w:val="0"/>
        </w:rPr>
      </w:pPr>
      <w:r>
        <w:rPr>
          <w:rFonts w:hint="eastAsia"/>
          <w:kern w:val="0"/>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40" w:lineRule="exact"/>
        <w:ind w:firstLine="420" w:firstLineChars="200"/>
        <w:rPr>
          <w:kern w:val="0"/>
        </w:rPr>
      </w:pPr>
      <w:r>
        <w:rPr>
          <w:rFonts w:hint="eastAsia"/>
          <w:kern w:val="0"/>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pPr>
        <w:spacing w:line="340" w:lineRule="exact"/>
        <w:ind w:firstLine="420" w:firstLineChars="200"/>
        <w:rPr>
          <w:kern w:val="0"/>
        </w:rPr>
      </w:pPr>
      <w:r>
        <w:rPr>
          <w:rFonts w:hint="eastAsia"/>
          <w:kern w:val="0"/>
        </w:rPr>
        <w:t>九、甲方发现乙方有违反本协议或者采用不正当的手段行贿甲方工作人员等不正当竞争行为的，甲方有权解除合同。</w:t>
      </w:r>
    </w:p>
    <w:p>
      <w:pPr>
        <w:spacing w:line="340" w:lineRule="exact"/>
        <w:ind w:firstLine="315" w:firstLineChars="150"/>
        <w:rPr>
          <w:kern w:val="0"/>
        </w:rPr>
      </w:pPr>
      <w:r>
        <w:rPr>
          <w:rFonts w:hint="eastAsia"/>
          <w:kern w:val="0"/>
        </w:rPr>
        <w:t>十、本廉洁协议作为合同的附件，与合同具有同等法律效力。经协议双方签署后立即生效。</w:t>
      </w:r>
    </w:p>
    <w:p>
      <w:pPr>
        <w:spacing w:line="340" w:lineRule="exact"/>
        <w:ind w:firstLine="420" w:firstLineChars="200"/>
        <w:rPr>
          <w:bCs/>
        </w:rPr>
      </w:pPr>
      <w:r>
        <w:rPr>
          <w:rFonts w:hint="eastAsia"/>
          <w:kern w:val="0"/>
        </w:rPr>
        <w:t>十一、</w:t>
      </w:r>
      <w:r>
        <w:rPr>
          <w:rFonts w:hint="eastAsia"/>
          <w:bCs/>
        </w:rPr>
        <w:t>本合同正本一式</w:t>
      </w:r>
      <w:r>
        <w:rPr>
          <w:rFonts w:hint="eastAsia"/>
          <w:b/>
          <w:bCs/>
          <w:u w:val="single"/>
        </w:rPr>
        <w:t>肆</w:t>
      </w:r>
      <w:r>
        <w:rPr>
          <w:rFonts w:hint="eastAsia"/>
          <w:bCs/>
        </w:rPr>
        <w:t>份，</w:t>
      </w:r>
      <w:r>
        <w:rPr>
          <w:rFonts w:hint="eastAsia"/>
          <w:lang w:val="zh-CN"/>
        </w:rPr>
        <w:t>甲方执</w:t>
      </w:r>
      <w:r>
        <w:rPr>
          <w:rFonts w:hint="eastAsia"/>
          <w:b/>
          <w:u w:val="single"/>
        </w:rPr>
        <w:t>贰</w:t>
      </w:r>
      <w:r>
        <w:rPr>
          <w:rFonts w:hint="eastAsia"/>
          <w:lang w:val="zh-CN"/>
        </w:rPr>
        <w:t>份，乙方执</w:t>
      </w:r>
      <w:r>
        <w:rPr>
          <w:rFonts w:hint="eastAsia"/>
          <w:b/>
          <w:u w:val="single"/>
          <w:lang w:val="zh-CN"/>
        </w:rPr>
        <w:t>贰</w:t>
      </w:r>
      <w:r>
        <w:rPr>
          <w:rFonts w:hint="eastAsia"/>
          <w:lang w:val="zh-CN"/>
        </w:rPr>
        <w:t>份，</w:t>
      </w:r>
      <w:r>
        <w:rPr>
          <w:rFonts w:hint="eastAsia"/>
          <w:kern w:val="0"/>
        </w:rPr>
        <w:t>从签订之日起生效。</w:t>
      </w:r>
    </w:p>
    <w:p>
      <w:pPr>
        <w:spacing w:line="340" w:lineRule="exact"/>
        <w:rPr>
          <w:kern w:val="0"/>
        </w:rPr>
      </w:pPr>
    </w:p>
    <w:p>
      <w:pPr>
        <w:spacing w:line="340" w:lineRule="exact"/>
        <w:ind w:left="5460" w:hanging="5460" w:hangingChars="2600"/>
        <w:contextualSpacing/>
        <w:rPr>
          <w:rFonts w:cs="宋体"/>
          <w:b/>
          <w:color w:val="000000"/>
          <w:kern w:val="0"/>
        </w:rPr>
      </w:pPr>
      <w:r>
        <w:rPr>
          <w:rFonts w:hint="eastAsia" w:cs="宋体"/>
          <w:color w:val="000000"/>
          <w:kern w:val="0"/>
        </w:rPr>
        <w:t>甲方：（盖章）</w:t>
      </w:r>
      <w:r>
        <w:rPr>
          <w:rFonts w:hint="eastAsia" w:cs="宋体"/>
          <w:b/>
          <w:color w:val="000000"/>
          <w:kern w:val="0"/>
        </w:rPr>
        <w:t>扬州大学附属医院</w:t>
      </w:r>
      <w:r>
        <w:rPr>
          <w:rFonts w:hint="eastAsia" w:cs="宋体"/>
          <w:color w:val="000000"/>
          <w:kern w:val="0"/>
        </w:rPr>
        <w:t xml:space="preserve">      乙方：（盖章）</w:t>
      </w:r>
    </w:p>
    <w:p>
      <w:pPr>
        <w:spacing w:line="340" w:lineRule="exact"/>
        <w:contextualSpacing/>
        <w:rPr>
          <w:rFonts w:cs="宋体"/>
          <w:color w:val="000000"/>
          <w:kern w:val="0"/>
        </w:rPr>
      </w:pPr>
      <w:r>
        <w:rPr>
          <w:rFonts w:hint="eastAsia" w:cs="宋体"/>
          <w:color w:val="000000"/>
          <w:kern w:val="0"/>
        </w:rPr>
        <w:t>法定代表人：                        法定代表人：</w:t>
      </w:r>
    </w:p>
    <w:p>
      <w:pPr>
        <w:spacing w:line="340" w:lineRule="exact"/>
        <w:contextualSpacing/>
        <w:rPr>
          <w:rFonts w:cs="宋体"/>
          <w:color w:val="000000"/>
          <w:kern w:val="0"/>
        </w:rPr>
      </w:pPr>
      <w:r>
        <w:rPr>
          <w:rFonts w:hint="eastAsia" w:cs="宋体"/>
          <w:color w:val="000000"/>
          <w:kern w:val="0"/>
        </w:rPr>
        <w:t>（或授权签约人）：                 （或授权签约人）：</w:t>
      </w:r>
    </w:p>
    <w:p>
      <w:pPr>
        <w:spacing w:line="340" w:lineRule="exact"/>
        <w:contextualSpacing/>
        <w:rPr>
          <w:rFonts w:cs="宋体"/>
          <w:color w:val="000000"/>
          <w:kern w:val="0"/>
        </w:rPr>
      </w:pPr>
    </w:p>
    <w:p>
      <w:pPr>
        <w:spacing w:line="340" w:lineRule="exact"/>
        <w:contextualSpacing/>
        <w:rPr>
          <w:rFonts w:cs="宋体"/>
          <w:color w:val="000000"/>
          <w:kern w:val="0"/>
        </w:rPr>
      </w:pPr>
    </w:p>
    <w:p>
      <w:pPr>
        <w:spacing w:line="340" w:lineRule="exact"/>
        <w:contextualSpacing/>
        <w:rPr>
          <w:rFonts w:cs="宋体"/>
          <w:color w:val="000000"/>
          <w:kern w:val="0"/>
        </w:rPr>
        <w:sectPr>
          <w:footerReference r:id="rId4" w:type="default"/>
          <w:pgSz w:w="11906" w:h="16838"/>
          <w:pgMar w:top="1440" w:right="1800" w:bottom="1440" w:left="1800" w:header="851" w:footer="992" w:gutter="0"/>
          <w:cols w:space="720" w:num="1"/>
          <w:docGrid w:type="lines" w:linePitch="312" w:charSpace="0"/>
        </w:sectPr>
      </w:pPr>
      <w:r>
        <w:rPr>
          <w:rFonts w:hint="eastAsia" w:cs="宋体"/>
          <w:color w:val="000000"/>
          <w:kern w:val="0"/>
        </w:rPr>
        <w:t>日  期:2024年   月   日            日  期：2024年  月   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37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A5AB6"/>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C6DFC"/>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06E68"/>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36FF0"/>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157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1569A"/>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5F7F"/>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3925EFB"/>
    <w:rsid w:val="0473288B"/>
    <w:rsid w:val="048E6049"/>
    <w:rsid w:val="04D53288"/>
    <w:rsid w:val="04E61983"/>
    <w:rsid w:val="04F93EF7"/>
    <w:rsid w:val="050B4F06"/>
    <w:rsid w:val="053E3F8C"/>
    <w:rsid w:val="05C80596"/>
    <w:rsid w:val="05EB5497"/>
    <w:rsid w:val="06835001"/>
    <w:rsid w:val="07CD3AA2"/>
    <w:rsid w:val="080D44F9"/>
    <w:rsid w:val="08AA0DBA"/>
    <w:rsid w:val="0907213E"/>
    <w:rsid w:val="0BE47D69"/>
    <w:rsid w:val="0BEC5A7C"/>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1174BF"/>
    <w:rsid w:val="135B04E9"/>
    <w:rsid w:val="135E7630"/>
    <w:rsid w:val="14574206"/>
    <w:rsid w:val="146D2542"/>
    <w:rsid w:val="14A043CE"/>
    <w:rsid w:val="14CA0422"/>
    <w:rsid w:val="151678B8"/>
    <w:rsid w:val="15D76399"/>
    <w:rsid w:val="15F35842"/>
    <w:rsid w:val="171674CF"/>
    <w:rsid w:val="172469D5"/>
    <w:rsid w:val="17407202"/>
    <w:rsid w:val="17754BB0"/>
    <w:rsid w:val="186D5CBC"/>
    <w:rsid w:val="19826916"/>
    <w:rsid w:val="19D36840"/>
    <w:rsid w:val="1A223F41"/>
    <w:rsid w:val="1A965BFC"/>
    <w:rsid w:val="1B0E6D6D"/>
    <w:rsid w:val="1B7E0CB5"/>
    <w:rsid w:val="1BB77976"/>
    <w:rsid w:val="1C94789B"/>
    <w:rsid w:val="1D762024"/>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4044C"/>
    <w:rsid w:val="22EC14F1"/>
    <w:rsid w:val="23735059"/>
    <w:rsid w:val="238F0D0A"/>
    <w:rsid w:val="23E9338C"/>
    <w:rsid w:val="2466755A"/>
    <w:rsid w:val="24782FEE"/>
    <w:rsid w:val="24E27B0B"/>
    <w:rsid w:val="24FE708B"/>
    <w:rsid w:val="251C01F0"/>
    <w:rsid w:val="270244AF"/>
    <w:rsid w:val="279829B9"/>
    <w:rsid w:val="28795CAE"/>
    <w:rsid w:val="28CF6D5C"/>
    <w:rsid w:val="28D728FE"/>
    <w:rsid w:val="290E1224"/>
    <w:rsid w:val="29175D2B"/>
    <w:rsid w:val="292206E7"/>
    <w:rsid w:val="298A42A2"/>
    <w:rsid w:val="29CD360F"/>
    <w:rsid w:val="2A6C65F7"/>
    <w:rsid w:val="2AA6133D"/>
    <w:rsid w:val="2BCB5B07"/>
    <w:rsid w:val="2E026BA2"/>
    <w:rsid w:val="2E0A00DD"/>
    <w:rsid w:val="2E237847"/>
    <w:rsid w:val="2E8F3F40"/>
    <w:rsid w:val="2EE7735A"/>
    <w:rsid w:val="2F716810"/>
    <w:rsid w:val="2F877A0A"/>
    <w:rsid w:val="302F0120"/>
    <w:rsid w:val="304A7173"/>
    <w:rsid w:val="30D304E7"/>
    <w:rsid w:val="30DF7E8F"/>
    <w:rsid w:val="310442A6"/>
    <w:rsid w:val="312D648E"/>
    <w:rsid w:val="315A1157"/>
    <w:rsid w:val="318E7998"/>
    <w:rsid w:val="31FF36A9"/>
    <w:rsid w:val="32542738"/>
    <w:rsid w:val="32684D4C"/>
    <w:rsid w:val="337C4795"/>
    <w:rsid w:val="349B0B50"/>
    <w:rsid w:val="354C2853"/>
    <w:rsid w:val="35CA1979"/>
    <w:rsid w:val="35D6255E"/>
    <w:rsid w:val="375A406B"/>
    <w:rsid w:val="37CB42F0"/>
    <w:rsid w:val="38E0096C"/>
    <w:rsid w:val="395873E0"/>
    <w:rsid w:val="398427FF"/>
    <w:rsid w:val="3B6B7997"/>
    <w:rsid w:val="3C7E55A0"/>
    <w:rsid w:val="3C7E7E4D"/>
    <w:rsid w:val="3C8D3C65"/>
    <w:rsid w:val="3D3A5E61"/>
    <w:rsid w:val="3D920AB3"/>
    <w:rsid w:val="3E4F54B3"/>
    <w:rsid w:val="3EA006FD"/>
    <w:rsid w:val="3EBB61D5"/>
    <w:rsid w:val="3F9F4D2B"/>
    <w:rsid w:val="4060216F"/>
    <w:rsid w:val="406A6438"/>
    <w:rsid w:val="4093055E"/>
    <w:rsid w:val="40C726B4"/>
    <w:rsid w:val="424B0DFC"/>
    <w:rsid w:val="424C7250"/>
    <w:rsid w:val="43487107"/>
    <w:rsid w:val="436F1EA3"/>
    <w:rsid w:val="43F56786"/>
    <w:rsid w:val="4417638D"/>
    <w:rsid w:val="45977351"/>
    <w:rsid w:val="45F42EB8"/>
    <w:rsid w:val="45F855C9"/>
    <w:rsid w:val="46056344"/>
    <w:rsid w:val="461A2F9F"/>
    <w:rsid w:val="467B4C8A"/>
    <w:rsid w:val="4689608C"/>
    <w:rsid w:val="47CE0BEB"/>
    <w:rsid w:val="47DD46E6"/>
    <w:rsid w:val="48B5696C"/>
    <w:rsid w:val="49AC543C"/>
    <w:rsid w:val="4A24417F"/>
    <w:rsid w:val="4ACD2A51"/>
    <w:rsid w:val="4B4053E3"/>
    <w:rsid w:val="4B8D08A2"/>
    <w:rsid w:val="4BD6274F"/>
    <w:rsid w:val="4C2279B2"/>
    <w:rsid w:val="4C4135B6"/>
    <w:rsid w:val="4C472E7D"/>
    <w:rsid w:val="4C58772E"/>
    <w:rsid w:val="4CA51296"/>
    <w:rsid w:val="4CB85CB5"/>
    <w:rsid w:val="4D1C5AA0"/>
    <w:rsid w:val="4E295D4C"/>
    <w:rsid w:val="4E842C0D"/>
    <w:rsid w:val="4F4C7986"/>
    <w:rsid w:val="4F526DE8"/>
    <w:rsid w:val="4F717F10"/>
    <w:rsid w:val="4FD12A58"/>
    <w:rsid w:val="501519DD"/>
    <w:rsid w:val="50737B0E"/>
    <w:rsid w:val="507C6263"/>
    <w:rsid w:val="508A0E56"/>
    <w:rsid w:val="510328E8"/>
    <w:rsid w:val="510F701A"/>
    <w:rsid w:val="51673008"/>
    <w:rsid w:val="5199638E"/>
    <w:rsid w:val="51BD509B"/>
    <w:rsid w:val="52126F84"/>
    <w:rsid w:val="537760B9"/>
    <w:rsid w:val="54350B65"/>
    <w:rsid w:val="54422408"/>
    <w:rsid w:val="54511844"/>
    <w:rsid w:val="54AC3518"/>
    <w:rsid w:val="54C65CDC"/>
    <w:rsid w:val="555F1334"/>
    <w:rsid w:val="560560AD"/>
    <w:rsid w:val="56410E61"/>
    <w:rsid w:val="56881779"/>
    <w:rsid w:val="56EE7C77"/>
    <w:rsid w:val="56EF68C8"/>
    <w:rsid w:val="57DA3AB3"/>
    <w:rsid w:val="58A415C5"/>
    <w:rsid w:val="590E22E7"/>
    <w:rsid w:val="590F082F"/>
    <w:rsid w:val="59104CF0"/>
    <w:rsid w:val="591C0A3A"/>
    <w:rsid w:val="59806A22"/>
    <w:rsid w:val="5AA53F71"/>
    <w:rsid w:val="5AAE4B55"/>
    <w:rsid w:val="5B063544"/>
    <w:rsid w:val="5B3A3011"/>
    <w:rsid w:val="5BD053AF"/>
    <w:rsid w:val="5BE11FCF"/>
    <w:rsid w:val="5C353AD6"/>
    <w:rsid w:val="5C3E22E0"/>
    <w:rsid w:val="5C63055C"/>
    <w:rsid w:val="5C663DD6"/>
    <w:rsid w:val="5C936A98"/>
    <w:rsid w:val="5C9D5DDF"/>
    <w:rsid w:val="5CA1516C"/>
    <w:rsid w:val="5CA23409"/>
    <w:rsid w:val="5CDB0A62"/>
    <w:rsid w:val="5D9E4640"/>
    <w:rsid w:val="5E584ED9"/>
    <w:rsid w:val="5F1D0DE7"/>
    <w:rsid w:val="60002DA6"/>
    <w:rsid w:val="600E4C27"/>
    <w:rsid w:val="60186A28"/>
    <w:rsid w:val="60446E43"/>
    <w:rsid w:val="60B176F1"/>
    <w:rsid w:val="60DB4EA5"/>
    <w:rsid w:val="612E05C2"/>
    <w:rsid w:val="61475B62"/>
    <w:rsid w:val="616C3D5B"/>
    <w:rsid w:val="616C7377"/>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124C88"/>
    <w:rsid w:val="673E62A6"/>
    <w:rsid w:val="675A5AE8"/>
    <w:rsid w:val="677A6507"/>
    <w:rsid w:val="678D2F92"/>
    <w:rsid w:val="687B1D33"/>
    <w:rsid w:val="6BC32A32"/>
    <w:rsid w:val="6D633984"/>
    <w:rsid w:val="6D6C156B"/>
    <w:rsid w:val="6DF60098"/>
    <w:rsid w:val="6E0B5A66"/>
    <w:rsid w:val="6E1F0C2D"/>
    <w:rsid w:val="6E7D7BD0"/>
    <w:rsid w:val="6F882E18"/>
    <w:rsid w:val="708C2B36"/>
    <w:rsid w:val="70952B65"/>
    <w:rsid w:val="70A153BD"/>
    <w:rsid w:val="70C57A02"/>
    <w:rsid w:val="70DB38A7"/>
    <w:rsid w:val="70FE780D"/>
    <w:rsid w:val="71D1780D"/>
    <w:rsid w:val="71DC1AE4"/>
    <w:rsid w:val="72217603"/>
    <w:rsid w:val="72487296"/>
    <w:rsid w:val="7282207E"/>
    <w:rsid w:val="730D4190"/>
    <w:rsid w:val="73B92AFC"/>
    <w:rsid w:val="74226CB9"/>
    <w:rsid w:val="745D7ED4"/>
    <w:rsid w:val="75006B73"/>
    <w:rsid w:val="750721CD"/>
    <w:rsid w:val="75126C7B"/>
    <w:rsid w:val="764E69E8"/>
    <w:rsid w:val="76662631"/>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6"/>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next w:val="9"/>
    <w:autoRedefine/>
    <w:qFormat/>
    <w:uiPriority w:val="0"/>
    <w:pPr>
      <w:ind w:firstLine="576"/>
    </w:pPr>
    <w:rPr>
      <w:b/>
      <w:sz w:val="30"/>
    </w:rPr>
  </w:style>
  <w:style w:type="paragraph" w:styleId="9">
    <w:name w:val="envelope return"/>
    <w:basedOn w:val="1"/>
    <w:autoRedefine/>
    <w:unhideWhenUsed/>
    <w:qFormat/>
    <w:uiPriority w:val="99"/>
    <w:pPr>
      <w:snapToGrid w:val="0"/>
    </w:pPr>
    <w:rPr>
      <w:rFonts w:ascii="Cambria" w:hAnsi="Cambria"/>
    </w:rPr>
  </w:style>
  <w:style w:type="paragraph" w:styleId="10">
    <w:name w:val="List Bullet 2"/>
    <w:basedOn w:val="1"/>
    <w:autoRedefine/>
    <w:unhideWhenUsed/>
    <w:qFormat/>
    <w:uiPriority w:val="0"/>
    <w:pPr>
      <w:numPr>
        <w:ilvl w:val="0"/>
        <w:numId w:val="1"/>
      </w:numPr>
      <w:contextualSpacing/>
    </w:pPr>
    <w:rPr>
      <w:rFonts w:ascii="Calibri" w:hAnsi="Calibri"/>
    </w:rPr>
  </w:style>
  <w:style w:type="paragraph" w:styleId="11">
    <w:name w:val="Plain Text"/>
    <w:basedOn w:val="1"/>
    <w:link w:val="31"/>
    <w:autoRedefine/>
    <w:qFormat/>
    <w:uiPriority w:val="99"/>
    <w:rPr>
      <w:rFonts w:ascii="宋体" w:hAnsi="Courier New"/>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一级条标题"/>
    <w:basedOn w:val="24"/>
    <w:next w:val="25"/>
    <w:autoRedefine/>
    <w:qFormat/>
    <w:uiPriority w:val="0"/>
    <w:pPr>
      <w:spacing w:line="240" w:lineRule="auto"/>
      <w:ind w:left="420"/>
      <w:outlineLvl w:val="2"/>
    </w:pPr>
  </w:style>
  <w:style w:type="paragraph" w:customStyle="1" w:styleId="2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6">
    <w:name w:val="正文（缩进）"/>
    <w:basedOn w:val="1"/>
    <w:autoRedefine/>
    <w:qFormat/>
    <w:uiPriority w:val="0"/>
    <w:pPr>
      <w:ind w:firstLine="480" w:firstLineChars="200"/>
    </w:pPr>
  </w:style>
  <w:style w:type="paragraph" w:customStyle="1" w:styleId="27">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字符"/>
    <w:basedOn w:val="20"/>
    <w:link w:val="14"/>
    <w:autoRedefine/>
    <w:semiHidden/>
    <w:qFormat/>
    <w:uiPriority w:val="99"/>
    <w:rPr>
      <w:rFonts w:eastAsia="宋体"/>
      <w:kern w:val="2"/>
      <w:sz w:val="18"/>
      <w:szCs w:val="18"/>
    </w:rPr>
  </w:style>
  <w:style w:type="character" w:customStyle="1" w:styleId="29">
    <w:name w:val="页脚 字符"/>
    <w:basedOn w:val="20"/>
    <w:link w:val="13"/>
    <w:autoRedefine/>
    <w:semiHidden/>
    <w:qFormat/>
    <w:uiPriority w:val="99"/>
    <w:rPr>
      <w:rFonts w:eastAsia="宋体"/>
      <w:kern w:val="2"/>
      <w:sz w:val="18"/>
      <w:szCs w:val="18"/>
    </w:rPr>
  </w:style>
  <w:style w:type="character" w:customStyle="1" w:styleId="30">
    <w:name w:val="批注框文本 字符"/>
    <w:basedOn w:val="20"/>
    <w:link w:val="12"/>
    <w:autoRedefine/>
    <w:semiHidden/>
    <w:qFormat/>
    <w:uiPriority w:val="99"/>
    <w:rPr>
      <w:rFonts w:eastAsia="宋体"/>
      <w:kern w:val="2"/>
      <w:sz w:val="18"/>
      <w:szCs w:val="18"/>
    </w:rPr>
  </w:style>
  <w:style w:type="character" w:customStyle="1" w:styleId="31">
    <w:name w:val="纯文本 字符"/>
    <w:basedOn w:val="20"/>
    <w:link w:val="11"/>
    <w:autoRedefine/>
    <w:qFormat/>
    <w:uiPriority w:val="99"/>
    <w:rPr>
      <w:rFonts w:ascii="宋体" w:hAnsi="Courier New" w:eastAsia="宋体"/>
      <w:kern w:val="2"/>
      <w:sz w:val="21"/>
    </w:rPr>
  </w:style>
  <w:style w:type="character" w:customStyle="1" w:styleId="32">
    <w:name w:val="副标题 Char"/>
    <w:autoRedefine/>
    <w:qFormat/>
    <w:uiPriority w:val="0"/>
    <w:rPr>
      <w:rFonts w:ascii="Cambria" w:hAnsi="Cambria"/>
      <w:b/>
      <w:bCs/>
      <w:kern w:val="28"/>
      <w:sz w:val="32"/>
      <w:szCs w:val="32"/>
    </w:rPr>
  </w:style>
  <w:style w:type="character" w:customStyle="1" w:styleId="33">
    <w:name w:val="副标题 字符"/>
    <w:basedOn w:val="20"/>
    <w:link w:val="15"/>
    <w:autoRedefine/>
    <w:qFormat/>
    <w:uiPriority w:val="0"/>
    <w:rPr>
      <w:rFonts w:eastAsia="宋体" w:asciiTheme="majorHAnsi" w:hAnsiTheme="majorHAnsi" w:cstheme="majorBidi"/>
      <w:b/>
      <w:bCs/>
      <w:kern w:val="28"/>
      <w:sz w:val="32"/>
      <w:szCs w:val="32"/>
    </w:rPr>
  </w:style>
  <w:style w:type="paragraph" w:styleId="34">
    <w:name w:val="List Paragraph"/>
    <w:basedOn w:val="1"/>
    <w:autoRedefine/>
    <w:unhideWhenUsed/>
    <w:qFormat/>
    <w:uiPriority w:val="99"/>
    <w:pPr>
      <w:ind w:firstLine="420" w:firstLineChars="200"/>
    </w:pPr>
  </w:style>
  <w:style w:type="paragraph" w:customStyle="1" w:styleId="35">
    <w:name w:val="普通文字"/>
    <w:basedOn w:val="1"/>
    <w:next w:val="1"/>
    <w:autoRedefine/>
    <w:qFormat/>
    <w:uiPriority w:val="0"/>
    <w:rPr>
      <w:rFonts w:ascii="宋体"/>
      <w:kern w:val="0"/>
      <w:sz w:val="24"/>
      <w:u w:color="000000"/>
    </w:rPr>
  </w:style>
  <w:style w:type="character" w:customStyle="1" w:styleId="36">
    <w:name w:val="正文缩进 字符"/>
    <w:link w:val="3"/>
    <w:autoRedefine/>
    <w:qFormat/>
    <w:uiPriority w:val="0"/>
    <w:rPr>
      <w:kern w:val="2"/>
      <w:sz w:val="21"/>
      <w:szCs w:val="24"/>
    </w:rPr>
  </w:style>
  <w:style w:type="character" w:customStyle="1" w:styleId="37">
    <w:name w:val="NormalCharacter"/>
    <w:autoRedefine/>
    <w:qFormat/>
    <w:uiPriority w:val="0"/>
  </w:style>
  <w:style w:type="character" w:customStyle="1" w:styleId="38">
    <w:name w:val="font11"/>
    <w:basedOn w:val="20"/>
    <w:autoRedefine/>
    <w:qFormat/>
    <w:uiPriority w:val="0"/>
    <w:rPr>
      <w:rFonts w:hint="eastAsia" w:ascii="宋体" w:hAnsi="宋体" w:eastAsia="宋体" w:cs="宋体"/>
      <w:b/>
      <w:bCs/>
      <w:color w:val="000000"/>
      <w:sz w:val="22"/>
      <w:szCs w:val="22"/>
      <w:u w:val="none"/>
    </w:rPr>
  </w:style>
  <w:style w:type="character" w:customStyle="1" w:styleId="39">
    <w:name w:val="font71"/>
    <w:basedOn w:val="20"/>
    <w:autoRedefine/>
    <w:qFormat/>
    <w:uiPriority w:val="0"/>
    <w:rPr>
      <w:rFonts w:hint="eastAsia" w:ascii="宋体" w:hAnsi="宋体" w:eastAsia="宋体" w:cs="宋体"/>
      <w:b/>
      <w:bCs/>
      <w:color w:val="000000"/>
      <w:sz w:val="22"/>
      <w:szCs w:val="22"/>
      <w:u w:val="none"/>
    </w:rPr>
  </w:style>
  <w:style w:type="paragraph" w:customStyle="1" w:styleId="40">
    <w:name w:val="CM20"/>
    <w:basedOn w:val="41"/>
    <w:next w:val="41"/>
    <w:autoRedefine/>
    <w:qFormat/>
    <w:uiPriority w:val="0"/>
    <w:pPr>
      <w:spacing w:line="411" w:lineRule="atLeast"/>
    </w:pPr>
    <w:rPr>
      <w:rFonts w:cs="Times New Roman"/>
      <w:color w:val="auto"/>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2057</Words>
  <Characters>11727</Characters>
  <Lines>97</Lines>
  <Paragraphs>27</Paragraphs>
  <TotalTime>2</TotalTime>
  <ScaleCrop>false</ScaleCrop>
  <LinksUpToDate>false</LinksUpToDate>
  <CharactersWithSpaces>13757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2024-05-14T03:10:08Z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E81473E2156C467BBE0AAF4BB9D3235C_13</vt:lpwstr>
  </property>
</Properties>
</file>