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highlight w:val="none"/>
        </w:rPr>
      </w:pPr>
      <w:r>
        <w:rPr>
          <w:rFonts w:hint="eastAsia" w:ascii="宋体" w:hAnsi="宋体" w:cs="宋体"/>
          <w:b/>
          <w:snapToGrid w:val="0"/>
          <w:kern w:val="0"/>
          <w:sz w:val="32"/>
          <w:szCs w:val="32"/>
          <w:highlight w:val="none"/>
        </w:rPr>
        <w:t>YDFYXJ-</w:t>
      </w:r>
      <w:r>
        <w:rPr>
          <w:rFonts w:hint="eastAsia" w:ascii="宋体" w:hAnsi="宋体" w:cs="宋体"/>
          <w:b/>
          <w:snapToGrid w:val="0"/>
          <w:kern w:val="0"/>
          <w:sz w:val="32"/>
          <w:szCs w:val="32"/>
          <w:highlight w:val="none"/>
          <w:lang w:eastAsia="zh-CN"/>
        </w:rPr>
        <w:t>2024032</w:t>
      </w:r>
      <w:r>
        <w:rPr>
          <w:rFonts w:hint="eastAsia" w:ascii="宋体" w:hAnsi="宋体" w:cs="宋体"/>
          <w:b/>
          <w:snapToGrid w:val="0"/>
          <w:kern w:val="0"/>
          <w:sz w:val="32"/>
          <w:szCs w:val="32"/>
          <w:highlight w:val="none"/>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0"/>
          <w:szCs w:val="40"/>
        </w:rPr>
      </w:pPr>
      <w:r>
        <w:rPr>
          <w:rFonts w:hint="eastAsia"/>
          <w:b/>
          <w:sz w:val="40"/>
          <w:szCs w:val="40"/>
        </w:rPr>
        <w:t>扬州大学附属医院</w:t>
      </w:r>
    </w:p>
    <w:p>
      <w:pPr>
        <w:adjustRightInd w:val="0"/>
        <w:snapToGrid w:val="0"/>
        <w:spacing w:line="800" w:lineRule="exact"/>
        <w:contextualSpacing/>
        <w:jc w:val="center"/>
        <w:rPr>
          <w:rFonts w:hint="eastAsia" w:ascii="宋体" w:hAnsi="宋体" w:cs="宋体"/>
          <w:b/>
          <w:snapToGrid w:val="0"/>
          <w:kern w:val="0"/>
          <w:sz w:val="40"/>
          <w:szCs w:val="40"/>
          <w:highlight w:val="none"/>
          <w:lang w:val="en-US" w:eastAsia="zh-CN"/>
        </w:rPr>
      </w:pPr>
      <w:r>
        <w:rPr>
          <w:rFonts w:hint="eastAsia" w:ascii="宋体" w:hAnsi="宋体" w:cs="宋体"/>
          <w:b/>
          <w:snapToGrid w:val="0"/>
          <w:kern w:val="0"/>
          <w:sz w:val="40"/>
          <w:szCs w:val="40"/>
          <w:highlight w:val="none"/>
          <w:lang w:val="en-US" w:eastAsia="zh-CN"/>
        </w:rPr>
        <w:t>东西区二次供水水箱水质检测服务项目（二次）</w:t>
      </w:r>
    </w:p>
    <w:p>
      <w:pPr>
        <w:adjustRightInd w:val="0"/>
        <w:snapToGrid w:val="0"/>
        <w:spacing w:line="800" w:lineRule="exact"/>
        <w:contextualSpacing/>
        <w:jc w:val="center"/>
        <w:rPr>
          <w:b/>
          <w:sz w:val="40"/>
          <w:szCs w:val="40"/>
        </w:rPr>
      </w:pPr>
      <w:r>
        <w:rPr>
          <w:rFonts w:hint="eastAsia"/>
          <w:b/>
          <w:sz w:val="40"/>
          <w:szCs w:val="40"/>
        </w:rPr>
        <w:t>询价文件</w:t>
      </w:r>
    </w:p>
    <w:p>
      <w:pPr>
        <w:pStyle w:val="15"/>
        <w:ind w:firstLine="0"/>
      </w:pPr>
    </w:p>
    <w:p>
      <w:pPr>
        <w:pStyle w:val="15"/>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hint="eastAsia" w:asciiTheme="minorEastAsia" w:hAnsiTheme="minorEastAsia" w:eastAsiaTheme="minorEastAsia"/>
          <w:b/>
          <w:w w:val="90"/>
          <w:kern w:val="0"/>
          <w:sz w:val="32"/>
          <w:szCs w:val="32"/>
          <w:highlight w:val="none"/>
          <w:lang w:eastAsia="zh-CN"/>
        </w:rPr>
        <w:t>2024</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w w:val="90"/>
          <w:kern w:val="0"/>
          <w:sz w:val="32"/>
          <w:szCs w:val="32"/>
          <w:highlight w:val="none"/>
          <w:lang w:val="en-US" w:eastAsia="zh-CN"/>
        </w:rPr>
        <w:t>8</w:t>
      </w:r>
      <w:r>
        <w:rPr>
          <w:rFonts w:hint="eastAsia" w:asciiTheme="minorEastAsia" w:hAnsiTheme="minorEastAsia" w:eastAsiaTheme="minorEastAsia"/>
          <w:b/>
          <w:w w:val="90"/>
          <w:kern w:val="0"/>
          <w:sz w:val="32"/>
          <w:szCs w:val="32"/>
          <w:highlight w:val="none"/>
        </w:rPr>
        <w:t>月</w:t>
      </w:r>
      <w:r>
        <w:rPr>
          <w:rFonts w:hint="eastAsia" w:asciiTheme="minorEastAsia" w:hAnsiTheme="minorEastAsia" w:eastAsiaTheme="minorEastAsia"/>
          <w:b/>
          <w:w w:val="90"/>
          <w:kern w:val="0"/>
          <w:sz w:val="32"/>
          <w:szCs w:val="32"/>
          <w:highlight w:val="none"/>
          <w:lang w:val="en-US" w:eastAsia="zh-CN"/>
        </w:rPr>
        <w:t>7</w:t>
      </w:r>
      <w:r>
        <w:rPr>
          <w:rFonts w:hint="eastAsia" w:asciiTheme="minorEastAsia" w:hAnsiTheme="minorEastAsia" w:eastAsiaTheme="minorEastAsia"/>
          <w:b/>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4"/>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东西区二次供水水箱水质检测服务项目（二次）</w:t>
      </w:r>
      <w:r>
        <w:rPr>
          <w:rFonts w:hint="eastAsia" w:ascii="宋体" w:hAnsi="宋体" w:cs="宋体"/>
          <w:snapToGrid w:val="0"/>
          <w:kern w:val="0"/>
          <w:sz w:val="24"/>
        </w:rPr>
        <w:t>（编号：</w:t>
      </w:r>
      <w:r>
        <w:rPr>
          <w:rFonts w:hint="eastAsia" w:ascii="宋体" w:hAnsi="宋体" w:cs="宋体"/>
          <w:snapToGrid w:val="0"/>
          <w:kern w:val="0"/>
          <w:sz w:val="24"/>
          <w:highlight w:val="none"/>
        </w:rPr>
        <w:t>YDFYXJ-</w:t>
      </w:r>
      <w:r>
        <w:rPr>
          <w:rFonts w:hint="eastAsia" w:ascii="宋体" w:hAnsi="宋体" w:cs="宋体"/>
          <w:snapToGrid w:val="0"/>
          <w:kern w:val="0"/>
          <w:sz w:val="24"/>
          <w:highlight w:val="none"/>
          <w:lang w:eastAsia="zh-CN"/>
        </w:rPr>
        <w:t>2024032</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东西区二次供水水箱水质检测服务项目（二次）</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0.38</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lang w:eastAsia="zh-CN"/>
        </w:rPr>
        <w:t>2024</w:t>
      </w:r>
      <w:r>
        <w:rPr>
          <w:rFonts w:hint="eastAsia" w:ascii="宋体" w:hAnsi="宋体"/>
          <w:b/>
          <w:sz w:val="24"/>
          <w:highlight w:val="none"/>
        </w:rPr>
        <w:t>年</w:t>
      </w:r>
      <w:r>
        <w:rPr>
          <w:rFonts w:hint="eastAsia" w:ascii="宋体" w:hAnsi="宋体"/>
          <w:b/>
          <w:sz w:val="24"/>
          <w:highlight w:val="none"/>
          <w:lang w:val="en-US" w:eastAsia="zh-CN"/>
        </w:rPr>
        <w:t>8</w:t>
      </w:r>
      <w:r>
        <w:rPr>
          <w:rFonts w:hint="eastAsia" w:ascii="宋体" w:hAnsi="宋体"/>
          <w:b/>
          <w:sz w:val="24"/>
          <w:highlight w:val="none"/>
        </w:rPr>
        <w:t>月</w:t>
      </w:r>
      <w:r>
        <w:rPr>
          <w:rFonts w:hint="eastAsia" w:ascii="宋体" w:hAnsi="宋体"/>
          <w:b/>
          <w:sz w:val="24"/>
          <w:highlight w:val="none"/>
          <w:lang w:val="en-US" w:eastAsia="zh-CN"/>
        </w:rPr>
        <w:t>14</w:t>
      </w:r>
      <w:r>
        <w:rPr>
          <w:rFonts w:hint="eastAsia" w:ascii="宋体" w:hAnsi="宋体"/>
          <w:b/>
          <w:sz w:val="24"/>
          <w:highlight w:val="none"/>
        </w:rPr>
        <w:t>日上午10：30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东西区二次供水水箱水质检测服务项目（二次）</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东西区二次供水水箱水质检测服务项目（二次）</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每次清洗完，经由第三方将样水送经符合标准的具有国家资质认可的机构检测，并出具合格检验报告，乙方凭甲方的验收单及开具的正规增值税发票等材料向甲方办理付款手续，甲方凭手续齐全的票据付单次清洗价的100%。（以上均不计息）</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lang w:eastAsia="zh-CN"/>
        </w:rPr>
        <w:t>2024</w:t>
      </w:r>
      <w:r>
        <w:rPr>
          <w:rFonts w:hint="eastAsia" w:cs="微软雅黑"/>
          <w:b/>
          <w:highlight w:val="none"/>
        </w:rPr>
        <w:t>年</w:t>
      </w:r>
      <w:r>
        <w:rPr>
          <w:rFonts w:hint="eastAsia" w:cs="微软雅黑"/>
          <w:b/>
          <w:highlight w:val="none"/>
          <w:lang w:val="en-US" w:eastAsia="zh-CN"/>
        </w:rPr>
        <w:t>8</w:t>
      </w:r>
      <w:r>
        <w:rPr>
          <w:rFonts w:hint="eastAsia" w:cs="微软雅黑"/>
          <w:b/>
          <w:highlight w:val="none"/>
        </w:rPr>
        <w:t>月</w:t>
      </w:r>
      <w:r>
        <w:rPr>
          <w:rFonts w:hint="eastAsia" w:cs="微软雅黑"/>
          <w:b/>
          <w:highlight w:val="none"/>
          <w:lang w:val="en-US" w:eastAsia="zh-CN"/>
        </w:rPr>
        <w:t>14</w:t>
      </w:r>
      <w:r>
        <w:rPr>
          <w:rFonts w:hint="eastAsia" w:cs="微软雅黑"/>
          <w:b/>
          <w:highlight w:val="none"/>
        </w:rPr>
        <w:t>日</w:t>
      </w:r>
      <w:r>
        <w:rPr>
          <w:rStyle w:val="32"/>
          <w:b/>
          <w:highlight w:val="none"/>
        </w:rPr>
        <w:t>1</w:t>
      </w:r>
      <w:r>
        <w:rPr>
          <w:rStyle w:val="32"/>
          <w:rFonts w:hint="eastAsia"/>
          <w:b/>
          <w:highlight w:val="none"/>
        </w:rPr>
        <w:t>0</w:t>
      </w:r>
      <w:r>
        <w:rPr>
          <w:rStyle w:val="32"/>
          <w:b/>
          <w:highlight w:val="none"/>
        </w:rPr>
        <w:t>：30</w:t>
      </w:r>
      <w:r>
        <w:rPr>
          <w:rFonts w:hint="eastAsia" w:cs="微软雅黑"/>
          <w:color w:val="000000"/>
          <w:highlight w:val="none"/>
        </w:rPr>
        <w:t>前</w:t>
      </w:r>
      <w:r>
        <w:rPr>
          <w:rStyle w:val="32"/>
          <w:rFonts w:ascii="宋体" w:hAnsi="宋体"/>
          <w:b/>
          <w:sz w:val="24"/>
          <w:highlight w:val="none"/>
        </w:rPr>
        <w:t>（北</w:t>
      </w:r>
      <w:r>
        <w:rPr>
          <w:rStyle w:val="32"/>
          <w:rFonts w:ascii="宋体" w:hAnsi="宋体"/>
          <w:b/>
          <w:color w:val="000000"/>
          <w:sz w:val="24"/>
          <w:highlight w:val="none"/>
        </w:rPr>
        <w:t>京时间）</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w:t>
      </w:r>
      <w:r>
        <w:rPr>
          <w:rFonts w:hint="eastAsia" w:cs="微软雅黑"/>
          <w:color w:val="000000"/>
          <w:lang w:val="en-US" w:eastAsia="zh-CN"/>
        </w:rPr>
        <w:t>西区</w:t>
      </w:r>
      <w:r>
        <w:rPr>
          <w:rFonts w:hint="eastAsia" w:cs="微软雅黑"/>
          <w:color w:val="000000"/>
          <w:lang w:eastAsia="zh-CN"/>
        </w:rPr>
        <w:t>行政楼</w:t>
      </w:r>
      <w:r>
        <w:rPr>
          <w:rFonts w:hint="eastAsia" w:cs="微软雅黑"/>
          <w:color w:val="000000"/>
        </w:rPr>
        <w:t>四楼采购中心405</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0514—82099555</w:t>
      </w:r>
    </w:p>
    <w:p>
      <w:pPr>
        <w:adjustRightInd w:val="0"/>
        <w:snapToGrid w:val="0"/>
        <w:spacing w:line="420" w:lineRule="exact"/>
        <w:ind w:firstLine="480" w:firstLineChars="200"/>
        <w:contextualSpacing/>
        <w:rPr>
          <w:rStyle w:val="32"/>
          <w:rFonts w:ascii="宋体" w:hAnsi="宋体"/>
          <w:sz w:val="24"/>
        </w:rPr>
      </w:pPr>
      <w:r>
        <w:rPr>
          <w:rStyle w:val="32"/>
          <w:rFonts w:hint="eastAsia" w:ascii="宋体" w:hAnsi="宋体"/>
          <w:sz w:val="24"/>
        </w:rPr>
        <w:t>15.</w:t>
      </w:r>
      <w:r>
        <w:rPr>
          <w:rStyle w:val="32"/>
          <w:rFonts w:ascii="宋体" w:hAnsi="宋体"/>
          <w:sz w:val="24"/>
        </w:rPr>
        <w:t>开标有关信息</w:t>
      </w:r>
    </w:p>
    <w:p>
      <w:pPr>
        <w:adjustRightInd w:val="0"/>
        <w:snapToGrid w:val="0"/>
        <w:spacing w:line="420" w:lineRule="exact"/>
        <w:ind w:firstLine="480" w:firstLineChars="200"/>
        <w:contextualSpacing/>
        <w:rPr>
          <w:rStyle w:val="32"/>
          <w:rFonts w:ascii="宋体" w:hAnsi="宋体"/>
          <w:color w:val="000000"/>
          <w:sz w:val="24"/>
        </w:rPr>
      </w:pPr>
      <w:r>
        <w:rPr>
          <w:rStyle w:val="32"/>
          <w:rFonts w:ascii="宋体" w:hAnsi="宋体"/>
          <w:sz w:val="24"/>
        </w:rPr>
        <w:t>开标时间：</w:t>
      </w:r>
      <w:r>
        <w:rPr>
          <w:rStyle w:val="32"/>
          <w:rFonts w:hint="eastAsia" w:ascii="宋体" w:hAnsi="宋体"/>
          <w:b/>
          <w:sz w:val="24"/>
          <w:highlight w:val="none"/>
          <w:lang w:eastAsia="zh-CN"/>
        </w:rPr>
        <w:t>2024</w:t>
      </w:r>
      <w:r>
        <w:rPr>
          <w:rStyle w:val="32"/>
          <w:rFonts w:ascii="宋体" w:hAnsi="宋体"/>
          <w:b/>
          <w:sz w:val="24"/>
          <w:highlight w:val="none"/>
        </w:rPr>
        <w:t>年</w:t>
      </w:r>
      <w:r>
        <w:rPr>
          <w:rStyle w:val="32"/>
          <w:rFonts w:hint="eastAsia" w:ascii="宋体" w:hAnsi="宋体"/>
          <w:b/>
          <w:sz w:val="24"/>
          <w:highlight w:val="none"/>
          <w:lang w:val="en-US" w:eastAsia="zh-CN"/>
        </w:rPr>
        <w:t>8</w:t>
      </w:r>
      <w:r>
        <w:rPr>
          <w:rStyle w:val="32"/>
          <w:rFonts w:ascii="宋体" w:hAnsi="宋体"/>
          <w:b/>
          <w:sz w:val="24"/>
          <w:highlight w:val="none"/>
        </w:rPr>
        <w:t>月</w:t>
      </w:r>
      <w:r>
        <w:rPr>
          <w:rStyle w:val="32"/>
          <w:rFonts w:hint="eastAsia" w:ascii="宋体" w:hAnsi="宋体"/>
          <w:b/>
          <w:sz w:val="24"/>
          <w:highlight w:val="none"/>
          <w:lang w:val="en-US" w:eastAsia="zh-CN"/>
        </w:rPr>
        <w:t>14</w:t>
      </w:r>
      <w:r>
        <w:rPr>
          <w:rStyle w:val="32"/>
          <w:rFonts w:ascii="宋体" w:hAnsi="宋体"/>
          <w:b/>
          <w:sz w:val="24"/>
          <w:highlight w:val="none"/>
        </w:rPr>
        <w:t>日1</w:t>
      </w:r>
      <w:r>
        <w:rPr>
          <w:rStyle w:val="32"/>
          <w:rFonts w:hint="eastAsia" w:ascii="宋体" w:hAnsi="宋体"/>
          <w:b/>
          <w:sz w:val="24"/>
          <w:highlight w:val="none"/>
        </w:rPr>
        <w:t>0</w:t>
      </w:r>
      <w:r>
        <w:rPr>
          <w:rStyle w:val="32"/>
          <w:rFonts w:ascii="宋体" w:hAnsi="宋体"/>
          <w:b/>
          <w:sz w:val="24"/>
          <w:highlight w:val="none"/>
        </w:rPr>
        <w:t>：30（北</w:t>
      </w:r>
      <w:r>
        <w:rPr>
          <w:rStyle w:val="32"/>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lang w:eastAsia="zh-CN"/>
        </w:rPr>
        <w:t>2024</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8</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14</w:t>
      </w:r>
      <w:bookmarkStart w:id="4" w:name="_GoBack"/>
      <w:bookmarkEnd w:id="4"/>
      <w:r>
        <w:rPr>
          <w:rFonts w:hint="eastAsia" w:ascii="宋体" w:hAnsi="宋体" w:cs="宋体"/>
          <w:b/>
          <w:snapToGrid w:val="0"/>
          <w:spacing w:val="-4"/>
          <w:kern w:val="0"/>
          <w:sz w:val="24"/>
          <w:highlight w:val="none"/>
        </w:rPr>
        <w:t>日上午10:30</w:t>
      </w:r>
      <w:r>
        <w:rPr>
          <w:rFonts w:hint="eastAsia" w:ascii="宋体" w:hAnsi="宋体" w:cs="宋体"/>
          <w:snapToGrid w:val="0"/>
          <w:spacing w:val="-4"/>
          <w:kern w:val="0"/>
          <w:sz w:val="24"/>
          <w:highlight w:val="none"/>
        </w:rPr>
        <w:t>前</w:t>
      </w:r>
      <w:r>
        <w:rPr>
          <w:rFonts w:hint="eastAsia" w:ascii="宋体" w:hAnsi="宋体" w:cs="宋体"/>
          <w:snapToGrid w:val="0"/>
          <w:spacing w:val="-4"/>
          <w:kern w:val="0"/>
          <w:sz w:val="24"/>
        </w:rPr>
        <w:t>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hint="eastAsia" w:ascii="宋体" w:hAnsi="宋体" w:cs="宋体"/>
          <w:snapToGrid w:val="0"/>
          <w:kern w:val="0"/>
          <w:sz w:val="24"/>
          <w:highlight w:val="none"/>
        </w:rPr>
      </w:pPr>
      <w:r>
        <w:rPr>
          <w:rFonts w:hint="eastAsia" w:ascii="宋体" w:hAnsi="宋体" w:cs="宋体"/>
          <w:snapToGrid w:val="0"/>
          <w:kern w:val="0"/>
          <w:sz w:val="24"/>
          <w:highlight w:val="none"/>
        </w:rPr>
        <w:t>联系电话：0514—82099555</w:t>
      </w:r>
    </w:p>
    <w:p>
      <w:pPr>
        <w:jc w:val="both"/>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both"/>
        <w:rPr>
          <w:rFonts w:hint="eastAsia" w:ascii="宋体" w:hAnsi="宋体"/>
          <w:b/>
          <w:sz w:val="36"/>
          <w:szCs w:val="36"/>
        </w:r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firstLine="140" w:firstLineChars="58"/>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firstLine="139" w:firstLineChars="58"/>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东西区二次供水水箱水质检测服务项目（二次）</w:t>
      </w:r>
    </w:p>
    <w:p>
      <w:pPr>
        <w:adjustRightInd w:val="0"/>
        <w:snapToGrid w:val="0"/>
        <w:spacing w:line="440" w:lineRule="exact"/>
        <w:ind w:firstLine="139" w:firstLineChars="58"/>
        <w:contextualSpacing/>
        <w:rPr>
          <w:rFonts w:ascii="宋体" w:hAnsi="宋体" w:cs="宋体"/>
          <w:snapToGrid w:val="0"/>
          <w:kern w:val="0"/>
          <w:sz w:val="24"/>
          <w:highlight w:val="none"/>
        </w:rPr>
      </w:pPr>
      <w:r>
        <w:rPr>
          <w:rFonts w:hint="eastAsia" w:ascii="宋体" w:hAnsi="宋体" w:cs="宋体"/>
          <w:snapToGrid w:val="0"/>
          <w:kern w:val="0"/>
          <w:sz w:val="24"/>
        </w:rPr>
        <w:t>1.2项目编号：</w:t>
      </w:r>
      <w:r>
        <w:rPr>
          <w:rFonts w:hint="eastAsia" w:ascii="宋体" w:hAnsi="宋体" w:cs="宋体"/>
          <w:snapToGrid w:val="0"/>
          <w:kern w:val="0"/>
          <w:sz w:val="24"/>
          <w:highlight w:val="none"/>
        </w:rPr>
        <w:t>YDFYXJ-</w:t>
      </w:r>
      <w:r>
        <w:rPr>
          <w:rFonts w:hint="eastAsia" w:ascii="宋体" w:hAnsi="宋体" w:cs="宋体"/>
          <w:snapToGrid w:val="0"/>
          <w:kern w:val="0"/>
          <w:sz w:val="24"/>
          <w:highlight w:val="none"/>
          <w:lang w:eastAsia="zh-CN"/>
        </w:rPr>
        <w:t>2024032</w:t>
      </w:r>
      <w:r>
        <w:rPr>
          <w:rFonts w:hint="eastAsia" w:ascii="宋体" w:hAnsi="宋体" w:cs="宋体"/>
          <w:snapToGrid w:val="0"/>
          <w:kern w:val="0"/>
          <w:sz w:val="24"/>
          <w:highlight w:val="none"/>
        </w:rPr>
        <w:t>号</w:t>
      </w:r>
    </w:p>
    <w:p>
      <w:pPr>
        <w:adjustRightInd w:val="0"/>
        <w:snapToGrid w:val="0"/>
        <w:spacing w:line="440" w:lineRule="exact"/>
        <w:ind w:firstLine="139" w:firstLineChars="58"/>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firstLine="139" w:firstLineChars="58"/>
        <w:contextualSpacing/>
        <w:rPr>
          <w:rFonts w:hint="eastAsia"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0.38</w:t>
      </w:r>
      <w:r>
        <w:rPr>
          <w:rFonts w:hint="eastAsia" w:ascii="宋体" w:hAnsi="宋体" w:cs="宋体"/>
          <w:snapToGrid w:val="0"/>
          <w:kern w:val="0"/>
          <w:sz w:val="24"/>
          <w:highlight w:val="none"/>
        </w:rPr>
        <w:t>万元，投标报价高于最高限价作废标处理。</w:t>
      </w:r>
    </w:p>
    <w:p>
      <w:pPr>
        <w:tabs>
          <w:tab w:val="left" w:pos="540"/>
          <w:tab w:val="left" w:pos="720"/>
        </w:tabs>
        <w:adjustRightInd w:val="0"/>
        <w:snapToGrid w:val="0"/>
        <w:spacing w:line="440" w:lineRule="exact"/>
        <w:ind w:firstLine="140" w:firstLineChars="58"/>
        <w:contextualSpacing/>
        <w:rPr>
          <w:rFonts w:hint="eastAsia" w:asciiTheme="minorEastAsia" w:hAnsiTheme="minorEastAsia" w:eastAsiaTheme="minorEastAsia"/>
          <w:b/>
          <w:bCs/>
          <w:sz w:val="24"/>
        </w:rPr>
      </w:pPr>
      <w:r>
        <w:rPr>
          <w:rFonts w:hint="eastAsia" w:asciiTheme="minorEastAsia" w:hAnsiTheme="minorEastAsia" w:eastAsiaTheme="minorEastAsia"/>
          <w:b/>
          <w:bCs/>
          <w:sz w:val="24"/>
          <w:lang w:val="en-US" w:eastAsia="zh-CN"/>
        </w:rPr>
        <w:t>2.</w:t>
      </w:r>
      <w:r>
        <w:rPr>
          <w:rFonts w:hint="eastAsia" w:asciiTheme="minorEastAsia" w:hAnsiTheme="minorEastAsia" w:eastAsiaTheme="minorEastAsia"/>
          <w:b/>
          <w:bCs/>
          <w:sz w:val="24"/>
        </w:rPr>
        <w:t>采购项目内容及要求</w:t>
      </w:r>
    </w:p>
    <w:p>
      <w:pPr>
        <w:adjustRightInd w:val="0"/>
        <w:snapToGrid w:val="0"/>
        <w:spacing w:line="440" w:lineRule="exact"/>
        <w:ind w:firstLine="480" w:firstLineChars="200"/>
        <w:contextualSpacing/>
        <w:rPr>
          <w:rFonts w:hint="default" w:ascii="宋体" w:hAnsi="宋体" w:eastAsia="宋体" w:cs="Times New Roman"/>
          <w:sz w:val="24"/>
          <w:lang w:val="en-US" w:eastAsia="zh-CN"/>
        </w:rPr>
      </w:pPr>
      <w:r>
        <w:rPr>
          <w:rFonts w:hint="eastAsia" w:ascii="宋体" w:hAnsi="宋体" w:cs="Times New Roman"/>
          <w:sz w:val="24"/>
          <w:lang w:val="en-US" w:eastAsia="zh-CN"/>
        </w:rPr>
        <w:t>2.1服务期限：壹年，自</w:t>
      </w:r>
      <w:r>
        <w:rPr>
          <w:rFonts w:hint="eastAsia" w:ascii="宋体" w:hAnsi="宋体" w:cs="宋体"/>
          <w:snapToGrid w:val="0"/>
          <w:kern w:val="0"/>
          <w:sz w:val="24"/>
          <w:lang w:val="en-US" w:eastAsia="zh-CN"/>
        </w:rPr>
        <w:t>2024年12月1日至2025年11月30日。</w:t>
      </w:r>
    </w:p>
    <w:p>
      <w:pPr>
        <w:adjustRightInd w:val="0"/>
        <w:snapToGrid w:val="0"/>
        <w:spacing w:line="440" w:lineRule="exact"/>
        <w:ind w:left="0" w:leftChars="0" w:firstLine="420" w:firstLineChars="175"/>
        <w:contextualSpacing/>
        <w:rPr>
          <w:rFonts w:hint="eastAsia" w:ascii="宋体" w:hAnsi="宋体" w:cs="宋体"/>
          <w:snapToGrid w:val="0"/>
          <w:kern w:val="0"/>
          <w:sz w:val="24"/>
          <w:lang w:val="en-US" w:eastAsia="zh-CN"/>
        </w:rPr>
      </w:pPr>
      <w:r>
        <w:rPr>
          <w:rFonts w:hint="eastAsia" w:ascii="宋体" w:hAnsi="宋体" w:cs="宋体"/>
          <w:snapToGrid w:val="0"/>
          <w:kern w:val="0"/>
          <w:sz w:val="24"/>
          <w:lang w:val="en-US" w:eastAsia="zh-CN"/>
        </w:rPr>
        <w:t>2.2检测依据：根据GB/T5750-2024《生活饮用水标准检验方法》对生活饮用水进行检测并评价。</w:t>
      </w:r>
    </w:p>
    <w:p>
      <w:pPr>
        <w:adjustRightInd w:val="0"/>
        <w:snapToGrid w:val="0"/>
        <w:spacing w:line="440" w:lineRule="exact"/>
        <w:ind w:left="0" w:leftChars="0" w:firstLine="420" w:firstLineChars="175"/>
        <w:contextualSpacing/>
        <w:rPr>
          <w:rFonts w:hint="eastAsia" w:ascii="宋体" w:hAnsi="宋体" w:cs="宋体"/>
          <w:snapToGrid w:val="0"/>
          <w:kern w:val="0"/>
          <w:sz w:val="24"/>
          <w:lang w:val="en-US" w:eastAsia="zh-CN"/>
        </w:rPr>
      </w:pPr>
      <w:r>
        <w:rPr>
          <w:rFonts w:hint="eastAsia" w:ascii="宋体" w:hAnsi="宋体" w:cs="宋体"/>
          <w:snapToGrid w:val="0"/>
          <w:kern w:val="0"/>
          <w:sz w:val="24"/>
          <w:lang w:val="en-US" w:eastAsia="zh-CN"/>
        </w:rPr>
        <w:t>2.3检测频次：供应商在合同期内为扬州大学附属医院东西区生活饮用水各提供两次水质检测技术服务，合计检测四次，并出具国家认可的检测报告。</w:t>
      </w:r>
    </w:p>
    <w:p>
      <w:pPr>
        <w:adjustRightInd w:val="0"/>
        <w:snapToGrid w:val="0"/>
        <w:spacing w:line="440" w:lineRule="exact"/>
        <w:ind w:left="0" w:leftChars="0" w:firstLine="420" w:firstLineChars="175"/>
        <w:contextualSpacing/>
        <w:rPr>
          <w:rFonts w:hint="eastAsia" w:ascii="宋体" w:hAnsi="宋体" w:cs="宋体"/>
          <w:snapToGrid w:val="0"/>
          <w:kern w:val="0"/>
          <w:sz w:val="24"/>
          <w:lang w:val="en-US" w:eastAsia="zh-CN"/>
        </w:rPr>
      </w:pPr>
      <w:r>
        <w:rPr>
          <w:rFonts w:hint="eastAsia" w:ascii="宋体" w:hAnsi="宋体" w:cs="宋体"/>
          <w:snapToGrid w:val="0"/>
          <w:kern w:val="0"/>
          <w:sz w:val="24"/>
          <w:lang w:val="en-US" w:eastAsia="zh-CN"/>
        </w:rPr>
        <w:t>2.4检测时间：具体检测时间以甲方通知为准，甲方应至少提前2个工作日通知供应商入场检测。乙方必须三天之内响应到位，如未按甲方要求及时响应，每延迟一天按总中标价格的5%进行扣罚。</w:t>
      </w:r>
    </w:p>
    <w:p>
      <w:pPr>
        <w:pStyle w:val="14"/>
        <w:shd w:val="clear" w:color="auto" w:fill="FFFFFF"/>
        <w:spacing w:before="0" w:beforeAutospacing="0" w:after="0" w:afterAutospacing="0"/>
        <w:ind w:firstLine="241" w:firstLineChars="100"/>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3.服务协议</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投标人的服务协议应按不低于招标文件中提出的所有服务要求的标准做出响应。其基本服务要求如下：</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3.1投标供应商具有省级及以上质量技术监督部门频发的 CMA 计量认证证书，检测类别包含环境类(请提供证书复印件加盖公章）。</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3.2乙方需根据GB/T5750-</w:t>
      </w:r>
      <w:r>
        <w:rPr>
          <w:rFonts w:hint="eastAsia" w:ascii="宋体" w:hAnsi="宋体"/>
          <w:sz w:val="24"/>
          <w:lang w:eastAsia="zh-CN"/>
        </w:rPr>
        <w:t>2024</w:t>
      </w:r>
      <w:r>
        <w:rPr>
          <w:rFonts w:hint="eastAsia" w:ascii="宋体" w:hAnsi="宋体"/>
          <w:sz w:val="24"/>
        </w:rPr>
        <w:t>《生活饮用水标准检验方法》的规定及扬州市生活饮用水水质监督管理需要，制定水质督察监测样品类别及要求。</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3.3乙方每次检测并出具水质检测报告，全年东西院区合计四次，出检测报告四份。</w:t>
      </w:r>
    </w:p>
    <w:p>
      <w:pPr>
        <w:adjustRightInd w:val="0"/>
        <w:snapToGrid w:val="0"/>
        <w:spacing w:line="440" w:lineRule="exact"/>
        <w:ind w:firstLine="480" w:firstLineChars="200"/>
        <w:contextualSpacing/>
        <w:rPr>
          <w:rFonts w:hint="eastAsia" w:ascii="宋体" w:hAnsi="宋体" w:cs="Times New Roman"/>
          <w:sz w:val="24"/>
          <w:lang w:val="en-US" w:eastAsia="zh-CN"/>
        </w:rPr>
      </w:pPr>
      <w:r>
        <w:rPr>
          <w:rFonts w:hint="eastAsia" w:ascii="宋体" w:hAnsi="宋体"/>
          <w:sz w:val="24"/>
        </w:rPr>
        <w:t>3.4未尽事宜，双方协商解决。</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5"/>
        <w:ind w:firstLine="0"/>
      </w:pPr>
    </w:p>
    <w:p>
      <w:pPr>
        <w:jc w:val="center"/>
        <w:rPr>
          <w:rFonts w:ascii="宋体" w:hAnsi="宋体"/>
          <w:b/>
          <w:bCs/>
          <w:sz w:val="36"/>
          <w:szCs w:val="36"/>
        </w:rPr>
      </w:pPr>
      <w:r>
        <w:rPr>
          <w:rFonts w:hint="eastAsia" w:ascii="宋体" w:hAnsi="宋体"/>
          <w:b/>
          <w:bCs/>
          <w:sz w:val="36"/>
          <w:szCs w:val="36"/>
        </w:rPr>
        <w:t>投标文件</w:t>
      </w:r>
    </w:p>
    <w:p>
      <w:pPr>
        <w:pStyle w:val="15"/>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5"/>
        <w:ind w:firstLine="0"/>
      </w:pPr>
    </w:p>
    <w:p>
      <w:pPr>
        <w:pStyle w:val="15"/>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5"/>
        <w:rPr>
          <w:sz w:val="36"/>
          <w:szCs w:val="36"/>
        </w:rPr>
      </w:pPr>
    </w:p>
    <w:p>
      <w:pPr>
        <w:pStyle w:val="15"/>
        <w:rPr>
          <w:sz w:val="36"/>
          <w:szCs w:val="36"/>
        </w:rPr>
      </w:pPr>
    </w:p>
    <w:p>
      <w:pPr>
        <w:pStyle w:val="15"/>
        <w:rPr>
          <w:sz w:val="36"/>
          <w:szCs w:val="36"/>
        </w:rPr>
      </w:pPr>
    </w:p>
    <w:p>
      <w:pPr>
        <w:rPr>
          <w:b/>
          <w:sz w:val="36"/>
          <w:szCs w:val="36"/>
        </w:rPr>
      </w:pPr>
    </w:p>
    <w:p>
      <w:pPr>
        <w:pStyle w:val="15"/>
        <w:ind w:firstLine="0"/>
        <w:jc w:val="left"/>
      </w:pPr>
    </w:p>
    <w:p>
      <w:pPr>
        <w:jc w:val="center"/>
        <w:rPr>
          <w:rFonts w:ascii="宋体" w:hAnsi="宋体"/>
          <w:b/>
          <w:sz w:val="36"/>
          <w:szCs w:val="36"/>
          <w:u w:val="single"/>
        </w:rPr>
      </w:pPr>
      <w:r>
        <w:rPr>
          <w:rFonts w:hint="eastAsia"/>
          <w:b/>
          <w:sz w:val="36"/>
          <w:szCs w:val="36"/>
        </w:rPr>
        <w:t>目录</w:t>
      </w:r>
    </w:p>
    <w:p>
      <w:pPr>
        <w:pStyle w:val="5"/>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东西区二次供水水箱水质检测服务项目（二次）</w:t>
      </w:r>
      <w:r>
        <w:rPr>
          <w:rFonts w:hint="eastAsia" w:ascii="宋体" w:hAnsi="宋体" w:cs="宋体"/>
          <w:sz w:val="24"/>
        </w:rPr>
        <w:t>（编号：</w:t>
      </w:r>
      <w:r>
        <w:rPr>
          <w:rFonts w:hint="eastAsia" w:ascii="宋体" w:hAnsi="宋体" w:cs="宋体"/>
          <w:snapToGrid w:val="0"/>
          <w:kern w:val="0"/>
          <w:sz w:val="24"/>
          <w:highlight w:val="none"/>
        </w:rPr>
        <w:t>YDFYXJ-</w:t>
      </w:r>
      <w:r>
        <w:rPr>
          <w:rFonts w:hint="eastAsia" w:ascii="宋体" w:hAnsi="宋体" w:cs="宋体"/>
          <w:snapToGrid w:val="0"/>
          <w:kern w:val="0"/>
          <w:sz w:val="24"/>
          <w:highlight w:val="none"/>
          <w:lang w:eastAsia="zh-CN"/>
        </w:rPr>
        <w:t>2024032</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5"/>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2024</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0514-82099555</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5"/>
        <w:rPr>
          <w:rFonts w:ascii="宋体" w:hAnsi="宋体" w:cs="宋体"/>
          <w:sz w:val="28"/>
          <w:szCs w:val="28"/>
        </w:rPr>
      </w:pPr>
    </w:p>
    <w:p>
      <w:pPr>
        <w:pStyle w:val="4"/>
        <w:ind w:left="0" w:leftChars="0" w:firstLine="0" w:firstLineChars="0"/>
        <w:rPr>
          <w:b/>
          <w:sz w:val="36"/>
          <w:szCs w:val="36"/>
        </w:rPr>
      </w:pPr>
    </w:p>
    <w:p>
      <w:pPr>
        <w:pStyle w:val="4"/>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ind w:firstLine="0"/>
      </w:pPr>
    </w:p>
    <w:p>
      <w:pPr>
        <w:pStyle w:val="15"/>
        <w:ind w:firstLine="0"/>
      </w:pPr>
    </w:p>
    <w:p>
      <w:pPr>
        <w:pStyle w:val="15"/>
        <w:ind w:firstLine="0"/>
      </w:pPr>
    </w:p>
    <w:p>
      <w:pPr>
        <w:pStyle w:val="15"/>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5"/>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5"/>
        <w:rPr>
          <w:rFonts w:ascii="宋体" w:hAnsi="宋体"/>
          <w:bCs/>
          <w:sz w:val="24"/>
        </w:rPr>
      </w:pPr>
    </w:p>
    <w:p>
      <w:pPr>
        <w:pStyle w:val="15"/>
        <w:rPr>
          <w:rFonts w:ascii="宋体" w:hAnsi="宋体"/>
          <w:bCs/>
          <w:sz w:val="24"/>
        </w:rPr>
      </w:pPr>
    </w:p>
    <w:p>
      <w:pPr>
        <w:pStyle w:val="15"/>
        <w:rPr>
          <w:rFonts w:ascii="宋体" w:hAnsi="宋体"/>
          <w:bCs/>
          <w:sz w:val="24"/>
        </w:rPr>
      </w:pPr>
    </w:p>
    <w:p>
      <w:pPr>
        <w:pStyle w:val="15"/>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rPr>
          <w:rFonts w:asciiTheme="minorEastAsia" w:hAnsiTheme="minorEastAsia" w:eastAsiaTheme="minorEastAsia"/>
          <w:b/>
          <w:sz w:val="36"/>
        </w:rPr>
      </w:pPr>
    </w:p>
    <w:p>
      <w:pPr>
        <w:pStyle w:val="9"/>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9"/>
        <w:rPr>
          <w:rFonts w:ascii="Times New Roman" w:hAnsi="Times New Roman"/>
          <w:b/>
          <w:sz w:val="36"/>
        </w:rPr>
      </w:pPr>
    </w:p>
    <w:p>
      <w:pPr>
        <w:pStyle w:val="9"/>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9"/>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9"/>
        <w:adjustRightInd w:val="0"/>
        <w:snapToGrid w:val="0"/>
        <w:spacing w:line="44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9"/>
        <w:adjustRightInd w:val="0"/>
        <w:snapToGrid w:val="0"/>
        <w:spacing w:line="50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9"/>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7"/>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4"/>
            </w:pPr>
          </w:p>
          <w:p/>
          <w:p>
            <w:pPr>
              <w:pStyle w:val="4"/>
            </w:pPr>
          </w:p>
          <w:p/>
          <w:p>
            <w:pPr>
              <w:pStyle w:val="4"/>
            </w:pPr>
          </w:p>
          <w:p/>
          <w:p>
            <w:pPr>
              <w:pStyle w:val="4"/>
            </w:pPr>
          </w:p>
          <w:p/>
          <w:p>
            <w:pPr>
              <w:pStyle w:val="4"/>
            </w:pPr>
          </w:p>
          <w:p/>
          <w:p>
            <w:pPr>
              <w:pStyle w:val="4"/>
            </w:pPr>
          </w:p>
          <w:p/>
          <w:p>
            <w:pPr>
              <w:pStyle w:val="4"/>
            </w:pPr>
          </w:p>
          <w:p/>
          <w:p>
            <w:pPr>
              <w:pStyle w:val="4"/>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4"/>
        <w:ind w:left="0" w:leftChars="0" w:firstLine="0" w:firstLineChars="0"/>
        <w:rPr>
          <w:rFonts w:ascii="宋体" w:hAnsi="宋体"/>
          <w:kern w:val="0"/>
          <w:sz w:val="36"/>
          <w:szCs w:val="36"/>
        </w:rPr>
      </w:pPr>
    </w:p>
    <w:p/>
    <w:p>
      <w:pPr>
        <w:pStyle w:val="13"/>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4"/>
        <w:rPr>
          <w:rFonts w:ascii="宋体" w:hAnsi="宋体"/>
        </w:rPr>
      </w:pPr>
    </w:p>
    <w:p>
      <w:pPr>
        <w:rPr>
          <w:rFonts w:ascii="宋体" w:hAnsi="宋体"/>
        </w:rPr>
      </w:pPr>
    </w:p>
    <w:p>
      <w:pPr>
        <w:pStyle w:val="4"/>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6"/>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0"/>
              <w:adjustRightInd w:val="0"/>
              <w:snapToGrid w:val="0"/>
              <w:spacing w:line="440" w:lineRule="exact"/>
              <w:contextualSpacing/>
              <w:jc w:val="center"/>
              <w:rPr>
                <w:rFonts w:ascii="Times New Roman"/>
                <w:bCs/>
              </w:rPr>
            </w:pPr>
          </w:p>
        </w:tc>
        <w:tc>
          <w:tcPr>
            <w:tcW w:w="3244" w:type="pct"/>
            <w:vAlign w:val="center"/>
          </w:tcPr>
          <w:p>
            <w:pPr>
              <w:pStyle w:val="30"/>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0"/>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4"/>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5"/>
      </w:pPr>
    </w:p>
    <w:p>
      <w:pPr>
        <w:rPr>
          <w:rFonts w:hint="eastAsia" w:ascii="宋体" w:hAnsi="宋体"/>
          <w:b/>
          <w:sz w:val="36"/>
          <w:szCs w:val="36"/>
        </w:rPr>
      </w:pPr>
      <w:bookmarkStart w:id="1" w:name="_Toc16938559"/>
      <w:bookmarkStart w:id="2" w:name="_Toc20823315"/>
      <w:bookmarkStart w:id="3" w:name="_Toc513029243"/>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服务协议</w:t>
      </w:r>
    </w:p>
    <w:p>
      <w:pPr>
        <w:pStyle w:val="9"/>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东西区二次供水水箱水质检测服务项目（二次）</w:t>
      </w:r>
    </w:p>
    <w:p>
      <w:pPr>
        <w:pStyle w:val="9"/>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rPr>
        <w:t>YDFYXJ-</w:t>
      </w:r>
      <w:r>
        <w:rPr>
          <w:rFonts w:hint="eastAsia" w:hAnsi="宋体" w:cs="宋体"/>
          <w:b/>
          <w:bCs/>
          <w:sz w:val="24"/>
          <w:highlight w:val="none"/>
          <w:lang w:eastAsia="zh-CN"/>
        </w:rPr>
        <w:t>2024032</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w:t>
      </w:r>
      <w:r>
        <w:rPr>
          <w:rFonts w:hint="eastAsia" w:hAnsi="宋体" w:cs="宋体"/>
          <w:snapToGrid w:val="0"/>
          <w:spacing w:val="-4"/>
          <w:kern w:val="0"/>
          <w:sz w:val="24"/>
          <w:szCs w:val="24"/>
          <w:lang w:eastAsia="zh-CN"/>
        </w:rPr>
        <w:t>、</w:t>
      </w:r>
      <w:r>
        <w:rPr>
          <w:rFonts w:hint="eastAsia" w:hAnsi="宋体" w:cs="宋体"/>
          <w:snapToGrid w:val="0"/>
          <w:spacing w:val="-4"/>
          <w:kern w:val="0"/>
          <w:sz w:val="24"/>
          <w:szCs w:val="24"/>
        </w:rPr>
        <w:t>《中华人民共和国质量法》等法律法规的规定</w:t>
      </w:r>
      <w:r>
        <w:rPr>
          <w:rFonts w:hint="eastAsia" w:hAnsi="宋体" w:cs="宋体"/>
          <w:snapToGrid w:val="0"/>
          <w:spacing w:val="-4"/>
          <w:kern w:val="0"/>
          <w:sz w:val="24"/>
          <w:szCs w:val="24"/>
          <w:lang w:val="en-US" w:eastAsia="zh-CN"/>
        </w:rPr>
        <w:t>及医院生活饮用水管理工作要求</w:t>
      </w:r>
      <w:r>
        <w:rPr>
          <w:rFonts w:hint="eastAsia" w:hAnsi="宋体" w:cs="宋体"/>
          <w:snapToGrid w:val="0"/>
          <w:spacing w:val="-4"/>
          <w:kern w:val="0"/>
          <w:sz w:val="24"/>
          <w:szCs w:val="24"/>
        </w:rPr>
        <w:t>，甲乙双方就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东西区二次供水水箱水质检测服务项目（二次）</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东西区二次供水水箱水质检测服务项目（二次）</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2.本项目产品名称、型号、规格、数量及技术等要求。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highlight w:val="none"/>
        </w:rPr>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w:t>
      </w:r>
      <w:r>
        <w:rPr>
          <w:rFonts w:hint="eastAsia" w:hAnsi="宋体" w:cs="宋体"/>
          <w:bCs/>
          <w:sz w:val="24"/>
          <w:szCs w:val="24"/>
          <w:lang w:eastAsia="zh-CN"/>
        </w:rPr>
        <w:t>、</w:t>
      </w:r>
      <w:r>
        <w:rPr>
          <w:rFonts w:hint="eastAsia" w:hAnsi="宋体" w:cs="宋体"/>
          <w:bCs/>
          <w:sz w:val="24"/>
          <w:szCs w:val="24"/>
          <w:lang w:val="en-US" w:eastAsia="zh-CN"/>
        </w:rPr>
        <w:t>消毒药剂费用、防护穿戴用具费用</w:t>
      </w:r>
      <w:r>
        <w:rPr>
          <w:rFonts w:hint="eastAsia" w:hAnsi="宋体" w:cs="宋体"/>
          <w:bCs/>
          <w:sz w:val="24"/>
          <w:szCs w:val="24"/>
        </w:rPr>
        <w:t>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4"/>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napToGrid w:val="0"/>
          <w:kern w:val="0"/>
          <w:sz w:val="24"/>
          <w:highlight w:val="none"/>
          <w:lang w:val="en-US" w:eastAsia="zh-CN"/>
        </w:rPr>
        <w:t>付款方式为在每次</w:t>
      </w:r>
      <w:r>
        <w:rPr>
          <w:rFonts w:hint="eastAsia" w:cs="宋体"/>
          <w:snapToGrid w:val="0"/>
          <w:kern w:val="0"/>
          <w:sz w:val="24"/>
          <w:highlight w:val="none"/>
          <w:lang w:val="en-US" w:eastAsia="zh-CN"/>
        </w:rPr>
        <w:t>检测完</w:t>
      </w:r>
      <w:r>
        <w:rPr>
          <w:rFonts w:hint="eastAsia" w:ascii="宋体" w:hAnsi="宋体" w:cs="宋体"/>
          <w:snapToGrid w:val="0"/>
          <w:kern w:val="0"/>
          <w:sz w:val="24"/>
          <w:highlight w:val="none"/>
          <w:lang w:val="en-US" w:eastAsia="zh-CN"/>
        </w:rPr>
        <w:t>并出具国家认可的检测报告，乙方凭</w:t>
      </w:r>
      <w:r>
        <w:rPr>
          <w:rFonts w:hint="eastAsia" w:cs="宋体"/>
          <w:snapToGrid w:val="0"/>
          <w:kern w:val="0"/>
          <w:sz w:val="24"/>
          <w:highlight w:val="none"/>
          <w:lang w:val="en-US" w:eastAsia="zh-CN"/>
        </w:rPr>
        <w:t>检测报告</w:t>
      </w:r>
      <w:r>
        <w:rPr>
          <w:rFonts w:hint="eastAsia" w:ascii="宋体" w:hAnsi="宋体" w:cs="宋体"/>
          <w:snapToGrid w:val="0"/>
          <w:kern w:val="0"/>
          <w:sz w:val="24"/>
          <w:highlight w:val="none"/>
          <w:lang w:val="en-US" w:eastAsia="zh-CN"/>
        </w:rPr>
        <w:t>及开具的正规增值税发票等材料向甲方办理付款手续，甲方凭手续齐全的票据付</w:t>
      </w:r>
      <w:r>
        <w:rPr>
          <w:rFonts w:hint="eastAsia" w:ascii="宋体" w:hAnsi="宋体" w:cs="宋体"/>
          <w:b/>
          <w:bCs/>
          <w:snapToGrid w:val="0"/>
          <w:kern w:val="0"/>
          <w:sz w:val="24"/>
          <w:highlight w:val="none"/>
          <w:lang w:val="en-US" w:eastAsia="zh-CN"/>
        </w:rPr>
        <w:t>单次</w:t>
      </w:r>
      <w:r>
        <w:rPr>
          <w:rFonts w:hint="eastAsia" w:cs="宋体"/>
          <w:b/>
          <w:bCs/>
          <w:snapToGrid w:val="0"/>
          <w:kern w:val="0"/>
          <w:sz w:val="24"/>
          <w:highlight w:val="none"/>
          <w:lang w:val="en-US" w:eastAsia="zh-CN"/>
        </w:rPr>
        <w:t>检测费</w:t>
      </w:r>
      <w:r>
        <w:rPr>
          <w:rFonts w:hint="eastAsia" w:ascii="宋体" w:hAnsi="宋体" w:cs="宋体"/>
          <w:snapToGrid w:val="0"/>
          <w:kern w:val="0"/>
          <w:sz w:val="24"/>
          <w:highlight w:val="none"/>
          <w:lang w:val="en-US" w:eastAsia="zh-CN"/>
        </w:rPr>
        <w:t>的100%（以上均不计息）</w:t>
      </w:r>
      <w:r>
        <w:rPr>
          <w:rFonts w:hint="eastAsia" w:ascii="宋体" w:hAnsi="宋体" w:cs="宋体"/>
          <w:sz w:val="24"/>
        </w:rPr>
        <w:t>。</w:t>
      </w:r>
    </w:p>
    <w:p>
      <w:pPr>
        <w:pStyle w:val="9"/>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hint="eastAsia" w:ascii="宋体" w:hAnsi="宋体" w:cs="宋体"/>
          <w:b/>
          <w:bCs/>
          <w:sz w:val="24"/>
          <w:lang w:val="en-US" w:eastAsia="zh-CN"/>
        </w:rPr>
      </w:pPr>
      <w:r>
        <w:rPr>
          <w:rFonts w:hint="eastAsia" w:ascii="宋体" w:hAnsi="宋体" w:cs="宋体"/>
          <w:b/>
          <w:bCs/>
          <w:sz w:val="24"/>
          <w:lang w:val="en-US" w:eastAsia="zh-CN"/>
        </w:rPr>
        <w:t>五、质保期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1.商品质保期</w:t>
      </w:r>
      <w:r>
        <w:rPr>
          <w:rFonts w:hint="eastAsia" w:ascii="宋体" w:hAnsi="宋体" w:cs="宋体"/>
          <w:b w:val="0"/>
          <w:bCs w:val="0"/>
          <w:sz w:val="24"/>
          <w:u w:val="single"/>
          <w:lang w:val="en-US" w:eastAsia="zh-CN"/>
        </w:rPr>
        <w:t xml:space="preserve"> / </w:t>
      </w:r>
      <w:r>
        <w:rPr>
          <w:rFonts w:hint="eastAsia" w:ascii="宋体" w:hAnsi="宋体" w:cs="宋体"/>
          <w:b w:val="0"/>
          <w:bCs w:val="0"/>
          <w:sz w:val="24"/>
          <w:lang w:val="en-US" w:eastAsia="zh-CN"/>
        </w:rPr>
        <w:t>年，质保期自甲方验收合格之日起计算。</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2.质保期内，所有维修、更换服务均为上门服务，由此产生的费用乙方自行承担。若同一质量问题经两次维修仍无法修复的，乙方负责包换。</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hint="eastAsia" w:ascii="宋体" w:hAnsi="宋体" w:cs="宋体"/>
          <w:b/>
          <w:bCs/>
          <w:sz w:val="24"/>
          <w:lang w:val="en-US" w:eastAsia="zh-CN"/>
        </w:rPr>
      </w:pPr>
      <w:r>
        <w:rPr>
          <w:rFonts w:hint="eastAsia" w:ascii="宋体" w:hAnsi="宋体" w:cs="宋体"/>
          <w:b/>
          <w:bCs/>
          <w:sz w:val="24"/>
          <w:lang w:val="en-US" w:eastAsia="zh-CN"/>
        </w:rPr>
        <w:t>六、交货时间和地点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b w:val="0"/>
          <w:bCs w:val="0"/>
          <w:sz w:val="24"/>
          <w:lang w:val="en-US" w:eastAsia="zh-CN"/>
        </w:rPr>
      </w:pPr>
      <w:r>
        <w:rPr>
          <w:rFonts w:hint="eastAsia" w:ascii="宋体" w:hAnsi="宋体" w:cs="宋体"/>
          <w:b w:val="0"/>
          <w:bCs w:val="0"/>
          <w:sz w:val="24"/>
          <w:lang w:val="en-US" w:eastAsia="zh-CN"/>
        </w:rPr>
        <w:t>1.乙方每次在接到甲方通知3日历天内，按照协议约定完成检测出具国家认可的检测报告。</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lang w:val="en-US" w:eastAsia="zh-CN"/>
        </w:rPr>
      </w:pPr>
      <w:r>
        <w:rPr>
          <w:rFonts w:hint="eastAsia" w:ascii="宋体" w:hAnsi="宋体" w:cs="宋体"/>
          <w:b w:val="0"/>
          <w:bCs w:val="0"/>
          <w:sz w:val="24"/>
          <w:lang w:val="en-US" w:eastAsia="zh-CN"/>
        </w:rPr>
        <w:t>2.取样地点分别是东区7号楼负一楼、西区住院楼负一楼、住院楼25楼。</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15"/>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footerReference r:id="rId3" w:type="default"/>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8"/>
      <w:lvlText w:val=""/>
      <w:lvlJc w:val="left"/>
      <w:pPr>
        <w:tabs>
          <w:tab w:val="left" w:pos="780"/>
        </w:tabs>
        <w:ind w:left="780" w:leftChars="200" w:hanging="360" w:hangingChars="20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34D4BC8"/>
    <w:rsid w:val="04E61983"/>
    <w:rsid w:val="04F93EF7"/>
    <w:rsid w:val="053E3F8C"/>
    <w:rsid w:val="06477EC8"/>
    <w:rsid w:val="06835001"/>
    <w:rsid w:val="07CD3AA2"/>
    <w:rsid w:val="0907213E"/>
    <w:rsid w:val="0BE47D69"/>
    <w:rsid w:val="0C067990"/>
    <w:rsid w:val="0C4A2728"/>
    <w:rsid w:val="0CF140C8"/>
    <w:rsid w:val="0D2E16CF"/>
    <w:rsid w:val="0D4515B4"/>
    <w:rsid w:val="0E126F52"/>
    <w:rsid w:val="0E2A13BF"/>
    <w:rsid w:val="0EE42777"/>
    <w:rsid w:val="0FA861FA"/>
    <w:rsid w:val="0FBE0778"/>
    <w:rsid w:val="110961DE"/>
    <w:rsid w:val="142C57EA"/>
    <w:rsid w:val="15D76399"/>
    <w:rsid w:val="172469D5"/>
    <w:rsid w:val="17407202"/>
    <w:rsid w:val="186D5CBC"/>
    <w:rsid w:val="19826916"/>
    <w:rsid w:val="1A965BFC"/>
    <w:rsid w:val="1C94789B"/>
    <w:rsid w:val="1D762024"/>
    <w:rsid w:val="1E525F06"/>
    <w:rsid w:val="1EAC0AAC"/>
    <w:rsid w:val="1FF236E2"/>
    <w:rsid w:val="205648A9"/>
    <w:rsid w:val="21C93434"/>
    <w:rsid w:val="22EC14F1"/>
    <w:rsid w:val="23735059"/>
    <w:rsid w:val="2466755A"/>
    <w:rsid w:val="24782FEE"/>
    <w:rsid w:val="265C52E6"/>
    <w:rsid w:val="270244AF"/>
    <w:rsid w:val="279829B9"/>
    <w:rsid w:val="28795CAE"/>
    <w:rsid w:val="28CF6D5C"/>
    <w:rsid w:val="28D728FE"/>
    <w:rsid w:val="290E1224"/>
    <w:rsid w:val="2A6C65F7"/>
    <w:rsid w:val="2AA6133D"/>
    <w:rsid w:val="2BCB5B07"/>
    <w:rsid w:val="2E026BA2"/>
    <w:rsid w:val="2EE7735A"/>
    <w:rsid w:val="2F716810"/>
    <w:rsid w:val="2F877A0A"/>
    <w:rsid w:val="30DF7E8F"/>
    <w:rsid w:val="318E7998"/>
    <w:rsid w:val="32542738"/>
    <w:rsid w:val="349B0B50"/>
    <w:rsid w:val="357D00D7"/>
    <w:rsid w:val="375A406B"/>
    <w:rsid w:val="388A6B6E"/>
    <w:rsid w:val="395873E0"/>
    <w:rsid w:val="398427FF"/>
    <w:rsid w:val="3B6B7997"/>
    <w:rsid w:val="3C7E55A0"/>
    <w:rsid w:val="3C7E7E4D"/>
    <w:rsid w:val="3D920AB3"/>
    <w:rsid w:val="3E4F54B3"/>
    <w:rsid w:val="3EA006FD"/>
    <w:rsid w:val="406A6438"/>
    <w:rsid w:val="40C726B4"/>
    <w:rsid w:val="423632BA"/>
    <w:rsid w:val="424B0DFC"/>
    <w:rsid w:val="43F56786"/>
    <w:rsid w:val="45977351"/>
    <w:rsid w:val="45F42EB8"/>
    <w:rsid w:val="46056344"/>
    <w:rsid w:val="46797903"/>
    <w:rsid w:val="467B4C8A"/>
    <w:rsid w:val="48B5696C"/>
    <w:rsid w:val="49452500"/>
    <w:rsid w:val="49751FC0"/>
    <w:rsid w:val="49886E6B"/>
    <w:rsid w:val="49AC543C"/>
    <w:rsid w:val="4ACD2A51"/>
    <w:rsid w:val="4B4053E3"/>
    <w:rsid w:val="4B8D08A2"/>
    <w:rsid w:val="4BD6274F"/>
    <w:rsid w:val="4C2279B2"/>
    <w:rsid w:val="4C472E7D"/>
    <w:rsid w:val="4CB85CB5"/>
    <w:rsid w:val="4E295D4C"/>
    <w:rsid w:val="4F717F10"/>
    <w:rsid w:val="501519DD"/>
    <w:rsid w:val="507C6263"/>
    <w:rsid w:val="508A0E56"/>
    <w:rsid w:val="510F701A"/>
    <w:rsid w:val="51673008"/>
    <w:rsid w:val="5199638E"/>
    <w:rsid w:val="51BD509B"/>
    <w:rsid w:val="537760B9"/>
    <w:rsid w:val="54AC3518"/>
    <w:rsid w:val="560560AD"/>
    <w:rsid w:val="56410E61"/>
    <w:rsid w:val="56DD7AA5"/>
    <w:rsid w:val="57DA3AB3"/>
    <w:rsid w:val="58A415C5"/>
    <w:rsid w:val="58D6552C"/>
    <w:rsid w:val="591C0A3A"/>
    <w:rsid w:val="5B063544"/>
    <w:rsid w:val="5B3A3011"/>
    <w:rsid w:val="5BD053AF"/>
    <w:rsid w:val="5BE11FCF"/>
    <w:rsid w:val="5C3E22E0"/>
    <w:rsid w:val="5C63055C"/>
    <w:rsid w:val="5C936A98"/>
    <w:rsid w:val="5C9D5DDF"/>
    <w:rsid w:val="5CA1516C"/>
    <w:rsid w:val="5CA23409"/>
    <w:rsid w:val="5CDB0A62"/>
    <w:rsid w:val="5D9E4640"/>
    <w:rsid w:val="5E584ED9"/>
    <w:rsid w:val="5F190C7E"/>
    <w:rsid w:val="60186A28"/>
    <w:rsid w:val="60446E43"/>
    <w:rsid w:val="60DB4EA5"/>
    <w:rsid w:val="612E05C2"/>
    <w:rsid w:val="616C3D5B"/>
    <w:rsid w:val="61806483"/>
    <w:rsid w:val="619072D4"/>
    <w:rsid w:val="61F801D2"/>
    <w:rsid w:val="62422129"/>
    <w:rsid w:val="626E3CB0"/>
    <w:rsid w:val="6283701C"/>
    <w:rsid w:val="63473929"/>
    <w:rsid w:val="65F2258C"/>
    <w:rsid w:val="66A07C1E"/>
    <w:rsid w:val="66AF19DA"/>
    <w:rsid w:val="6710513C"/>
    <w:rsid w:val="675A5AE8"/>
    <w:rsid w:val="677A6507"/>
    <w:rsid w:val="6D231231"/>
    <w:rsid w:val="6D633984"/>
    <w:rsid w:val="6DF60098"/>
    <w:rsid w:val="6E1F0C2D"/>
    <w:rsid w:val="708C2B36"/>
    <w:rsid w:val="70952B65"/>
    <w:rsid w:val="70C57A02"/>
    <w:rsid w:val="70DB38A7"/>
    <w:rsid w:val="70FE780D"/>
    <w:rsid w:val="71D1780D"/>
    <w:rsid w:val="71DC1AE4"/>
    <w:rsid w:val="72217603"/>
    <w:rsid w:val="72487296"/>
    <w:rsid w:val="7282207E"/>
    <w:rsid w:val="72D21883"/>
    <w:rsid w:val="73AD596A"/>
    <w:rsid w:val="741C305C"/>
    <w:rsid w:val="74226CB9"/>
    <w:rsid w:val="75006B73"/>
    <w:rsid w:val="764E69E8"/>
    <w:rsid w:val="7787662E"/>
    <w:rsid w:val="77F20BEE"/>
    <w:rsid w:val="79AC4BB9"/>
    <w:rsid w:val="79CC0928"/>
    <w:rsid w:val="7ABB1C53"/>
    <w:rsid w:val="7BF34C08"/>
    <w:rsid w:val="7C6460D0"/>
    <w:rsid w:val="7E4401E2"/>
    <w:rsid w:val="7ECF0FC0"/>
    <w:rsid w:val="7F743153"/>
    <w:rsid w:val="7F944C3C"/>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99"/>
    <w:rPr>
      <w:rFonts w:ascii="楷体_GB2312" w:hAnsi="Arial" w:eastAsia="楷体_GB2312"/>
      <w:kern w:val="0"/>
      <w:sz w:val="28"/>
      <w:szCs w:val="28"/>
    </w:rPr>
  </w:style>
  <w:style w:type="paragraph" w:styleId="3">
    <w:name w:val="Body Text 3"/>
    <w:basedOn w:val="1"/>
    <w:next w:val="1"/>
    <w:autoRedefine/>
    <w:qFormat/>
    <w:uiPriority w:val="0"/>
    <w:pPr>
      <w:spacing w:after="120" w:afterLines="0"/>
    </w:pPr>
    <w:rPr>
      <w:sz w:val="16"/>
      <w:szCs w:val="16"/>
    </w:rPr>
  </w:style>
  <w:style w:type="paragraph" w:styleId="4">
    <w:name w:val="table of authorities"/>
    <w:basedOn w:val="1"/>
    <w:next w:val="1"/>
    <w:autoRedefine/>
    <w:qFormat/>
    <w:uiPriority w:val="0"/>
    <w:pPr>
      <w:ind w:left="420" w:leftChars="200"/>
    </w:pPr>
  </w:style>
  <w:style w:type="paragraph" w:styleId="5">
    <w:name w:val="Normal Indent"/>
    <w:basedOn w:val="1"/>
    <w:link w:val="31"/>
    <w:autoRedefine/>
    <w:unhideWhenUsed/>
    <w:qFormat/>
    <w:uiPriority w:val="0"/>
    <w:pPr>
      <w:ind w:firstLine="420" w:firstLineChars="200"/>
    </w:pPr>
  </w:style>
  <w:style w:type="paragraph" w:styleId="6">
    <w:name w:val="annotation text"/>
    <w:basedOn w:val="1"/>
    <w:autoRedefine/>
    <w:semiHidden/>
    <w:unhideWhenUsed/>
    <w:qFormat/>
    <w:uiPriority w:val="99"/>
    <w:pPr>
      <w:jc w:val="left"/>
    </w:pPr>
  </w:style>
  <w:style w:type="paragraph" w:styleId="7">
    <w:name w:val="Body Text Indent"/>
    <w:basedOn w:val="1"/>
    <w:autoRedefine/>
    <w:qFormat/>
    <w:uiPriority w:val="0"/>
    <w:pPr>
      <w:ind w:firstLine="576"/>
    </w:pPr>
    <w:rPr>
      <w:b/>
      <w:sz w:val="30"/>
    </w:rPr>
  </w:style>
  <w:style w:type="paragraph" w:styleId="8">
    <w:name w:val="List Bullet 2"/>
    <w:basedOn w:val="1"/>
    <w:autoRedefine/>
    <w:unhideWhenUsed/>
    <w:qFormat/>
    <w:uiPriority w:val="0"/>
    <w:pPr>
      <w:numPr>
        <w:ilvl w:val="0"/>
        <w:numId w:val="1"/>
      </w:numPr>
      <w:contextualSpacing/>
    </w:pPr>
    <w:rPr>
      <w:rFonts w:ascii="Calibri" w:hAnsi="Calibri"/>
    </w:rPr>
  </w:style>
  <w:style w:type="paragraph" w:styleId="9">
    <w:name w:val="Plain Text"/>
    <w:basedOn w:val="1"/>
    <w:link w:val="26"/>
    <w:autoRedefine/>
    <w:qFormat/>
    <w:uiPriority w:val="99"/>
    <w:rPr>
      <w:rFonts w:ascii="宋体" w:hAnsi="Courier New"/>
      <w:szCs w:val="20"/>
    </w:rPr>
  </w:style>
  <w:style w:type="paragraph" w:styleId="10">
    <w:name w:val="Balloon Text"/>
    <w:basedOn w:val="1"/>
    <w:link w:val="25"/>
    <w:autoRedefine/>
    <w:semiHidden/>
    <w:unhideWhenUsed/>
    <w:qFormat/>
    <w:uiPriority w:val="99"/>
    <w:rPr>
      <w:sz w:val="18"/>
      <w:szCs w:val="18"/>
    </w:rPr>
  </w:style>
  <w:style w:type="paragraph" w:styleId="11">
    <w:name w:val="footer"/>
    <w:basedOn w:val="1"/>
    <w:link w:val="24"/>
    <w:autoRedefine/>
    <w:unhideWhenUsed/>
    <w:qFormat/>
    <w:uiPriority w:val="99"/>
    <w:pPr>
      <w:tabs>
        <w:tab w:val="center" w:pos="4153"/>
        <w:tab w:val="right" w:pos="8306"/>
      </w:tabs>
      <w:snapToGrid w:val="0"/>
      <w:jc w:val="left"/>
    </w:pPr>
    <w:rPr>
      <w:sz w:val="18"/>
      <w:szCs w:val="18"/>
    </w:rPr>
  </w:style>
  <w:style w:type="paragraph" w:styleId="12">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8"/>
    <w:autoRedefine/>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2"/>
    <w:basedOn w:val="7"/>
    <w:autoRedefine/>
    <w:qFormat/>
    <w:uiPriority w:val="0"/>
    <w:pPr>
      <w:ind w:firstLine="420"/>
    </w:pPr>
  </w:style>
  <w:style w:type="table" w:styleId="17">
    <w:name w:val="Table Grid"/>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autoRedefine/>
    <w:semiHidden/>
    <w:unhideWhenUsed/>
    <w:qFormat/>
    <w:uiPriority w:val="99"/>
    <w:rPr>
      <w:color w:val="222222"/>
      <w:u w:val="none"/>
    </w:rPr>
  </w:style>
  <w:style w:type="character" w:styleId="20">
    <w:name w:val="Hyperlink"/>
    <w:basedOn w:val="18"/>
    <w:autoRedefine/>
    <w:unhideWhenUsed/>
    <w:qFormat/>
    <w:uiPriority w:val="99"/>
    <w:rPr>
      <w:color w:val="0000FF" w:themeColor="hyperlink"/>
      <w:u w:val="single"/>
    </w:rPr>
  </w:style>
  <w:style w:type="paragraph" w:customStyle="1" w:styleId="21">
    <w:name w:val="正文（缩进）"/>
    <w:basedOn w:val="1"/>
    <w:autoRedefine/>
    <w:qFormat/>
    <w:uiPriority w:val="0"/>
    <w:pPr>
      <w:ind w:firstLine="480" w:firstLineChars="200"/>
    </w:pPr>
  </w:style>
  <w:style w:type="paragraph" w:customStyle="1" w:styleId="22">
    <w:name w:val="Normal_0"/>
    <w:autoRedefine/>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3">
    <w:name w:val="页眉 Char"/>
    <w:basedOn w:val="18"/>
    <w:link w:val="12"/>
    <w:autoRedefine/>
    <w:semiHidden/>
    <w:qFormat/>
    <w:uiPriority w:val="99"/>
    <w:rPr>
      <w:rFonts w:eastAsia="宋体"/>
      <w:kern w:val="2"/>
      <w:sz w:val="18"/>
      <w:szCs w:val="18"/>
    </w:rPr>
  </w:style>
  <w:style w:type="character" w:customStyle="1" w:styleId="24">
    <w:name w:val="页脚 Char"/>
    <w:basedOn w:val="18"/>
    <w:link w:val="11"/>
    <w:autoRedefine/>
    <w:semiHidden/>
    <w:qFormat/>
    <w:uiPriority w:val="99"/>
    <w:rPr>
      <w:rFonts w:eastAsia="宋体"/>
      <w:kern w:val="2"/>
      <w:sz w:val="18"/>
      <w:szCs w:val="18"/>
    </w:rPr>
  </w:style>
  <w:style w:type="character" w:customStyle="1" w:styleId="25">
    <w:name w:val="批注框文本 Char"/>
    <w:basedOn w:val="18"/>
    <w:link w:val="10"/>
    <w:autoRedefine/>
    <w:semiHidden/>
    <w:qFormat/>
    <w:uiPriority w:val="99"/>
    <w:rPr>
      <w:rFonts w:eastAsia="宋体"/>
      <w:kern w:val="2"/>
      <w:sz w:val="18"/>
      <w:szCs w:val="18"/>
    </w:rPr>
  </w:style>
  <w:style w:type="character" w:customStyle="1" w:styleId="26">
    <w:name w:val="纯文本 Char"/>
    <w:basedOn w:val="18"/>
    <w:link w:val="9"/>
    <w:autoRedefine/>
    <w:qFormat/>
    <w:uiPriority w:val="99"/>
    <w:rPr>
      <w:rFonts w:ascii="宋体" w:hAnsi="Courier New" w:eastAsia="宋体"/>
      <w:kern w:val="2"/>
      <w:sz w:val="21"/>
    </w:rPr>
  </w:style>
  <w:style w:type="character" w:customStyle="1" w:styleId="27">
    <w:name w:val="副标题 Char"/>
    <w:autoRedefine/>
    <w:qFormat/>
    <w:uiPriority w:val="0"/>
    <w:rPr>
      <w:rFonts w:ascii="Cambria" w:hAnsi="Cambria"/>
      <w:b/>
      <w:bCs/>
      <w:kern w:val="28"/>
      <w:sz w:val="32"/>
      <w:szCs w:val="32"/>
    </w:rPr>
  </w:style>
  <w:style w:type="character" w:customStyle="1" w:styleId="28">
    <w:name w:val="副标题 Char1"/>
    <w:basedOn w:val="18"/>
    <w:link w:val="13"/>
    <w:autoRedefine/>
    <w:qFormat/>
    <w:uiPriority w:val="0"/>
    <w:rPr>
      <w:rFonts w:eastAsia="宋体" w:asciiTheme="majorHAnsi" w:hAnsiTheme="majorHAnsi" w:cstheme="majorBidi"/>
      <w:b/>
      <w:bCs/>
      <w:kern w:val="28"/>
      <w:sz w:val="32"/>
      <w:szCs w:val="32"/>
    </w:rPr>
  </w:style>
  <w:style w:type="paragraph" w:styleId="29">
    <w:name w:val="List Paragraph"/>
    <w:basedOn w:val="1"/>
    <w:autoRedefine/>
    <w:unhideWhenUsed/>
    <w:qFormat/>
    <w:uiPriority w:val="99"/>
    <w:pPr>
      <w:ind w:firstLine="420" w:firstLineChars="200"/>
    </w:pPr>
  </w:style>
  <w:style w:type="paragraph" w:customStyle="1" w:styleId="30">
    <w:name w:val="普通文字"/>
    <w:basedOn w:val="1"/>
    <w:next w:val="1"/>
    <w:autoRedefine/>
    <w:qFormat/>
    <w:uiPriority w:val="0"/>
    <w:rPr>
      <w:rFonts w:ascii="宋体"/>
      <w:kern w:val="0"/>
      <w:sz w:val="24"/>
      <w:u w:color="000000"/>
    </w:rPr>
  </w:style>
  <w:style w:type="character" w:customStyle="1" w:styleId="31">
    <w:name w:val="正文缩进 Char"/>
    <w:link w:val="5"/>
    <w:autoRedefine/>
    <w:qFormat/>
    <w:uiPriority w:val="0"/>
    <w:rPr>
      <w:kern w:val="2"/>
      <w:sz w:val="21"/>
      <w:szCs w:val="24"/>
    </w:rPr>
  </w:style>
  <w:style w:type="character" w:customStyle="1" w:styleId="32">
    <w:name w:val="NormalCharacter"/>
    <w:autoRedefine/>
    <w:qFormat/>
    <w:uiPriority w:val="0"/>
  </w:style>
  <w:style w:type="character" w:customStyle="1" w:styleId="33">
    <w:name w:val="font11"/>
    <w:basedOn w:val="18"/>
    <w:autoRedefine/>
    <w:qFormat/>
    <w:uiPriority w:val="0"/>
    <w:rPr>
      <w:rFonts w:hint="eastAsia" w:ascii="宋体" w:hAnsi="宋体" w:eastAsia="宋体" w:cs="宋体"/>
      <w:b/>
      <w:bCs/>
      <w:color w:val="000000"/>
      <w:sz w:val="22"/>
      <w:szCs w:val="22"/>
      <w:u w:val="none"/>
    </w:rPr>
  </w:style>
  <w:style w:type="paragraph" w:customStyle="1" w:styleId="34">
    <w:name w:val="一级条标题"/>
    <w:basedOn w:val="35"/>
    <w:next w:val="36"/>
    <w:autoRedefine/>
    <w:qFormat/>
    <w:uiPriority w:val="0"/>
    <w:pPr>
      <w:spacing w:line="240" w:lineRule="auto"/>
      <w:ind w:left="420"/>
      <w:outlineLvl w:val="2"/>
    </w:pPr>
  </w:style>
  <w:style w:type="paragraph" w:customStyle="1" w:styleId="35">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6">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4933</Words>
  <Characters>5306</Characters>
  <Lines>70</Lines>
  <Paragraphs>19</Paragraphs>
  <TotalTime>11</TotalTime>
  <ScaleCrop>false</ScaleCrop>
  <LinksUpToDate>false</LinksUpToDate>
  <CharactersWithSpaces>5953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2024-08-07T07:01:06Z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04896DA61B1A453389E0D8899A44B8B3_13</vt:lpwstr>
  </property>
</Properties>
</file>