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YDFYXJ-2024041</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西区板式换热器维护项目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7"/>
        <w:ind w:firstLine="0"/>
      </w:pPr>
    </w:p>
    <w:p>
      <w:pPr>
        <w:pStyle w:val="17"/>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11</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13</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西区板式换热器维护项目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YDFYXJ-2024041</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西区板式换热器维护项目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4.89</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11</w:t>
      </w:r>
      <w:r>
        <w:rPr>
          <w:rFonts w:hint="eastAsia" w:ascii="宋体" w:hAnsi="宋体"/>
          <w:b/>
          <w:sz w:val="24"/>
          <w:highlight w:val="none"/>
        </w:rPr>
        <w:t>月</w:t>
      </w:r>
      <w:r>
        <w:rPr>
          <w:rFonts w:hint="eastAsia" w:ascii="宋体" w:hAnsi="宋体"/>
          <w:b/>
          <w:sz w:val="24"/>
          <w:highlight w:val="none"/>
          <w:lang w:val="en-US" w:eastAsia="zh-CN"/>
        </w:rPr>
        <w:t>19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西区板式换热器维护项目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西区板式换热器维护项目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合同生效后，付款方式为在</w:t>
      </w:r>
      <w:r>
        <w:rPr>
          <w:rFonts w:hint="eastAsia" w:ascii="宋体" w:hAnsi="宋体" w:cs="宋体"/>
          <w:sz w:val="24"/>
          <w:highlight w:val="none"/>
          <w:lang w:val="en-US" w:eastAsia="zh-CN"/>
        </w:rPr>
        <w:t>维护保养完成</w:t>
      </w:r>
      <w:r>
        <w:rPr>
          <w:rFonts w:hint="eastAsia" w:ascii="宋体" w:hAnsi="宋体" w:cs="宋体"/>
          <w:sz w:val="24"/>
          <w:highlight w:val="none"/>
        </w:rPr>
        <w:t>后，乙方凭开具的正规增值税发票等材料向甲方办理付款手续，甲方凭手续齐全的票据向乙方支付协议价的100%。</w:t>
      </w:r>
      <w:r>
        <w:rPr>
          <w:rFonts w:hint="eastAsia" w:ascii="宋体" w:hAnsi="宋体" w:cs="宋体"/>
          <w:b/>
          <w:bCs/>
          <w:sz w:val="24"/>
          <w:highlight w:val="none"/>
        </w:rPr>
        <w:t>（以上均不计息）</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11</w:t>
      </w:r>
      <w:r>
        <w:rPr>
          <w:rFonts w:hint="eastAsia" w:cs="微软雅黑"/>
          <w:b/>
          <w:highlight w:val="none"/>
        </w:rPr>
        <w:t>月</w:t>
      </w:r>
      <w:r>
        <w:rPr>
          <w:rFonts w:hint="eastAsia" w:cs="微软雅黑"/>
          <w:b/>
          <w:highlight w:val="none"/>
          <w:lang w:val="en-US" w:eastAsia="zh-CN"/>
        </w:rPr>
        <w:t>19</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4"/>
          <w:rFonts w:ascii="宋体" w:hAnsi="宋体"/>
          <w:b/>
          <w:sz w:val="24"/>
          <w:highlight w:val="none"/>
        </w:rPr>
        <w:t>（北</w:t>
      </w:r>
      <w:r>
        <w:rPr>
          <w:rStyle w:val="34"/>
          <w:rFonts w:ascii="宋体" w:hAnsi="宋体"/>
          <w:b/>
          <w:color w:val="000000"/>
          <w:sz w:val="24"/>
          <w:highlight w:val="none"/>
        </w:rPr>
        <w:t>京时间）</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4"/>
          <w:rFonts w:ascii="宋体" w:hAnsi="宋体"/>
          <w:sz w:val="24"/>
        </w:rPr>
      </w:pPr>
      <w:r>
        <w:rPr>
          <w:rStyle w:val="34"/>
          <w:rFonts w:hint="eastAsia" w:ascii="宋体" w:hAnsi="宋体"/>
          <w:sz w:val="24"/>
        </w:rPr>
        <w:t>15.</w:t>
      </w:r>
      <w:r>
        <w:rPr>
          <w:rStyle w:val="34"/>
          <w:rFonts w:ascii="宋体" w:hAnsi="宋体"/>
          <w:sz w:val="24"/>
        </w:rPr>
        <w:t>开标有关信息</w:t>
      </w:r>
    </w:p>
    <w:p>
      <w:pPr>
        <w:adjustRightInd w:val="0"/>
        <w:snapToGrid w:val="0"/>
        <w:spacing w:line="420" w:lineRule="exact"/>
        <w:ind w:firstLine="480" w:firstLineChars="200"/>
        <w:contextualSpacing/>
        <w:rPr>
          <w:rStyle w:val="34"/>
          <w:rFonts w:ascii="宋体" w:hAnsi="宋体"/>
          <w:color w:val="000000"/>
          <w:sz w:val="24"/>
        </w:rPr>
      </w:pPr>
      <w:r>
        <w:rPr>
          <w:rStyle w:val="34"/>
          <w:rFonts w:ascii="宋体" w:hAnsi="宋体"/>
          <w:sz w:val="24"/>
        </w:rPr>
        <w:t>开标时间：</w:t>
      </w:r>
      <w:r>
        <w:rPr>
          <w:rStyle w:val="34"/>
          <w:rFonts w:hint="eastAsia" w:ascii="宋体" w:hAnsi="宋体"/>
          <w:b/>
          <w:sz w:val="24"/>
          <w:highlight w:val="none"/>
          <w:lang w:eastAsia="zh-CN"/>
        </w:rPr>
        <w:t>2024</w:t>
      </w:r>
      <w:r>
        <w:rPr>
          <w:rStyle w:val="34"/>
          <w:rFonts w:ascii="宋体" w:hAnsi="宋体"/>
          <w:b/>
          <w:sz w:val="24"/>
          <w:highlight w:val="none"/>
        </w:rPr>
        <w:t>年</w:t>
      </w:r>
      <w:r>
        <w:rPr>
          <w:rStyle w:val="34"/>
          <w:rFonts w:hint="eastAsia" w:ascii="宋体" w:hAnsi="宋体"/>
          <w:b/>
          <w:sz w:val="24"/>
          <w:highlight w:val="none"/>
          <w:lang w:val="en-US" w:eastAsia="zh-CN"/>
        </w:rPr>
        <w:t>11</w:t>
      </w:r>
      <w:r>
        <w:rPr>
          <w:rStyle w:val="34"/>
          <w:rFonts w:ascii="宋体" w:hAnsi="宋体"/>
          <w:b/>
          <w:sz w:val="24"/>
          <w:highlight w:val="none"/>
        </w:rPr>
        <w:t>月</w:t>
      </w:r>
      <w:r>
        <w:rPr>
          <w:rStyle w:val="34"/>
          <w:rFonts w:hint="eastAsia" w:ascii="宋体" w:hAnsi="宋体"/>
          <w:b/>
          <w:sz w:val="24"/>
          <w:highlight w:val="none"/>
          <w:lang w:val="en-US" w:eastAsia="zh-CN"/>
        </w:rPr>
        <w:t>19</w:t>
      </w:r>
      <w:r>
        <w:rPr>
          <w:rStyle w:val="34"/>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4"/>
          <w:rFonts w:ascii="宋体" w:hAnsi="宋体"/>
          <w:b/>
          <w:sz w:val="24"/>
          <w:highlight w:val="none"/>
        </w:rPr>
        <w:t>（北</w:t>
      </w:r>
      <w:r>
        <w:rPr>
          <w:rStyle w:val="34"/>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19</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西区板式换热器维护项目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YDFYXJ-2024041</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4.89</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tbl>
      <w:tblPr>
        <w:tblStyle w:val="18"/>
        <w:tblW w:w="9763" w:type="dxa"/>
        <w:jc w:val="center"/>
        <w:tblLayout w:type="autofit"/>
        <w:tblCellMar>
          <w:top w:w="0" w:type="dxa"/>
          <w:left w:w="108" w:type="dxa"/>
          <w:bottom w:w="0" w:type="dxa"/>
          <w:right w:w="108" w:type="dxa"/>
        </w:tblCellMar>
      </w:tblPr>
      <w:tblGrid>
        <w:gridCol w:w="1180"/>
        <w:gridCol w:w="1129"/>
        <w:gridCol w:w="1861"/>
        <w:gridCol w:w="1365"/>
        <w:gridCol w:w="4228"/>
      </w:tblGrid>
      <w:tr>
        <w:tblPrEx>
          <w:tblCellMar>
            <w:top w:w="0" w:type="dxa"/>
            <w:left w:w="108" w:type="dxa"/>
            <w:bottom w:w="0" w:type="dxa"/>
            <w:right w:w="108" w:type="dxa"/>
          </w:tblCellMar>
        </w:tblPrEx>
        <w:trPr>
          <w:trHeight w:val="314" w:hRule="atLeast"/>
          <w:jc w:val="center"/>
        </w:trPr>
        <w:tc>
          <w:tcPr>
            <w:tcW w:w="9763" w:type="dxa"/>
            <w:gridSpan w:val="5"/>
            <w:tcBorders>
              <w:top w:val="single" w:color="auto" w:sz="4" w:space="0"/>
              <w:left w:val="single" w:color="auto" w:sz="4" w:space="0"/>
              <w:bottom w:val="single" w:color="A7C6E5" w:sz="8" w:space="0"/>
              <w:right w:val="single" w:color="auto" w:sz="4" w:space="0"/>
            </w:tcBorders>
            <w:shd w:val="clear" w:color="000000" w:fill="F1F5FA"/>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维护清单</w:t>
            </w:r>
          </w:p>
        </w:tc>
      </w:tr>
      <w:tr>
        <w:tblPrEx>
          <w:tblCellMar>
            <w:top w:w="0" w:type="dxa"/>
            <w:left w:w="108" w:type="dxa"/>
            <w:bottom w:w="0" w:type="dxa"/>
            <w:right w:w="108" w:type="dxa"/>
          </w:tblCellMar>
        </w:tblPrEx>
        <w:trPr>
          <w:trHeight w:val="292" w:hRule="atLeast"/>
          <w:jc w:val="center"/>
        </w:trPr>
        <w:tc>
          <w:tcPr>
            <w:tcW w:w="1180" w:type="dxa"/>
            <w:tcBorders>
              <w:top w:val="nil"/>
              <w:left w:val="single" w:color="auto" w:sz="4" w:space="0"/>
              <w:bottom w:val="single" w:color="A7C6E5" w:sz="8" w:space="0"/>
              <w:right w:val="single" w:color="A7C6E5" w:sz="8" w:space="0"/>
            </w:tcBorders>
            <w:shd w:val="clear" w:color="000000" w:fill="F1F5FA"/>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设备名称</w:t>
            </w:r>
          </w:p>
        </w:tc>
        <w:tc>
          <w:tcPr>
            <w:tcW w:w="1129" w:type="dxa"/>
            <w:tcBorders>
              <w:top w:val="nil"/>
              <w:left w:val="nil"/>
              <w:bottom w:val="single" w:color="A7C6E5" w:sz="8" w:space="0"/>
              <w:right w:val="single" w:color="auto" w:sz="4" w:space="0"/>
            </w:tcBorders>
            <w:shd w:val="clear" w:color="000000" w:fill="F1F5FA"/>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品牌</w:t>
            </w:r>
          </w:p>
        </w:tc>
        <w:tc>
          <w:tcPr>
            <w:tcW w:w="3226" w:type="dxa"/>
            <w:gridSpan w:val="2"/>
            <w:tcBorders>
              <w:top w:val="nil"/>
              <w:left w:val="single" w:color="auto" w:sz="4" w:space="0"/>
              <w:bottom w:val="single" w:color="A7C6E5" w:sz="8" w:space="0"/>
              <w:right w:val="single" w:color="auto" w:sz="4" w:space="0"/>
            </w:tcBorders>
            <w:shd w:val="clear" w:color="000000" w:fill="F1F5FA"/>
            <w:vAlign w:val="center"/>
          </w:tcPr>
          <w:p>
            <w:pPr>
              <w:widowControl/>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规格          数量</w:t>
            </w:r>
          </w:p>
        </w:tc>
        <w:tc>
          <w:tcPr>
            <w:tcW w:w="4228" w:type="dxa"/>
            <w:tcBorders>
              <w:top w:val="nil"/>
              <w:left w:val="single" w:color="auto" w:sz="4" w:space="0"/>
              <w:bottom w:val="single" w:color="A7C6E5" w:sz="8" w:space="0"/>
              <w:right w:val="single" w:color="auto" w:sz="4" w:space="0"/>
            </w:tcBorders>
            <w:shd w:val="clear" w:color="000000" w:fill="F1F5FA"/>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维护说明</w:t>
            </w:r>
          </w:p>
        </w:tc>
      </w:tr>
      <w:tr>
        <w:tblPrEx>
          <w:tblCellMar>
            <w:top w:w="0" w:type="dxa"/>
            <w:left w:w="108" w:type="dxa"/>
            <w:bottom w:w="0" w:type="dxa"/>
            <w:right w:w="108" w:type="dxa"/>
          </w:tblCellMar>
        </w:tblPrEx>
        <w:trPr>
          <w:trHeight w:val="3534" w:hRule="atLeast"/>
          <w:jc w:val="center"/>
        </w:trPr>
        <w:tc>
          <w:tcPr>
            <w:tcW w:w="1180" w:type="dxa"/>
            <w:tcBorders>
              <w:top w:val="nil"/>
              <w:left w:val="single" w:color="auto" w:sz="4" w:space="0"/>
              <w:bottom w:val="single" w:color="auto" w:sz="4" w:space="0"/>
              <w:right w:val="single" w:color="A7C6E5" w:sz="8" w:space="0"/>
            </w:tcBorders>
            <w:shd w:val="clear" w:color="000000" w:fill="F1F5FA"/>
            <w:vAlign w:val="center"/>
          </w:tcPr>
          <w:p>
            <w:pPr>
              <w:jc w:val="center"/>
              <w:rPr>
                <w:rFonts w:ascii="Arial" w:hAnsi="Arial" w:eastAsia="宋体" w:cs="Arial"/>
                <w:color w:val="000000"/>
                <w:kern w:val="0"/>
                <w:sz w:val="18"/>
                <w:szCs w:val="18"/>
              </w:rPr>
            </w:pPr>
            <w:r>
              <w:rPr>
                <w:rFonts w:ascii="Arial" w:hAnsi="Arial" w:eastAsia="宋体" w:cs="Arial"/>
                <w:color w:val="000000"/>
                <w:kern w:val="0"/>
                <w:sz w:val="18"/>
                <w:szCs w:val="18"/>
              </w:rPr>
              <w:t>板式换热器</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kern w:val="0"/>
                <w:sz w:val="18"/>
                <w:szCs w:val="18"/>
              </w:rPr>
            </w:pPr>
            <w:r>
              <w:rPr>
                <w:rFonts w:ascii="Arial" w:hAnsi="Arial" w:eastAsia="宋体" w:cs="Arial"/>
                <w:color w:val="000000"/>
                <w:kern w:val="0"/>
                <w:sz w:val="18"/>
                <w:szCs w:val="18"/>
              </w:rPr>
              <w:t>阿法拉伐</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宋体" w:cs="Arial"/>
                <w:color w:val="000000"/>
                <w:kern w:val="0"/>
                <w:sz w:val="18"/>
                <w:szCs w:val="18"/>
              </w:rPr>
            </w:pPr>
            <w:r>
              <w:rPr>
                <w:rFonts w:ascii="Arial" w:hAnsi="Arial" w:eastAsia="宋体" w:cs="Arial"/>
                <w:color w:val="000000"/>
                <w:kern w:val="0"/>
                <w:sz w:val="18"/>
                <w:szCs w:val="18"/>
              </w:rPr>
              <w:t>TS20-MFG (48P)</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2台</w:t>
            </w:r>
          </w:p>
        </w:tc>
        <w:tc>
          <w:tcPr>
            <w:tcW w:w="4228" w:type="dxa"/>
            <w:tcBorders>
              <w:top w:val="single" w:color="auto" w:sz="4" w:space="0"/>
              <w:left w:val="single" w:color="auto" w:sz="4" w:space="0"/>
              <w:bottom w:val="single" w:color="auto" w:sz="4" w:space="0"/>
              <w:right w:val="single" w:color="auto" w:sz="4" w:space="0"/>
            </w:tcBorders>
          </w:tcPr>
          <w:p>
            <w:pPr>
              <w:numPr>
                <w:ilvl w:val="0"/>
                <w:numId w:val="3"/>
              </w:numPr>
              <w:jc w:val="left"/>
              <w:rPr>
                <w:rFonts w:ascii="Arial" w:hAnsi="Arial" w:eastAsia="宋体" w:cs="Arial"/>
                <w:color w:val="000000"/>
                <w:szCs w:val="21"/>
              </w:rPr>
            </w:pPr>
            <w:r>
              <w:rPr>
                <w:rFonts w:ascii="Arial" w:hAnsi="Arial" w:eastAsia="宋体" w:cs="Arial"/>
                <w:color w:val="000000"/>
                <w:szCs w:val="21"/>
              </w:rPr>
              <w:t>清洗前检查 （包括彻底检查所有板片 是否腐蚀、浸蚀或变形）</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 xml:space="preserve">去除垫片 </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钝化膜处理、表面污垢清洗</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化学药剂处理 （使用阿法拉伐专门的化学药剂）</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目视检查</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 xml:space="preserve">化学检测 </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 xml:space="preserve">垫片更换 </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 xml:space="preserve">螺杆除锈 </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 xml:space="preserve">框架整理 </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 xml:space="preserve">压力测试 </w:t>
            </w:r>
          </w:p>
          <w:p>
            <w:pPr>
              <w:numPr>
                <w:ilvl w:val="0"/>
                <w:numId w:val="3"/>
              </w:numPr>
              <w:jc w:val="left"/>
              <w:rPr>
                <w:rFonts w:hint="default" w:ascii="Arial" w:hAnsi="Arial" w:eastAsia="宋体" w:cs="Arial"/>
                <w:color w:val="000000"/>
                <w:szCs w:val="21"/>
                <w:lang w:val="en-US" w:eastAsia="zh-CN"/>
              </w:rPr>
            </w:pPr>
            <w:r>
              <w:rPr>
                <w:rFonts w:ascii="Arial" w:hAnsi="Arial" w:eastAsia="宋体" w:cs="Arial"/>
                <w:color w:val="000000"/>
                <w:szCs w:val="21"/>
              </w:rPr>
              <w:t>维护跟踪</w:t>
            </w:r>
          </w:p>
          <w:p>
            <w:pPr>
              <w:numPr>
                <w:ilvl w:val="0"/>
                <w:numId w:val="3"/>
              </w:numPr>
              <w:jc w:val="left"/>
              <w:rPr>
                <w:rFonts w:hint="default" w:ascii="Arial" w:hAnsi="Arial" w:eastAsia="宋体" w:cs="Arial"/>
                <w:color w:val="000000"/>
                <w:szCs w:val="21"/>
                <w:lang w:val="en-US" w:eastAsia="zh-CN"/>
              </w:rPr>
            </w:pPr>
            <w:r>
              <w:rPr>
                <w:rFonts w:hint="eastAsia" w:ascii="Arial" w:hAnsi="Arial" w:eastAsia="宋体" w:cs="Arial"/>
                <w:color w:val="000000"/>
                <w:szCs w:val="21"/>
              </w:rPr>
              <w:t>含更换98根</w:t>
            </w:r>
            <w:r>
              <w:rPr>
                <w:rFonts w:ascii="Arial" w:hAnsi="Arial" w:eastAsia="宋体" w:cs="Arial"/>
                <w:color w:val="000000"/>
                <w:szCs w:val="21"/>
              </w:rPr>
              <w:t>阿法拉伐</w:t>
            </w:r>
            <w:r>
              <w:rPr>
                <w:rFonts w:hint="eastAsia" w:ascii="Arial" w:hAnsi="Arial" w:eastAsia="宋体" w:cs="Arial"/>
                <w:color w:val="000000"/>
                <w:szCs w:val="21"/>
              </w:rPr>
              <w:t>原厂</w:t>
            </w:r>
            <w:r>
              <w:rPr>
                <w:rFonts w:ascii="Arial" w:hAnsi="Arial" w:eastAsia="宋体" w:cs="Arial"/>
                <w:color w:val="000000"/>
                <w:szCs w:val="21"/>
              </w:rPr>
              <w:t xml:space="preserve">密封垫 </w:t>
            </w:r>
            <w:r>
              <w:rPr>
                <w:rFonts w:hint="eastAsia" w:ascii="Arial" w:hAnsi="Arial" w:eastAsia="宋体" w:cs="Arial"/>
                <w:color w:val="000000"/>
                <w:szCs w:val="21"/>
              </w:rPr>
              <w:t>（</w:t>
            </w:r>
            <w:r>
              <w:rPr>
                <w:rFonts w:ascii="Arial" w:hAnsi="Arial" w:eastAsia="宋体" w:cs="Arial"/>
                <w:color w:val="000000"/>
                <w:szCs w:val="21"/>
              </w:rPr>
              <w:t>EPDM</w:t>
            </w:r>
            <w:r>
              <w:rPr>
                <w:rFonts w:hint="eastAsia" w:ascii="Arial" w:hAnsi="Arial" w:eastAsia="宋体" w:cs="Arial"/>
                <w:color w:val="000000"/>
                <w:szCs w:val="21"/>
              </w:rPr>
              <w:t>），产品具有原厂防伪信息标签，原厂合格证等相关原厂证明材料</w:t>
            </w:r>
          </w:p>
          <w:p>
            <w:pPr>
              <w:numPr>
                <w:ilvl w:val="0"/>
                <w:numId w:val="3"/>
              </w:numPr>
              <w:jc w:val="left"/>
              <w:rPr>
                <w:rFonts w:hint="default" w:ascii="Arial" w:hAnsi="Arial" w:eastAsia="宋体" w:cs="Arial"/>
                <w:color w:val="000000"/>
                <w:szCs w:val="21"/>
                <w:lang w:val="en-US" w:eastAsia="zh-CN"/>
              </w:rPr>
            </w:pPr>
            <w:r>
              <w:rPr>
                <w:rFonts w:hint="eastAsia" w:ascii="Arial" w:hAnsi="Arial" w:cs="Arial"/>
                <w:color w:val="000000"/>
                <w:szCs w:val="21"/>
                <w:lang w:val="en-US" w:eastAsia="zh-CN"/>
              </w:rPr>
              <w:t>维护人员具备维护阿法拉伐板式换热器相关能力。</w:t>
            </w:r>
          </w:p>
        </w:tc>
      </w:tr>
      <w:tr>
        <w:tblPrEx>
          <w:tblCellMar>
            <w:top w:w="0" w:type="dxa"/>
            <w:left w:w="108" w:type="dxa"/>
            <w:bottom w:w="0" w:type="dxa"/>
            <w:right w:w="108" w:type="dxa"/>
          </w:tblCellMar>
        </w:tblPrEx>
        <w:trPr>
          <w:trHeight w:val="302" w:hRule="atLeast"/>
          <w:jc w:val="center"/>
        </w:trPr>
        <w:tc>
          <w:tcPr>
            <w:tcW w:w="9763" w:type="dxa"/>
            <w:gridSpan w:val="5"/>
            <w:tcBorders>
              <w:top w:val="single" w:color="auto" w:sz="4" w:space="0"/>
              <w:left w:val="single" w:color="auto" w:sz="4" w:space="0"/>
              <w:bottom w:val="single" w:color="A7C6E5" w:sz="8" w:space="0"/>
              <w:right w:val="single" w:color="auto" w:sz="4" w:space="0"/>
            </w:tcBorders>
            <w:shd w:val="clear" w:color="000000" w:fill="F1F5FA"/>
            <w:vAlign w:val="center"/>
          </w:tcPr>
          <w:p>
            <w:pPr>
              <w:widowControl/>
              <w:jc w:val="left"/>
              <w:rPr>
                <w:rFonts w:ascii="Arial" w:hAnsi="Arial" w:eastAsia="宋体" w:cs="Arial"/>
                <w:color w:val="000000"/>
                <w:szCs w:val="21"/>
              </w:rPr>
            </w:pPr>
            <w:r>
              <w:rPr>
                <w:rFonts w:hint="eastAsia" w:ascii="Arial" w:hAnsi="Arial" w:eastAsia="宋体" w:cs="Arial"/>
                <w:color w:val="000000"/>
                <w:kern w:val="0"/>
                <w:sz w:val="20"/>
                <w:szCs w:val="20"/>
              </w:rPr>
              <w:t>注：</w:t>
            </w:r>
            <w:r>
              <w:rPr>
                <w:rFonts w:hint="eastAsia" w:ascii="Arial" w:hAnsi="Arial" w:eastAsia="宋体" w:cs="Arial"/>
                <w:color w:val="000000"/>
                <w:szCs w:val="21"/>
              </w:rPr>
              <w:t>更换的配件质保一年，供货安装周期一个月内</w:t>
            </w:r>
          </w:p>
        </w:tc>
      </w:tr>
    </w:tbl>
    <w:p>
      <w:pPr>
        <w:spacing w:line="440" w:lineRule="exact"/>
        <w:jc w:val="left"/>
        <w:rPr>
          <w:rFonts w:hint="eastAsia" w:ascii="仿宋" w:hAnsi="仿宋" w:eastAsia="仿宋" w:cs="Times New Roman"/>
          <w:sz w:val="24"/>
        </w:rPr>
      </w:pPr>
      <w:r>
        <w:rPr>
          <w:rFonts w:hint="eastAsia" w:ascii="仿宋" w:hAnsi="仿宋" w:eastAsia="仿宋" w:cs="Times New Roman"/>
          <w:b/>
          <w:sz w:val="24"/>
        </w:rPr>
        <w:t>注：</w:t>
      </w:r>
      <w:r>
        <w:rPr>
          <w:rFonts w:hint="eastAsia" w:ascii="仿宋" w:hAnsi="仿宋" w:eastAsia="仿宋" w:cs="Times New Roman"/>
          <w:sz w:val="24"/>
        </w:rPr>
        <w:t>1.费用包含从维护到交付采购人使用所包含的一切费用，包括但不限于增值税、销售税及其它税费、各种规费、运输费、装卸费、仓储费、包装费、设计费、制作费、材料费、安装费、管理费、安全文明施工费、资料费、机械使用费、工具使用费、</w:t>
      </w:r>
      <w:r>
        <w:rPr>
          <w:rFonts w:ascii="仿宋" w:hAnsi="仿宋" w:eastAsia="仿宋" w:cs="宋体"/>
          <w:color w:val="000000"/>
          <w:spacing w:val="-2"/>
          <w:sz w:val="24"/>
        </w:rPr>
        <w:t>人工降效费</w:t>
      </w:r>
      <w:r>
        <w:rPr>
          <w:rFonts w:hint="eastAsia" w:ascii="仿宋" w:hAnsi="仿宋" w:eastAsia="仿宋" w:cs="宋体"/>
          <w:color w:val="000000"/>
          <w:spacing w:val="-2"/>
          <w:sz w:val="24"/>
        </w:rPr>
        <w:t>、</w:t>
      </w:r>
      <w:r>
        <w:rPr>
          <w:rFonts w:ascii="仿宋" w:hAnsi="仿宋" w:eastAsia="仿宋" w:cs="Times New Roman"/>
          <w:b/>
          <w:sz w:val="24"/>
        </w:rPr>
        <w:t>板式换热器维护清洁费</w:t>
      </w:r>
      <w:r>
        <w:rPr>
          <w:rFonts w:hint="eastAsia" w:ascii="仿宋" w:hAnsi="仿宋" w:eastAsia="仿宋" w:cs="Times New Roman"/>
          <w:b/>
          <w:sz w:val="24"/>
        </w:rPr>
        <w:t>、</w:t>
      </w:r>
      <w:r>
        <w:rPr>
          <w:rFonts w:ascii="仿宋" w:hAnsi="仿宋" w:eastAsia="仿宋" w:cs="Times New Roman"/>
          <w:b/>
          <w:sz w:val="24"/>
        </w:rPr>
        <w:t>拆装费用</w:t>
      </w:r>
      <w:r>
        <w:rPr>
          <w:rFonts w:hint="eastAsia" w:ascii="仿宋" w:hAnsi="仿宋" w:eastAsia="仿宋" w:cs="Times New Roman"/>
          <w:b/>
          <w:sz w:val="24"/>
        </w:rPr>
        <w:t>、密封垫更换费用</w:t>
      </w:r>
      <w:r>
        <w:rPr>
          <w:rFonts w:hint="eastAsia" w:ascii="仿宋" w:hAnsi="仿宋" w:eastAsia="仿宋" w:cs="Times New Roman"/>
          <w:sz w:val="24"/>
        </w:rPr>
        <w:t>等直至完成本维护项目发生的所有费用和利润。</w:t>
      </w:r>
    </w:p>
    <w:p>
      <w:pPr>
        <w:widowControl/>
        <w:spacing w:line="440" w:lineRule="exact"/>
        <w:jc w:val="left"/>
        <w:rPr>
          <w:rFonts w:ascii="仿宋" w:hAnsi="仿宋" w:eastAsia="仿宋" w:cs="Times New Roman"/>
          <w:sz w:val="24"/>
        </w:rPr>
      </w:pPr>
      <w:r>
        <w:rPr>
          <w:rFonts w:hint="eastAsia" w:ascii="仿宋" w:hAnsi="仿宋" w:eastAsia="仿宋" w:cs="Times New Roman"/>
          <w:sz w:val="24"/>
        </w:rPr>
        <w:t>2.1）维护</w:t>
      </w:r>
      <w:r>
        <w:rPr>
          <w:rFonts w:ascii="仿宋" w:hAnsi="仿宋" w:eastAsia="仿宋" w:cs="Times New Roman"/>
          <w:sz w:val="24"/>
        </w:rPr>
        <w:t xml:space="preserve">可达到的效益：完全去除安装管道垃圾，焊渣，恢复热传效率，减少压降，良好的密封并排除外漏，减少流体混合风险，延长板式换热器寿命，工艺改善! </w:t>
      </w:r>
    </w:p>
    <w:p>
      <w:pPr>
        <w:widowControl/>
        <w:spacing w:line="440" w:lineRule="exact"/>
        <w:ind w:firstLine="240" w:firstLineChars="100"/>
        <w:jc w:val="left"/>
        <w:rPr>
          <w:rFonts w:ascii="仿宋" w:hAnsi="仿宋" w:eastAsia="仿宋" w:cs="Times New Roman"/>
          <w:sz w:val="24"/>
        </w:rPr>
      </w:pPr>
      <w:r>
        <w:rPr>
          <w:rFonts w:ascii="仿宋" w:hAnsi="仿宋" w:eastAsia="仿宋" w:cs="Times New Roman"/>
          <w:sz w:val="24"/>
        </w:rPr>
        <w:t>2</w:t>
      </w:r>
      <w:r>
        <w:rPr>
          <w:rFonts w:hint="eastAsia" w:ascii="仿宋" w:hAnsi="仿宋" w:eastAsia="仿宋" w:cs="Times New Roman"/>
          <w:sz w:val="24"/>
        </w:rPr>
        <w:t>)</w:t>
      </w:r>
      <w:r>
        <w:rPr>
          <w:rFonts w:ascii="仿宋" w:hAnsi="仿宋" w:eastAsia="仿宋" w:cs="Times New Roman"/>
          <w:sz w:val="24"/>
        </w:rPr>
        <w:t xml:space="preserve"> 清洗完工后，确保板换换热效率稳定高效。 </w:t>
      </w:r>
    </w:p>
    <w:p>
      <w:pPr>
        <w:widowControl/>
        <w:spacing w:line="440" w:lineRule="exact"/>
        <w:ind w:firstLine="240" w:firstLineChars="100"/>
        <w:jc w:val="left"/>
        <w:rPr>
          <w:rFonts w:ascii="仿宋" w:hAnsi="仿宋" w:eastAsia="仿宋" w:cs="Times New Roman"/>
          <w:sz w:val="24"/>
        </w:rPr>
      </w:pPr>
      <w:r>
        <w:rPr>
          <w:rFonts w:hint="eastAsia" w:ascii="仿宋" w:hAnsi="仿宋" w:eastAsia="仿宋" w:cs="Times New Roman"/>
          <w:sz w:val="24"/>
        </w:rPr>
        <w:t>3）</w:t>
      </w:r>
      <w:r>
        <w:rPr>
          <w:rFonts w:ascii="仿宋" w:hAnsi="仿宋" w:eastAsia="仿宋" w:cs="Times New Roman"/>
          <w:sz w:val="24"/>
        </w:rPr>
        <w:t>做到文明施工，做到工完场清。</w:t>
      </w:r>
    </w:p>
    <w:p>
      <w:pPr>
        <w:widowControl/>
        <w:spacing w:line="440" w:lineRule="exact"/>
        <w:ind w:firstLine="240" w:firstLineChars="100"/>
        <w:jc w:val="left"/>
        <w:rPr>
          <w:rFonts w:ascii="仿宋" w:hAnsi="仿宋" w:eastAsia="仿宋" w:cs="Times New Roman"/>
          <w:sz w:val="24"/>
        </w:rPr>
      </w:pPr>
      <w:r>
        <w:rPr>
          <w:rFonts w:hint="eastAsia" w:ascii="仿宋" w:hAnsi="仿宋" w:eastAsia="仿宋" w:cs="Times New Roman"/>
          <w:sz w:val="24"/>
        </w:rPr>
        <w:t>4）</w:t>
      </w:r>
      <w:r>
        <w:rPr>
          <w:rFonts w:ascii="仿宋" w:hAnsi="仿宋" w:eastAsia="仿宋" w:cs="Times New Roman"/>
          <w:sz w:val="24"/>
        </w:rPr>
        <w:t>维护工期：3~4个工作日。</w:t>
      </w:r>
    </w:p>
    <w:p>
      <w:pPr>
        <w:pStyle w:val="16"/>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6"/>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7"/>
        <w:ind w:firstLine="0"/>
      </w:pPr>
    </w:p>
    <w:p>
      <w:pPr>
        <w:jc w:val="center"/>
        <w:rPr>
          <w:rFonts w:ascii="宋体" w:hAnsi="宋体"/>
          <w:b/>
          <w:bCs/>
          <w:sz w:val="36"/>
          <w:szCs w:val="36"/>
        </w:rPr>
      </w:pPr>
      <w:r>
        <w:rPr>
          <w:rFonts w:hint="eastAsia" w:ascii="宋体" w:hAnsi="宋体"/>
          <w:b/>
          <w:bCs/>
          <w:sz w:val="36"/>
          <w:szCs w:val="36"/>
        </w:rPr>
        <w:t>投标文件</w:t>
      </w:r>
    </w:p>
    <w:p>
      <w:pPr>
        <w:pStyle w:val="17"/>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7"/>
        <w:ind w:firstLine="0"/>
      </w:pPr>
    </w:p>
    <w:p>
      <w:pPr>
        <w:pStyle w:val="17"/>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7"/>
        <w:rPr>
          <w:sz w:val="36"/>
          <w:szCs w:val="36"/>
        </w:rPr>
      </w:pPr>
    </w:p>
    <w:p>
      <w:pPr>
        <w:pStyle w:val="17"/>
        <w:rPr>
          <w:sz w:val="36"/>
          <w:szCs w:val="36"/>
        </w:rPr>
      </w:pPr>
    </w:p>
    <w:p>
      <w:pPr>
        <w:pStyle w:val="17"/>
        <w:rPr>
          <w:sz w:val="36"/>
          <w:szCs w:val="36"/>
        </w:rPr>
      </w:pPr>
    </w:p>
    <w:p>
      <w:pPr>
        <w:rPr>
          <w:b/>
          <w:sz w:val="36"/>
          <w:szCs w:val="36"/>
        </w:rPr>
      </w:pPr>
    </w:p>
    <w:p>
      <w:pPr>
        <w:pStyle w:val="17"/>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西区板式换热器维护项目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YDFYXJ-2024041</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7"/>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7"/>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ind w:firstLine="0"/>
      </w:pPr>
    </w:p>
    <w:p>
      <w:pPr>
        <w:pStyle w:val="17"/>
        <w:ind w:firstLine="0"/>
      </w:pPr>
    </w:p>
    <w:p>
      <w:pPr>
        <w:pStyle w:val="17"/>
        <w:ind w:firstLine="0"/>
      </w:pPr>
    </w:p>
    <w:p>
      <w:pPr>
        <w:pStyle w:val="17"/>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rPr>
          <w:rFonts w:asciiTheme="minorEastAsia" w:hAnsiTheme="minorEastAsia" w:eastAsiaTheme="minorEastAsia"/>
          <w:b/>
          <w:sz w:val="36"/>
        </w:rPr>
      </w:pPr>
    </w:p>
    <w:p>
      <w:pPr>
        <w:pStyle w:val="11"/>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1"/>
        <w:rPr>
          <w:rFonts w:ascii="Times New Roman" w:hAnsi="Times New Roman"/>
          <w:b/>
          <w:sz w:val="36"/>
        </w:rPr>
      </w:pPr>
    </w:p>
    <w:p>
      <w:pPr>
        <w:pStyle w:val="11"/>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1"/>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1"/>
        <w:adjustRightInd w:val="0"/>
        <w:snapToGrid w:val="0"/>
        <w:spacing w:line="44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1"/>
        <w:adjustRightInd w:val="0"/>
        <w:snapToGrid w:val="0"/>
        <w:spacing w:line="50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1"/>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5"/>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2"/>
              <w:adjustRightInd w:val="0"/>
              <w:snapToGrid w:val="0"/>
              <w:spacing w:line="440" w:lineRule="exact"/>
              <w:contextualSpacing/>
              <w:jc w:val="center"/>
              <w:rPr>
                <w:rFonts w:ascii="Times New Roman"/>
                <w:bCs/>
              </w:rPr>
            </w:pPr>
          </w:p>
        </w:tc>
        <w:tc>
          <w:tcPr>
            <w:tcW w:w="3244" w:type="pct"/>
            <w:vAlign w:val="center"/>
          </w:tcPr>
          <w:p>
            <w:pPr>
              <w:pStyle w:val="32"/>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2"/>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西区板式换热器维护项目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YDFYXJ-2024041</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西区板式换热器维护项目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西区板式换热器维护项目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搬运</w:t>
      </w:r>
      <w:r>
        <w:rPr>
          <w:rFonts w:hint="eastAsia" w:ascii="宋体" w:hAnsi="宋体"/>
          <w:sz w:val="24"/>
        </w:rPr>
        <w:t>货物名称、规格及数量等要求。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合同生效后，付款方式为在</w:t>
      </w:r>
      <w:r>
        <w:rPr>
          <w:rFonts w:hint="eastAsia" w:cs="宋体"/>
          <w:sz w:val="24"/>
          <w:highlight w:val="none"/>
          <w:lang w:val="en-US" w:eastAsia="zh-CN"/>
        </w:rPr>
        <w:t>维护保养</w:t>
      </w:r>
      <w:r>
        <w:rPr>
          <w:rFonts w:hint="eastAsia" w:ascii="宋体" w:hAnsi="宋体" w:cs="宋体"/>
          <w:sz w:val="24"/>
          <w:highlight w:val="none"/>
        </w:rPr>
        <w:t>完成后，乙方凭开具的正规增值税发票等材料向甲方办理付款手续，甲方凭手续齐全的票据向乙方支付协议价的100%。（</w:t>
      </w:r>
      <w:r>
        <w:rPr>
          <w:rFonts w:hint="eastAsia" w:ascii="宋体" w:hAnsi="宋体" w:cs="宋体"/>
          <w:b/>
          <w:bCs/>
          <w:sz w:val="24"/>
        </w:rPr>
        <w:t>以上均不计息</w:t>
      </w:r>
      <w:r>
        <w:rPr>
          <w:rFonts w:hint="eastAsia" w:ascii="宋体" w:hAnsi="宋体" w:cs="宋体"/>
          <w:sz w:val="24"/>
        </w:rPr>
        <w:t>）</w:t>
      </w:r>
    </w:p>
    <w:p>
      <w:pPr>
        <w:pStyle w:val="11"/>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1</w:t>
      </w:r>
      <w:bookmarkStart w:id="4" w:name="_GoBack"/>
      <w:bookmarkEnd w:id="4"/>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乙方在协议签订后，接到甲方通知3-4 天内完成所有维护保养工作，甲方指定地点，所有材料由乙方提供。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7"/>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4011D"/>
    <w:multiLevelType w:val="singleLevel"/>
    <w:tmpl w:val="EA04011D"/>
    <w:lvl w:ilvl="0" w:tentative="0">
      <w:start w:val="1"/>
      <w:numFmt w:val="decimal"/>
      <w:suff w:val="nothing"/>
      <w:lvlText w:val="%1．"/>
      <w:lvlJc w:val="left"/>
    </w:lvl>
  </w:abstractNum>
  <w:abstractNum w:abstractNumId="1">
    <w:nsid w:val="FFFFFF83"/>
    <w:multiLevelType w:val="singleLevel"/>
    <w:tmpl w:val="FFFFFF83"/>
    <w:lvl w:ilvl="0" w:tentative="0">
      <w:start w:val="1"/>
      <w:numFmt w:val="bullet"/>
      <w:pStyle w:val="10"/>
      <w:lvlText w:val=""/>
      <w:lvlJc w:val="left"/>
      <w:pPr>
        <w:tabs>
          <w:tab w:val="left" w:pos="780"/>
        </w:tabs>
        <w:ind w:left="780" w:leftChars="200" w:hanging="360" w:hangingChars="200"/>
      </w:pPr>
      <w:rPr>
        <w:rFonts w:hint="default" w:ascii="Wingdings" w:hAnsi="Wingdings"/>
      </w:rPr>
    </w:lvl>
  </w:abstractNum>
  <w:abstractNum w:abstractNumId="2">
    <w:nsid w:val="4AC41B83"/>
    <w:multiLevelType w:val="singleLevel"/>
    <w:tmpl w:val="4AC41B83"/>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534BB7"/>
    <w:rsid w:val="06835001"/>
    <w:rsid w:val="073F69FB"/>
    <w:rsid w:val="07CD3AA2"/>
    <w:rsid w:val="0895702F"/>
    <w:rsid w:val="08D43F29"/>
    <w:rsid w:val="0907213E"/>
    <w:rsid w:val="0B560116"/>
    <w:rsid w:val="0B567F20"/>
    <w:rsid w:val="0B671638"/>
    <w:rsid w:val="0BE47D69"/>
    <w:rsid w:val="0C067990"/>
    <w:rsid w:val="0C4A2728"/>
    <w:rsid w:val="0C704CF9"/>
    <w:rsid w:val="0CD51C0E"/>
    <w:rsid w:val="0CF140C8"/>
    <w:rsid w:val="0D2E16CF"/>
    <w:rsid w:val="0D4515B4"/>
    <w:rsid w:val="0E126F52"/>
    <w:rsid w:val="0E2A13BF"/>
    <w:rsid w:val="0EE42777"/>
    <w:rsid w:val="110961DE"/>
    <w:rsid w:val="11202626"/>
    <w:rsid w:val="112949EB"/>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945827"/>
    <w:rsid w:val="31FF36A9"/>
    <w:rsid w:val="32542738"/>
    <w:rsid w:val="337C4795"/>
    <w:rsid w:val="349B0B50"/>
    <w:rsid w:val="35D6255E"/>
    <w:rsid w:val="375A406B"/>
    <w:rsid w:val="37CB42F0"/>
    <w:rsid w:val="395873E0"/>
    <w:rsid w:val="398427FF"/>
    <w:rsid w:val="3B6363FD"/>
    <w:rsid w:val="3B6B7997"/>
    <w:rsid w:val="3C6A7CC5"/>
    <w:rsid w:val="3C7E55A0"/>
    <w:rsid w:val="3C7E7E4D"/>
    <w:rsid w:val="3CCD6F19"/>
    <w:rsid w:val="3D920AB3"/>
    <w:rsid w:val="3E4F54B3"/>
    <w:rsid w:val="3EA006FD"/>
    <w:rsid w:val="406A6438"/>
    <w:rsid w:val="408D7F8E"/>
    <w:rsid w:val="40C726B4"/>
    <w:rsid w:val="414C3AD8"/>
    <w:rsid w:val="424B0DFC"/>
    <w:rsid w:val="43312AC9"/>
    <w:rsid w:val="43487107"/>
    <w:rsid w:val="43F56786"/>
    <w:rsid w:val="4417638D"/>
    <w:rsid w:val="45977351"/>
    <w:rsid w:val="45F42EB8"/>
    <w:rsid w:val="46056344"/>
    <w:rsid w:val="467B4C8A"/>
    <w:rsid w:val="4689608C"/>
    <w:rsid w:val="46AD222D"/>
    <w:rsid w:val="47CE0BEB"/>
    <w:rsid w:val="47DD46E6"/>
    <w:rsid w:val="48982C1C"/>
    <w:rsid w:val="48B5696C"/>
    <w:rsid w:val="49AC543C"/>
    <w:rsid w:val="4A78588E"/>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422DBB"/>
    <w:rsid w:val="537760B9"/>
    <w:rsid w:val="53E96515"/>
    <w:rsid w:val="54422408"/>
    <w:rsid w:val="54A03128"/>
    <w:rsid w:val="54AC3518"/>
    <w:rsid w:val="55603AEE"/>
    <w:rsid w:val="559064B7"/>
    <w:rsid w:val="560560AD"/>
    <w:rsid w:val="56410E61"/>
    <w:rsid w:val="56881779"/>
    <w:rsid w:val="57D44B9E"/>
    <w:rsid w:val="57DA3AB3"/>
    <w:rsid w:val="58873C30"/>
    <w:rsid w:val="58A415C5"/>
    <w:rsid w:val="58A664ED"/>
    <w:rsid w:val="590F082F"/>
    <w:rsid w:val="59104CF0"/>
    <w:rsid w:val="591C0A3A"/>
    <w:rsid w:val="595D0B09"/>
    <w:rsid w:val="59ED3D62"/>
    <w:rsid w:val="5AAE4B55"/>
    <w:rsid w:val="5B063544"/>
    <w:rsid w:val="5B3A3011"/>
    <w:rsid w:val="5BD053AF"/>
    <w:rsid w:val="5BE11FCF"/>
    <w:rsid w:val="5C224DCE"/>
    <w:rsid w:val="5C3E22E0"/>
    <w:rsid w:val="5C63055C"/>
    <w:rsid w:val="5C936A98"/>
    <w:rsid w:val="5C9D5DDF"/>
    <w:rsid w:val="5CA1516C"/>
    <w:rsid w:val="5CA23409"/>
    <w:rsid w:val="5CDB0A62"/>
    <w:rsid w:val="5CE45005"/>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84290"/>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BE3C1E"/>
    <w:rsid w:val="71D1780D"/>
    <w:rsid w:val="71DC1AE4"/>
    <w:rsid w:val="72217603"/>
    <w:rsid w:val="72487296"/>
    <w:rsid w:val="7282207E"/>
    <w:rsid w:val="72934737"/>
    <w:rsid w:val="72AB5F51"/>
    <w:rsid w:val="732D4BCB"/>
    <w:rsid w:val="74226CB9"/>
    <w:rsid w:val="75006B73"/>
    <w:rsid w:val="75126C7B"/>
    <w:rsid w:val="764E69E8"/>
    <w:rsid w:val="7787662E"/>
    <w:rsid w:val="77A64AB7"/>
    <w:rsid w:val="77E52AD7"/>
    <w:rsid w:val="77F20BEE"/>
    <w:rsid w:val="79AC4BB9"/>
    <w:rsid w:val="79CC0928"/>
    <w:rsid w:val="79F001B3"/>
    <w:rsid w:val="7A7B26AD"/>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3"/>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next w:val="9"/>
    <w:autoRedefine/>
    <w:qFormat/>
    <w:uiPriority w:val="0"/>
    <w:pPr>
      <w:ind w:firstLine="576"/>
    </w:pPr>
    <w:rPr>
      <w:b/>
      <w:sz w:val="30"/>
    </w:rPr>
  </w:style>
  <w:style w:type="paragraph" w:styleId="9">
    <w:name w:val="envelope return"/>
    <w:basedOn w:val="1"/>
    <w:autoRedefine/>
    <w:unhideWhenUsed/>
    <w:qFormat/>
    <w:uiPriority w:val="99"/>
    <w:pPr>
      <w:snapToGrid w:val="0"/>
    </w:pPr>
    <w:rPr>
      <w:rFonts w:ascii="Cambria" w:hAnsi="Cambria" w:eastAsia="宋体" w:cs="Times New Roman"/>
    </w:rPr>
  </w:style>
  <w:style w:type="paragraph" w:styleId="10">
    <w:name w:val="List Bullet 2"/>
    <w:basedOn w:val="1"/>
    <w:autoRedefine/>
    <w:unhideWhenUsed/>
    <w:qFormat/>
    <w:uiPriority w:val="0"/>
    <w:pPr>
      <w:numPr>
        <w:ilvl w:val="0"/>
        <w:numId w:val="1"/>
      </w:numPr>
      <w:contextualSpacing/>
    </w:pPr>
    <w:rPr>
      <w:rFonts w:ascii="Calibri" w:hAnsi="Calibri"/>
    </w:rPr>
  </w:style>
  <w:style w:type="paragraph" w:styleId="11">
    <w:name w:val="Plain Text"/>
    <w:basedOn w:val="1"/>
    <w:link w:val="28"/>
    <w:autoRedefine/>
    <w:qFormat/>
    <w:uiPriority w:val="99"/>
    <w:rPr>
      <w:rFonts w:ascii="宋体" w:hAnsi="Courier New"/>
      <w:szCs w:val="20"/>
    </w:rPr>
  </w:style>
  <w:style w:type="paragraph" w:styleId="12">
    <w:name w:val="Balloon Text"/>
    <w:basedOn w:val="1"/>
    <w:link w:val="27"/>
    <w:autoRedefine/>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0"/>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ind w:firstLine="420"/>
    </w:p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正文（缩进）"/>
    <w:basedOn w:val="1"/>
    <w:autoRedefine/>
    <w:qFormat/>
    <w:uiPriority w:val="0"/>
    <w:pPr>
      <w:ind w:firstLine="480" w:firstLineChars="200"/>
    </w:pPr>
  </w:style>
  <w:style w:type="paragraph" w:customStyle="1" w:styleId="24">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5">
    <w:name w:val="页眉 Char"/>
    <w:basedOn w:val="20"/>
    <w:link w:val="14"/>
    <w:autoRedefine/>
    <w:semiHidden/>
    <w:qFormat/>
    <w:uiPriority w:val="99"/>
    <w:rPr>
      <w:rFonts w:eastAsia="宋体"/>
      <w:kern w:val="2"/>
      <w:sz w:val="18"/>
      <w:szCs w:val="18"/>
    </w:rPr>
  </w:style>
  <w:style w:type="character" w:customStyle="1" w:styleId="26">
    <w:name w:val="页脚 Char"/>
    <w:basedOn w:val="20"/>
    <w:link w:val="13"/>
    <w:autoRedefine/>
    <w:semiHidden/>
    <w:qFormat/>
    <w:uiPriority w:val="99"/>
    <w:rPr>
      <w:rFonts w:eastAsia="宋体"/>
      <w:kern w:val="2"/>
      <w:sz w:val="18"/>
      <w:szCs w:val="18"/>
    </w:rPr>
  </w:style>
  <w:style w:type="character" w:customStyle="1" w:styleId="27">
    <w:name w:val="批注框文本 Char"/>
    <w:basedOn w:val="20"/>
    <w:link w:val="12"/>
    <w:autoRedefine/>
    <w:semiHidden/>
    <w:qFormat/>
    <w:uiPriority w:val="99"/>
    <w:rPr>
      <w:rFonts w:eastAsia="宋体"/>
      <w:kern w:val="2"/>
      <w:sz w:val="18"/>
      <w:szCs w:val="18"/>
    </w:rPr>
  </w:style>
  <w:style w:type="character" w:customStyle="1" w:styleId="28">
    <w:name w:val="纯文本 Char"/>
    <w:basedOn w:val="20"/>
    <w:link w:val="11"/>
    <w:autoRedefine/>
    <w:qFormat/>
    <w:uiPriority w:val="99"/>
    <w:rPr>
      <w:rFonts w:ascii="宋体" w:hAnsi="Courier New" w:eastAsia="宋体"/>
      <w:kern w:val="2"/>
      <w:sz w:val="21"/>
    </w:rPr>
  </w:style>
  <w:style w:type="character" w:customStyle="1" w:styleId="29">
    <w:name w:val="副标题 Char"/>
    <w:autoRedefine/>
    <w:qFormat/>
    <w:uiPriority w:val="0"/>
    <w:rPr>
      <w:rFonts w:ascii="Cambria" w:hAnsi="Cambria"/>
      <w:b/>
      <w:bCs/>
      <w:kern w:val="28"/>
      <w:sz w:val="32"/>
      <w:szCs w:val="32"/>
    </w:rPr>
  </w:style>
  <w:style w:type="character" w:customStyle="1" w:styleId="30">
    <w:name w:val="副标题 Char1"/>
    <w:basedOn w:val="20"/>
    <w:link w:val="15"/>
    <w:autoRedefine/>
    <w:qFormat/>
    <w:uiPriority w:val="0"/>
    <w:rPr>
      <w:rFonts w:eastAsia="宋体" w:asciiTheme="majorHAnsi" w:hAnsiTheme="majorHAnsi" w:cstheme="majorBidi"/>
      <w:b/>
      <w:bCs/>
      <w:kern w:val="28"/>
      <w:sz w:val="32"/>
      <w:szCs w:val="32"/>
    </w:rPr>
  </w:style>
  <w:style w:type="paragraph" w:styleId="31">
    <w:name w:val="List Paragraph"/>
    <w:basedOn w:val="1"/>
    <w:autoRedefine/>
    <w:unhideWhenUsed/>
    <w:qFormat/>
    <w:uiPriority w:val="99"/>
    <w:pPr>
      <w:ind w:firstLine="420" w:firstLineChars="200"/>
    </w:pPr>
  </w:style>
  <w:style w:type="paragraph" w:customStyle="1" w:styleId="32">
    <w:name w:val="普通文字"/>
    <w:basedOn w:val="1"/>
    <w:next w:val="1"/>
    <w:autoRedefine/>
    <w:qFormat/>
    <w:uiPriority w:val="0"/>
    <w:rPr>
      <w:rFonts w:ascii="宋体"/>
      <w:kern w:val="0"/>
      <w:sz w:val="24"/>
      <w:u w:color="000000"/>
    </w:rPr>
  </w:style>
  <w:style w:type="character" w:customStyle="1" w:styleId="33">
    <w:name w:val="正文缩进 Char"/>
    <w:link w:val="3"/>
    <w:autoRedefine/>
    <w:qFormat/>
    <w:uiPriority w:val="0"/>
    <w:rPr>
      <w:kern w:val="2"/>
      <w:sz w:val="21"/>
      <w:szCs w:val="24"/>
    </w:rPr>
  </w:style>
  <w:style w:type="character" w:customStyle="1" w:styleId="34">
    <w:name w:val="NormalCharacter"/>
    <w:autoRedefine/>
    <w:qFormat/>
    <w:uiPriority w:val="0"/>
  </w:style>
  <w:style w:type="character" w:customStyle="1" w:styleId="35">
    <w:name w:val="font11"/>
    <w:basedOn w:val="20"/>
    <w:autoRedefine/>
    <w:qFormat/>
    <w:uiPriority w:val="0"/>
    <w:rPr>
      <w:rFonts w:hint="eastAsia" w:ascii="宋体" w:hAnsi="宋体" w:eastAsia="宋体" w:cs="宋体"/>
      <w:b/>
      <w:bCs/>
      <w:color w:val="000000"/>
      <w:sz w:val="22"/>
      <w:szCs w:val="22"/>
      <w:u w:val="none"/>
    </w:rPr>
  </w:style>
  <w:style w:type="character" w:customStyle="1" w:styleId="36">
    <w:name w:val="font71"/>
    <w:basedOn w:val="20"/>
    <w:autoRedefine/>
    <w:qFormat/>
    <w:uiPriority w:val="0"/>
    <w:rPr>
      <w:rFonts w:hint="eastAsia" w:ascii="宋体" w:hAnsi="宋体" w:eastAsia="宋体" w:cs="宋体"/>
      <w:b/>
      <w:bCs/>
      <w:color w:val="000000"/>
      <w:sz w:val="22"/>
      <w:szCs w:val="22"/>
      <w:u w:val="none"/>
    </w:rPr>
  </w:style>
  <w:style w:type="paragraph" w:customStyle="1" w:styleId="37">
    <w:name w:val="CM20"/>
    <w:basedOn w:val="38"/>
    <w:next w:val="38"/>
    <w:autoRedefine/>
    <w:qFormat/>
    <w:uiPriority w:val="0"/>
    <w:pPr>
      <w:spacing w:line="411" w:lineRule="atLeast"/>
    </w:pPr>
    <w:rPr>
      <w:rFonts w:cs="Times New Roman"/>
      <w:color w:val="auto"/>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font21"/>
    <w:basedOn w:val="20"/>
    <w:autoRedefine/>
    <w:qFormat/>
    <w:uiPriority w:val="0"/>
    <w:rPr>
      <w:rFonts w:hint="eastAsia" w:ascii="宋体" w:hAnsi="宋体" w:eastAsia="宋体" w:cs="宋体"/>
      <w:color w:val="000000"/>
      <w:sz w:val="22"/>
      <w:szCs w:val="22"/>
      <w:u w:val="none"/>
    </w:rPr>
  </w:style>
  <w:style w:type="character" w:customStyle="1" w:styleId="40">
    <w:name w:val="font41"/>
    <w:basedOn w:val="20"/>
    <w:autoRedefine/>
    <w:qFormat/>
    <w:uiPriority w:val="0"/>
    <w:rPr>
      <w:rFonts w:hint="eastAsia" w:ascii="宋体" w:hAnsi="宋体" w:eastAsia="宋体" w:cs="宋体"/>
      <w:color w:val="000000"/>
      <w:sz w:val="22"/>
      <w:szCs w:val="22"/>
      <w:u w:val="none"/>
    </w:rPr>
  </w:style>
  <w:style w:type="character" w:customStyle="1" w:styleId="41">
    <w:name w:val="font31"/>
    <w:basedOn w:val="20"/>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4674</Words>
  <Characters>5012</Characters>
  <Lines>70</Lines>
  <Paragraphs>19</Paragraphs>
  <TotalTime>41</TotalTime>
  <ScaleCrop>false</ScaleCrop>
  <LinksUpToDate>false</LinksUpToDate>
  <CharactersWithSpaces>5696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2024-11-13T06:18:40Z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5D9C62A7BF7D4B12ACF58DB12AB17E8B_13</vt:lpwstr>
  </property>
</Properties>
</file>