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YDFYXJ-2024045</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东区综合维修（西门子系统及配件）服务项目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12</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东区综合维修（西门子系统及配件）服务项目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YDFYXJ-2024045</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东区综合维修（西门子系统及配件）服务项目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2.1</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10</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东区综合维修（西门子系统及配件）服务项目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东区综合维修（西门子系统及配件）服务项目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付款方式为乙方完成所有维修并经甲方验收合格后，乙方凭甲方的验收单及开具的正规增值税发票等材料向甲方办理付款手续，甲方凭手续齐全的票据付合同金额的100%。</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10</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12</w:t>
      </w:r>
      <w:r>
        <w:rPr>
          <w:rStyle w:val="33"/>
          <w:rFonts w:ascii="宋体" w:hAnsi="宋体"/>
          <w:b/>
          <w:sz w:val="24"/>
          <w:highlight w:val="none"/>
        </w:rPr>
        <w:t>月</w:t>
      </w:r>
      <w:r>
        <w:rPr>
          <w:rStyle w:val="33"/>
          <w:rFonts w:hint="eastAsia" w:ascii="宋体" w:hAnsi="宋体"/>
          <w:b/>
          <w:sz w:val="24"/>
          <w:highlight w:val="none"/>
          <w:lang w:val="en-US" w:eastAsia="zh-CN"/>
        </w:rPr>
        <w:t>10</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w:t>
      </w:r>
      <w:bookmarkStart w:id="4" w:name="_GoBack"/>
      <w:bookmarkEnd w:id="4"/>
      <w:r>
        <w:rPr>
          <w:rFonts w:hint="eastAsia" w:ascii="宋体" w:hAnsi="宋体" w:cs="宋体"/>
          <w:snapToGrid w:val="0"/>
          <w:spacing w:val="-4"/>
          <w:kern w:val="0"/>
          <w:sz w:val="24"/>
        </w:rPr>
        <w:t>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东区综合维修（西门子系统及配件）服务项目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YDFYXJ-2024045</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2.1</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9"/>
        <w:widowControl w:val="0"/>
        <w:numPr>
          <w:ilvl w:val="0"/>
          <w:numId w:val="0"/>
        </w:numPr>
        <w:contextualSpacing/>
        <w:jc w:val="both"/>
        <w:rPr>
          <w:rFonts w:hint="eastAsia" w:ascii="宋体" w:hAnsi="宋体" w:cs="宋体"/>
          <w:snapToGrid w:val="0"/>
          <w:kern w:val="0"/>
          <w:sz w:val="24"/>
        </w:rPr>
      </w:pPr>
      <w:r>
        <w:rPr>
          <w:rFonts w:hint="eastAsia" w:ascii="宋体" w:hAnsi="宋体" w:cs="宋体"/>
          <w:snapToGrid w:val="0"/>
          <w:kern w:val="0"/>
          <w:sz w:val="24"/>
          <w:szCs w:val="24"/>
          <w:highlight w:val="none"/>
          <w:lang w:val="en-US" w:eastAsia="zh-CN" w:bidi="ar-SA"/>
        </w:rPr>
        <w:t>根据检查，东区7号楼和门诊楼楼顶西门子系统及配件更换维修，具体所需材料参考如下</w:t>
      </w:r>
      <w:r>
        <w:rPr>
          <w:rFonts w:hint="eastAsia" w:ascii="宋体" w:hAnsi="宋体" w:eastAsia="宋体" w:cs="宋体"/>
          <w:snapToGrid w:val="0"/>
          <w:kern w:val="0"/>
          <w:sz w:val="24"/>
          <w:szCs w:val="24"/>
          <w:highlight w:val="none"/>
          <w:lang w:val="en-US" w:eastAsia="zh-CN" w:bidi="ar-SA"/>
        </w:rPr>
        <w:t>：</w:t>
      </w:r>
    </w:p>
    <w:p>
      <w:pPr>
        <w:pStyle w:val="6"/>
        <w:rPr>
          <w:rFonts w:hint="eastAsia" w:ascii="宋体" w:hAnsi="宋体"/>
          <w:b/>
          <w:sz w:val="24"/>
        </w:rPr>
      </w:pPr>
    </w:p>
    <w:tbl>
      <w:tblPr>
        <w:tblStyle w:val="17"/>
        <w:tblW w:w="846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2981"/>
        <w:gridCol w:w="1440"/>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9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PLC触摸屏、PLC主机、模拟量模块、温度模块各一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cs="Times New Roman"/>
                <w:b/>
                <w:bCs/>
                <w:i w:val="0"/>
                <w:iCs w:val="0"/>
                <w:color w:val="000000"/>
                <w:sz w:val="22"/>
                <w:szCs w:val="22"/>
                <w:u w:val="none"/>
                <w:lang w:val="en-US" w:eastAsia="zh-CN"/>
              </w:rPr>
              <w:t>配套</w:t>
            </w:r>
          </w:p>
        </w:tc>
        <w:tc>
          <w:tcPr>
            <w:tcW w:w="32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本清单仅供参考，具体配件使用以现场维修为准，所有配件质保1年。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9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主机程序及触摸屏程序制作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cs="Times New Roman"/>
                <w:b/>
                <w:bCs/>
                <w:i w:val="0"/>
                <w:iCs w:val="0"/>
                <w:color w:val="000000"/>
                <w:sz w:val="22"/>
                <w:szCs w:val="22"/>
                <w:u w:val="none"/>
                <w:lang w:val="en-US" w:eastAsia="zh-CN"/>
              </w:rPr>
              <w:t>1套</w:t>
            </w:r>
          </w:p>
        </w:tc>
        <w:tc>
          <w:tcPr>
            <w:tcW w:w="32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3</w:t>
            </w:r>
          </w:p>
        </w:tc>
        <w:tc>
          <w:tcPr>
            <w:tcW w:w="29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西门子原装温控执行器、温度探头、电控及RWD68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各1套</w:t>
            </w:r>
          </w:p>
        </w:tc>
        <w:tc>
          <w:tcPr>
            <w:tcW w:w="32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4</w:t>
            </w:r>
          </w:p>
        </w:tc>
        <w:tc>
          <w:tcPr>
            <w:tcW w:w="29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安装调试交付使用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1套</w:t>
            </w:r>
          </w:p>
        </w:tc>
        <w:tc>
          <w:tcPr>
            <w:tcW w:w="32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bl>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现场照片如下：</w:t>
      </w:r>
    </w:p>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drawing>
          <wp:inline distT="0" distB="0" distL="114300" distR="114300">
            <wp:extent cx="2590800" cy="3454400"/>
            <wp:effectExtent l="0" t="0" r="0" b="12700"/>
            <wp:docPr id="10" name="图片 10" descr="e350517779d3a767a2422930c49d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350517779d3a767a2422930c49d9fd"/>
                    <pic:cNvPicPr>
                      <a:picLocks noChangeAspect="1"/>
                    </pic:cNvPicPr>
                  </pic:nvPicPr>
                  <pic:blipFill>
                    <a:blip r:embed="rId6"/>
                    <a:stretch>
                      <a:fillRect/>
                    </a:stretch>
                  </pic:blipFill>
                  <pic:spPr>
                    <a:xfrm>
                      <a:off x="0" y="0"/>
                      <a:ext cx="2590800" cy="3454400"/>
                    </a:xfrm>
                    <a:prstGeom prst="rect">
                      <a:avLst/>
                    </a:prstGeom>
                  </pic:spPr>
                </pic:pic>
              </a:graphicData>
            </a:graphic>
          </wp:inline>
        </w:drawing>
      </w:r>
      <w:r>
        <w:rPr>
          <w:rFonts w:hint="eastAsia" w:ascii="宋体" w:hAnsi="宋体" w:cs="宋体"/>
          <w:snapToGrid w:val="0"/>
          <w:kern w:val="0"/>
          <w:sz w:val="24"/>
          <w:lang w:val="en-US" w:eastAsia="zh-CN"/>
        </w:rPr>
        <w:drawing>
          <wp:inline distT="0" distB="0" distL="114300" distR="114300">
            <wp:extent cx="2348230" cy="3456305"/>
            <wp:effectExtent l="0" t="0" r="0" b="0"/>
            <wp:docPr id="11" name="图片 11" descr="c8daffe8e2898b7e61925d5c351e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8daffe8e2898b7e61925d5c351eacb"/>
                    <pic:cNvPicPr>
                      <a:picLocks noChangeAspect="1"/>
                    </pic:cNvPicPr>
                  </pic:nvPicPr>
                  <pic:blipFill>
                    <a:blip r:embed="rId7"/>
                    <a:srcRect t="17217"/>
                    <a:stretch>
                      <a:fillRect/>
                    </a:stretch>
                  </pic:blipFill>
                  <pic:spPr>
                    <a:xfrm>
                      <a:off x="0" y="0"/>
                      <a:ext cx="2348230" cy="3456305"/>
                    </a:xfrm>
                    <a:prstGeom prst="rect">
                      <a:avLst/>
                    </a:prstGeom>
                  </pic:spPr>
                </pic:pic>
              </a:graphicData>
            </a:graphic>
          </wp:inline>
        </w:drawing>
      </w:r>
    </w:p>
    <w:p>
      <w:pPr>
        <w:pStyle w:val="9"/>
        <w:widowControl w:val="0"/>
        <w:numPr>
          <w:ilvl w:val="0"/>
          <w:numId w:val="0"/>
        </w:numPr>
        <w:contextualSpacing/>
        <w:jc w:val="both"/>
        <w:rPr>
          <w:rFonts w:hint="eastAsia" w:ascii="宋体" w:hAnsi="宋体" w:cs="宋体"/>
          <w:snapToGrid w:val="0"/>
          <w:kern w:val="0"/>
          <w:sz w:val="24"/>
          <w:lang w:val="en-US" w:eastAsia="zh-CN"/>
        </w:rPr>
      </w:pPr>
    </w:p>
    <w:p>
      <w:pPr>
        <w:pStyle w:val="9"/>
        <w:widowControl w:val="0"/>
        <w:numPr>
          <w:ilvl w:val="0"/>
          <w:numId w:val="0"/>
        </w:numPr>
        <w:contextualSpacing/>
        <w:jc w:val="both"/>
        <w:rPr>
          <w:rFonts w:hint="eastAsia" w:ascii="宋体" w:hAnsi="宋体" w:cs="宋体"/>
          <w:snapToGrid w:val="0"/>
          <w:kern w:val="0"/>
          <w:sz w:val="24"/>
          <w:lang w:val="en-US" w:eastAsia="zh-CN"/>
        </w:rPr>
      </w:pPr>
    </w:p>
    <w:p>
      <w:pPr>
        <w:pStyle w:val="9"/>
        <w:widowControl w:val="0"/>
        <w:numPr>
          <w:ilvl w:val="0"/>
          <w:numId w:val="0"/>
        </w:numPr>
        <w:contextualSpacing/>
        <w:jc w:val="both"/>
        <w:rPr>
          <w:rFonts w:hint="eastAsia" w:ascii="宋体" w:hAnsi="宋体" w:cs="宋体"/>
          <w:snapToGrid w:val="0"/>
          <w:kern w:val="0"/>
          <w:sz w:val="24"/>
          <w:lang w:val="en-US" w:eastAsia="zh-CN"/>
        </w:rPr>
      </w:pPr>
    </w:p>
    <w:p>
      <w:pPr>
        <w:pStyle w:val="9"/>
        <w:widowControl w:val="0"/>
        <w:numPr>
          <w:ilvl w:val="0"/>
          <w:numId w:val="0"/>
        </w:numPr>
        <w:contextualSpacing/>
        <w:jc w:val="both"/>
        <w:rPr>
          <w:rFonts w:hint="eastAsia" w:ascii="宋体" w:hAnsi="宋体" w:cs="宋体"/>
          <w:snapToGrid w:val="0"/>
          <w:kern w:val="0"/>
          <w:sz w:val="24"/>
          <w:lang w:val="en-US" w:eastAsia="zh-CN"/>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东区综合维修（西门子系统及配件）服务项目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YDFYXJ-2024045</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维修协议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东区综合维修（西门子系统及配件）服务项目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YDFYXJ-2024045</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东区综合维修（西门子系统及配件）服务项目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东区综合维修（西门子系统及配件）服务项目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维修配件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付款方式为乙方完成所有维修并经甲方验收合格后，乙方凭甲方的验收单及开具的正规增值税发票等材料向甲方办理付款手续，甲方凭手续齐全的票据付合同金额的100%。（</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1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完成所有维修工作</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214A70"/>
    <w:rsid w:val="026F03F0"/>
    <w:rsid w:val="02A1423A"/>
    <w:rsid w:val="02DB5B66"/>
    <w:rsid w:val="034D4BC8"/>
    <w:rsid w:val="04912ACD"/>
    <w:rsid w:val="04E61983"/>
    <w:rsid w:val="04F93EF7"/>
    <w:rsid w:val="053E3F8C"/>
    <w:rsid w:val="06835001"/>
    <w:rsid w:val="072F666A"/>
    <w:rsid w:val="07CD3AA2"/>
    <w:rsid w:val="08D43F29"/>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9B65058"/>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66E2000"/>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82F6C57"/>
    <w:rsid w:val="395873E0"/>
    <w:rsid w:val="398427FF"/>
    <w:rsid w:val="3AD03CF3"/>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60560AD"/>
    <w:rsid w:val="56410E61"/>
    <w:rsid w:val="56881779"/>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2D133CA"/>
    <w:rsid w:val="632E169A"/>
    <w:rsid w:val="632E4E32"/>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 w:type="character" w:customStyle="1" w:styleId="41">
    <w:name w:val="font51"/>
    <w:basedOn w:val="19"/>
    <w:autoRedefine/>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45</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2024-12-02T08:42:45Z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