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72568">
      <w:pPr>
        <w:spacing w:line="360" w:lineRule="auto"/>
        <w:jc w:val="right"/>
        <w:rPr>
          <w:rFonts w:hint="eastAsia"/>
          <w:b/>
          <w:bCs/>
          <w:color w:val="auto"/>
          <w:sz w:val="36"/>
          <w:szCs w:val="36"/>
        </w:rPr>
      </w:pPr>
    </w:p>
    <w:p w14:paraId="5BD2B5B2">
      <w:pPr>
        <w:spacing w:line="360" w:lineRule="auto"/>
        <w:jc w:val="right"/>
        <w:rPr>
          <w:rFonts w:hint="eastAsia" w:ascii="宋体" w:hAnsi="宋体" w:cs="宋体"/>
          <w:b/>
          <w:color w:val="auto"/>
          <w:spacing w:val="28"/>
          <w:kern w:val="2"/>
          <w:sz w:val="18"/>
          <w:szCs w:val="18"/>
          <w:lang w:eastAsia="zh-CN"/>
        </w:rPr>
      </w:pPr>
      <w:r>
        <w:rPr>
          <w:rFonts w:hint="eastAsia"/>
          <w:b/>
          <w:bCs/>
          <w:color w:val="auto"/>
          <w:sz w:val="36"/>
          <w:szCs w:val="36"/>
        </w:rPr>
        <w:t>项目编</w:t>
      </w:r>
      <w:r>
        <w:rPr>
          <w:rFonts w:hint="eastAsia" w:ascii="宋体" w:hAnsi="宋体"/>
          <w:b/>
          <w:bCs/>
          <w:color w:val="auto"/>
          <w:sz w:val="36"/>
          <w:szCs w:val="36"/>
        </w:rPr>
        <w:t>号：</w:t>
      </w:r>
      <w:r>
        <w:rPr>
          <w:rFonts w:hint="eastAsia" w:ascii="宋体" w:hAnsi="宋体"/>
          <w:b/>
          <w:bCs/>
          <w:color w:val="auto"/>
          <w:sz w:val="36"/>
          <w:szCs w:val="36"/>
          <w:lang w:eastAsia="zh-CN"/>
        </w:rPr>
        <w:t>JSHCZB-20241063</w:t>
      </w:r>
    </w:p>
    <w:p w14:paraId="7FAAA0AB">
      <w:pPr>
        <w:adjustRightInd w:val="0"/>
        <w:snapToGrid w:val="0"/>
        <w:spacing w:before="120" w:beforeLines="50" w:line="700" w:lineRule="exact"/>
        <w:jc w:val="center"/>
        <w:rPr>
          <w:rFonts w:hint="eastAsia" w:ascii="宋体" w:hAnsi="宋体" w:cs="宋体"/>
          <w:b/>
          <w:color w:val="auto"/>
          <w:spacing w:val="28"/>
          <w:kern w:val="2"/>
          <w:sz w:val="44"/>
          <w:szCs w:val="44"/>
          <w:lang w:eastAsia="zh-CN"/>
        </w:rPr>
      </w:pPr>
      <w:r>
        <w:rPr>
          <w:rFonts w:hint="eastAsia" w:ascii="宋体" w:hAnsi="宋体" w:cs="宋体"/>
          <w:b/>
          <w:color w:val="auto"/>
          <w:spacing w:val="28"/>
          <w:kern w:val="2"/>
          <w:sz w:val="44"/>
          <w:szCs w:val="44"/>
          <w:lang w:eastAsia="zh-CN"/>
        </w:rPr>
        <w:t>扬州大学附属医院</w:t>
      </w:r>
    </w:p>
    <w:p w14:paraId="179EADEC">
      <w:pPr>
        <w:adjustRightInd w:val="0"/>
        <w:snapToGrid w:val="0"/>
        <w:spacing w:before="120" w:beforeLines="50" w:line="700" w:lineRule="exact"/>
        <w:jc w:val="center"/>
        <w:rPr>
          <w:rFonts w:hint="default" w:ascii="宋体" w:hAnsi="宋体" w:cs="宋体"/>
          <w:b/>
          <w:color w:val="auto"/>
          <w:spacing w:val="28"/>
          <w:kern w:val="2"/>
          <w:sz w:val="44"/>
          <w:szCs w:val="44"/>
          <w:lang w:val="en-US" w:eastAsia="zh-CN"/>
        </w:rPr>
      </w:pPr>
      <w:r>
        <w:rPr>
          <w:rFonts w:hint="eastAsia" w:ascii="宋体" w:hAnsi="宋体" w:cs="宋体"/>
          <w:b/>
          <w:color w:val="auto"/>
          <w:spacing w:val="28"/>
          <w:kern w:val="2"/>
          <w:sz w:val="44"/>
          <w:szCs w:val="44"/>
          <w:lang w:eastAsia="zh-CN"/>
        </w:rPr>
        <w:t>科教综合楼食堂售饭窗口建设</w:t>
      </w:r>
      <w:r>
        <w:rPr>
          <w:rFonts w:hint="eastAsia" w:ascii="宋体" w:hAnsi="宋体" w:cs="宋体"/>
          <w:b/>
          <w:color w:val="auto"/>
          <w:spacing w:val="28"/>
          <w:kern w:val="2"/>
          <w:sz w:val="44"/>
          <w:szCs w:val="44"/>
          <w:lang w:val="en-US" w:eastAsia="zh-CN"/>
        </w:rPr>
        <w:t>项目</w:t>
      </w:r>
    </w:p>
    <w:p w14:paraId="35F19059">
      <w:pPr>
        <w:adjustRightInd w:val="0"/>
        <w:snapToGrid w:val="0"/>
        <w:spacing w:before="120" w:beforeLines="50" w:line="700" w:lineRule="exact"/>
        <w:jc w:val="center"/>
        <w:rPr>
          <w:rFonts w:hint="eastAsia" w:ascii="宋体" w:hAnsi="宋体" w:cs="宋体"/>
          <w:b/>
          <w:color w:val="auto"/>
          <w:spacing w:val="28"/>
          <w:kern w:val="2"/>
          <w:sz w:val="44"/>
          <w:szCs w:val="44"/>
        </w:rPr>
      </w:pPr>
      <w:r>
        <w:rPr>
          <w:rFonts w:hint="eastAsia" w:ascii="宋体" w:hAnsi="宋体" w:cs="宋体"/>
          <w:b/>
          <w:color w:val="auto"/>
          <w:spacing w:val="28"/>
          <w:kern w:val="2"/>
          <w:sz w:val="44"/>
          <w:szCs w:val="44"/>
        </w:rPr>
        <w:t>公开招标文件</w:t>
      </w:r>
    </w:p>
    <w:p w14:paraId="7A70ED98">
      <w:pPr>
        <w:adjustRightInd w:val="0"/>
        <w:snapToGrid w:val="0"/>
        <w:spacing w:line="700" w:lineRule="exact"/>
        <w:jc w:val="center"/>
        <w:rPr>
          <w:rFonts w:hint="eastAsia" w:ascii="宋体" w:hAnsi="宋体" w:cs="宋体"/>
          <w:b/>
          <w:color w:val="auto"/>
          <w:spacing w:val="28"/>
          <w:kern w:val="2"/>
          <w:sz w:val="44"/>
          <w:szCs w:val="44"/>
        </w:rPr>
      </w:pPr>
    </w:p>
    <w:p w14:paraId="381E7728">
      <w:pPr>
        <w:adjustRightInd w:val="0"/>
        <w:snapToGrid w:val="0"/>
        <w:spacing w:line="360" w:lineRule="auto"/>
        <w:jc w:val="center"/>
        <w:rPr>
          <w:rFonts w:hint="eastAsia" w:ascii="宋体" w:hAnsi="宋体" w:cs="宋体"/>
          <w:b/>
          <w:bCs/>
          <w:snapToGrid w:val="0"/>
          <w:color w:val="auto"/>
          <w:sz w:val="32"/>
          <w:szCs w:val="32"/>
        </w:rPr>
      </w:pPr>
      <w:r>
        <w:rPr>
          <w:rFonts w:hint="eastAsia" w:ascii="宋体" w:hAnsi="宋体" w:cs="宋体"/>
          <w:color w:val="auto"/>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6"/>
                    <a:stretch>
                      <a:fillRect/>
                    </a:stretch>
                  </pic:blipFill>
                  <pic:spPr>
                    <a:xfrm>
                      <a:off x="0" y="0"/>
                      <a:ext cx="5480685" cy="4157345"/>
                    </a:xfrm>
                    <a:prstGeom prst="rect">
                      <a:avLst/>
                    </a:prstGeom>
                    <a:noFill/>
                    <a:ln>
                      <a:noFill/>
                    </a:ln>
                  </pic:spPr>
                </pic:pic>
              </a:graphicData>
            </a:graphic>
          </wp:inline>
        </w:drawing>
      </w:r>
    </w:p>
    <w:p w14:paraId="654AE631">
      <w:pPr>
        <w:adjustRightInd w:val="0"/>
        <w:snapToGrid w:val="0"/>
        <w:spacing w:line="600" w:lineRule="exact"/>
        <w:ind w:firstLine="1558" w:firstLineChars="485"/>
        <w:contextualSpacing/>
        <w:jc w:val="both"/>
        <w:rPr>
          <w:rFonts w:hint="eastAsia" w:ascii="宋体" w:hAnsi="宋体" w:cs="宋体"/>
          <w:snapToGrid w:val="0"/>
          <w:color w:val="auto"/>
          <w:sz w:val="32"/>
          <w:szCs w:val="32"/>
        </w:rPr>
      </w:pPr>
      <w:r>
        <w:rPr>
          <w:rFonts w:hint="eastAsia" w:ascii="宋体" w:hAnsi="宋体" w:cs="宋体"/>
          <w:b/>
          <w:bCs/>
          <w:snapToGrid w:val="0"/>
          <w:color w:val="auto"/>
          <w:sz w:val="32"/>
          <w:szCs w:val="32"/>
        </w:rPr>
        <w:t xml:space="preserve">招   </w:t>
      </w:r>
      <w:r>
        <w:rPr>
          <w:rFonts w:hint="eastAsia" w:ascii="宋体" w:hAnsi="宋体" w:cs="宋体"/>
          <w:b/>
          <w:bCs/>
          <w:snapToGrid w:val="0"/>
          <w:color w:val="auto"/>
          <w:sz w:val="32"/>
          <w:szCs w:val="32"/>
          <w:lang w:val="en-US" w:eastAsia="zh-CN"/>
        </w:rPr>
        <w:t xml:space="preserve">   </w:t>
      </w:r>
      <w:r>
        <w:rPr>
          <w:rFonts w:hint="eastAsia" w:ascii="宋体" w:hAnsi="宋体" w:cs="宋体"/>
          <w:b/>
          <w:bCs/>
          <w:snapToGrid w:val="0"/>
          <w:color w:val="auto"/>
          <w:sz w:val="32"/>
          <w:szCs w:val="32"/>
        </w:rPr>
        <w:t xml:space="preserve">标 </w:t>
      </w:r>
      <w:r>
        <w:rPr>
          <w:rFonts w:hint="eastAsia" w:ascii="宋体" w:hAnsi="宋体" w:cs="宋体"/>
          <w:b/>
          <w:bCs/>
          <w:snapToGrid w:val="0"/>
          <w:color w:val="auto"/>
          <w:sz w:val="32"/>
          <w:szCs w:val="32"/>
          <w:lang w:val="en-US" w:eastAsia="zh-CN"/>
        </w:rPr>
        <w:t xml:space="preserve">   </w:t>
      </w:r>
      <w:r>
        <w:rPr>
          <w:rFonts w:hint="eastAsia" w:ascii="宋体" w:hAnsi="宋体" w:cs="宋体"/>
          <w:b/>
          <w:bCs/>
          <w:snapToGrid w:val="0"/>
          <w:color w:val="auto"/>
          <w:sz w:val="32"/>
          <w:szCs w:val="32"/>
        </w:rPr>
        <w:t xml:space="preserve"> 人：扬州大学附属医院</w:t>
      </w:r>
    </w:p>
    <w:p w14:paraId="21B5E05E">
      <w:pPr>
        <w:adjustRightInd w:val="0"/>
        <w:snapToGrid w:val="0"/>
        <w:spacing w:line="600" w:lineRule="exact"/>
        <w:ind w:firstLine="1558" w:firstLineChars="485"/>
        <w:contextualSpacing/>
        <w:jc w:val="both"/>
        <w:rPr>
          <w:rFonts w:hint="eastAsia" w:ascii="宋体" w:hAnsi="宋体" w:cs="宋体"/>
          <w:b/>
          <w:bCs/>
          <w:snapToGrid w:val="0"/>
          <w:color w:val="auto"/>
          <w:sz w:val="32"/>
          <w:szCs w:val="32"/>
        </w:rPr>
      </w:pPr>
      <w:r>
        <w:rPr>
          <w:rFonts w:hint="eastAsia" w:ascii="宋体" w:hAnsi="宋体" w:cs="宋体"/>
          <w:b/>
          <w:bCs/>
          <w:snapToGrid w:val="0"/>
          <w:color w:val="auto"/>
          <w:sz w:val="32"/>
          <w:szCs w:val="32"/>
        </w:rPr>
        <w:t>招标代理单位（章）：</w:t>
      </w:r>
      <w:r>
        <w:rPr>
          <w:rFonts w:hint="eastAsia" w:ascii="宋体" w:hAnsi="宋体" w:eastAsia="宋体" w:cs="宋体"/>
          <w:b/>
          <w:bCs/>
          <w:w w:val="90"/>
          <w:sz w:val="32"/>
          <w:szCs w:val="32"/>
        </w:rPr>
        <w:t>江苏汇诚投资咨询管理有限公司</w:t>
      </w:r>
    </w:p>
    <w:p w14:paraId="258070CA">
      <w:pPr>
        <w:adjustRightInd w:val="0"/>
        <w:snapToGrid w:val="0"/>
        <w:spacing w:line="600" w:lineRule="exact"/>
        <w:ind w:firstLine="1558" w:firstLineChars="485"/>
        <w:contextualSpacing/>
        <w:jc w:val="both"/>
        <w:rPr>
          <w:rFonts w:hint="eastAsia" w:ascii="宋体" w:hAnsi="宋体" w:cs="宋体"/>
          <w:b/>
          <w:bCs/>
          <w:snapToGrid w:val="0"/>
          <w:color w:val="auto"/>
          <w:sz w:val="32"/>
          <w:szCs w:val="32"/>
        </w:rPr>
      </w:pPr>
      <w:r>
        <w:rPr>
          <w:rFonts w:hint="eastAsia" w:ascii="宋体" w:hAnsi="宋体" w:cs="宋体"/>
          <w:b/>
          <w:bCs/>
          <w:snapToGrid w:val="0"/>
          <w:color w:val="auto"/>
          <w:sz w:val="32"/>
          <w:szCs w:val="32"/>
        </w:rPr>
        <w:t>招   标   时   间：20</w:t>
      </w:r>
      <w:r>
        <w:rPr>
          <w:rFonts w:hint="eastAsia" w:ascii="宋体" w:hAnsi="宋体" w:cs="宋体"/>
          <w:b/>
          <w:bCs/>
          <w:snapToGrid w:val="0"/>
          <w:color w:val="auto"/>
          <w:sz w:val="32"/>
          <w:szCs w:val="32"/>
          <w:lang w:val="en-US" w:eastAsia="zh-CN"/>
        </w:rPr>
        <w:t>24</w:t>
      </w:r>
      <w:r>
        <w:rPr>
          <w:rFonts w:hint="eastAsia" w:ascii="宋体" w:hAnsi="宋体" w:cs="宋体"/>
          <w:b/>
          <w:bCs/>
          <w:snapToGrid w:val="0"/>
          <w:color w:val="auto"/>
          <w:sz w:val="32"/>
          <w:szCs w:val="32"/>
        </w:rPr>
        <w:t>年</w:t>
      </w:r>
      <w:r>
        <w:rPr>
          <w:rFonts w:hint="eastAsia" w:ascii="宋体" w:hAnsi="宋体" w:cs="宋体"/>
          <w:b/>
          <w:bCs/>
          <w:snapToGrid w:val="0"/>
          <w:color w:val="auto"/>
          <w:sz w:val="32"/>
          <w:szCs w:val="32"/>
          <w:lang w:val="en-US" w:eastAsia="zh-CN"/>
        </w:rPr>
        <w:t>12</w:t>
      </w:r>
      <w:r>
        <w:rPr>
          <w:rFonts w:hint="eastAsia" w:ascii="宋体" w:hAnsi="宋体" w:cs="宋体"/>
          <w:b/>
          <w:bCs/>
          <w:snapToGrid w:val="0"/>
          <w:color w:val="auto"/>
          <w:sz w:val="32"/>
          <w:szCs w:val="32"/>
        </w:rPr>
        <w:t>月</w:t>
      </w:r>
    </w:p>
    <w:p w14:paraId="74BAD098">
      <w:pPr>
        <w:adjustRightInd w:val="0"/>
        <w:snapToGrid w:val="0"/>
        <w:spacing w:line="360" w:lineRule="auto"/>
        <w:jc w:val="both"/>
        <w:rPr>
          <w:rFonts w:hint="eastAsia" w:ascii="宋体" w:hAnsi="宋体" w:cs="宋体"/>
          <w:bCs/>
          <w:snapToGrid w:val="0"/>
          <w:color w:val="auto"/>
          <w:sz w:val="44"/>
        </w:rPr>
      </w:pPr>
    </w:p>
    <w:p w14:paraId="70F5B314">
      <w:pPr>
        <w:jc w:val="center"/>
        <w:rPr>
          <w:rFonts w:hint="default" w:ascii="宋体" w:hAnsi="宋体" w:cs="宋体" w:eastAsiaTheme="minorEastAsia"/>
          <w:b/>
          <w:color w:val="auto"/>
          <w:spacing w:val="28"/>
          <w:kern w:val="2"/>
          <w:sz w:val="32"/>
          <w:szCs w:val="32"/>
          <w:lang w:val="en-US" w:eastAsia="zh-CN"/>
        </w:rPr>
      </w:pPr>
      <w:r>
        <w:rPr>
          <w:rFonts w:hint="eastAsia" w:ascii="宋体" w:hAnsi="宋体" w:cs="宋体"/>
          <w:b/>
          <w:color w:val="auto"/>
          <w:spacing w:val="28"/>
          <w:kern w:val="2"/>
          <w:sz w:val="32"/>
          <w:szCs w:val="32"/>
          <w:lang w:eastAsia="zh-CN"/>
        </w:rPr>
        <w:t>扬州大学附属医院科教综合楼食堂售饭窗口建设</w:t>
      </w:r>
      <w:r>
        <w:rPr>
          <w:rFonts w:hint="eastAsia" w:ascii="宋体" w:hAnsi="宋体" w:cs="宋体"/>
          <w:b/>
          <w:color w:val="auto"/>
          <w:spacing w:val="28"/>
          <w:kern w:val="2"/>
          <w:sz w:val="32"/>
          <w:szCs w:val="32"/>
          <w:lang w:val="en-US" w:eastAsia="zh-CN"/>
        </w:rPr>
        <w:t>项目</w:t>
      </w:r>
    </w:p>
    <w:p w14:paraId="416F137A">
      <w:pPr>
        <w:jc w:val="center"/>
        <w:rPr>
          <w:rFonts w:hint="eastAsia" w:ascii="宋体" w:hAnsi="宋体" w:cs="宋体"/>
          <w:b/>
          <w:color w:val="auto"/>
          <w:spacing w:val="28"/>
          <w:kern w:val="2"/>
          <w:sz w:val="32"/>
          <w:szCs w:val="32"/>
        </w:rPr>
      </w:pPr>
      <w:r>
        <w:rPr>
          <w:rFonts w:hint="eastAsia" w:ascii="宋体" w:hAnsi="宋体" w:cs="宋体"/>
          <w:b/>
          <w:color w:val="auto"/>
          <w:spacing w:val="28"/>
          <w:kern w:val="2"/>
          <w:sz w:val="32"/>
          <w:szCs w:val="32"/>
        </w:rPr>
        <w:t>招标公告</w:t>
      </w:r>
    </w:p>
    <w:p w14:paraId="6EB283F8">
      <w:pPr>
        <w:spacing w:line="360" w:lineRule="auto"/>
        <w:ind w:firstLine="401" w:firstLineChars="190"/>
        <w:jc w:val="both"/>
        <w:rPr>
          <w:rFonts w:hint="eastAsia" w:ascii="宋体" w:hAnsi="宋体" w:cs="宋体"/>
          <w:b/>
          <w:bCs/>
          <w:snapToGrid w:val="0"/>
          <w:color w:val="auto"/>
          <w:sz w:val="21"/>
          <w:szCs w:val="21"/>
        </w:rPr>
      </w:pPr>
    </w:p>
    <w:p w14:paraId="549822F5">
      <w:pPr>
        <w:spacing w:line="360" w:lineRule="auto"/>
        <w:ind w:firstLine="401" w:firstLineChars="190"/>
        <w:jc w:val="both"/>
        <w:rPr>
          <w:rFonts w:hint="eastAsia" w:ascii="宋体" w:hAnsi="宋体" w:cs="宋体"/>
          <w:b/>
          <w:bCs/>
          <w:snapToGrid w:val="0"/>
          <w:color w:val="auto"/>
          <w:sz w:val="21"/>
          <w:szCs w:val="21"/>
        </w:rPr>
      </w:pPr>
      <w:r>
        <w:rPr>
          <w:rFonts w:hint="eastAsia" w:ascii="宋体" w:hAnsi="宋体" w:cs="宋体"/>
          <w:b/>
          <w:bCs/>
          <w:snapToGrid w:val="0"/>
          <w:color w:val="auto"/>
          <w:sz w:val="21"/>
          <w:szCs w:val="21"/>
        </w:rPr>
        <w:t>一、招标项目名称及预算：</w:t>
      </w:r>
    </w:p>
    <w:p w14:paraId="148131F3">
      <w:pPr>
        <w:spacing w:line="360" w:lineRule="auto"/>
        <w:ind w:firstLine="819" w:firstLineChars="390"/>
        <w:jc w:val="both"/>
        <w:rPr>
          <w:rFonts w:hint="eastAsia" w:ascii="宋体" w:hAnsi="宋体" w:cs="宋体" w:eastAsiaTheme="minorEastAsia"/>
          <w:snapToGrid w:val="0"/>
          <w:color w:val="auto"/>
          <w:sz w:val="21"/>
          <w:szCs w:val="21"/>
          <w:highlight w:val="none"/>
          <w:lang w:eastAsia="zh-CN"/>
        </w:rPr>
      </w:pPr>
      <w:r>
        <w:rPr>
          <w:rFonts w:hint="eastAsia" w:ascii="宋体" w:hAnsi="宋体" w:cs="宋体"/>
          <w:snapToGrid w:val="0"/>
          <w:color w:val="auto"/>
          <w:sz w:val="21"/>
          <w:szCs w:val="21"/>
        </w:rPr>
        <w:t>项目名称</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lang w:eastAsia="zh-CN"/>
        </w:rPr>
        <w:t>扬州大学附属医院科教综合楼食堂售饭窗口建设</w:t>
      </w:r>
    </w:p>
    <w:p w14:paraId="6E6916A3">
      <w:pPr>
        <w:spacing w:line="360" w:lineRule="auto"/>
        <w:ind w:firstLine="819" w:firstLineChars="390"/>
        <w:jc w:val="both"/>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rPr>
        <w:t>项目编号：JSHCZB-20241063</w:t>
      </w:r>
      <w:r>
        <w:rPr>
          <w:rFonts w:hint="eastAsia" w:ascii="宋体" w:hAnsi="宋体" w:cs="宋体"/>
          <w:snapToGrid w:val="0"/>
          <w:color w:val="auto"/>
          <w:sz w:val="21"/>
          <w:szCs w:val="21"/>
          <w:highlight w:val="none"/>
          <w:lang w:val="en-US" w:eastAsia="zh-CN"/>
        </w:rPr>
        <w:t xml:space="preserve"> </w:t>
      </w:r>
    </w:p>
    <w:p w14:paraId="56EE21DB">
      <w:pPr>
        <w:spacing w:line="360" w:lineRule="auto"/>
        <w:ind w:firstLine="819" w:firstLineChars="390"/>
        <w:jc w:val="both"/>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招标控制价：</w:t>
      </w:r>
      <w:r>
        <w:rPr>
          <w:rFonts w:hint="eastAsia" w:ascii="宋体" w:hAnsi="宋体" w:cs="宋体"/>
          <w:snapToGrid w:val="0"/>
          <w:color w:val="auto"/>
          <w:sz w:val="21"/>
          <w:szCs w:val="21"/>
          <w:highlight w:val="none"/>
          <w:lang w:val="en-US" w:eastAsia="zh-CN"/>
        </w:rPr>
        <w:t>43.43万元</w:t>
      </w:r>
      <w:r>
        <w:rPr>
          <w:rFonts w:hint="eastAsia" w:ascii="宋体" w:hAnsi="宋体" w:cs="宋体"/>
          <w:snapToGrid w:val="0"/>
          <w:color w:val="auto"/>
          <w:sz w:val="21"/>
          <w:szCs w:val="21"/>
          <w:highlight w:val="none"/>
        </w:rPr>
        <w:t>，投标报价超过招标控制价的，作为废标处理。</w:t>
      </w:r>
    </w:p>
    <w:p w14:paraId="5A2B3CFB">
      <w:pPr>
        <w:spacing w:line="360" w:lineRule="auto"/>
        <w:ind w:firstLine="401" w:firstLineChars="190"/>
        <w:jc w:val="both"/>
        <w:rPr>
          <w:rFonts w:hint="eastAsia"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二、招标范围、工期：</w:t>
      </w:r>
    </w:p>
    <w:p w14:paraId="167E4F8B">
      <w:pPr>
        <w:spacing w:line="360" w:lineRule="auto"/>
        <w:ind w:firstLine="819" w:firstLineChars="390"/>
        <w:jc w:val="both"/>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招标范围：详见工程量清单、图纸及本项目施工要求。</w:t>
      </w:r>
    </w:p>
    <w:p w14:paraId="364753D6">
      <w:pPr>
        <w:spacing w:line="360" w:lineRule="auto"/>
        <w:ind w:firstLine="819" w:firstLineChars="390"/>
        <w:jc w:val="both"/>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工期要求：</w:t>
      </w:r>
      <w:r>
        <w:rPr>
          <w:rFonts w:hint="eastAsia" w:ascii="宋体" w:hAnsi="宋体" w:cs="宋体"/>
          <w:snapToGrid w:val="0"/>
          <w:color w:val="auto"/>
          <w:sz w:val="21"/>
          <w:szCs w:val="21"/>
          <w:highlight w:val="none"/>
          <w:lang w:val="en-US" w:eastAsia="zh-CN"/>
        </w:rPr>
        <w:t>总工期30日历天</w:t>
      </w:r>
    </w:p>
    <w:p w14:paraId="097FE08D">
      <w:pPr>
        <w:snapToGrid w:val="0"/>
        <w:spacing w:line="360" w:lineRule="auto"/>
        <w:ind w:firstLine="401" w:firstLineChars="190"/>
        <w:jc w:val="both"/>
        <w:rPr>
          <w:rFonts w:hint="eastAsia" w:ascii="宋体" w:hAnsi="宋体" w:cs="宋体"/>
          <w:snapToGrid w:val="0"/>
          <w:color w:val="auto"/>
          <w:sz w:val="21"/>
          <w:szCs w:val="21"/>
          <w:highlight w:val="none"/>
        </w:rPr>
      </w:pPr>
      <w:r>
        <w:rPr>
          <w:rFonts w:hint="eastAsia" w:ascii="宋体" w:hAnsi="宋体" w:cs="宋体"/>
          <w:b/>
          <w:bCs/>
          <w:snapToGrid w:val="0"/>
          <w:color w:val="auto"/>
          <w:sz w:val="21"/>
          <w:szCs w:val="21"/>
          <w:highlight w:val="none"/>
        </w:rPr>
        <w:t>三、招标方式：</w:t>
      </w:r>
      <w:r>
        <w:rPr>
          <w:rFonts w:hint="eastAsia" w:ascii="宋体" w:hAnsi="宋体" w:cs="宋体"/>
          <w:snapToGrid w:val="0"/>
          <w:color w:val="auto"/>
          <w:sz w:val="21"/>
          <w:szCs w:val="21"/>
          <w:highlight w:val="none"/>
        </w:rPr>
        <w:t>公开招标</w:t>
      </w:r>
    </w:p>
    <w:p w14:paraId="4B753A5E">
      <w:pPr>
        <w:spacing w:line="360" w:lineRule="auto"/>
        <w:ind w:firstLine="401" w:firstLineChars="190"/>
        <w:jc w:val="both"/>
        <w:rPr>
          <w:rFonts w:hint="eastAsia"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四、投标人资格要求：</w:t>
      </w:r>
    </w:p>
    <w:p w14:paraId="12765A5E">
      <w:pPr>
        <w:numPr>
          <w:ilvl w:val="0"/>
          <w:numId w:val="0"/>
        </w:numPr>
        <w:adjustRightInd w:val="0"/>
        <w:snapToGrid w:val="0"/>
        <w:spacing w:line="360" w:lineRule="auto"/>
        <w:ind w:leftChars="190" w:firstLine="420" w:firstLineChars="200"/>
        <w:contextualSpacing/>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企业资质要求：具备</w:t>
      </w:r>
      <w:bookmarkStart w:id="0" w:name="OLE_LINK2"/>
      <w:r>
        <w:rPr>
          <w:rFonts w:hint="eastAsia" w:ascii="宋体" w:hAnsi="宋体" w:cs="宋体"/>
          <w:color w:val="auto"/>
          <w:sz w:val="21"/>
          <w:szCs w:val="21"/>
          <w:highlight w:val="none"/>
          <w:lang w:bidi="ar"/>
        </w:rPr>
        <w:t>建筑装修装饰工程专业承包二级及以上</w:t>
      </w:r>
      <w:bookmarkEnd w:id="0"/>
      <w:r>
        <w:rPr>
          <w:rFonts w:hint="eastAsia" w:ascii="宋体" w:hAnsi="宋体" w:cs="宋体"/>
          <w:color w:val="auto"/>
          <w:sz w:val="21"/>
          <w:szCs w:val="21"/>
          <w:highlight w:val="none"/>
          <w:lang w:val="en-US" w:eastAsia="zh-CN" w:bidi="ar"/>
        </w:rPr>
        <w:t>资质</w:t>
      </w:r>
      <w:r>
        <w:rPr>
          <w:rFonts w:hint="eastAsia" w:ascii="宋体" w:hAnsi="宋体" w:cs="宋体"/>
          <w:color w:val="auto"/>
          <w:sz w:val="21"/>
          <w:szCs w:val="21"/>
          <w:highlight w:val="none"/>
          <w:lang w:bidi="ar"/>
        </w:rPr>
        <w:t>，并具备有效的安全生产许可证。</w:t>
      </w:r>
    </w:p>
    <w:p w14:paraId="1AEB08FA">
      <w:pPr>
        <w:numPr>
          <w:ilvl w:val="0"/>
          <w:numId w:val="0"/>
        </w:numPr>
        <w:autoSpaceDE w:val="0"/>
        <w:autoSpaceDN w:val="0"/>
        <w:adjustRightInd w:val="0"/>
        <w:snapToGrid w:val="0"/>
        <w:spacing w:line="360" w:lineRule="auto"/>
        <w:ind w:leftChars="190" w:firstLine="420" w:firstLineChars="200"/>
        <w:contextualSpacing/>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项目负责人资格要求：具备</w:t>
      </w:r>
      <w:r>
        <w:rPr>
          <w:rFonts w:hint="eastAsia" w:ascii="宋体" w:hAnsi="宋体" w:cs="宋体"/>
          <w:color w:val="auto"/>
          <w:sz w:val="21"/>
          <w:szCs w:val="21"/>
          <w:highlight w:val="none"/>
          <w:lang w:val="en-US" w:eastAsia="zh-CN" w:bidi="ar"/>
        </w:rPr>
        <w:t>建筑</w:t>
      </w:r>
      <w:r>
        <w:rPr>
          <w:rFonts w:hint="eastAsia" w:ascii="宋体" w:hAnsi="宋体" w:cs="宋体"/>
          <w:color w:val="auto"/>
          <w:sz w:val="21"/>
          <w:szCs w:val="21"/>
          <w:highlight w:val="none"/>
          <w:lang w:bidi="ar"/>
        </w:rPr>
        <w:t>工程专业二级及以上注册建造师执业资格，并具备</w:t>
      </w:r>
      <w:bookmarkStart w:id="1" w:name="OLE_LINK3"/>
      <w:r>
        <w:rPr>
          <w:rFonts w:hint="eastAsia" w:ascii="宋体" w:hAnsi="宋体" w:cs="宋体"/>
          <w:color w:val="auto"/>
          <w:sz w:val="21"/>
          <w:szCs w:val="21"/>
          <w:highlight w:val="none"/>
          <w:lang w:bidi="ar"/>
        </w:rPr>
        <w:t>有效的</w:t>
      </w:r>
      <w:bookmarkEnd w:id="1"/>
      <w:r>
        <w:rPr>
          <w:rFonts w:hint="eastAsia" w:ascii="宋体" w:hAnsi="宋体" w:cs="宋体"/>
          <w:color w:val="auto"/>
          <w:sz w:val="21"/>
          <w:szCs w:val="21"/>
          <w:highlight w:val="none"/>
          <w:lang w:bidi="ar"/>
        </w:rPr>
        <w:t>安全生产考核合格证书（B证）。</w:t>
      </w:r>
    </w:p>
    <w:p w14:paraId="46312F7F">
      <w:pPr>
        <w:numPr>
          <w:ilvl w:val="0"/>
          <w:numId w:val="0"/>
        </w:numPr>
        <w:snapToGrid w:val="0"/>
        <w:spacing w:line="360" w:lineRule="auto"/>
        <w:ind w:leftChars="190" w:firstLine="420" w:firstLineChars="200"/>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其他要求：项目负责人无在建工程。</w:t>
      </w:r>
    </w:p>
    <w:p w14:paraId="0604294C">
      <w:pPr>
        <w:numPr>
          <w:ilvl w:val="0"/>
          <w:numId w:val="0"/>
        </w:numPr>
        <w:autoSpaceDE w:val="0"/>
        <w:autoSpaceDN w:val="0"/>
        <w:adjustRightInd w:val="0"/>
        <w:snapToGrid w:val="0"/>
        <w:spacing w:line="360" w:lineRule="auto"/>
        <w:ind w:leftChars="190" w:firstLine="420" w:firstLineChars="200"/>
        <w:contextualSpacing/>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本项目不接受联合体投标。</w:t>
      </w:r>
    </w:p>
    <w:p w14:paraId="79F8B410">
      <w:pPr>
        <w:snapToGrid w:val="0"/>
        <w:spacing w:line="360" w:lineRule="auto"/>
        <w:ind w:firstLine="819" w:firstLineChars="390"/>
        <w:jc w:val="both"/>
        <w:rPr>
          <w:rFonts w:hint="eastAsia" w:ascii="宋体" w:hAnsi="宋体" w:cs="宋体"/>
          <w:color w:val="auto"/>
          <w:sz w:val="21"/>
          <w:szCs w:val="21"/>
          <w:lang w:bidi="ar"/>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拒绝下述投标人参加本次招标活动：</w:t>
      </w:r>
    </w:p>
    <w:p w14:paraId="5548F96D">
      <w:pPr>
        <w:snapToGrid w:val="0"/>
        <w:spacing w:line="360" w:lineRule="auto"/>
        <w:ind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（1）投标人单位负责人为同一人或者存在直接控股、管理关系的不同投标人，不得参加同一合同项下的招标活动，否则，相关投标均无效。</w:t>
      </w:r>
    </w:p>
    <w:p w14:paraId="7F58B358">
      <w:pPr>
        <w:snapToGrid w:val="0"/>
        <w:spacing w:line="360" w:lineRule="auto"/>
        <w:ind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（2）凡为项目提供整体设计、规范编制或者项目管理、监理、检测等服务的投标人，不得再参加该项目的其他招标活动。</w:t>
      </w:r>
    </w:p>
    <w:p w14:paraId="5A154B41">
      <w:pPr>
        <w:snapToGrid w:val="0"/>
        <w:spacing w:line="360" w:lineRule="auto"/>
        <w:ind w:firstLine="399" w:firstLineChars="190"/>
        <w:jc w:val="both"/>
        <w:rPr>
          <w:rFonts w:hint="eastAsia" w:ascii="宋体" w:hAnsi="宋体" w:cs="宋体"/>
          <w:color w:val="auto"/>
          <w:sz w:val="21"/>
          <w:szCs w:val="21"/>
          <w:lang w:bidi="ar"/>
        </w:rPr>
      </w:pPr>
      <w:r>
        <w:rPr>
          <w:rFonts w:hint="eastAsia" w:ascii="宋体" w:hAnsi="宋体" w:cs="宋体"/>
          <w:color w:val="auto"/>
          <w:sz w:val="21"/>
          <w:szCs w:val="21"/>
          <w:lang w:bidi="ar"/>
        </w:rPr>
        <w:t>（3）投标人被“信用中国”网站（www.creditchina.gov.cn）列入失信被执行人、重大税收违法案件当事人名单。</w:t>
      </w:r>
    </w:p>
    <w:p w14:paraId="5142AEAD">
      <w:pPr>
        <w:spacing w:line="360" w:lineRule="auto"/>
        <w:ind w:firstLine="401" w:firstLineChars="190"/>
        <w:jc w:val="both"/>
        <w:rPr>
          <w:rFonts w:hint="eastAsia" w:ascii="宋体" w:hAnsi="宋体" w:cs="宋体"/>
          <w:b/>
          <w:bCs/>
          <w:color w:val="auto"/>
          <w:sz w:val="21"/>
          <w:szCs w:val="21"/>
          <w:lang w:bidi="ar"/>
        </w:rPr>
      </w:pPr>
      <w:r>
        <w:rPr>
          <w:rFonts w:hint="eastAsia" w:ascii="宋体" w:hAnsi="宋体" w:cs="宋体"/>
          <w:b/>
          <w:bCs/>
          <w:color w:val="auto"/>
          <w:sz w:val="21"/>
          <w:szCs w:val="21"/>
          <w:lang w:bidi="ar"/>
        </w:rPr>
        <w:t>五、招标文件获取与投标确认</w:t>
      </w:r>
    </w:p>
    <w:p w14:paraId="69CF88AE">
      <w:pPr>
        <w:spacing w:line="360" w:lineRule="auto"/>
        <w:ind w:firstLine="630" w:firstLineChars="300"/>
        <w:jc w:val="both"/>
        <w:rPr>
          <w:rFonts w:hint="eastAsia" w:ascii="宋体" w:hAnsi="宋体" w:cs="宋体" w:eastAsiaTheme="minorEastAsia"/>
          <w:color w:val="auto"/>
          <w:sz w:val="21"/>
          <w:szCs w:val="21"/>
          <w:lang w:eastAsia="zh-CN" w:bidi="ar"/>
        </w:rPr>
      </w:pPr>
      <w:r>
        <w:rPr>
          <w:rFonts w:ascii="宋体" w:hAnsi="宋体" w:cs="宋体"/>
          <w:color w:val="auto"/>
          <w:sz w:val="21"/>
          <w:szCs w:val="21"/>
          <w:lang w:bidi="ar"/>
        </w:rPr>
        <w:t>招标文件</w:t>
      </w:r>
      <w:r>
        <w:rPr>
          <w:rFonts w:hint="eastAsia" w:ascii="宋体" w:hAnsi="宋体" w:cs="宋体"/>
          <w:color w:val="auto"/>
          <w:sz w:val="21"/>
          <w:szCs w:val="21"/>
          <w:lang w:bidi="ar"/>
        </w:rPr>
        <w:t>及相关资料</w:t>
      </w:r>
      <w:r>
        <w:rPr>
          <w:rFonts w:ascii="宋体" w:hAnsi="宋体" w:cs="宋体"/>
          <w:color w:val="auto"/>
          <w:sz w:val="21"/>
          <w:szCs w:val="21"/>
          <w:lang w:bidi="ar"/>
        </w:rPr>
        <w:t>在</w:t>
      </w:r>
      <w:r>
        <w:rPr>
          <w:rFonts w:hint="eastAsia" w:ascii="宋体" w:hAnsi="宋体" w:cs="宋体"/>
          <w:color w:val="auto"/>
          <w:sz w:val="21"/>
          <w:szCs w:val="21"/>
          <w:lang w:eastAsia="zh-CN" w:bidi="ar"/>
        </w:rPr>
        <w:fldChar w:fldCharType="begin"/>
      </w:r>
      <w:r>
        <w:rPr>
          <w:rFonts w:hint="eastAsia" w:ascii="宋体" w:hAnsi="宋体" w:cs="宋体"/>
          <w:color w:val="auto"/>
          <w:sz w:val="21"/>
          <w:szCs w:val="21"/>
          <w:lang w:eastAsia="zh-CN" w:bidi="ar"/>
        </w:rPr>
        <w:instrText xml:space="preserve"> HYPERLINK "http://cggl.yzu.edu.cn/)下载，如确定参加投标，请在2022年" </w:instrText>
      </w:r>
      <w:r>
        <w:rPr>
          <w:rFonts w:hint="eastAsia" w:ascii="宋体" w:hAnsi="宋体" w:cs="宋体"/>
          <w:color w:val="auto"/>
          <w:sz w:val="21"/>
          <w:szCs w:val="21"/>
          <w:lang w:eastAsia="zh-CN" w:bidi="ar"/>
        </w:rPr>
        <w:fldChar w:fldCharType="separate"/>
      </w:r>
      <w:r>
        <w:rPr>
          <w:rFonts w:hint="eastAsia" w:ascii="宋体" w:hAnsi="宋体" w:cs="宋体"/>
          <w:color w:val="auto"/>
          <w:sz w:val="21"/>
          <w:szCs w:val="21"/>
          <w:highlight w:val="none"/>
          <w:lang w:eastAsia="zh-CN" w:bidi="ar"/>
        </w:rPr>
        <w:t>中国招投标网（</w:t>
      </w:r>
      <w:r>
        <w:rPr>
          <w:rFonts w:hint="eastAsia" w:ascii="宋体" w:hAnsi="宋体" w:cs="宋体"/>
          <w:color w:val="auto"/>
          <w:sz w:val="21"/>
          <w:szCs w:val="21"/>
          <w:highlight w:val="none"/>
          <w:lang w:eastAsia="zh-CN" w:bidi="ar"/>
        </w:rPr>
        <w:fldChar w:fldCharType="begin"/>
      </w:r>
      <w:r>
        <w:rPr>
          <w:rFonts w:hint="eastAsia" w:ascii="宋体" w:hAnsi="宋体" w:cs="宋体"/>
          <w:color w:val="auto"/>
          <w:sz w:val="21"/>
          <w:szCs w:val="21"/>
          <w:highlight w:val="none"/>
          <w:lang w:eastAsia="zh-CN" w:bidi="ar"/>
        </w:rPr>
        <w:instrText xml:space="preserve"> HYPERLINK "http://www.infobidding.com" </w:instrText>
      </w:r>
      <w:r>
        <w:rPr>
          <w:rFonts w:hint="eastAsia" w:ascii="宋体" w:hAnsi="宋体" w:cs="宋体"/>
          <w:color w:val="auto"/>
          <w:sz w:val="21"/>
          <w:szCs w:val="21"/>
          <w:highlight w:val="none"/>
          <w:lang w:eastAsia="zh-CN" w:bidi="ar"/>
        </w:rPr>
        <w:fldChar w:fldCharType="separate"/>
      </w:r>
      <w:r>
        <w:rPr>
          <w:rFonts w:hint="eastAsia" w:ascii="宋体" w:hAnsi="宋体" w:cs="宋体"/>
          <w:color w:val="auto"/>
          <w:sz w:val="21"/>
          <w:szCs w:val="21"/>
          <w:highlight w:val="none"/>
          <w:lang w:eastAsia="zh-CN" w:bidi="ar"/>
        </w:rPr>
        <w:t>http://www.infobidding.com</w:t>
      </w:r>
      <w:r>
        <w:rPr>
          <w:rFonts w:hint="eastAsia" w:ascii="宋体" w:hAnsi="宋体" w:cs="宋体"/>
          <w:color w:val="auto"/>
          <w:sz w:val="21"/>
          <w:szCs w:val="21"/>
          <w:highlight w:val="none"/>
          <w:lang w:eastAsia="zh-CN" w:bidi="ar"/>
        </w:rPr>
        <w:fldChar w:fldCharType="end"/>
      </w:r>
      <w:r>
        <w:rPr>
          <w:rFonts w:hint="eastAsia" w:ascii="宋体" w:hAnsi="宋体" w:cs="宋体"/>
          <w:color w:val="auto"/>
          <w:sz w:val="21"/>
          <w:szCs w:val="21"/>
          <w:highlight w:val="none"/>
          <w:lang w:eastAsia="zh-CN" w:bidi="ar"/>
        </w:rPr>
        <w:t>）</w:t>
      </w:r>
      <w:r>
        <w:rPr>
          <w:rFonts w:hint="eastAsia" w:ascii="宋体" w:hAnsi="宋体" w:cs="宋体"/>
          <w:color w:val="auto"/>
          <w:sz w:val="21"/>
          <w:szCs w:val="21"/>
          <w:lang w:eastAsia="zh-CN" w:bidi="ar"/>
        </w:rPr>
        <w:t>下载</w:t>
      </w:r>
      <w:r>
        <w:rPr>
          <w:rFonts w:hint="eastAsia" w:ascii="宋体" w:hAnsi="宋体" w:cs="宋体"/>
          <w:color w:val="auto"/>
          <w:sz w:val="21"/>
          <w:szCs w:val="21"/>
          <w:lang w:val="en-US" w:eastAsia="zh-CN" w:bidi="ar"/>
        </w:rPr>
        <w:t>或者联系招标代理机构获取</w:t>
      </w:r>
      <w:r>
        <w:rPr>
          <w:rFonts w:hint="eastAsia" w:ascii="宋体" w:hAnsi="宋体" w:cs="宋体"/>
          <w:color w:val="auto"/>
          <w:sz w:val="21"/>
          <w:szCs w:val="21"/>
          <w:lang w:eastAsia="zh-CN" w:bidi="ar"/>
        </w:rPr>
        <w:t>，如确定参加投标，请在20</w:t>
      </w:r>
      <w:r>
        <w:rPr>
          <w:rFonts w:hint="eastAsia" w:ascii="宋体" w:hAnsi="宋体" w:cs="宋体"/>
          <w:color w:val="auto"/>
          <w:sz w:val="21"/>
          <w:szCs w:val="21"/>
          <w:lang w:val="en-US" w:eastAsia="zh-CN" w:bidi="ar"/>
        </w:rPr>
        <w:t>24</w:t>
      </w:r>
      <w:r>
        <w:rPr>
          <w:rFonts w:hint="eastAsia" w:ascii="宋体" w:hAnsi="宋体" w:cs="宋体"/>
          <w:color w:val="auto"/>
          <w:sz w:val="21"/>
          <w:szCs w:val="21"/>
          <w:lang w:eastAsia="zh-CN" w:bidi="ar"/>
        </w:rPr>
        <w:t>年</w:t>
      </w:r>
      <w:r>
        <w:rPr>
          <w:rFonts w:hint="eastAsia" w:ascii="宋体" w:hAnsi="宋体" w:cs="宋体"/>
          <w:color w:val="auto"/>
          <w:sz w:val="21"/>
          <w:szCs w:val="21"/>
          <w:lang w:eastAsia="zh-CN" w:bidi="ar"/>
        </w:rPr>
        <w:fldChar w:fldCharType="end"/>
      </w:r>
      <w:r>
        <w:rPr>
          <w:rFonts w:hint="eastAsia" w:ascii="宋体" w:hAnsi="宋体" w:cs="宋体"/>
          <w:color w:val="auto"/>
          <w:sz w:val="21"/>
          <w:szCs w:val="21"/>
          <w:lang w:val="en-US" w:eastAsia="zh-CN" w:bidi="ar"/>
        </w:rPr>
        <w:t>12</w:t>
      </w:r>
      <w:r>
        <w:rPr>
          <w:rFonts w:hint="eastAsia" w:ascii="宋体" w:hAnsi="宋体" w:cs="宋体"/>
          <w:color w:val="auto"/>
          <w:sz w:val="21"/>
          <w:szCs w:val="21"/>
          <w:lang w:eastAsia="zh-CN" w:bidi="ar"/>
        </w:rPr>
        <w:t>月</w:t>
      </w:r>
      <w:r>
        <w:rPr>
          <w:rFonts w:hint="eastAsia" w:ascii="宋体" w:hAnsi="宋体" w:cs="宋体"/>
          <w:color w:val="auto"/>
          <w:sz w:val="21"/>
          <w:szCs w:val="21"/>
          <w:lang w:val="en-US" w:eastAsia="zh-CN" w:bidi="ar"/>
        </w:rPr>
        <w:t>26</w:t>
      </w:r>
      <w:r>
        <w:rPr>
          <w:rFonts w:hint="eastAsia" w:ascii="宋体" w:hAnsi="宋体" w:cs="宋体"/>
          <w:color w:val="auto"/>
          <w:sz w:val="21"/>
          <w:szCs w:val="21"/>
          <w:lang w:eastAsia="zh-CN" w:bidi="ar"/>
        </w:rPr>
        <w:t>日17∶00</w:t>
      </w:r>
      <w:r>
        <w:rPr>
          <w:rFonts w:ascii="宋体" w:hAnsi="宋体" w:cs="宋体"/>
          <w:color w:val="auto"/>
          <w:sz w:val="21"/>
          <w:szCs w:val="21"/>
          <w:lang w:bidi="ar"/>
        </w:rPr>
        <w:t>前填写好《投标确认函》(格式</w:t>
      </w:r>
      <w:r>
        <w:rPr>
          <w:rFonts w:hint="eastAsia" w:ascii="宋体" w:hAnsi="宋体" w:cs="宋体"/>
          <w:color w:val="auto"/>
          <w:sz w:val="21"/>
          <w:szCs w:val="21"/>
          <w:lang w:bidi="ar"/>
        </w:rPr>
        <w:t>见招标文件</w:t>
      </w:r>
      <w:r>
        <w:rPr>
          <w:rFonts w:ascii="宋体" w:hAnsi="宋体" w:cs="宋体"/>
          <w:color w:val="auto"/>
          <w:sz w:val="21"/>
          <w:szCs w:val="21"/>
          <w:lang w:bidi="ar"/>
        </w:rPr>
        <w:t>），并回复至</w:t>
      </w:r>
      <w:r>
        <w:rPr>
          <w:rFonts w:hint="eastAsia" w:ascii="宋体" w:hAnsi="宋体" w:cs="宋体"/>
          <w:color w:val="auto"/>
          <w:sz w:val="21"/>
          <w:szCs w:val="21"/>
          <w:lang w:val="en-US" w:eastAsia="zh-CN" w:bidi="ar"/>
        </w:rPr>
        <w:t>857580353</w:t>
      </w:r>
      <w:r>
        <w:rPr>
          <w:rFonts w:hint="eastAsia" w:ascii="宋体" w:hAnsi="宋体" w:cs="宋体"/>
          <w:color w:val="auto"/>
          <w:sz w:val="21"/>
          <w:szCs w:val="21"/>
          <w:lang w:bidi="ar"/>
        </w:rPr>
        <w:t>@qq.com</w:t>
      </w:r>
      <w:r>
        <w:rPr>
          <w:rFonts w:ascii="宋体" w:hAnsi="宋体" w:cs="宋体"/>
          <w:color w:val="auto"/>
          <w:sz w:val="21"/>
          <w:szCs w:val="21"/>
          <w:lang w:bidi="ar"/>
        </w:rPr>
        <w:t>邮箱，联系电话</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15062822404</w:t>
      </w:r>
      <w:r>
        <w:rPr>
          <w:rFonts w:ascii="宋体" w:hAnsi="宋体" w:cs="宋体"/>
          <w:color w:val="auto"/>
          <w:sz w:val="21"/>
          <w:szCs w:val="21"/>
          <w:lang w:bidi="ar"/>
        </w:rPr>
        <w:t>，如投标人未按上述要求去做，将自行承担所产生的风险。</w:t>
      </w:r>
    </w:p>
    <w:p w14:paraId="1AD86269">
      <w:pPr>
        <w:numPr>
          <w:ilvl w:val="0"/>
          <w:numId w:val="0"/>
        </w:numPr>
        <w:adjustRightInd w:val="0"/>
        <w:snapToGrid w:val="0"/>
        <w:spacing w:line="360" w:lineRule="auto"/>
        <w:ind w:firstLine="422" w:firstLineChars="200"/>
        <w:contextualSpacing/>
        <w:rPr>
          <w:rFonts w:hint="eastAsia" w:hAnsi="宋体" w:cs="宋体" w:eastAsiaTheme="minorEastAsia"/>
          <w:b/>
          <w:bCs/>
          <w:color w:val="auto"/>
          <w:sz w:val="21"/>
          <w:szCs w:val="21"/>
          <w:highlight w:val="none"/>
          <w:lang w:eastAsia="zh-CN" w:bidi="ar"/>
        </w:rPr>
      </w:pPr>
      <w:r>
        <w:rPr>
          <w:rFonts w:hint="eastAsia" w:hAnsi="宋体" w:cs="宋体"/>
          <w:b/>
          <w:bCs/>
          <w:color w:val="auto"/>
          <w:sz w:val="21"/>
          <w:szCs w:val="21"/>
          <w:highlight w:val="none"/>
          <w:lang w:val="en-US" w:eastAsia="zh-CN" w:bidi="ar"/>
        </w:rPr>
        <w:t>六、</w:t>
      </w:r>
      <w:r>
        <w:rPr>
          <w:rFonts w:hint="eastAsia" w:hAnsi="宋体" w:cs="宋体"/>
          <w:b/>
          <w:bCs/>
          <w:color w:val="auto"/>
          <w:sz w:val="21"/>
          <w:szCs w:val="21"/>
          <w:highlight w:val="none"/>
          <w:lang w:bidi="ar"/>
        </w:rPr>
        <w:t>现场考察或召开答疑会：</w:t>
      </w:r>
    </w:p>
    <w:p w14:paraId="7012FA6B">
      <w:pPr>
        <w:numPr>
          <w:ilvl w:val="0"/>
          <w:numId w:val="0"/>
        </w:numPr>
        <w:adjustRightInd w:val="0"/>
        <w:snapToGrid w:val="0"/>
        <w:spacing w:line="360" w:lineRule="auto"/>
        <w:ind w:firstLine="630" w:firstLineChars="300"/>
        <w:contextualSpacing/>
        <w:rPr>
          <w:rFonts w:hint="default" w:ascii="宋体" w:hAnsi="宋体" w:cs="宋体" w:eastAsiaTheme="minorEastAsia"/>
          <w:snapToGrid w:val="0"/>
          <w:color w:val="auto"/>
          <w:sz w:val="21"/>
          <w:szCs w:val="21"/>
          <w:highlight w:val="none"/>
          <w:lang w:val="en-US" w:eastAsia="zh-CN"/>
        </w:rPr>
      </w:pPr>
      <w:r>
        <w:rPr>
          <w:rFonts w:hint="eastAsia" w:ascii="宋体" w:hAnsi="宋体" w:cs="宋体"/>
          <w:snapToGrid w:val="0"/>
          <w:color w:val="auto"/>
          <w:sz w:val="21"/>
          <w:szCs w:val="21"/>
          <w:highlight w:val="none"/>
        </w:rPr>
        <w:t>集中勘察时间</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lang w:val="en-US" w:eastAsia="zh-CN"/>
        </w:rPr>
        <w:t>/</w:t>
      </w:r>
    </w:p>
    <w:p w14:paraId="4648B6AC">
      <w:pPr>
        <w:adjustRightInd w:val="0"/>
        <w:snapToGrid w:val="0"/>
        <w:spacing w:line="360" w:lineRule="auto"/>
        <w:ind w:firstLine="630" w:firstLineChars="300"/>
        <w:contextualSpacing/>
        <w:rPr>
          <w:rFonts w:hint="eastAsia" w:ascii="宋体" w:hAnsi="宋体" w:cs="宋体" w:eastAsiaTheme="minorEastAsia"/>
          <w:snapToGrid w:val="0"/>
          <w:color w:val="auto"/>
          <w:sz w:val="21"/>
          <w:szCs w:val="21"/>
          <w:highlight w:val="none"/>
          <w:lang w:val="en-US" w:eastAsia="zh-CN"/>
        </w:rPr>
      </w:pPr>
      <w:r>
        <w:rPr>
          <w:rFonts w:hint="eastAsia" w:ascii="宋体" w:hAnsi="宋体" w:cs="宋体"/>
          <w:snapToGrid w:val="0"/>
          <w:color w:val="auto"/>
          <w:sz w:val="21"/>
          <w:szCs w:val="21"/>
          <w:highlight w:val="none"/>
        </w:rPr>
        <w:t>集中地点：</w:t>
      </w:r>
      <w:r>
        <w:rPr>
          <w:rFonts w:hint="eastAsia" w:ascii="宋体" w:hAnsi="宋体" w:cs="宋体"/>
          <w:snapToGrid w:val="0"/>
          <w:color w:val="auto"/>
          <w:sz w:val="21"/>
          <w:szCs w:val="21"/>
          <w:highlight w:val="none"/>
          <w:lang w:val="en-US" w:eastAsia="zh-CN"/>
        </w:rPr>
        <w:t>/</w:t>
      </w:r>
    </w:p>
    <w:p w14:paraId="66808840">
      <w:pPr>
        <w:adjustRightInd w:val="0"/>
        <w:snapToGrid w:val="0"/>
        <w:spacing w:line="360" w:lineRule="auto"/>
        <w:ind w:firstLine="630" w:firstLineChars="300"/>
        <w:contextualSpacing/>
        <w:rPr>
          <w:color w:val="auto"/>
          <w:highlight w:val="none"/>
        </w:rPr>
      </w:pPr>
      <w:r>
        <w:rPr>
          <w:rFonts w:hint="eastAsia" w:ascii="宋体" w:hAnsi="宋体" w:cs="宋体"/>
          <w:snapToGrid w:val="0"/>
          <w:color w:val="auto"/>
          <w:sz w:val="21"/>
          <w:szCs w:val="21"/>
          <w:highlight w:val="none"/>
        </w:rPr>
        <w:t>联系人：</w:t>
      </w:r>
      <w:r>
        <w:rPr>
          <w:rFonts w:hint="eastAsia" w:ascii="宋体" w:hAnsi="宋体" w:cs="宋体"/>
          <w:snapToGrid w:val="0"/>
          <w:color w:val="auto"/>
          <w:sz w:val="21"/>
          <w:szCs w:val="21"/>
          <w:highlight w:val="none"/>
          <w:lang w:val="en-US" w:eastAsia="zh-CN"/>
        </w:rPr>
        <w:t>/</w:t>
      </w:r>
    </w:p>
    <w:p w14:paraId="35FE59C6">
      <w:pPr>
        <w:spacing w:line="360" w:lineRule="auto"/>
        <w:ind w:firstLine="401" w:firstLineChars="190"/>
        <w:jc w:val="both"/>
        <w:rPr>
          <w:rFonts w:ascii="宋体" w:hAnsi="宋体" w:cs="宋体"/>
          <w:color w:val="auto"/>
          <w:sz w:val="21"/>
          <w:szCs w:val="21"/>
          <w:highlight w:val="none"/>
          <w:lang w:bidi="ar"/>
        </w:rPr>
      </w:pPr>
      <w:r>
        <w:rPr>
          <w:rFonts w:hint="eastAsia" w:ascii="宋体" w:hAnsi="宋体" w:cs="宋体"/>
          <w:b/>
          <w:bCs/>
          <w:color w:val="auto"/>
          <w:sz w:val="21"/>
          <w:szCs w:val="21"/>
          <w:highlight w:val="none"/>
          <w:lang w:bidi="ar"/>
        </w:rPr>
        <w:t>七、资格审查方式：</w:t>
      </w:r>
      <w:r>
        <w:rPr>
          <w:rFonts w:hint="eastAsia" w:ascii="宋体" w:hAnsi="宋体" w:cs="宋体"/>
          <w:color w:val="auto"/>
          <w:sz w:val="21"/>
          <w:szCs w:val="21"/>
          <w:highlight w:val="none"/>
          <w:lang w:bidi="ar"/>
        </w:rPr>
        <w:t>资格后审</w:t>
      </w:r>
    </w:p>
    <w:p w14:paraId="3F6A49AB">
      <w:pPr>
        <w:spacing w:line="360" w:lineRule="auto"/>
        <w:ind w:firstLine="401" w:firstLineChars="190"/>
        <w:jc w:val="both"/>
        <w:rPr>
          <w:rFonts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八、开标：</w:t>
      </w:r>
    </w:p>
    <w:p w14:paraId="7B27E6BC">
      <w:pPr>
        <w:snapToGrid w:val="0"/>
        <w:spacing w:line="360" w:lineRule="auto"/>
        <w:ind w:left="210" w:leftChars="100" w:firstLine="399" w:firstLineChars="190"/>
        <w:jc w:val="both"/>
        <w:rPr>
          <w:rFonts w:hint="eastAsia"/>
          <w:color w:val="auto"/>
          <w:highlight w:val="none"/>
        </w:rPr>
      </w:pPr>
      <w:r>
        <w:rPr>
          <w:rFonts w:hint="eastAsia" w:ascii="宋体" w:hAnsi="宋体" w:cs="宋体"/>
          <w:color w:val="auto"/>
          <w:sz w:val="21"/>
          <w:szCs w:val="21"/>
          <w:highlight w:val="none"/>
          <w:lang w:bidi="ar"/>
        </w:rPr>
        <w:t>投标截止时间：</w:t>
      </w:r>
      <w:r>
        <w:rPr>
          <w:rFonts w:hint="eastAsia" w:ascii="宋体" w:hAnsi="宋体" w:cs="宋体"/>
          <w:snapToGrid w:val="0"/>
          <w:color w:val="auto"/>
          <w:sz w:val="21"/>
          <w:szCs w:val="21"/>
          <w:highlight w:val="none"/>
        </w:rPr>
        <w:t>20</w:t>
      </w:r>
      <w:r>
        <w:rPr>
          <w:rFonts w:hint="eastAsia" w:ascii="宋体" w:hAnsi="宋体" w:cs="宋体"/>
          <w:snapToGrid w:val="0"/>
          <w:color w:val="auto"/>
          <w:sz w:val="21"/>
          <w:szCs w:val="21"/>
          <w:highlight w:val="none"/>
          <w:lang w:val="en-US" w:eastAsia="zh-CN"/>
        </w:rPr>
        <w:t>24</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u w:val="single"/>
          <w:lang w:val="en-US" w:eastAsia="zh-CN"/>
        </w:rPr>
        <w:t>12</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u w:val="single"/>
          <w:lang w:val="en-US" w:eastAsia="zh-CN"/>
        </w:rPr>
        <w:t>30</w:t>
      </w:r>
      <w:r>
        <w:rPr>
          <w:rFonts w:hint="eastAsia" w:ascii="宋体" w:hAnsi="宋体" w:cs="宋体"/>
          <w:snapToGrid w:val="0"/>
          <w:color w:val="auto"/>
          <w:sz w:val="21"/>
          <w:szCs w:val="21"/>
          <w:highlight w:val="none"/>
        </w:rPr>
        <w:t>日</w:t>
      </w:r>
      <w:r>
        <w:rPr>
          <w:rFonts w:hint="eastAsia" w:ascii="宋体" w:hAnsi="宋体" w:cs="宋体"/>
          <w:snapToGrid w:val="0"/>
          <w:color w:val="auto"/>
          <w:sz w:val="21"/>
          <w:szCs w:val="21"/>
          <w:highlight w:val="none"/>
          <w:lang w:val="en-US" w:eastAsia="zh-CN"/>
        </w:rPr>
        <w:t>15</w:t>
      </w:r>
      <w:r>
        <w:rPr>
          <w:rFonts w:hint="eastAsia" w:ascii="宋体" w:hAnsi="宋体" w:cs="宋体"/>
          <w:snapToGrid w:val="0"/>
          <w:color w:val="auto"/>
          <w:sz w:val="21"/>
          <w:szCs w:val="21"/>
          <w:highlight w:val="none"/>
        </w:rPr>
        <w:t>时</w:t>
      </w:r>
      <w:r>
        <w:rPr>
          <w:rFonts w:hint="eastAsia" w:ascii="宋体" w:hAnsi="宋体" w:cs="宋体"/>
          <w:snapToGrid w:val="0"/>
          <w:color w:val="auto"/>
          <w:sz w:val="21"/>
          <w:szCs w:val="21"/>
          <w:highlight w:val="none"/>
          <w:lang w:val="en-US" w:eastAsia="zh-CN"/>
        </w:rPr>
        <w:t>0</w:t>
      </w:r>
      <w:r>
        <w:rPr>
          <w:rFonts w:hint="eastAsia" w:ascii="宋体" w:hAnsi="宋体" w:cs="宋体"/>
          <w:snapToGrid w:val="0"/>
          <w:color w:val="auto"/>
          <w:sz w:val="21"/>
          <w:szCs w:val="21"/>
          <w:highlight w:val="none"/>
        </w:rPr>
        <w:t>0分整</w:t>
      </w:r>
      <w:r>
        <w:rPr>
          <w:rFonts w:hint="eastAsia" w:ascii="宋体" w:hAnsi="宋体" w:cs="宋体"/>
          <w:color w:val="auto"/>
          <w:sz w:val="21"/>
          <w:szCs w:val="21"/>
          <w:highlight w:val="none"/>
          <w:lang w:bidi="ar"/>
        </w:rPr>
        <w:t>，接收地点：</w:t>
      </w:r>
      <w:r>
        <w:rPr>
          <w:rFonts w:hint="eastAsia" w:ascii="宋体" w:hAnsi="宋体" w:eastAsia="宋体" w:cs="宋体"/>
          <w:color w:val="333333"/>
          <w:kern w:val="0"/>
          <w:szCs w:val="21"/>
        </w:rPr>
        <w:t>江苏汇诚投资咨询管理有限公司开标室（扬州市邗江北路68号旺角西入口三楼）</w:t>
      </w:r>
      <w:r>
        <w:rPr>
          <w:rFonts w:hint="eastAsia" w:ascii="宋体" w:hAnsi="宋体" w:cs="宋体"/>
          <w:color w:val="auto"/>
          <w:sz w:val="21"/>
          <w:szCs w:val="21"/>
          <w:highlight w:val="none"/>
          <w:lang w:bidi="ar"/>
        </w:rPr>
        <w:t>。开标将于上述投标文件接收截止的同一时间、同一地点举行</w:t>
      </w:r>
      <w:r>
        <w:rPr>
          <w:rFonts w:hint="eastAsia" w:hAnsi="宋体" w:cs="宋体"/>
          <w:color w:val="auto"/>
          <w:sz w:val="24"/>
          <w:szCs w:val="24"/>
          <w:highlight w:val="none"/>
        </w:rPr>
        <w:t>。</w:t>
      </w:r>
    </w:p>
    <w:p w14:paraId="326E5CE6">
      <w:pPr>
        <w:spacing w:line="360" w:lineRule="auto"/>
        <w:ind w:firstLine="401" w:firstLineChars="190"/>
        <w:jc w:val="both"/>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九、联系方式：</w:t>
      </w:r>
    </w:p>
    <w:p w14:paraId="7D008138">
      <w:pPr>
        <w:snapToGrid w:val="0"/>
        <w:spacing w:line="360" w:lineRule="auto"/>
        <w:ind w:firstLine="609" w:firstLineChars="290"/>
        <w:jc w:val="both"/>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1.采购人信息</w:t>
      </w:r>
    </w:p>
    <w:p w14:paraId="2C40344A">
      <w:pPr>
        <w:snapToGrid w:val="0"/>
        <w:spacing w:line="360" w:lineRule="auto"/>
        <w:ind w:firstLine="819" w:firstLineChars="390"/>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名 称：</w:t>
      </w:r>
      <w:r>
        <w:rPr>
          <w:rFonts w:hint="eastAsia" w:ascii="宋体" w:hAnsi="宋体" w:cs="宋体"/>
          <w:snapToGrid w:val="0"/>
          <w:color w:val="auto"/>
          <w:sz w:val="21"/>
          <w:szCs w:val="21"/>
          <w:highlight w:val="none"/>
        </w:rPr>
        <w:t>扬州大学附属医院</w:t>
      </w:r>
    </w:p>
    <w:p w14:paraId="05878B5C">
      <w:pPr>
        <w:snapToGrid w:val="0"/>
        <w:spacing w:line="360" w:lineRule="auto"/>
        <w:ind w:firstLine="819" w:firstLineChars="390"/>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联系人：张老师</w:t>
      </w:r>
    </w:p>
    <w:p w14:paraId="60E12C1A">
      <w:pPr>
        <w:snapToGrid w:val="0"/>
        <w:spacing w:line="360" w:lineRule="auto"/>
        <w:ind w:firstLine="819" w:firstLineChars="390"/>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电 话：0514-82099552</w:t>
      </w:r>
    </w:p>
    <w:p w14:paraId="2BE32EB4">
      <w:pPr>
        <w:snapToGrid w:val="0"/>
        <w:spacing w:line="360" w:lineRule="auto"/>
        <w:ind w:firstLine="609" w:firstLineChars="290"/>
        <w:jc w:val="both"/>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2.采购代理机构信息</w:t>
      </w:r>
    </w:p>
    <w:p w14:paraId="1C019C82">
      <w:pPr>
        <w:adjustRightInd w:val="0"/>
        <w:snapToGrid w:val="0"/>
        <w:spacing w:line="360" w:lineRule="auto"/>
        <w:ind w:firstLine="819" w:firstLineChars="39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招标代理单位：江苏汇诚投资咨询管理有限公司</w:t>
      </w:r>
    </w:p>
    <w:p w14:paraId="1200FE1A">
      <w:pPr>
        <w:adjustRightInd w:val="0"/>
        <w:snapToGrid w:val="0"/>
        <w:spacing w:line="360" w:lineRule="auto"/>
        <w:ind w:firstLine="819" w:firstLineChars="39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联系人：江鹏</w:t>
      </w:r>
    </w:p>
    <w:p w14:paraId="0A0CDDC7">
      <w:pPr>
        <w:adjustRightInd w:val="0"/>
        <w:snapToGrid w:val="0"/>
        <w:spacing w:line="360" w:lineRule="auto"/>
        <w:ind w:firstLine="819" w:firstLineChars="390"/>
        <w:contextualSpacing/>
        <w:rPr>
          <w:rFonts w:hint="eastAsia" w:ascii="宋体" w:hAnsi="宋体" w:cs="宋体"/>
          <w:snapToGrid w:val="0"/>
          <w:color w:val="auto"/>
          <w:sz w:val="21"/>
          <w:szCs w:val="21"/>
          <w:lang w:eastAsia="zh-CN"/>
        </w:rPr>
      </w:pPr>
      <w:r>
        <w:rPr>
          <w:rFonts w:hint="eastAsia" w:ascii="宋体" w:hAnsi="宋体" w:cs="宋体"/>
          <w:snapToGrid w:val="0"/>
          <w:color w:val="auto"/>
          <w:sz w:val="21"/>
          <w:szCs w:val="21"/>
        </w:rPr>
        <w:t>电话：0514-80827735、15062822404</w:t>
      </w:r>
    </w:p>
    <w:p w14:paraId="38BAAFEA">
      <w:pPr>
        <w:adjustRightInd w:val="0"/>
        <w:snapToGrid w:val="0"/>
        <w:spacing w:line="360" w:lineRule="auto"/>
        <w:ind w:firstLine="819" w:firstLineChars="39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工作QQ：</w:t>
      </w:r>
      <w:r>
        <w:rPr>
          <w:rFonts w:hint="eastAsia" w:ascii="宋体" w:hAnsi="宋体" w:cs="宋体"/>
          <w:snapToGrid w:val="0"/>
          <w:color w:val="auto"/>
          <w:sz w:val="21"/>
          <w:szCs w:val="21"/>
          <w:lang w:val="en-US" w:eastAsia="zh-CN"/>
        </w:rPr>
        <w:t>857580353</w:t>
      </w:r>
      <w:r>
        <w:rPr>
          <w:rFonts w:hint="eastAsia" w:ascii="宋体" w:hAnsi="宋体" w:cs="宋体"/>
          <w:snapToGrid w:val="0"/>
          <w:color w:val="auto"/>
          <w:sz w:val="21"/>
          <w:szCs w:val="21"/>
        </w:rPr>
        <w:t>@qq.com</w:t>
      </w:r>
    </w:p>
    <w:p w14:paraId="2811C7EA">
      <w:pPr>
        <w:adjustRightInd w:val="0"/>
        <w:snapToGrid w:val="0"/>
        <w:spacing w:line="360" w:lineRule="auto"/>
        <w:ind w:firstLine="819" w:firstLineChars="39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地址：扬州市邗江北路68号</w:t>
      </w:r>
    </w:p>
    <w:p w14:paraId="10D68F2A">
      <w:pPr>
        <w:spacing w:line="360" w:lineRule="auto"/>
        <w:jc w:val="right"/>
        <w:rPr>
          <w:rFonts w:ascii="宋体" w:hAnsi="宋体" w:cs="宋体"/>
          <w:snapToGrid w:val="0"/>
          <w:color w:val="auto"/>
          <w:sz w:val="21"/>
          <w:szCs w:val="21"/>
        </w:rPr>
      </w:pPr>
      <w:r>
        <w:rPr>
          <w:rFonts w:hint="eastAsia" w:ascii="宋体" w:hAnsi="宋体" w:cs="宋体"/>
          <w:snapToGrid w:val="0"/>
          <w:color w:val="auto"/>
          <w:sz w:val="21"/>
          <w:szCs w:val="21"/>
        </w:rPr>
        <w:t>202</w:t>
      </w:r>
      <w:r>
        <w:rPr>
          <w:rFonts w:hint="eastAsia" w:ascii="宋体" w:hAnsi="宋体" w:cs="宋体"/>
          <w:snapToGrid w:val="0"/>
          <w:color w:val="auto"/>
          <w:sz w:val="21"/>
          <w:szCs w:val="21"/>
          <w:lang w:val="en-US" w:eastAsia="zh-CN"/>
        </w:rPr>
        <w:t>4</w:t>
      </w:r>
      <w:r>
        <w:rPr>
          <w:rFonts w:hint="eastAsia" w:ascii="宋体" w:hAnsi="宋体" w:cs="宋体"/>
          <w:snapToGrid w:val="0"/>
          <w:color w:val="auto"/>
          <w:sz w:val="21"/>
          <w:szCs w:val="21"/>
        </w:rPr>
        <w:t>年</w:t>
      </w:r>
      <w:r>
        <w:rPr>
          <w:rFonts w:hint="eastAsia" w:ascii="宋体" w:hAnsi="宋体" w:cs="宋体"/>
          <w:snapToGrid w:val="0"/>
          <w:color w:val="auto"/>
          <w:sz w:val="21"/>
          <w:szCs w:val="21"/>
          <w:lang w:val="en-US" w:eastAsia="zh-CN"/>
        </w:rPr>
        <w:t>12</w:t>
      </w:r>
      <w:r>
        <w:rPr>
          <w:rFonts w:hint="eastAsia" w:ascii="宋体" w:hAnsi="宋体" w:cs="宋体"/>
          <w:snapToGrid w:val="0"/>
          <w:color w:val="auto"/>
          <w:sz w:val="21"/>
          <w:szCs w:val="21"/>
        </w:rPr>
        <w:t>月</w:t>
      </w:r>
      <w:r>
        <w:rPr>
          <w:rFonts w:hint="eastAsia" w:ascii="宋体" w:hAnsi="宋体" w:cs="宋体"/>
          <w:snapToGrid w:val="0"/>
          <w:color w:val="auto"/>
          <w:sz w:val="21"/>
          <w:szCs w:val="21"/>
          <w:lang w:val="en-US" w:eastAsia="zh-CN"/>
        </w:rPr>
        <w:t>20</w:t>
      </w:r>
      <w:r>
        <w:rPr>
          <w:rFonts w:hint="eastAsia" w:ascii="宋体" w:hAnsi="宋体" w:cs="宋体"/>
          <w:snapToGrid w:val="0"/>
          <w:color w:val="auto"/>
          <w:sz w:val="21"/>
          <w:szCs w:val="21"/>
        </w:rPr>
        <w:t>日</w:t>
      </w:r>
    </w:p>
    <w:p w14:paraId="450CEB6C">
      <w:pPr>
        <w:rPr>
          <w:color w:val="auto"/>
        </w:rPr>
      </w:pPr>
    </w:p>
    <w:p w14:paraId="18E1B051">
      <w:pPr>
        <w:adjustRightInd w:val="0"/>
        <w:snapToGrid w:val="0"/>
        <w:spacing w:line="360" w:lineRule="auto"/>
        <w:jc w:val="center"/>
        <w:rPr>
          <w:rFonts w:hint="eastAsia" w:ascii="宋体" w:hAnsi="宋体" w:cs="宋体"/>
          <w:bCs/>
          <w:snapToGrid w:val="0"/>
          <w:color w:val="auto"/>
          <w:sz w:val="44"/>
        </w:rPr>
      </w:pPr>
      <w:r>
        <w:rPr>
          <w:rFonts w:hint="eastAsia" w:ascii="宋体" w:hAnsi="宋体" w:cs="宋体"/>
          <w:bCs/>
          <w:snapToGrid w:val="0"/>
          <w:color w:val="auto"/>
          <w:sz w:val="44"/>
        </w:rPr>
        <w:br w:type="page"/>
      </w:r>
    </w:p>
    <w:p w14:paraId="215DDFF8">
      <w:pPr>
        <w:adjustRightInd w:val="0"/>
        <w:snapToGrid w:val="0"/>
        <w:spacing w:line="360" w:lineRule="auto"/>
        <w:jc w:val="center"/>
        <w:rPr>
          <w:rFonts w:hint="eastAsia" w:ascii="宋体" w:hAnsi="宋体" w:cs="宋体"/>
          <w:bCs/>
          <w:snapToGrid w:val="0"/>
          <w:color w:val="auto"/>
          <w:sz w:val="21"/>
          <w:szCs w:val="21"/>
        </w:rPr>
      </w:pPr>
    </w:p>
    <w:p w14:paraId="39CBE552">
      <w:pPr>
        <w:adjustRightInd w:val="0"/>
        <w:snapToGrid w:val="0"/>
        <w:spacing w:line="360" w:lineRule="auto"/>
        <w:jc w:val="center"/>
        <w:rPr>
          <w:rFonts w:hint="eastAsia" w:ascii="宋体" w:hAnsi="宋体" w:cs="宋体"/>
          <w:bCs/>
          <w:snapToGrid w:val="0"/>
          <w:color w:val="auto"/>
          <w:sz w:val="44"/>
        </w:rPr>
      </w:pPr>
      <w:r>
        <w:rPr>
          <w:rFonts w:hint="eastAsia" w:ascii="宋体" w:hAnsi="宋体" w:cs="宋体"/>
          <w:bCs/>
          <w:snapToGrid w:val="0"/>
          <w:color w:val="auto"/>
          <w:sz w:val="44"/>
        </w:rPr>
        <w:t>目         录</w:t>
      </w:r>
    </w:p>
    <w:p w14:paraId="73801ECD">
      <w:pPr>
        <w:adjustRightInd w:val="0"/>
        <w:snapToGrid w:val="0"/>
        <w:spacing w:line="480" w:lineRule="auto"/>
        <w:ind w:firstLine="630" w:firstLineChars="350"/>
        <w:jc w:val="both"/>
        <w:rPr>
          <w:rFonts w:hint="eastAsia" w:ascii="宋体" w:hAnsi="宋体" w:cs="宋体"/>
          <w:bCs/>
          <w:snapToGrid w:val="0"/>
          <w:color w:val="auto"/>
          <w:sz w:val="18"/>
          <w:szCs w:val="18"/>
        </w:rPr>
      </w:pPr>
    </w:p>
    <w:p w14:paraId="30D231B0">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第一章  投标人须知</w:t>
      </w:r>
    </w:p>
    <w:p w14:paraId="0DB6166D">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第二章  合同主要条款</w:t>
      </w:r>
    </w:p>
    <w:p w14:paraId="14AF2C65">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第三章  技术规范及要求</w:t>
      </w:r>
    </w:p>
    <w:p w14:paraId="305AA782">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第四章  工程量清单及招标控制价（另附）</w:t>
      </w:r>
    </w:p>
    <w:p w14:paraId="71077BE2">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第五章  图纸和附件资料（另附）</w:t>
      </w:r>
    </w:p>
    <w:p w14:paraId="741199C4">
      <w:pPr>
        <w:adjustRightInd w:val="0"/>
        <w:snapToGrid w:val="0"/>
        <w:spacing w:line="480" w:lineRule="auto"/>
        <w:ind w:firstLine="1059" w:firstLineChars="331"/>
        <w:jc w:val="both"/>
        <w:rPr>
          <w:rFonts w:hint="eastAsia" w:ascii="宋体" w:hAnsi="宋体" w:cs="宋体"/>
          <w:bCs/>
          <w:snapToGrid w:val="0"/>
          <w:color w:val="auto"/>
          <w:sz w:val="32"/>
        </w:rPr>
      </w:pPr>
      <w:r>
        <w:rPr>
          <w:rFonts w:hint="eastAsia" w:ascii="宋体" w:hAnsi="宋体" w:cs="宋体"/>
          <w:bCs/>
          <w:snapToGrid w:val="0"/>
          <w:color w:val="auto"/>
          <w:sz w:val="32"/>
        </w:rPr>
        <w:t>第六章  投标文件(格式)</w:t>
      </w:r>
    </w:p>
    <w:p w14:paraId="2F427B12">
      <w:pPr>
        <w:adjustRightInd w:val="0"/>
        <w:snapToGrid w:val="0"/>
        <w:spacing w:line="360" w:lineRule="auto"/>
        <w:rPr>
          <w:rFonts w:hint="eastAsia" w:ascii="宋体" w:hAnsi="宋体" w:cs="宋体"/>
          <w:snapToGrid w:val="0"/>
          <w:color w:val="auto"/>
          <w:sz w:val="36"/>
        </w:rPr>
      </w:pPr>
    </w:p>
    <w:p w14:paraId="2853B733">
      <w:pPr>
        <w:adjustRightInd w:val="0"/>
        <w:snapToGrid w:val="0"/>
        <w:spacing w:line="360" w:lineRule="auto"/>
        <w:rPr>
          <w:rFonts w:hint="eastAsia" w:ascii="宋体" w:hAnsi="宋体" w:cs="宋体"/>
          <w:snapToGrid w:val="0"/>
          <w:color w:val="auto"/>
          <w:sz w:val="36"/>
        </w:rPr>
      </w:pPr>
    </w:p>
    <w:p w14:paraId="7F5ACC9B">
      <w:pPr>
        <w:adjustRightInd w:val="0"/>
        <w:snapToGrid w:val="0"/>
        <w:spacing w:line="360" w:lineRule="auto"/>
        <w:rPr>
          <w:rFonts w:hint="eastAsia" w:ascii="宋体" w:hAnsi="宋体" w:cs="宋体"/>
          <w:snapToGrid w:val="0"/>
          <w:color w:val="auto"/>
          <w:sz w:val="36"/>
        </w:rPr>
      </w:pPr>
    </w:p>
    <w:p w14:paraId="18E78FF8">
      <w:pPr>
        <w:adjustRightInd w:val="0"/>
        <w:snapToGrid w:val="0"/>
        <w:spacing w:line="360" w:lineRule="auto"/>
        <w:rPr>
          <w:rFonts w:hint="eastAsia" w:ascii="宋体" w:hAnsi="宋体" w:cs="宋体"/>
          <w:snapToGrid w:val="0"/>
          <w:color w:val="auto"/>
          <w:sz w:val="36"/>
        </w:rPr>
      </w:pPr>
    </w:p>
    <w:p w14:paraId="4A90ADDC">
      <w:pPr>
        <w:adjustRightInd w:val="0"/>
        <w:snapToGrid w:val="0"/>
        <w:spacing w:line="360" w:lineRule="auto"/>
        <w:rPr>
          <w:rFonts w:hint="eastAsia" w:ascii="宋体" w:hAnsi="宋体" w:cs="宋体"/>
          <w:snapToGrid w:val="0"/>
          <w:color w:val="auto"/>
          <w:sz w:val="36"/>
        </w:rPr>
      </w:pPr>
    </w:p>
    <w:p w14:paraId="3A72B4AC">
      <w:pPr>
        <w:adjustRightInd w:val="0"/>
        <w:snapToGrid w:val="0"/>
        <w:spacing w:line="360" w:lineRule="auto"/>
        <w:jc w:val="center"/>
        <w:outlineLvl w:val="0"/>
        <w:rPr>
          <w:rFonts w:hint="eastAsia" w:ascii="宋体" w:hAnsi="宋体" w:cs="宋体"/>
          <w:b/>
          <w:snapToGrid w:val="0"/>
          <w:color w:val="auto"/>
          <w:sz w:val="36"/>
        </w:rPr>
      </w:pPr>
      <w:r>
        <w:rPr>
          <w:rFonts w:hint="eastAsia" w:ascii="宋体" w:hAnsi="宋体" w:cs="宋体"/>
          <w:b/>
          <w:snapToGrid w:val="0"/>
          <w:color w:val="auto"/>
          <w:sz w:val="36"/>
        </w:rPr>
        <w:br w:type="page"/>
      </w:r>
      <w:r>
        <w:rPr>
          <w:rFonts w:hint="eastAsia" w:ascii="宋体" w:hAnsi="宋体" w:cs="宋体"/>
          <w:b/>
          <w:snapToGrid w:val="0"/>
          <w:color w:val="auto"/>
          <w:sz w:val="36"/>
        </w:rPr>
        <w:t>第一章    投标人须知</w:t>
      </w:r>
    </w:p>
    <w:p w14:paraId="42F6D6A0">
      <w:pPr>
        <w:adjustRightInd w:val="0"/>
        <w:snapToGrid w:val="0"/>
        <w:spacing w:line="440" w:lineRule="exact"/>
        <w:contextualSpacing/>
        <w:jc w:val="center"/>
        <w:rPr>
          <w:rFonts w:hint="eastAsia" w:ascii="宋体" w:hAnsi="宋体" w:cs="宋体"/>
          <w:b/>
          <w:bCs/>
          <w:snapToGrid w:val="0"/>
          <w:color w:val="auto"/>
          <w:sz w:val="32"/>
          <w:szCs w:val="32"/>
        </w:rPr>
      </w:pPr>
      <w:r>
        <w:rPr>
          <w:rFonts w:hint="eastAsia" w:ascii="宋体" w:hAnsi="宋体" w:cs="宋体"/>
          <w:b/>
          <w:bCs/>
          <w:snapToGrid w:val="0"/>
          <w:color w:val="auto"/>
          <w:sz w:val="32"/>
          <w:szCs w:val="32"/>
        </w:rPr>
        <w:t>前 附 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6"/>
        <w:gridCol w:w="3205"/>
        <w:gridCol w:w="1897"/>
        <w:gridCol w:w="2715"/>
      </w:tblGrid>
      <w:tr w14:paraId="55E03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57D0F12E">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招标人</w:t>
            </w:r>
          </w:p>
        </w:tc>
        <w:tc>
          <w:tcPr>
            <w:tcW w:w="7817" w:type="dxa"/>
            <w:gridSpan w:val="3"/>
            <w:noWrap w:val="0"/>
            <w:vAlign w:val="center"/>
          </w:tcPr>
          <w:p w14:paraId="3B879B53">
            <w:pPr>
              <w:adjustRightInd w:val="0"/>
              <w:snapToGrid w:val="0"/>
              <w:contextualSpacing/>
              <w:jc w:val="both"/>
              <w:rPr>
                <w:rFonts w:hint="eastAsia" w:ascii="宋体" w:hAnsi="宋体" w:cs="宋体"/>
                <w:snapToGrid w:val="0"/>
                <w:color w:val="auto"/>
                <w:sz w:val="21"/>
                <w:szCs w:val="21"/>
              </w:rPr>
            </w:pPr>
            <w:r>
              <w:rPr>
                <w:rFonts w:hint="eastAsia" w:ascii="宋体" w:hAnsi="宋体" w:cs="宋体"/>
                <w:snapToGrid w:val="0"/>
                <w:color w:val="auto"/>
                <w:sz w:val="21"/>
                <w:szCs w:val="21"/>
              </w:rPr>
              <w:t>扬州大学附属医院</w:t>
            </w:r>
          </w:p>
        </w:tc>
      </w:tr>
      <w:tr w14:paraId="5D1FA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3D6C43E2">
            <w:pPr>
              <w:adjustRightInd w:val="0"/>
              <w:snapToGrid w:val="0"/>
              <w:jc w:val="center"/>
              <w:rPr>
                <w:rFonts w:hint="eastAsia" w:ascii="宋体" w:hAnsi="宋体" w:cs="宋体"/>
                <w:snapToGrid w:val="0"/>
                <w:color w:val="auto"/>
                <w:sz w:val="21"/>
                <w:szCs w:val="21"/>
              </w:rPr>
            </w:pPr>
            <w:r>
              <w:rPr>
                <w:rFonts w:hint="eastAsia" w:ascii="宋体" w:hAnsi="宋体" w:cs="宋体"/>
                <w:snapToGrid w:val="0"/>
                <w:color w:val="auto"/>
                <w:sz w:val="21"/>
                <w:szCs w:val="21"/>
                <w:lang w:val="en-US" w:eastAsia="zh-CN"/>
              </w:rPr>
              <w:t>项目</w:t>
            </w:r>
            <w:r>
              <w:rPr>
                <w:rFonts w:hint="eastAsia" w:ascii="宋体" w:hAnsi="宋体" w:cs="宋体"/>
                <w:snapToGrid w:val="0"/>
                <w:color w:val="auto"/>
                <w:sz w:val="21"/>
                <w:szCs w:val="21"/>
              </w:rPr>
              <w:t>名称</w:t>
            </w:r>
          </w:p>
        </w:tc>
        <w:tc>
          <w:tcPr>
            <w:tcW w:w="7817" w:type="dxa"/>
            <w:gridSpan w:val="3"/>
            <w:noWrap w:val="0"/>
            <w:vAlign w:val="center"/>
          </w:tcPr>
          <w:p w14:paraId="7B908A72">
            <w:pPr>
              <w:adjustRightInd w:val="0"/>
              <w:snapToGrid w:val="0"/>
              <w:jc w:val="both"/>
              <w:rPr>
                <w:rFonts w:hint="eastAsia" w:ascii="宋体" w:hAnsi="宋体" w:cs="宋体" w:eastAsiaTheme="minorEastAsia"/>
                <w:snapToGrid w:val="0"/>
                <w:color w:val="auto"/>
                <w:sz w:val="21"/>
                <w:szCs w:val="21"/>
                <w:lang w:eastAsia="zh-CN"/>
              </w:rPr>
            </w:pPr>
            <w:r>
              <w:rPr>
                <w:rFonts w:hint="eastAsia" w:ascii="宋体" w:hAnsi="宋体" w:cs="宋体"/>
                <w:snapToGrid w:val="0"/>
                <w:color w:val="auto"/>
                <w:sz w:val="21"/>
                <w:szCs w:val="21"/>
                <w:lang w:val="en-US" w:eastAsia="zh-CN"/>
              </w:rPr>
              <w:t>扬州大学附属医院科教综合楼食堂售饭窗口建设</w:t>
            </w:r>
          </w:p>
        </w:tc>
      </w:tr>
      <w:tr w14:paraId="55CEA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62129C9F">
            <w:pPr>
              <w:adjustRightInd w:val="0"/>
              <w:snapToGrid w:val="0"/>
              <w:jc w:val="center"/>
              <w:rPr>
                <w:rFonts w:hint="eastAsia" w:ascii="宋体" w:hAnsi="宋体" w:cs="宋体"/>
                <w:snapToGrid w:val="0"/>
                <w:color w:val="auto"/>
                <w:sz w:val="21"/>
                <w:szCs w:val="21"/>
              </w:rPr>
            </w:pPr>
            <w:r>
              <w:rPr>
                <w:rFonts w:hint="eastAsia" w:ascii="宋体" w:hAnsi="宋体" w:cs="宋体"/>
                <w:snapToGrid w:val="0"/>
                <w:color w:val="auto"/>
                <w:sz w:val="21"/>
                <w:szCs w:val="21"/>
              </w:rPr>
              <w:t>建设地点</w:t>
            </w:r>
          </w:p>
        </w:tc>
        <w:tc>
          <w:tcPr>
            <w:tcW w:w="7817" w:type="dxa"/>
            <w:gridSpan w:val="3"/>
            <w:noWrap w:val="0"/>
            <w:vAlign w:val="center"/>
          </w:tcPr>
          <w:p w14:paraId="3B7593C0">
            <w:pPr>
              <w:adjustRightInd w:val="0"/>
              <w:snapToGrid w:val="0"/>
              <w:jc w:val="both"/>
              <w:rPr>
                <w:rFonts w:hint="eastAsia" w:ascii="宋体" w:hAnsi="宋体" w:cs="宋体" w:eastAsiaTheme="minorEastAsia"/>
                <w:snapToGrid w:val="0"/>
                <w:color w:val="auto"/>
                <w:sz w:val="21"/>
                <w:szCs w:val="21"/>
                <w:highlight w:val="none"/>
                <w:lang w:eastAsia="zh-CN"/>
              </w:rPr>
            </w:pPr>
            <w:r>
              <w:rPr>
                <w:rFonts w:hint="eastAsia" w:ascii="宋体" w:hAnsi="宋体" w:cs="宋体"/>
                <w:snapToGrid w:val="0"/>
                <w:color w:val="auto"/>
                <w:sz w:val="21"/>
                <w:szCs w:val="21"/>
                <w:lang w:val="en-US" w:eastAsia="zh-CN"/>
              </w:rPr>
              <w:t>扬州大学附属医院科教综合楼</w:t>
            </w:r>
            <w:r>
              <w:rPr>
                <w:rFonts w:hint="eastAsia" w:ascii="宋体" w:hAnsi="宋体" w:cs="宋体"/>
                <w:snapToGrid w:val="0"/>
                <w:color w:val="auto"/>
                <w:sz w:val="21"/>
                <w:szCs w:val="21"/>
                <w:highlight w:val="none"/>
                <w:lang w:val="en-US" w:eastAsia="zh-CN"/>
              </w:rPr>
              <w:t xml:space="preserve"> </w:t>
            </w:r>
          </w:p>
        </w:tc>
      </w:tr>
      <w:tr w14:paraId="48C8E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27FE1D17">
            <w:pPr>
              <w:adjustRightInd w:val="0"/>
              <w:snapToGrid w:val="0"/>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招标范围</w:t>
            </w:r>
          </w:p>
        </w:tc>
        <w:tc>
          <w:tcPr>
            <w:tcW w:w="7817" w:type="dxa"/>
            <w:gridSpan w:val="3"/>
            <w:noWrap w:val="0"/>
            <w:vAlign w:val="center"/>
          </w:tcPr>
          <w:p w14:paraId="58B51EA5">
            <w:pPr>
              <w:adjustRightInd w:val="0"/>
              <w:snapToGrid w:val="0"/>
              <w:contextualSpacing/>
              <w:jc w:val="both"/>
              <w:rPr>
                <w:rFonts w:hint="eastAsia" w:ascii="宋体" w:hAnsi="宋体" w:cs="宋体"/>
                <w:snapToGrid w:val="0"/>
                <w:color w:val="auto"/>
                <w:sz w:val="21"/>
                <w:szCs w:val="21"/>
              </w:rPr>
            </w:pPr>
            <w:r>
              <w:rPr>
                <w:rFonts w:hint="eastAsia" w:ascii="宋体" w:hAnsi="宋体" w:cs="宋体"/>
                <w:snapToGrid w:val="0"/>
                <w:color w:val="auto"/>
                <w:sz w:val="21"/>
                <w:szCs w:val="21"/>
              </w:rPr>
              <w:t>详见工程量清单、图纸及施工要求</w:t>
            </w:r>
          </w:p>
        </w:tc>
      </w:tr>
      <w:tr w14:paraId="1F297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29286DAF">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承包方式</w:t>
            </w:r>
          </w:p>
        </w:tc>
        <w:tc>
          <w:tcPr>
            <w:tcW w:w="3205" w:type="dxa"/>
            <w:noWrap w:val="0"/>
            <w:vAlign w:val="center"/>
          </w:tcPr>
          <w:p w14:paraId="3602C817">
            <w:pPr>
              <w:adjustRightInd w:val="0"/>
              <w:snapToGrid w:val="0"/>
              <w:contextualSpacing/>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包工包料</w:t>
            </w:r>
          </w:p>
        </w:tc>
        <w:tc>
          <w:tcPr>
            <w:tcW w:w="1897" w:type="dxa"/>
            <w:noWrap w:val="0"/>
            <w:vAlign w:val="center"/>
          </w:tcPr>
          <w:p w14:paraId="5392BD90">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质量要求</w:t>
            </w:r>
          </w:p>
        </w:tc>
        <w:tc>
          <w:tcPr>
            <w:tcW w:w="2715" w:type="dxa"/>
            <w:noWrap w:val="0"/>
            <w:vAlign w:val="center"/>
          </w:tcPr>
          <w:p w14:paraId="3A625960">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合格</w:t>
            </w:r>
          </w:p>
        </w:tc>
      </w:tr>
      <w:tr w14:paraId="7734A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61C70028">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招标方式</w:t>
            </w:r>
          </w:p>
        </w:tc>
        <w:tc>
          <w:tcPr>
            <w:tcW w:w="3205" w:type="dxa"/>
            <w:noWrap w:val="0"/>
            <w:vAlign w:val="center"/>
          </w:tcPr>
          <w:p w14:paraId="64091BB3">
            <w:pPr>
              <w:adjustRightInd w:val="0"/>
              <w:snapToGrid w:val="0"/>
              <w:contextualSpacing/>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公开招标</w:t>
            </w:r>
          </w:p>
        </w:tc>
        <w:tc>
          <w:tcPr>
            <w:tcW w:w="1897" w:type="dxa"/>
            <w:noWrap w:val="0"/>
            <w:vAlign w:val="center"/>
          </w:tcPr>
          <w:p w14:paraId="234FB6F7">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资审方式</w:t>
            </w:r>
          </w:p>
        </w:tc>
        <w:tc>
          <w:tcPr>
            <w:tcW w:w="2715" w:type="dxa"/>
            <w:noWrap w:val="0"/>
            <w:vAlign w:val="center"/>
          </w:tcPr>
          <w:p w14:paraId="67FACEE9">
            <w:pPr>
              <w:adjustRightInd w:val="0"/>
              <w:snapToGrid w:val="0"/>
              <w:contextualSpacing/>
              <w:jc w:val="center"/>
              <w:rPr>
                <w:rFonts w:hint="eastAsia" w:ascii="宋体" w:hAnsi="宋体" w:cs="宋体"/>
                <w:snapToGrid w:val="0"/>
                <w:color w:val="auto"/>
                <w:sz w:val="21"/>
                <w:szCs w:val="21"/>
              </w:rPr>
            </w:pPr>
            <w:r>
              <w:rPr>
                <w:rFonts w:hint="eastAsia" w:ascii="宋体" w:hAnsi="宋体" w:cs="宋体"/>
                <w:bCs/>
                <w:snapToGrid w:val="0"/>
                <w:color w:val="auto"/>
                <w:sz w:val="21"/>
                <w:szCs w:val="21"/>
              </w:rPr>
              <w:t>资格后审</w:t>
            </w:r>
          </w:p>
        </w:tc>
      </w:tr>
      <w:tr w14:paraId="60993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756" w:type="dxa"/>
            <w:noWrap w:val="0"/>
            <w:vAlign w:val="center"/>
          </w:tcPr>
          <w:p w14:paraId="10B33758">
            <w:pPr>
              <w:adjustRightInd w:val="0"/>
              <w:snapToGrid w:val="0"/>
              <w:jc w:val="center"/>
              <w:rPr>
                <w:rFonts w:hint="eastAsia" w:ascii="宋体" w:hAnsi="宋体" w:cs="宋体"/>
                <w:snapToGrid w:val="0"/>
                <w:color w:val="auto"/>
                <w:sz w:val="21"/>
                <w:szCs w:val="21"/>
                <w:lang w:eastAsia="zh-CN"/>
              </w:rPr>
            </w:pPr>
            <w:r>
              <w:rPr>
                <w:rFonts w:hint="eastAsia" w:ascii="宋体" w:hAnsi="宋体" w:cs="宋体"/>
                <w:snapToGrid w:val="0"/>
                <w:color w:val="auto"/>
                <w:sz w:val="21"/>
                <w:szCs w:val="21"/>
                <w:lang w:eastAsia="zh-CN"/>
              </w:rPr>
              <w:t>工期要求</w:t>
            </w:r>
          </w:p>
        </w:tc>
        <w:tc>
          <w:tcPr>
            <w:tcW w:w="7817" w:type="dxa"/>
            <w:gridSpan w:val="3"/>
            <w:noWrap w:val="0"/>
            <w:vAlign w:val="center"/>
          </w:tcPr>
          <w:p w14:paraId="1EDA2755">
            <w:pPr>
              <w:adjustRightInd w:val="0"/>
              <w:snapToGrid w:val="0"/>
              <w:jc w:val="both"/>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总工期</w:t>
            </w:r>
            <w:r>
              <w:rPr>
                <w:rFonts w:hint="eastAsia" w:ascii="宋体" w:hAnsi="宋体" w:cs="宋体"/>
                <w:snapToGrid w:val="0"/>
                <w:color w:val="auto"/>
                <w:sz w:val="21"/>
                <w:szCs w:val="21"/>
                <w:highlight w:val="none"/>
                <w:lang w:val="en-US" w:eastAsia="zh-CN"/>
              </w:rPr>
              <w:t>30</w:t>
            </w:r>
            <w:r>
              <w:rPr>
                <w:rFonts w:hint="eastAsia" w:ascii="宋体" w:hAnsi="宋体" w:cs="宋体"/>
                <w:snapToGrid w:val="0"/>
                <w:color w:val="auto"/>
                <w:sz w:val="21"/>
                <w:szCs w:val="21"/>
                <w:highlight w:val="none"/>
                <w:lang w:eastAsia="zh-CN"/>
              </w:rPr>
              <w:t>日历天</w:t>
            </w:r>
          </w:p>
        </w:tc>
      </w:tr>
      <w:tr w14:paraId="0CCB1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14:paraId="15C046AB">
            <w:pPr>
              <w:autoSpaceDE w:val="0"/>
              <w:autoSpaceDN w:val="0"/>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投标人资质</w:t>
            </w:r>
          </w:p>
          <w:p w14:paraId="14CA2991">
            <w:pPr>
              <w:autoSpaceDE w:val="0"/>
              <w:autoSpaceDN w:val="0"/>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条件、能力</w:t>
            </w:r>
          </w:p>
          <w:p w14:paraId="36264C26">
            <w:pPr>
              <w:autoSpaceDE w:val="0"/>
              <w:autoSpaceDN w:val="0"/>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和信誉</w:t>
            </w:r>
          </w:p>
        </w:tc>
        <w:tc>
          <w:tcPr>
            <w:tcW w:w="7817" w:type="dxa"/>
            <w:gridSpan w:val="3"/>
            <w:noWrap w:val="0"/>
            <w:vAlign w:val="center"/>
          </w:tcPr>
          <w:p w14:paraId="2C812DAE">
            <w:pPr>
              <w:numPr>
                <w:ilvl w:val="0"/>
                <w:numId w:val="0"/>
              </w:numPr>
              <w:adjustRightInd w:val="0"/>
              <w:snapToGrid w:val="0"/>
              <w:spacing w:line="360" w:lineRule="auto"/>
              <w:contextualSpacing/>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）企业资质要求：具备建筑装修装饰工程专业承包</w:t>
            </w:r>
            <w:r>
              <w:rPr>
                <w:rFonts w:hint="eastAsia" w:ascii="宋体" w:hAnsi="宋体" w:cs="宋体"/>
                <w:color w:val="auto"/>
                <w:sz w:val="21"/>
                <w:szCs w:val="21"/>
                <w:highlight w:val="none"/>
                <w:lang w:val="en-US" w:eastAsia="zh-CN" w:bidi="ar"/>
              </w:rPr>
              <w:t>二</w:t>
            </w:r>
            <w:r>
              <w:rPr>
                <w:rFonts w:hint="eastAsia" w:ascii="宋体" w:hAnsi="宋体" w:cs="宋体"/>
                <w:color w:val="auto"/>
                <w:sz w:val="21"/>
                <w:szCs w:val="21"/>
                <w:highlight w:val="none"/>
                <w:lang w:bidi="ar"/>
              </w:rPr>
              <w:t>级及以上</w:t>
            </w:r>
            <w:r>
              <w:rPr>
                <w:rFonts w:hint="eastAsia" w:ascii="宋体" w:hAnsi="宋体" w:cs="宋体"/>
                <w:color w:val="auto"/>
                <w:sz w:val="21"/>
                <w:szCs w:val="21"/>
                <w:highlight w:val="none"/>
                <w:lang w:val="en-US" w:eastAsia="zh-CN" w:bidi="ar"/>
              </w:rPr>
              <w:t>资质</w:t>
            </w:r>
            <w:r>
              <w:rPr>
                <w:rFonts w:hint="eastAsia" w:ascii="宋体" w:hAnsi="宋体" w:cs="宋体"/>
                <w:color w:val="auto"/>
                <w:sz w:val="21"/>
                <w:szCs w:val="21"/>
                <w:highlight w:val="none"/>
                <w:lang w:bidi="ar"/>
              </w:rPr>
              <w:t>，并具备有效的安全生产许可证。</w:t>
            </w:r>
          </w:p>
          <w:p w14:paraId="6FB0AF6C">
            <w:pPr>
              <w:numPr>
                <w:ilvl w:val="0"/>
                <w:numId w:val="0"/>
              </w:numPr>
              <w:autoSpaceDE w:val="0"/>
              <w:autoSpaceDN w:val="0"/>
              <w:adjustRightInd w:val="0"/>
              <w:snapToGrid w:val="0"/>
              <w:spacing w:line="360" w:lineRule="auto"/>
              <w:contextualSpacing/>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）项目负责人资格要求：</w:t>
            </w:r>
            <w:r>
              <w:rPr>
                <w:rFonts w:hint="eastAsia" w:ascii="宋体" w:hAnsi="宋体" w:cs="宋体"/>
                <w:color w:val="auto"/>
                <w:sz w:val="21"/>
                <w:szCs w:val="21"/>
                <w:highlight w:val="none"/>
                <w:lang w:val="en-US" w:eastAsia="zh-CN" w:bidi="ar"/>
              </w:rPr>
              <w:t>具备建筑</w:t>
            </w:r>
            <w:r>
              <w:rPr>
                <w:rFonts w:hint="eastAsia" w:ascii="宋体" w:hAnsi="宋体" w:cs="宋体"/>
                <w:color w:val="auto"/>
                <w:sz w:val="21"/>
                <w:szCs w:val="21"/>
                <w:highlight w:val="none"/>
                <w:lang w:bidi="ar"/>
              </w:rPr>
              <w:t>工程专业二级及以上注册建造师执业资格，并具备有效的安全生产考核合格证书（B证）。</w:t>
            </w:r>
          </w:p>
          <w:p w14:paraId="097A5398">
            <w:pPr>
              <w:snapToGrid w:val="0"/>
              <w:spacing w:line="360" w:lineRule="auto"/>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（3）其他要求：项目负责人无在建工程。</w:t>
            </w:r>
          </w:p>
          <w:p w14:paraId="0E80EECC">
            <w:pPr>
              <w:autoSpaceDE w:val="0"/>
              <w:autoSpaceDN w:val="0"/>
              <w:adjustRightInd w:val="0"/>
              <w:snapToGrid w:val="0"/>
              <w:spacing w:line="360" w:lineRule="auto"/>
              <w:contextualSpacing/>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（4）本项目不接受联合体投标。</w:t>
            </w:r>
          </w:p>
          <w:p w14:paraId="10B82152">
            <w:pPr>
              <w:snapToGrid w:val="0"/>
              <w:spacing w:line="360" w:lineRule="auto"/>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（5）拒绝下述投标人参加本次招标活动：</w:t>
            </w:r>
          </w:p>
          <w:p w14:paraId="25280C41">
            <w:pPr>
              <w:snapToGrid w:val="0"/>
              <w:spacing w:line="360" w:lineRule="auto"/>
              <w:ind w:left="198"/>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1）投标人单位负责人为同一人或者存在直接控股、管理关系的不同投标人，不得参加同一合同项下的招标活动，否则，相关投标均无效。</w:t>
            </w:r>
          </w:p>
          <w:p w14:paraId="5FC8C5EF">
            <w:pPr>
              <w:snapToGrid w:val="0"/>
              <w:spacing w:line="360" w:lineRule="auto"/>
              <w:ind w:left="198"/>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2）凡为项目提供整体设计、规范编制或者项目管理、监理、检测等服务的投标人，不得再参加该项目的其他招标活动。</w:t>
            </w:r>
          </w:p>
          <w:p w14:paraId="1A2A8470">
            <w:pPr>
              <w:snapToGrid w:val="0"/>
              <w:spacing w:line="360" w:lineRule="auto"/>
              <w:ind w:left="198"/>
              <w:jc w:val="both"/>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3）投标人被“信用中国”网站（www.creditchina.gov.cn）列入失信被执行人、重大税收违法案件当事人名单。</w:t>
            </w:r>
          </w:p>
        </w:tc>
      </w:tr>
      <w:tr w14:paraId="0B591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756" w:type="dxa"/>
            <w:noWrap w:val="0"/>
            <w:vAlign w:val="center"/>
          </w:tcPr>
          <w:p w14:paraId="3645885E">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是否接受</w:t>
            </w:r>
          </w:p>
          <w:p w14:paraId="2919965B">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联合体投标</w:t>
            </w:r>
          </w:p>
        </w:tc>
        <w:tc>
          <w:tcPr>
            <w:tcW w:w="7817" w:type="dxa"/>
            <w:gridSpan w:val="3"/>
            <w:noWrap w:val="0"/>
            <w:vAlign w:val="center"/>
          </w:tcPr>
          <w:p w14:paraId="6BE2FFD8">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不接受联合体投标</w:t>
            </w:r>
          </w:p>
        </w:tc>
      </w:tr>
      <w:tr w14:paraId="782E4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1340DAA8">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投标报价方式</w:t>
            </w:r>
          </w:p>
        </w:tc>
        <w:tc>
          <w:tcPr>
            <w:tcW w:w="7817" w:type="dxa"/>
            <w:gridSpan w:val="3"/>
            <w:noWrap w:val="0"/>
            <w:vAlign w:val="center"/>
          </w:tcPr>
          <w:p w14:paraId="6E5B3E14">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固定单价报价</w:t>
            </w:r>
          </w:p>
        </w:tc>
      </w:tr>
      <w:tr w14:paraId="01AF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26016DB0">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招标控制价</w:t>
            </w:r>
          </w:p>
        </w:tc>
        <w:tc>
          <w:tcPr>
            <w:tcW w:w="7817" w:type="dxa"/>
            <w:gridSpan w:val="3"/>
            <w:noWrap w:val="0"/>
            <w:vAlign w:val="center"/>
          </w:tcPr>
          <w:p w14:paraId="0C3296BD">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highlight w:val="none"/>
                <w:lang w:val="en-US" w:eastAsia="zh-CN"/>
              </w:rPr>
              <w:t>43.43万元</w:t>
            </w:r>
            <w:r>
              <w:rPr>
                <w:rFonts w:hint="eastAsia" w:ascii="宋体" w:hAnsi="宋体" w:cs="宋体"/>
                <w:snapToGrid w:val="0"/>
                <w:color w:val="auto"/>
                <w:sz w:val="21"/>
                <w:szCs w:val="21"/>
              </w:rPr>
              <w:t>，投标报价超过招标控制价的，作为废标处理。</w:t>
            </w:r>
          </w:p>
        </w:tc>
      </w:tr>
      <w:tr w14:paraId="21146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292E6447">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投标有效期</w:t>
            </w:r>
          </w:p>
        </w:tc>
        <w:tc>
          <w:tcPr>
            <w:tcW w:w="7817" w:type="dxa"/>
            <w:gridSpan w:val="3"/>
            <w:noWrap w:val="0"/>
            <w:vAlign w:val="center"/>
          </w:tcPr>
          <w:p w14:paraId="2E30C04B">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投标截止日后45日内有效</w:t>
            </w:r>
          </w:p>
        </w:tc>
      </w:tr>
      <w:tr w14:paraId="09D3A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5705CCDA">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投标文件份数</w:t>
            </w:r>
          </w:p>
        </w:tc>
        <w:tc>
          <w:tcPr>
            <w:tcW w:w="7817" w:type="dxa"/>
            <w:gridSpan w:val="3"/>
            <w:noWrap w:val="0"/>
            <w:vAlign w:val="center"/>
          </w:tcPr>
          <w:p w14:paraId="64CB5F1E">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u w:val="single"/>
              </w:rPr>
              <w:t>壹份</w:t>
            </w:r>
            <w:r>
              <w:rPr>
                <w:rFonts w:hint="eastAsia" w:ascii="宋体" w:hAnsi="宋体" w:cs="宋体"/>
                <w:snapToGrid w:val="0"/>
                <w:color w:val="auto"/>
                <w:sz w:val="21"/>
                <w:szCs w:val="21"/>
              </w:rPr>
              <w:t>正本，</w:t>
            </w:r>
            <w:r>
              <w:rPr>
                <w:rFonts w:hint="eastAsia" w:ascii="宋体" w:hAnsi="宋体" w:cs="宋体"/>
                <w:snapToGrid w:val="0"/>
                <w:color w:val="auto"/>
                <w:sz w:val="21"/>
                <w:szCs w:val="21"/>
                <w:u w:val="single"/>
              </w:rPr>
              <w:t>肆份</w:t>
            </w:r>
            <w:r>
              <w:rPr>
                <w:rFonts w:hint="eastAsia" w:ascii="宋体" w:hAnsi="宋体" w:cs="宋体"/>
                <w:snapToGrid w:val="0"/>
                <w:color w:val="auto"/>
                <w:sz w:val="21"/>
                <w:szCs w:val="21"/>
              </w:rPr>
              <w:t>副本（不退还）</w:t>
            </w:r>
          </w:p>
        </w:tc>
      </w:tr>
      <w:tr w14:paraId="4376F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14:paraId="53D8B50B">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标书装订</w:t>
            </w:r>
          </w:p>
          <w:p w14:paraId="2D526AD4">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及密封要求</w:t>
            </w:r>
          </w:p>
        </w:tc>
        <w:tc>
          <w:tcPr>
            <w:tcW w:w="7817" w:type="dxa"/>
            <w:gridSpan w:val="3"/>
            <w:noWrap w:val="0"/>
            <w:vAlign w:val="center"/>
          </w:tcPr>
          <w:p w14:paraId="516BBFB7">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1、投标文件按“资格审查文件”、“技术文件”、“商务文件”分别封装，并标明相关标识(如“资格审查文件”、“技术文件”、“商务文件”)。所有投标文件均一正四副；</w:t>
            </w:r>
          </w:p>
          <w:p w14:paraId="0C5B5844">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2、所有封袋及投标文件的封面上都应写明招标人名称、工程名称、投标人名称、卷别；</w:t>
            </w:r>
          </w:p>
          <w:p w14:paraId="74E9857D">
            <w:pPr>
              <w:adjustRightInd w:val="0"/>
              <w:snapToGrid w:val="0"/>
              <w:spacing w:line="360" w:lineRule="auto"/>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3、所有投标文件的封面及封袋上都必须加盖投标单位法人公章及其法定代表人或授权委托人的印鉴（或签字）。</w:t>
            </w:r>
          </w:p>
        </w:tc>
      </w:tr>
      <w:tr w14:paraId="1497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14:paraId="5F6922EC">
            <w:pPr>
              <w:adjustRightInd w:val="0"/>
              <w:snapToGrid w:val="0"/>
              <w:spacing w:line="360" w:lineRule="auto"/>
              <w:jc w:val="center"/>
              <w:rPr>
                <w:rFonts w:hint="eastAsia" w:ascii="宋体" w:hAnsi="宋体" w:cs="宋体"/>
                <w:snapToGrid w:val="0"/>
                <w:color w:val="auto"/>
                <w:sz w:val="21"/>
                <w:szCs w:val="21"/>
                <w:highlight w:val="none"/>
              </w:rPr>
            </w:pPr>
            <w:r>
              <w:rPr>
                <w:rFonts w:hint="eastAsia" w:ascii="宋体"/>
                <w:bCs/>
                <w:color w:val="auto"/>
                <w:szCs w:val="21"/>
                <w:highlight w:val="none"/>
              </w:rPr>
              <w:t>招标文件的澄清</w:t>
            </w:r>
          </w:p>
        </w:tc>
        <w:tc>
          <w:tcPr>
            <w:tcW w:w="7817" w:type="dxa"/>
            <w:gridSpan w:val="3"/>
            <w:noWrap w:val="0"/>
            <w:vAlign w:val="center"/>
          </w:tcPr>
          <w:p w14:paraId="7B888254">
            <w:pPr>
              <w:adjustRightInd w:val="0"/>
              <w:snapToGrid w:val="0"/>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本次招标不举行集中答疑。投标人如有疑问，可在</w:t>
            </w:r>
            <w:r>
              <w:rPr>
                <w:rFonts w:hint="eastAsia" w:ascii="宋体" w:hAnsi="宋体" w:cs="宋体"/>
                <w:b/>
                <w:bCs/>
                <w:color w:val="auto"/>
                <w:sz w:val="21"/>
                <w:szCs w:val="21"/>
                <w:highlight w:val="none"/>
              </w:rPr>
              <w:t>202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25</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11</w:t>
            </w:r>
            <w:r>
              <w:rPr>
                <w:rFonts w:hint="eastAsia" w:ascii="宋体" w:hAnsi="宋体" w:cs="宋体"/>
                <w:b/>
                <w:bCs/>
                <w:color w:val="auto"/>
                <w:sz w:val="21"/>
                <w:szCs w:val="21"/>
                <w:highlight w:val="none"/>
              </w:rPr>
              <w:t>：00前</w:t>
            </w:r>
            <w:r>
              <w:rPr>
                <w:rFonts w:hint="eastAsia" w:ascii="宋体" w:hAnsi="宋体" w:cs="宋体"/>
                <w:color w:val="auto"/>
                <w:sz w:val="21"/>
                <w:szCs w:val="21"/>
                <w:highlight w:val="none"/>
              </w:rPr>
              <w:t>提出，招标人将予以澄清。</w:t>
            </w:r>
          </w:p>
          <w:p w14:paraId="5E821D78">
            <w:pPr>
              <w:adjustRightInd w:val="0"/>
              <w:snapToGrid w:val="0"/>
              <w:spacing w:line="360" w:lineRule="auto"/>
              <w:contextualSpacing/>
              <w:rPr>
                <w:rFonts w:hint="eastAsia" w:ascii="宋体" w:hAnsi="宋体" w:cs="宋体"/>
                <w:snapToGrid w:val="0"/>
                <w:color w:val="auto"/>
                <w:sz w:val="21"/>
                <w:szCs w:val="21"/>
                <w:highlight w:val="none"/>
              </w:rPr>
            </w:pPr>
            <w:r>
              <w:rPr>
                <w:rFonts w:hint="eastAsia" w:ascii="宋体" w:hAnsi="宋体" w:cs="宋体"/>
                <w:color w:val="auto"/>
                <w:sz w:val="21"/>
                <w:szCs w:val="21"/>
                <w:highlight w:val="none"/>
              </w:rPr>
              <w:t>招标人澄清的时间：</w:t>
            </w:r>
            <w:r>
              <w:rPr>
                <w:rFonts w:hint="eastAsia" w:ascii="宋体" w:hAnsi="宋体" w:cs="宋体"/>
                <w:b/>
                <w:bCs/>
                <w:color w:val="auto"/>
                <w:sz w:val="21"/>
                <w:szCs w:val="21"/>
                <w:highlight w:val="none"/>
              </w:rPr>
              <w:t>20</w:t>
            </w:r>
            <w:r>
              <w:rPr>
                <w:rFonts w:hint="eastAsia" w:ascii="宋体" w:hAnsi="宋体" w:cs="宋体"/>
                <w:b/>
                <w:bCs/>
                <w:color w:val="auto"/>
                <w:sz w:val="21"/>
                <w:szCs w:val="21"/>
                <w:highlight w:val="none"/>
                <w:lang w:val="en-US" w:eastAsia="zh-CN"/>
              </w:rPr>
              <w:t>24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25</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cs="宋体"/>
                <w:b/>
                <w:bCs/>
                <w:color w:val="auto"/>
                <w:sz w:val="21"/>
                <w:szCs w:val="21"/>
                <w:highlight w:val="none"/>
              </w:rPr>
              <w:t>：00前</w:t>
            </w:r>
          </w:p>
        </w:tc>
      </w:tr>
      <w:tr w14:paraId="20E0D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71268118">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投标截止时间</w:t>
            </w:r>
          </w:p>
        </w:tc>
        <w:tc>
          <w:tcPr>
            <w:tcW w:w="7817" w:type="dxa"/>
            <w:gridSpan w:val="3"/>
            <w:noWrap w:val="0"/>
            <w:vAlign w:val="center"/>
          </w:tcPr>
          <w:p w14:paraId="2FCE19E0">
            <w:pPr>
              <w:adjustRightInd w:val="0"/>
              <w:snapToGrid w:val="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20</w:t>
            </w:r>
            <w:r>
              <w:rPr>
                <w:rFonts w:hint="eastAsia" w:ascii="宋体" w:hAnsi="宋体" w:cs="宋体"/>
                <w:b/>
                <w:bCs/>
                <w:snapToGrid w:val="0"/>
                <w:color w:val="auto"/>
                <w:sz w:val="21"/>
                <w:szCs w:val="21"/>
                <w:lang w:val="en-US" w:eastAsia="zh-CN"/>
              </w:rPr>
              <w:t>24</w:t>
            </w:r>
            <w:r>
              <w:rPr>
                <w:rFonts w:hint="eastAsia" w:ascii="宋体" w:hAnsi="宋体" w:cs="宋体"/>
                <w:b/>
                <w:bCs/>
                <w:snapToGrid w:val="0"/>
                <w:color w:val="auto"/>
                <w:sz w:val="21"/>
                <w:szCs w:val="21"/>
              </w:rPr>
              <w:t>年</w:t>
            </w:r>
            <w:r>
              <w:rPr>
                <w:rFonts w:hint="eastAsia" w:ascii="宋体" w:hAnsi="宋体" w:cs="宋体"/>
                <w:b/>
                <w:bCs/>
                <w:snapToGrid w:val="0"/>
                <w:color w:val="auto"/>
                <w:sz w:val="21"/>
                <w:szCs w:val="21"/>
                <w:lang w:val="en-US" w:eastAsia="zh-CN"/>
              </w:rPr>
              <w:t>12</w:t>
            </w:r>
            <w:r>
              <w:rPr>
                <w:rFonts w:hint="eastAsia" w:ascii="宋体" w:hAnsi="宋体" w:cs="宋体"/>
                <w:b/>
                <w:bCs/>
                <w:snapToGrid w:val="0"/>
                <w:color w:val="auto"/>
                <w:sz w:val="21"/>
                <w:szCs w:val="21"/>
              </w:rPr>
              <w:t>月</w:t>
            </w:r>
            <w:r>
              <w:rPr>
                <w:rFonts w:hint="eastAsia" w:ascii="宋体" w:hAnsi="宋体" w:cs="宋体"/>
                <w:b/>
                <w:bCs/>
                <w:snapToGrid w:val="0"/>
                <w:color w:val="auto"/>
                <w:sz w:val="21"/>
                <w:szCs w:val="21"/>
                <w:lang w:val="en-US" w:eastAsia="zh-CN"/>
              </w:rPr>
              <w:t>30</w:t>
            </w:r>
            <w:r>
              <w:rPr>
                <w:rFonts w:hint="eastAsia" w:ascii="宋体" w:hAnsi="宋体" w:cs="宋体"/>
                <w:b/>
                <w:bCs/>
                <w:snapToGrid w:val="0"/>
                <w:color w:val="auto"/>
                <w:sz w:val="21"/>
                <w:szCs w:val="21"/>
              </w:rPr>
              <w:t>日</w:t>
            </w:r>
            <w:r>
              <w:rPr>
                <w:rFonts w:hint="eastAsia" w:ascii="宋体" w:hAnsi="宋体" w:cs="宋体"/>
                <w:b/>
                <w:bCs/>
                <w:snapToGrid w:val="0"/>
                <w:color w:val="auto"/>
                <w:sz w:val="21"/>
                <w:szCs w:val="21"/>
                <w:lang w:val="en-US" w:eastAsia="zh-CN"/>
              </w:rPr>
              <w:t>15</w:t>
            </w:r>
            <w:r>
              <w:rPr>
                <w:rFonts w:hint="eastAsia" w:ascii="宋体" w:hAnsi="宋体" w:cs="宋体"/>
                <w:b/>
                <w:bCs/>
                <w:snapToGrid w:val="0"/>
                <w:color w:val="auto"/>
                <w:sz w:val="21"/>
                <w:szCs w:val="21"/>
              </w:rPr>
              <w:t>时</w:t>
            </w:r>
            <w:r>
              <w:rPr>
                <w:rFonts w:hint="eastAsia" w:ascii="宋体" w:hAnsi="宋体" w:cs="宋体"/>
                <w:b/>
                <w:bCs/>
                <w:snapToGrid w:val="0"/>
                <w:color w:val="auto"/>
                <w:sz w:val="21"/>
                <w:szCs w:val="21"/>
                <w:lang w:val="en-US" w:eastAsia="zh-CN"/>
              </w:rPr>
              <w:t>00</w:t>
            </w:r>
            <w:r>
              <w:rPr>
                <w:rFonts w:hint="eastAsia" w:ascii="宋体" w:hAnsi="宋体" w:cs="宋体"/>
                <w:b/>
                <w:bCs/>
                <w:snapToGrid w:val="0"/>
                <w:color w:val="auto"/>
                <w:sz w:val="21"/>
                <w:szCs w:val="21"/>
              </w:rPr>
              <w:t>分整</w:t>
            </w:r>
          </w:p>
        </w:tc>
      </w:tr>
      <w:tr w14:paraId="784C5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5209F3ED">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开标时间</w:t>
            </w:r>
          </w:p>
        </w:tc>
        <w:tc>
          <w:tcPr>
            <w:tcW w:w="7817" w:type="dxa"/>
            <w:gridSpan w:val="3"/>
            <w:noWrap w:val="0"/>
            <w:vAlign w:val="center"/>
          </w:tcPr>
          <w:p w14:paraId="4D8F8204">
            <w:pPr>
              <w:adjustRightInd w:val="0"/>
              <w:snapToGrid w:val="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20</w:t>
            </w:r>
            <w:r>
              <w:rPr>
                <w:rFonts w:hint="eastAsia" w:ascii="宋体" w:hAnsi="宋体" w:cs="宋体"/>
                <w:b/>
                <w:bCs/>
                <w:snapToGrid w:val="0"/>
                <w:color w:val="auto"/>
                <w:sz w:val="21"/>
                <w:szCs w:val="21"/>
                <w:lang w:val="en-US" w:eastAsia="zh-CN"/>
              </w:rPr>
              <w:t>24</w:t>
            </w:r>
            <w:r>
              <w:rPr>
                <w:rFonts w:hint="eastAsia" w:ascii="宋体" w:hAnsi="宋体" w:cs="宋体"/>
                <w:b/>
                <w:bCs/>
                <w:snapToGrid w:val="0"/>
                <w:color w:val="auto"/>
                <w:sz w:val="21"/>
                <w:szCs w:val="21"/>
              </w:rPr>
              <w:t>年</w:t>
            </w:r>
            <w:r>
              <w:rPr>
                <w:rFonts w:hint="eastAsia" w:ascii="宋体" w:hAnsi="宋体" w:cs="宋体"/>
                <w:b/>
                <w:bCs/>
                <w:snapToGrid w:val="0"/>
                <w:color w:val="auto"/>
                <w:sz w:val="21"/>
                <w:szCs w:val="21"/>
                <w:lang w:val="en-US" w:eastAsia="zh-CN"/>
              </w:rPr>
              <w:t>12</w:t>
            </w:r>
            <w:r>
              <w:rPr>
                <w:rFonts w:hint="eastAsia" w:ascii="宋体" w:hAnsi="宋体" w:cs="宋体"/>
                <w:b/>
                <w:bCs/>
                <w:snapToGrid w:val="0"/>
                <w:color w:val="auto"/>
                <w:sz w:val="21"/>
                <w:szCs w:val="21"/>
              </w:rPr>
              <w:t>月</w:t>
            </w:r>
            <w:r>
              <w:rPr>
                <w:rFonts w:hint="eastAsia" w:ascii="宋体" w:hAnsi="宋体" w:cs="宋体"/>
                <w:b/>
                <w:bCs/>
                <w:snapToGrid w:val="0"/>
                <w:color w:val="auto"/>
                <w:sz w:val="21"/>
                <w:szCs w:val="21"/>
                <w:lang w:val="en-US" w:eastAsia="zh-CN"/>
              </w:rPr>
              <w:t>30</w:t>
            </w:r>
            <w:r>
              <w:rPr>
                <w:rFonts w:hint="eastAsia" w:ascii="宋体" w:hAnsi="宋体" w:cs="宋体"/>
                <w:b/>
                <w:bCs/>
                <w:snapToGrid w:val="0"/>
                <w:color w:val="auto"/>
                <w:sz w:val="21"/>
                <w:szCs w:val="21"/>
              </w:rPr>
              <w:t>日</w:t>
            </w:r>
            <w:r>
              <w:rPr>
                <w:rFonts w:hint="eastAsia" w:ascii="宋体" w:hAnsi="宋体" w:cs="宋体"/>
                <w:b/>
                <w:bCs/>
                <w:snapToGrid w:val="0"/>
                <w:color w:val="auto"/>
                <w:sz w:val="21"/>
                <w:szCs w:val="21"/>
                <w:lang w:val="en-US" w:eastAsia="zh-CN"/>
              </w:rPr>
              <w:t>15</w:t>
            </w:r>
            <w:r>
              <w:rPr>
                <w:rFonts w:hint="eastAsia" w:ascii="宋体" w:hAnsi="宋体" w:cs="宋体"/>
                <w:b/>
                <w:bCs/>
                <w:snapToGrid w:val="0"/>
                <w:color w:val="auto"/>
                <w:sz w:val="21"/>
                <w:szCs w:val="21"/>
              </w:rPr>
              <w:t>时</w:t>
            </w:r>
            <w:r>
              <w:rPr>
                <w:rFonts w:hint="eastAsia" w:ascii="宋体" w:hAnsi="宋体" w:cs="宋体"/>
                <w:b/>
                <w:bCs/>
                <w:snapToGrid w:val="0"/>
                <w:color w:val="auto"/>
                <w:sz w:val="21"/>
                <w:szCs w:val="21"/>
                <w:lang w:val="en-US" w:eastAsia="zh-CN"/>
              </w:rPr>
              <w:t>00</w:t>
            </w:r>
            <w:r>
              <w:rPr>
                <w:rFonts w:hint="eastAsia" w:ascii="宋体" w:hAnsi="宋体" w:cs="宋体"/>
                <w:b/>
                <w:bCs/>
                <w:snapToGrid w:val="0"/>
                <w:color w:val="auto"/>
                <w:sz w:val="21"/>
                <w:szCs w:val="21"/>
              </w:rPr>
              <w:t>分整</w:t>
            </w:r>
          </w:p>
        </w:tc>
      </w:tr>
      <w:tr w14:paraId="4E21F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14:paraId="4DDB0FB4">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投标文件</w:t>
            </w:r>
          </w:p>
          <w:p w14:paraId="7EC93876">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递交地址</w:t>
            </w:r>
          </w:p>
        </w:tc>
        <w:tc>
          <w:tcPr>
            <w:tcW w:w="7817" w:type="dxa"/>
            <w:gridSpan w:val="3"/>
            <w:noWrap w:val="0"/>
            <w:vAlign w:val="center"/>
          </w:tcPr>
          <w:p w14:paraId="5176B192">
            <w:pPr>
              <w:adjustRightInd w:val="0"/>
              <w:snapToGrid w:val="0"/>
              <w:spacing w:line="360" w:lineRule="auto"/>
              <w:rPr>
                <w:rFonts w:hint="eastAsia" w:ascii="宋体" w:hAnsi="宋体" w:cs="宋体"/>
                <w:color w:val="auto"/>
                <w:sz w:val="21"/>
                <w:szCs w:val="21"/>
              </w:rPr>
            </w:pPr>
            <w:r>
              <w:rPr>
                <w:rFonts w:hint="eastAsia" w:ascii="宋体" w:hAnsi="宋体" w:eastAsia="宋体" w:cs="宋体"/>
                <w:color w:val="333333"/>
                <w:kern w:val="0"/>
                <w:szCs w:val="21"/>
              </w:rPr>
              <w:t>江苏汇诚投资咨询管理有限公司开标室（扬州市邗江北路68号旺角西入口三楼）</w:t>
            </w:r>
          </w:p>
        </w:tc>
      </w:tr>
      <w:tr w14:paraId="54082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68960DFB">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唱标顺序</w:t>
            </w:r>
          </w:p>
        </w:tc>
        <w:tc>
          <w:tcPr>
            <w:tcW w:w="7817" w:type="dxa"/>
            <w:gridSpan w:val="3"/>
            <w:noWrap w:val="0"/>
            <w:vAlign w:val="center"/>
          </w:tcPr>
          <w:p w14:paraId="3C1CD15F">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按投标签到顺序</w:t>
            </w:r>
          </w:p>
        </w:tc>
      </w:tr>
      <w:tr w14:paraId="253BE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6" w:type="dxa"/>
            <w:noWrap w:val="0"/>
            <w:vAlign w:val="center"/>
          </w:tcPr>
          <w:p w14:paraId="1F33CB28">
            <w:pPr>
              <w:adjustRightInd w:val="0"/>
              <w:snapToGrid w:val="0"/>
              <w:contextualSpacing/>
              <w:jc w:val="center"/>
              <w:rPr>
                <w:rFonts w:hint="eastAsia" w:ascii="宋体" w:hAnsi="宋体" w:cs="宋体"/>
                <w:snapToGrid w:val="0"/>
                <w:color w:val="auto"/>
                <w:sz w:val="21"/>
                <w:szCs w:val="21"/>
              </w:rPr>
            </w:pPr>
            <w:r>
              <w:rPr>
                <w:rFonts w:hint="eastAsia" w:ascii="宋体" w:hAnsi="宋体" w:cs="宋体"/>
                <w:snapToGrid w:val="0"/>
                <w:color w:val="auto"/>
                <w:sz w:val="21"/>
                <w:szCs w:val="21"/>
              </w:rPr>
              <w:t>评标办法</w:t>
            </w:r>
          </w:p>
        </w:tc>
        <w:tc>
          <w:tcPr>
            <w:tcW w:w="7817" w:type="dxa"/>
            <w:gridSpan w:val="3"/>
            <w:noWrap w:val="0"/>
            <w:vAlign w:val="center"/>
          </w:tcPr>
          <w:p w14:paraId="29B5229C">
            <w:pPr>
              <w:adjustRightInd w:val="0"/>
              <w:snapToGrid w:val="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综合评分法</w:t>
            </w:r>
          </w:p>
        </w:tc>
      </w:tr>
      <w:tr w14:paraId="7C0E3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14:paraId="698A1451">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现场查勘</w:t>
            </w:r>
          </w:p>
        </w:tc>
        <w:tc>
          <w:tcPr>
            <w:tcW w:w="7817" w:type="dxa"/>
            <w:gridSpan w:val="3"/>
            <w:noWrap w:val="0"/>
            <w:vAlign w:val="center"/>
          </w:tcPr>
          <w:p w14:paraId="226FF0A7">
            <w:pPr>
              <w:pStyle w:val="6"/>
              <w:spacing w:line="360" w:lineRule="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集中勘察时间</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w:t>
            </w:r>
          </w:p>
          <w:p w14:paraId="6BA679D0">
            <w:pPr>
              <w:pStyle w:val="6"/>
              <w:spacing w:line="360" w:lineRule="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集中地点：</w:t>
            </w:r>
            <w:r>
              <w:rPr>
                <w:rFonts w:hint="eastAsia" w:ascii="宋体" w:hAnsi="宋体" w:eastAsia="宋体" w:cs="宋体"/>
                <w:snapToGrid w:val="0"/>
                <w:color w:val="auto"/>
                <w:sz w:val="21"/>
                <w:szCs w:val="21"/>
                <w:highlight w:val="none"/>
                <w:lang w:val="en-US" w:eastAsia="zh-CN"/>
              </w:rPr>
              <w:t>/</w:t>
            </w:r>
          </w:p>
          <w:p w14:paraId="444A30D2">
            <w:pPr>
              <w:pStyle w:val="6"/>
              <w:spacing w:line="360" w:lineRule="auto"/>
              <w:rPr>
                <w:rFonts w:hint="eastAsia" w:ascii="宋体" w:hAnsi="宋体" w:eastAsia="宋体" w:cs="宋体"/>
                <w:b/>
                <w:bCs/>
                <w:snapToGrid w:val="0"/>
                <w:color w:val="auto"/>
                <w:sz w:val="21"/>
                <w:szCs w:val="21"/>
              </w:rPr>
            </w:pPr>
            <w:r>
              <w:rPr>
                <w:rFonts w:hint="eastAsia" w:ascii="宋体" w:hAnsi="宋体" w:eastAsia="宋体" w:cs="宋体"/>
                <w:snapToGrid w:val="0"/>
                <w:color w:val="auto"/>
                <w:sz w:val="21"/>
                <w:szCs w:val="21"/>
                <w:highlight w:val="none"/>
              </w:rPr>
              <w:t>联系人：</w:t>
            </w:r>
            <w:r>
              <w:rPr>
                <w:rFonts w:hint="eastAsia" w:ascii="宋体" w:hAnsi="宋体" w:eastAsia="宋体" w:cs="宋体"/>
                <w:snapToGrid w:val="0"/>
                <w:color w:val="auto"/>
                <w:sz w:val="21"/>
                <w:szCs w:val="21"/>
                <w:highlight w:val="none"/>
                <w:lang w:val="en-US" w:eastAsia="zh-CN"/>
              </w:rPr>
              <w:t>/</w:t>
            </w:r>
          </w:p>
        </w:tc>
      </w:tr>
      <w:tr w14:paraId="2643A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7825DFB4">
            <w:pPr>
              <w:adjustRightInd w:val="0"/>
              <w:snapToGrid w:val="0"/>
              <w:contextualSpacing/>
              <w:jc w:val="center"/>
              <w:rPr>
                <w:rFonts w:hint="eastAsia" w:ascii="宋体" w:hAnsi="宋体" w:cs="宋体"/>
                <w:bCs/>
                <w:snapToGrid w:val="0"/>
                <w:color w:val="auto"/>
                <w:sz w:val="21"/>
                <w:szCs w:val="21"/>
              </w:rPr>
            </w:pPr>
            <w:r>
              <w:rPr>
                <w:rFonts w:hint="eastAsia" w:ascii="宋体" w:hAnsi="宋体" w:cs="宋体"/>
                <w:color w:val="auto"/>
                <w:sz w:val="21"/>
                <w:szCs w:val="21"/>
              </w:rPr>
              <w:t>合同结算方式</w:t>
            </w:r>
          </w:p>
        </w:tc>
        <w:tc>
          <w:tcPr>
            <w:tcW w:w="7817" w:type="dxa"/>
            <w:gridSpan w:val="3"/>
            <w:noWrap w:val="0"/>
            <w:vAlign w:val="center"/>
          </w:tcPr>
          <w:p w14:paraId="733A3F44">
            <w:pPr>
              <w:adjustRightInd w:val="0"/>
              <w:snapToGrid w:val="0"/>
              <w:contextualSpacing/>
              <w:rPr>
                <w:rFonts w:hint="eastAsia" w:ascii="宋体" w:hAnsi="宋体" w:cs="宋体"/>
                <w:color w:val="auto"/>
                <w:sz w:val="21"/>
                <w:szCs w:val="21"/>
              </w:rPr>
            </w:pPr>
            <w:r>
              <w:rPr>
                <w:rFonts w:hint="eastAsia" w:ascii="宋体" w:hAnsi="宋体" w:cs="宋体"/>
                <w:bCs/>
                <w:snapToGrid w:val="0"/>
                <w:color w:val="auto"/>
                <w:sz w:val="21"/>
                <w:szCs w:val="21"/>
              </w:rPr>
              <w:t>本合同价款采用</w:t>
            </w:r>
            <w:r>
              <w:rPr>
                <w:rFonts w:hint="eastAsia" w:ascii="宋体" w:hAnsi="宋体" w:cs="宋体"/>
                <w:b/>
                <w:bCs/>
                <w:snapToGrid w:val="0"/>
                <w:color w:val="auto"/>
                <w:sz w:val="21"/>
                <w:szCs w:val="21"/>
                <w:u w:val="single"/>
              </w:rPr>
              <w:t xml:space="preserve"> 固定单价合同</w:t>
            </w:r>
            <w:r>
              <w:rPr>
                <w:rFonts w:hint="eastAsia" w:ascii="宋体" w:hAnsi="宋体" w:cs="宋体"/>
                <w:bCs/>
                <w:snapToGrid w:val="0"/>
                <w:color w:val="auto"/>
                <w:sz w:val="21"/>
                <w:szCs w:val="21"/>
                <w:u w:val="single"/>
              </w:rPr>
              <w:t xml:space="preserve"> </w:t>
            </w:r>
            <w:r>
              <w:rPr>
                <w:rFonts w:hint="eastAsia" w:ascii="宋体" w:hAnsi="宋体" w:cs="宋体"/>
                <w:bCs/>
                <w:snapToGrid w:val="0"/>
                <w:color w:val="auto"/>
                <w:sz w:val="21"/>
                <w:szCs w:val="21"/>
              </w:rPr>
              <w:t>方式确定。</w:t>
            </w:r>
          </w:p>
        </w:tc>
      </w:tr>
      <w:tr w14:paraId="53A09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337271A3">
            <w:pPr>
              <w:adjustRightInd w:val="0"/>
              <w:snapToGrid w:val="0"/>
              <w:contextualSpacing/>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相关资料</w:t>
            </w:r>
          </w:p>
          <w:p w14:paraId="606B2EAA">
            <w:pPr>
              <w:adjustRightInd w:val="0"/>
              <w:snapToGrid w:val="0"/>
              <w:contextualSpacing/>
              <w:jc w:val="center"/>
              <w:rPr>
                <w:rFonts w:hint="eastAsia" w:ascii="宋体" w:hAnsi="宋体" w:cs="宋体"/>
                <w:color w:val="auto"/>
                <w:sz w:val="21"/>
                <w:szCs w:val="21"/>
              </w:rPr>
            </w:pPr>
            <w:r>
              <w:rPr>
                <w:rFonts w:hint="eastAsia" w:ascii="宋体" w:hAnsi="宋体" w:cs="宋体"/>
                <w:color w:val="auto"/>
                <w:sz w:val="21"/>
                <w:szCs w:val="21"/>
              </w:rPr>
              <w:t>下载地址</w:t>
            </w:r>
          </w:p>
        </w:tc>
        <w:tc>
          <w:tcPr>
            <w:tcW w:w="7817" w:type="dxa"/>
            <w:gridSpan w:val="3"/>
            <w:noWrap w:val="0"/>
            <w:vAlign w:val="center"/>
          </w:tcPr>
          <w:p w14:paraId="1758957D">
            <w:pPr>
              <w:adjustRightInd w:val="0"/>
              <w:snapToGrid w:val="0"/>
              <w:contextualSpacing/>
              <w:rPr>
                <w:rFonts w:hint="default" w:ascii="宋体" w:hAnsi="宋体" w:cs="宋体" w:eastAsiaTheme="minorEastAsia"/>
                <w:bCs/>
                <w:snapToGrid w:val="0"/>
                <w:color w:val="auto"/>
                <w:sz w:val="21"/>
                <w:szCs w:val="21"/>
                <w:lang w:val="en-US" w:eastAsia="zh-CN"/>
              </w:rPr>
            </w:pPr>
            <w:r>
              <w:rPr>
                <w:rFonts w:hint="eastAsia" w:ascii="宋体" w:hAnsi="宋体" w:cs="宋体"/>
                <w:color w:val="auto"/>
                <w:sz w:val="21"/>
                <w:szCs w:val="21"/>
                <w:lang w:bidi="ar"/>
              </w:rPr>
              <w:t>中国招投标网（http://www.infobidding.com）</w:t>
            </w:r>
            <w:r>
              <w:rPr>
                <w:rFonts w:ascii="宋体" w:hAnsi="宋体" w:cs="宋体"/>
                <w:color w:val="auto"/>
                <w:sz w:val="21"/>
                <w:szCs w:val="21"/>
                <w:lang w:bidi="ar"/>
              </w:rPr>
              <w:t>下载</w:t>
            </w:r>
            <w:r>
              <w:rPr>
                <w:rFonts w:hint="eastAsia" w:ascii="宋体" w:hAnsi="宋体" w:cs="宋体"/>
                <w:color w:val="auto"/>
                <w:sz w:val="21"/>
                <w:szCs w:val="21"/>
                <w:lang w:val="en-US" w:eastAsia="zh-CN" w:bidi="ar"/>
              </w:rPr>
              <w:t>或者联系招标代理机构获取</w:t>
            </w:r>
          </w:p>
        </w:tc>
      </w:tr>
      <w:tr w14:paraId="18CBA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14:paraId="47699875">
            <w:pPr>
              <w:adjustRightInd w:val="0"/>
              <w:snapToGrid w:val="0"/>
              <w:spacing w:line="360" w:lineRule="auto"/>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工程款支付</w:t>
            </w:r>
          </w:p>
        </w:tc>
        <w:tc>
          <w:tcPr>
            <w:tcW w:w="7817" w:type="dxa"/>
            <w:gridSpan w:val="3"/>
            <w:noWrap w:val="0"/>
            <w:vAlign w:val="center"/>
          </w:tcPr>
          <w:p w14:paraId="28C32417">
            <w:pPr>
              <w:pStyle w:val="4"/>
              <w:rPr>
                <w:rFonts w:hint="eastAsia" w:ascii="宋体" w:hAnsi="宋体" w:cs="宋体"/>
                <w:b/>
                <w:bCs/>
                <w:color w:val="auto"/>
                <w:sz w:val="21"/>
                <w:szCs w:val="21"/>
              </w:rPr>
            </w:pPr>
            <w:r>
              <w:rPr>
                <w:rFonts w:hint="eastAsia" w:ascii="宋体" w:hAnsi="宋体" w:cs="宋体"/>
                <w:b/>
                <w:bCs/>
                <w:color w:val="auto"/>
                <w:sz w:val="21"/>
                <w:szCs w:val="21"/>
                <w:highlight w:val="none"/>
              </w:rPr>
              <w:t>双方约定的工程款(进度款)支付的方式和时间:中标价即为合同价。进场施工一周后付合同价（扣除暂列金额）10%，工程量施工过半付合同价（扣除暂列金额）30%，工程量全部结束付至合同价（扣除暂列金额）的60%，工程竣工验收合格</w:t>
            </w:r>
            <w:r>
              <w:rPr>
                <w:rFonts w:hint="eastAsia" w:ascii="宋体" w:hAnsi="宋体" w:cs="宋体"/>
                <w:b/>
                <w:bCs/>
                <w:color w:val="auto"/>
                <w:sz w:val="21"/>
                <w:szCs w:val="21"/>
                <w:highlight w:val="none"/>
                <w:lang w:val="en-US" w:eastAsia="zh-CN"/>
              </w:rPr>
              <w:t>并报送符合要求的工程结算审计资料、工程档案资料后</w:t>
            </w:r>
            <w:r>
              <w:rPr>
                <w:rFonts w:hint="eastAsia" w:ascii="宋体" w:hAnsi="宋体" w:cs="宋体"/>
                <w:b/>
                <w:bCs/>
                <w:color w:val="auto"/>
                <w:sz w:val="21"/>
                <w:szCs w:val="21"/>
                <w:highlight w:val="none"/>
              </w:rPr>
              <w:t>付至合同价（扣除暂列金额）70％，工程决算经审计后付至审计价的97％，余款审计价的3%作为质量保证金待保修期满后且无违约行为扣除维修金后返还（以上均不计息）。（</w:t>
            </w:r>
            <w:r>
              <w:rPr>
                <w:rFonts w:hint="eastAsia"/>
                <w:b/>
                <w:bCs/>
                <w:color w:val="auto"/>
                <w:highlight w:val="none"/>
              </w:rPr>
              <w:t>施工过程中严格控制变更，最终工程结算价不得超出合同价的10%，超出部分由施工单位自行承担</w:t>
            </w:r>
            <w:r>
              <w:rPr>
                <w:rFonts w:hint="eastAsia" w:ascii="宋体" w:hAnsi="宋体" w:cs="宋体"/>
                <w:b/>
                <w:bCs/>
                <w:color w:val="auto"/>
                <w:sz w:val="21"/>
                <w:szCs w:val="21"/>
                <w:highlight w:val="none"/>
              </w:rPr>
              <w:t>）</w:t>
            </w:r>
          </w:p>
        </w:tc>
      </w:tr>
      <w:tr w14:paraId="0262F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56" w:type="dxa"/>
            <w:noWrap w:val="0"/>
            <w:vAlign w:val="center"/>
          </w:tcPr>
          <w:p w14:paraId="6A1321CE">
            <w:pPr>
              <w:adjustRightInd w:val="0"/>
              <w:snapToGrid w:val="0"/>
              <w:spacing w:line="360" w:lineRule="auto"/>
              <w:jc w:val="center"/>
              <w:rPr>
                <w:rFonts w:hint="eastAsia" w:ascii="宋体" w:hAnsi="宋体" w:cs="宋体"/>
                <w:snapToGrid w:val="0"/>
                <w:color w:val="auto"/>
                <w:sz w:val="21"/>
                <w:szCs w:val="21"/>
              </w:rPr>
            </w:pPr>
            <w:r>
              <w:rPr>
                <w:rFonts w:hint="eastAsia" w:ascii="宋体" w:hAnsi="宋体" w:cs="宋体"/>
                <w:snapToGrid w:val="0"/>
                <w:color w:val="auto"/>
                <w:sz w:val="21"/>
                <w:szCs w:val="21"/>
              </w:rPr>
              <w:t>联系方式</w:t>
            </w:r>
          </w:p>
        </w:tc>
        <w:tc>
          <w:tcPr>
            <w:tcW w:w="7817" w:type="dxa"/>
            <w:gridSpan w:val="3"/>
            <w:noWrap w:val="0"/>
            <w:vAlign w:val="center"/>
          </w:tcPr>
          <w:p w14:paraId="04C25D7A">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招标代理单位：江苏汇诚投资咨询管理有限公司</w:t>
            </w:r>
          </w:p>
          <w:p w14:paraId="4201DA79">
            <w:pPr>
              <w:adjustRightInd w:val="0"/>
              <w:snapToGrid w:val="0"/>
              <w:spacing w:line="360" w:lineRule="auto"/>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联系人：江鹏</w:t>
            </w:r>
          </w:p>
          <w:p w14:paraId="3074FA19">
            <w:pPr>
              <w:adjustRightInd w:val="0"/>
              <w:snapToGrid w:val="0"/>
              <w:spacing w:line="360" w:lineRule="auto"/>
              <w:contextualSpacing/>
              <w:rPr>
                <w:rFonts w:hint="eastAsia" w:ascii="宋体" w:hAnsi="宋体" w:cs="宋体"/>
                <w:snapToGrid w:val="0"/>
                <w:color w:val="auto"/>
                <w:sz w:val="21"/>
                <w:szCs w:val="21"/>
                <w:lang w:eastAsia="zh-CN"/>
              </w:rPr>
            </w:pPr>
            <w:r>
              <w:rPr>
                <w:rFonts w:hint="eastAsia" w:ascii="宋体" w:hAnsi="宋体" w:cs="宋体"/>
                <w:snapToGrid w:val="0"/>
                <w:color w:val="auto"/>
                <w:sz w:val="21"/>
                <w:szCs w:val="21"/>
              </w:rPr>
              <w:t>电话：0514-80827735、15062822404</w:t>
            </w:r>
          </w:p>
          <w:p w14:paraId="6E148CF4">
            <w:pPr>
              <w:adjustRightInd w:val="0"/>
              <w:snapToGrid w:val="0"/>
              <w:spacing w:line="360" w:lineRule="auto"/>
              <w:contextualSpacing/>
              <w:rPr>
                <w:rFonts w:hint="eastAsia" w:ascii="宋体" w:hAnsi="宋体" w:cs="宋体"/>
                <w:bCs/>
                <w:snapToGrid w:val="0"/>
                <w:color w:val="auto"/>
                <w:sz w:val="21"/>
                <w:szCs w:val="21"/>
              </w:rPr>
            </w:pPr>
            <w:r>
              <w:rPr>
                <w:rFonts w:hint="eastAsia" w:ascii="宋体" w:hAnsi="宋体" w:cs="宋体"/>
                <w:snapToGrid w:val="0"/>
                <w:color w:val="auto"/>
                <w:sz w:val="21"/>
                <w:szCs w:val="21"/>
              </w:rPr>
              <w:t>地址：扬州市邗江北路68号</w:t>
            </w:r>
          </w:p>
        </w:tc>
      </w:tr>
      <w:tr w14:paraId="4CC8D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17220228">
            <w:pPr>
              <w:adjustRightInd w:val="0"/>
              <w:snapToGrid w:val="0"/>
              <w:spacing w:line="360" w:lineRule="auto"/>
              <w:contextualSpacing/>
              <w:jc w:val="center"/>
              <w:rPr>
                <w:rFonts w:hint="eastAsia" w:ascii="宋体" w:hAnsi="宋体" w:cs="宋体"/>
                <w:snapToGrid w:val="0"/>
                <w:color w:val="auto"/>
                <w:sz w:val="21"/>
                <w:szCs w:val="21"/>
              </w:rPr>
            </w:pPr>
            <w:r>
              <w:rPr>
                <w:rFonts w:hint="eastAsia" w:ascii="宋体" w:hAnsi="宋体" w:cs="宋体"/>
                <w:bCs/>
                <w:snapToGrid w:val="0"/>
                <w:color w:val="auto"/>
                <w:sz w:val="21"/>
                <w:szCs w:val="21"/>
              </w:rPr>
              <w:t>其他</w:t>
            </w:r>
          </w:p>
        </w:tc>
        <w:tc>
          <w:tcPr>
            <w:tcW w:w="7817" w:type="dxa"/>
            <w:gridSpan w:val="3"/>
            <w:noWrap w:val="0"/>
            <w:vAlign w:val="center"/>
          </w:tcPr>
          <w:p w14:paraId="515853CF">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1、下文中与“前附表”内容不一致的，以“前附表”为准；</w:t>
            </w:r>
          </w:p>
          <w:p w14:paraId="710D7C93">
            <w:pPr>
              <w:adjustRightInd w:val="0"/>
              <w:snapToGrid w:val="0"/>
              <w:spacing w:line="360" w:lineRule="auto"/>
              <w:contextualSpacing/>
              <w:rPr>
                <w:rFonts w:hint="eastAsia" w:ascii="宋体" w:hAnsi="宋体" w:cs="宋体"/>
                <w:color w:val="auto"/>
                <w:sz w:val="21"/>
                <w:szCs w:val="21"/>
              </w:rPr>
            </w:pPr>
            <w:r>
              <w:rPr>
                <w:rFonts w:hint="eastAsia" w:ascii="宋体" w:hAnsi="宋体" w:cs="宋体"/>
                <w:b/>
                <w:bCs/>
                <w:color w:val="auto"/>
                <w:sz w:val="21"/>
                <w:szCs w:val="21"/>
              </w:rPr>
              <w:t>2、</w:t>
            </w:r>
            <w:r>
              <w:rPr>
                <w:rFonts w:hint="eastAsia" w:ascii="宋体" w:hAnsi="宋体" w:cs="宋体"/>
                <w:color w:val="auto"/>
                <w:sz w:val="21"/>
                <w:szCs w:val="21"/>
              </w:rPr>
              <w:t>本次招标条款适用《中华人民共和国招标投标法》、《中华人民共和国招标投标法实施条例》。</w:t>
            </w:r>
          </w:p>
          <w:p w14:paraId="496F50BB">
            <w:pPr>
              <w:adjustRightInd w:val="0"/>
              <w:snapToGrid w:val="0"/>
              <w:spacing w:line="360" w:lineRule="auto"/>
              <w:contextualSpacing/>
              <w:rPr>
                <w:rFonts w:hint="eastAsia" w:ascii="宋体" w:hAnsi="宋体" w:cs="宋体"/>
                <w:b/>
                <w:bCs/>
                <w:color w:val="auto"/>
                <w:sz w:val="21"/>
                <w:szCs w:val="21"/>
              </w:rPr>
            </w:pPr>
            <w:r>
              <w:rPr>
                <w:rFonts w:hint="eastAsia" w:ascii="宋体" w:hAnsi="宋体" w:cs="宋体"/>
                <w:b/>
                <w:bCs/>
                <w:color w:val="auto"/>
                <w:sz w:val="21"/>
                <w:szCs w:val="21"/>
              </w:rPr>
              <w:t>3、根据江苏省财政厅《关于做好政府采购支持企业发展有关事项的通知》（苏财购〔2020〕52号）文件的要求，本项目免收投标保证金。</w:t>
            </w:r>
          </w:p>
          <w:p w14:paraId="53C0A35C">
            <w:pPr>
              <w:pStyle w:val="7"/>
              <w:tabs>
                <w:tab w:val="left" w:pos="284"/>
                <w:tab w:val="clear" w:pos="0"/>
              </w:tabs>
              <w:adjustRightInd w:val="0"/>
              <w:snapToGrid w:val="0"/>
              <w:spacing w:line="360" w:lineRule="auto"/>
              <w:ind w:firstLine="0"/>
              <w:contextualSpacing/>
              <w:jc w:val="left"/>
              <w:rPr>
                <w:rFonts w:hint="eastAsia" w:hAnsi="宋体" w:cs="宋体"/>
                <w:b/>
                <w:bCs/>
                <w:color w:val="auto"/>
                <w:sz w:val="21"/>
                <w:szCs w:val="21"/>
                <w:lang w:val="en-US" w:eastAsia="zh-CN"/>
              </w:rPr>
            </w:pPr>
            <w:r>
              <w:rPr>
                <w:rFonts w:hint="eastAsia" w:hAnsi="宋体" w:cs="宋体"/>
                <w:b/>
                <w:bCs/>
                <w:color w:val="auto"/>
                <w:sz w:val="21"/>
                <w:szCs w:val="21"/>
                <w:lang w:val="en-US" w:eastAsia="zh-CN"/>
              </w:rPr>
              <w:t>4、该项目异议与投诉处理办法适用《江苏省房屋建筑和市政基础设施工程招标投标活动异议与投诉处理实施办法》（苏建规字〔2016〕4号）。</w:t>
            </w:r>
          </w:p>
          <w:p w14:paraId="1BBC1CA8">
            <w:pPr>
              <w:pStyle w:val="7"/>
              <w:tabs>
                <w:tab w:val="left" w:pos="284"/>
                <w:tab w:val="clear" w:pos="0"/>
              </w:tabs>
              <w:adjustRightInd w:val="0"/>
              <w:snapToGrid w:val="0"/>
              <w:spacing w:line="360" w:lineRule="auto"/>
              <w:ind w:firstLine="0"/>
              <w:contextualSpacing/>
              <w:jc w:val="left"/>
              <w:rPr>
                <w:rFonts w:hint="eastAsia" w:hAnsi="宋体" w:cs="仿宋"/>
                <w:b/>
                <w:bCs/>
                <w:snapToGrid w:val="0"/>
                <w:color w:val="auto"/>
                <w:sz w:val="21"/>
                <w:szCs w:val="21"/>
                <w:lang w:val="en-US" w:eastAsia="zh-CN"/>
              </w:rPr>
            </w:pPr>
            <w:r>
              <w:rPr>
                <w:rFonts w:hint="eastAsia" w:hAnsi="宋体" w:cs="宋体"/>
                <w:b/>
                <w:bCs/>
                <w:color w:val="auto"/>
                <w:sz w:val="21"/>
                <w:szCs w:val="21"/>
                <w:lang w:val="en-US" w:eastAsia="zh-CN"/>
              </w:rPr>
              <w:t>5、</w:t>
            </w:r>
            <w:r>
              <w:rPr>
                <w:rFonts w:hint="eastAsia" w:hAnsi="宋体" w:cs="仿宋"/>
                <w:b/>
                <w:bCs/>
                <w:snapToGrid w:val="0"/>
                <w:color w:val="auto"/>
                <w:sz w:val="21"/>
                <w:szCs w:val="21"/>
                <w:lang w:val="en-US" w:eastAsia="zh-CN"/>
              </w:rPr>
              <w:t>承包人采购的全部材料和设备在使用前，承包人应当根据国家有关法律、法规、工程建设强制性标准和设计文件，按监理人或工程师要求，对建设工程的材料、构配件、设备，以及工程实体质量、使用功能等进行见证取样检验或试验。所有上述建设工程质量检测（初试及复试）的全部费用，其中包括室内环境监测费，均由承包人承担，不合格的不得使用。</w:t>
            </w:r>
          </w:p>
          <w:p w14:paraId="35110998">
            <w:pPr>
              <w:pStyle w:val="7"/>
              <w:tabs>
                <w:tab w:val="left" w:pos="284"/>
                <w:tab w:val="clear" w:pos="0"/>
              </w:tabs>
              <w:adjustRightInd w:val="0"/>
              <w:snapToGrid w:val="0"/>
              <w:spacing w:line="360" w:lineRule="auto"/>
              <w:ind w:firstLine="0"/>
              <w:contextualSpacing/>
              <w:jc w:val="left"/>
              <w:rPr>
                <w:rFonts w:hAnsi="宋体" w:cs="仿宋"/>
                <w:b/>
                <w:bCs/>
                <w:snapToGrid w:val="0"/>
                <w:color w:val="auto"/>
                <w:sz w:val="21"/>
                <w:szCs w:val="21"/>
                <w:highlight w:val="yellow"/>
                <w:lang w:val="en-US" w:eastAsia="zh-CN"/>
              </w:rPr>
            </w:pPr>
            <w:r>
              <w:rPr>
                <w:rFonts w:hint="eastAsia" w:hAnsi="宋体" w:cs="仿宋"/>
                <w:b/>
                <w:bCs/>
                <w:snapToGrid w:val="0"/>
                <w:color w:val="auto"/>
                <w:sz w:val="21"/>
                <w:szCs w:val="21"/>
                <w:highlight w:val="none"/>
                <w:lang w:val="en-US" w:eastAsia="zh-CN"/>
              </w:rPr>
              <w:t>6、除国家有关法律、法规、工程建设强制性标准和设计文件规定之外，如发包人或监理人或工程师对其材料和设备有异议的，承包人需无条件配合检测。若材料或设备检测合格，检测费由发包人承担。若材料或设备检测不合格，检测费由承包人承担，并配合进行复检，复检费用也由承包人承担。</w:t>
            </w:r>
          </w:p>
        </w:tc>
      </w:tr>
      <w:tr w14:paraId="05E95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56" w:type="dxa"/>
            <w:noWrap w:val="0"/>
            <w:vAlign w:val="center"/>
          </w:tcPr>
          <w:p w14:paraId="0D695767">
            <w:pPr>
              <w:adjustRightInd w:val="0"/>
              <w:snapToGrid w:val="0"/>
              <w:spacing w:line="360" w:lineRule="auto"/>
              <w:contextualSpacing/>
              <w:jc w:val="center"/>
              <w:rPr>
                <w:rFonts w:hint="eastAsia" w:ascii="宋体" w:hAnsi="宋体" w:cs="宋体"/>
                <w:bCs/>
                <w:snapToGrid w:val="0"/>
                <w:color w:val="auto"/>
                <w:sz w:val="21"/>
                <w:szCs w:val="21"/>
              </w:rPr>
            </w:pPr>
            <w:r>
              <w:rPr>
                <w:rFonts w:hint="eastAsia" w:ascii="宋体" w:hAnsi="宋体" w:cs="宋体"/>
                <w:bCs/>
                <w:snapToGrid w:val="0"/>
                <w:color w:val="auto"/>
                <w:sz w:val="21"/>
                <w:szCs w:val="21"/>
              </w:rPr>
              <w:t>投标、开标事宜</w:t>
            </w:r>
          </w:p>
        </w:tc>
        <w:tc>
          <w:tcPr>
            <w:tcW w:w="7817" w:type="dxa"/>
            <w:gridSpan w:val="3"/>
            <w:noWrap w:val="0"/>
            <w:vAlign w:val="center"/>
          </w:tcPr>
          <w:p w14:paraId="25C390FF">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一、提交投标文件截止时间、开标时间和地点</w:t>
            </w:r>
          </w:p>
          <w:p w14:paraId="2EC9E017">
            <w:pPr>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1、开标时间：20</w:t>
            </w:r>
            <w:r>
              <w:rPr>
                <w:rFonts w:hint="eastAsia" w:ascii="宋体" w:hAnsi="宋体" w:cs="宋体"/>
                <w:color w:val="auto"/>
                <w:sz w:val="21"/>
                <w:szCs w:val="21"/>
                <w:lang w:val="en-US" w:eastAsia="zh-CN"/>
              </w:rPr>
              <w:t>24</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w:t>
            </w:r>
            <w:r>
              <w:rPr>
                <w:rFonts w:hint="eastAsia" w:ascii="宋体" w:hAnsi="宋体" w:cs="宋体"/>
                <w:color w:val="auto"/>
                <w:sz w:val="21"/>
                <w:szCs w:val="21"/>
                <w:lang w:val="en-US" w:eastAsia="zh-CN"/>
              </w:rPr>
              <w:t>30</w:t>
            </w:r>
            <w:r>
              <w:rPr>
                <w:rFonts w:hint="eastAsia" w:ascii="宋体" w:hAnsi="宋体" w:cs="宋体"/>
                <w:color w:val="auto"/>
                <w:sz w:val="21"/>
                <w:szCs w:val="21"/>
              </w:rPr>
              <w:t>日</w:t>
            </w:r>
            <w:r>
              <w:rPr>
                <w:rFonts w:hint="eastAsia" w:ascii="宋体" w:hAnsi="宋体" w:cs="宋体"/>
                <w:color w:val="auto"/>
                <w:sz w:val="21"/>
                <w:szCs w:val="21"/>
                <w:lang w:val="en-US" w:eastAsia="zh-CN"/>
              </w:rPr>
              <w:t>15</w:t>
            </w:r>
            <w:r>
              <w:rPr>
                <w:rFonts w:hint="eastAsia" w:ascii="宋体" w:hAnsi="宋体" w:cs="宋体"/>
                <w:color w:val="auto"/>
                <w:sz w:val="21"/>
                <w:szCs w:val="21"/>
              </w:rPr>
              <w:t>点</w:t>
            </w:r>
            <w:r>
              <w:rPr>
                <w:rFonts w:hint="eastAsia" w:ascii="宋体" w:hAnsi="宋体" w:cs="宋体"/>
                <w:color w:val="auto"/>
                <w:sz w:val="21"/>
                <w:szCs w:val="21"/>
                <w:lang w:val="en-US" w:eastAsia="zh-CN"/>
              </w:rPr>
              <w:t>0</w:t>
            </w:r>
            <w:r>
              <w:rPr>
                <w:rFonts w:hint="eastAsia" w:ascii="宋体" w:hAnsi="宋体" w:cs="宋体"/>
                <w:color w:val="auto"/>
                <w:sz w:val="21"/>
                <w:szCs w:val="21"/>
              </w:rPr>
              <w:t>0分（北京时间）</w:t>
            </w:r>
          </w:p>
          <w:p w14:paraId="3ECEEE3B">
            <w:pPr>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2、地点：江苏汇诚投资咨询管理有限公司开标室（扬州市邗江北路68号旺角西入口三楼）</w:t>
            </w:r>
          </w:p>
          <w:p w14:paraId="15D6815D">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二、投标文件制作份数要求</w:t>
            </w:r>
          </w:p>
          <w:p w14:paraId="2A1D7A0D">
            <w:pPr>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投标人应提供纸质投标文件一式五份（一份正本， 四份副本）， 每份投标文件须清楚标明“ 正本”或“副本”。电子版投标文件 1 份（一般应为 PDF 格式、U 盘形式（单独封装）、随纸质正本文件一并提交）。当电子版文件和纸质正本文件不一致时，以纸质正本文件为准。电子版文件用于辅助评标和存档，投标人需承担前述不一致造成的不利后果。</w:t>
            </w:r>
          </w:p>
        </w:tc>
      </w:tr>
    </w:tbl>
    <w:p w14:paraId="291B027D">
      <w:pPr>
        <w:adjustRightInd w:val="0"/>
        <w:snapToGrid w:val="0"/>
        <w:spacing w:line="360" w:lineRule="auto"/>
        <w:ind w:left="743" w:leftChars="354" w:firstLine="4400" w:firstLineChars="1826"/>
        <w:contextualSpacing/>
        <w:rPr>
          <w:rStyle w:val="18"/>
          <w:rFonts w:hint="eastAsia" w:cs="宋体"/>
          <w:color w:val="auto"/>
          <w:sz w:val="24"/>
          <w:szCs w:val="24"/>
        </w:rPr>
      </w:pPr>
    </w:p>
    <w:p w14:paraId="79C7B407">
      <w:pPr>
        <w:spacing w:line="360" w:lineRule="auto"/>
        <w:ind w:firstLine="482" w:firstLineChars="200"/>
        <w:contextualSpacing/>
        <w:outlineLvl w:val="1"/>
        <w:rPr>
          <w:rFonts w:hint="eastAsia" w:ascii="宋体" w:hAnsi="宋体" w:cs="宋体"/>
          <w:snapToGrid w:val="0"/>
          <w:color w:val="auto"/>
          <w:sz w:val="21"/>
          <w:szCs w:val="21"/>
        </w:rPr>
      </w:pPr>
      <w:r>
        <w:rPr>
          <w:rStyle w:val="18"/>
          <w:rFonts w:hint="eastAsia" w:cs="宋体"/>
          <w:color w:val="auto"/>
          <w:sz w:val="24"/>
          <w:szCs w:val="24"/>
        </w:rPr>
        <w:br w:type="page"/>
      </w:r>
      <w:r>
        <w:rPr>
          <w:rStyle w:val="19"/>
          <w:rFonts w:hint="eastAsia" w:cs="宋体"/>
          <w:color w:val="auto"/>
          <w:sz w:val="21"/>
          <w:szCs w:val="21"/>
        </w:rPr>
        <w:t>一、招标文件</w:t>
      </w:r>
    </w:p>
    <w:p w14:paraId="4F58650C">
      <w:pPr>
        <w:tabs>
          <w:tab w:val="left" w:pos="851"/>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1.1招标文件包括以下文件：</w:t>
      </w:r>
    </w:p>
    <w:p w14:paraId="4D4238BB">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（1）投标人须知；</w:t>
      </w:r>
    </w:p>
    <w:p w14:paraId="5670CDA7">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（2）合同主要条款；</w:t>
      </w:r>
    </w:p>
    <w:p w14:paraId="03C05CE0">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（3）技术规范及要求；</w:t>
      </w:r>
    </w:p>
    <w:p w14:paraId="225E9509">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（4）工程量清单及招标控制价；</w:t>
      </w:r>
    </w:p>
    <w:p w14:paraId="48CF389E">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（5）图纸及附件资料；</w:t>
      </w:r>
    </w:p>
    <w:p w14:paraId="08085F64">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（6）投标文件格式；</w:t>
      </w:r>
    </w:p>
    <w:p w14:paraId="0DEEB3FF">
      <w:pPr>
        <w:tabs>
          <w:tab w:val="left" w:pos="851"/>
          <w:tab w:val="left" w:pos="219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（7）所有招投标期间发出的澄清、修改通知。</w:t>
      </w:r>
    </w:p>
    <w:p w14:paraId="5B6BAAE8">
      <w:pPr>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1.2投标人应认真阅读本招标文件中所有的内容，并按招标文件的规定和要求编写投标文件，不能满足招标文件实质性要求的投标文件，将被视为无效投标文件。</w:t>
      </w:r>
    </w:p>
    <w:p w14:paraId="55E40983">
      <w:pPr>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bCs/>
          <w:snapToGrid w:val="0"/>
          <w:color w:val="auto"/>
          <w:sz w:val="21"/>
          <w:szCs w:val="21"/>
        </w:rPr>
        <w:t>1.3</w:t>
      </w:r>
      <w:r>
        <w:rPr>
          <w:rFonts w:hint="eastAsia" w:ascii="宋体" w:hAnsi="宋体" w:cs="宋体"/>
          <w:snapToGrid w:val="0"/>
          <w:color w:val="auto"/>
          <w:sz w:val="21"/>
          <w:szCs w:val="21"/>
        </w:rPr>
        <w:t>招标人向投标人提供的有关施工现场的资料和数据是招标人现有的能使投标人利用的资料。投标人由于对招标文件的任何推论和误解以及招标人对有关问题的口头解释所造成的后果，均由投标人自负。</w:t>
      </w:r>
    </w:p>
    <w:p w14:paraId="4E58A1DE">
      <w:pPr>
        <w:spacing w:line="360" w:lineRule="auto"/>
        <w:ind w:firstLine="422" w:firstLineChars="200"/>
        <w:contextualSpacing/>
        <w:outlineLvl w:val="1"/>
        <w:rPr>
          <w:rStyle w:val="19"/>
          <w:rFonts w:hint="eastAsia" w:cs="宋体"/>
          <w:color w:val="auto"/>
          <w:sz w:val="21"/>
          <w:szCs w:val="21"/>
        </w:rPr>
      </w:pPr>
      <w:r>
        <w:rPr>
          <w:rStyle w:val="19"/>
          <w:rFonts w:hint="eastAsia" w:cs="宋体"/>
          <w:color w:val="auto"/>
          <w:sz w:val="21"/>
          <w:szCs w:val="21"/>
        </w:rPr>
        <w:t>二、招标文件澄清</w:t>
      </w:r>
    </w:p>
    <w:p w14:paraId="5D6C0B60">
      <w:pPr>
        <w:tabs>
          <w:tab w:val="left" w:pos="0"/>
          <w:tab w:val="left" w:pos="993"/>
          <w:tab w:val="left" w:pos="1134"/>
        </w:tabs>
        <w:spacing w:line="360" w:lineRule="auto"/>
        <w:ind w:firstLine="420" w:firstLineChars="200"/>
        <w:contextualSpacing/>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2.1投标人在收到招标文件后，若有疑问需要澄清，应在</w:t>
      </w:r>
      <w:r>
        <w:rPr>
          <w:rFonts w:hint="eastAsia" w:ascii="宋体" w:hAnsi="宋体" w:cs="宋体"/>
          <w:bCs/>
          <w:snapToGrid w:val="0"/>
          <w:color w:val="auto"/>
          <w:sz w:val="21"/>
          <w:szCs w:val="21"/>
          <w:highlight w:val="none"/>
        </w:rPr>
        <w:t>收到招标文件后</w:t>
      </w:r>
      <w:r>
        <w:rPr>
          <w:rFonts w:hint="eastAsia" w:ascii="宋体" w:hAnsi="宋体" w:cs="宋体"/>
          <w:bCs/>
          <w:snapToGrid w:val="0"/>
          <w:color w:val="auto"/>
          <w:sz w:val="21"/>
          <w:szCs w:val="21"/>
          <w:highlight w:val="none"/>
          <w:u w:val="single"/>
        </w:rPr>
        <w:t>3</w:t>
      </w:r>
      <w:r>
        <w:rPr>
          <w:rFonts w:hint="eastAsia" w:ascii="宋体" w:hAnsi="宋体" w:cs="宋体"/>
          <w:bCs/>
          <w:snapToGrid w:val="0"/>
          <w:color w:val="auto"/>
          <w:sz w:val="21"/>
          <w:szCs w:val="21"/>
          <w:highlight w:val="none"/>
        </w:rPr>
        <w:t>日内</w:t>
      </w:r>
      <w:r>
        <w:rPr>
          <w:rFonts w:hint="eastAsia" w:ascii="宋体" w:hAnsi="宋体" w:cs="宋体"/>
          <w:snapToGrid w:val="0"/>
          <w:color w:val="auto"/>
          <w:sz w:val="21"/>
          <w:szCs w:val="21"/>
          <w:highlight w:val="none"/>
        </w:rPr>
        <w:t>以书面形式（包括书面文字、传真、电子邮件等）向招标人提出，</w:t>
      </w:r>
      <w:r>
        <w:rPr>
          <w:rFonts w:hint="eastAsia" w:ascii="宋体" w:hAnsi="宋体" w:cs="宋体"/>
          <w:snapToGrid w:val="0"/>
          <w:color w:val="auto"/>
          <w:sz w:val="21"/>
          <w:szCs w:val="21"/>
          <w:highlight w:val="none"/>
          <w:lang w:val="en-US" w:eastAsia="zh-CN"/>
        </w:rPr>
        <w:t>澄清截止时间：2024年12月25日11：00前。所有问题的解答，将以书面形式提供给所有投标人，招标人澄清的时间：</w:t>
      </w:r>
      <w:bookmarkStart w:id="5" w:name="_GoBack"/>
      <w:bookmarkEnd w:id="5"/>
      <w:r>
        <w:rPr>
          <w:rFonts w:hint="eastAsia" w:ascii="宋体" w:hAnsi="宋体" w:cs="宋体"/>
          <w:snapToGrid w:val="0"/>
          <w:color w:val="auto"/>
          <w:sz w:val="21"/>
          <w:szCs w:val="21"/>
          <w:highlight w:val="none"/>
          <w:lang w:val="en-US" w:eastAsia="zh-CN"/>
        </w:rPr>
        <w:t>2024年12月25日17：00前。由此而</w:t>
      </w:r>
      <w:r>
        <w:rPr>
          <w:rFonts w:hint="eastAsia" w:ascii="宋体" w:hAnsi="宋体" w:cs="宋体"/>
          <w:snapToGrid w:val="0"/>
          <w:color w:val="auto"/>
          <w:sz w:val="21"/>
          <w:szCs w:val="21"/>
          <w:highlight w:val="none"/>
        </w:rPr>
        <w:t>产生的对招标文件内容的修改，以修改通知的方式发出。如这些资料具有合同意义将并入将来的合同文件中。</w:t>
      </w:r>
    </w:p>
    <w:p w14:paraId="5B97E2AE">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2.2澄清的内容为招标文件的组成部分。</w:t>
      </w:r>
    </w:p>
    <w:p w14:paraId="1C347E23">
      <w:pPr>
        <w:spacing w:line="360" w:lineRule="auto"/>
        <w:ind w:firstLine="422" w:firstLineChars="200"/>
        <w:contextualSpacing/>
        <w:outlineLvl w:val="1"/>
        <w:rPr>
          <w:rStyle w:val="19"/>
          <w:rFonts w:hint="eastAsia"/>
          <w:bCs w:val="0"/>
          <w:color w:val="auto"/>
          <w:sz w:val="21"/>
          <w:szCs w:val="21"/>
        </w:rPr>
      </w:pPr>
      <w:r>
        <w:rPr>
          <w:rStyle w:val="19"/>
          <w:rFonts w:hint="eastAsia"/>
          <w:bCs w:val="0"/>
          <w:color w:val="auto"/>
          <w:sz w:val="21"/>
          <w:szCs w:val="21"/>
        </w:rPr>
        <w:t>三、招标文件修改</w:t>
      </w:r>
    </w:p>
    <w:p w14:paraId="5CF32D96">
      <w:pPr>
        <w:tabs>
          <w:tab w:val="left" w:pos="-284"/>
          <w:tab w:val="left" w:pos="426"/>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3.1在投标截止日期</w:t>
      </w:r>
      <w:r>
        <w:rPr>
          <w:rFonts w:hint="eastAsia" w:ascii="宋体" w:hAnsi="宋体" w:cs="宋体"/>
          <w:bCs/>
          <w:snapToGrid w:val="0"/>
          <w:color w:val="auto"/>
          <w:sz w:val="21"/>
          <w:szCs w:val="21"/>
          <w:u w:val="single"/>
        </w:rPr>
        <w:t>3</w:t>
      </w:r>
      <w:r>
        <w:rPr>
          <w:rFonts w:hint="eastAsia" w:ascii="宋体" w:hAnsi="宋体" w:cs="宋体"/>
          <w:snapToGrid w:val="0"/>
          <w:color w:val="auto"/>
          <w:sz w:val="21"/>
          <w:szCs w:val="21"/>
        </w:rPr>
        <w:t>天前，招标人都可能会以书面通知的方式</w:t>
      </w:r>
      <w:r>
        <w:rPr>
          <w:rFonts w:hint="eastAsia" w:ascii="宋体" w:hAnsi="宋体" w:cs="宋体"/>
          <w:snapToGrid w:val="0"/>
          <w:color w:val="auto"/>
          <w:spacing w:val="-20"/>
          <w:sz w:val="21"/>
          <w:szCs w:val="21"/>
        </w:rPr>
        <w:t>修改招标文件。修改通知作为招标文件的组成部分，对投标人起同等约束</w:t>
      </w:r>
      <w:r>
        <w:rPr>
          <w:rFonts w:hint="eastAsia" w:ascii="宋体" w:hAnsi="宋体" w:cs="宋体"/>
          <w:snapToGrid w:val="0"/>
          <w:color w:val="auto"/>
          <w:sz w:val="21"/>
          <w:szCs w:val="21"/>
        </w:rPr>
        <w:t>作用。</w:t>
      </w:r>
    </w:p>
    <w:p w14:paraId="39C53244">
      <w:pPr>
        <w:tabs>
          <w:tab w:val="left" w:pos="-284"/>
          <w:tab w:val="left" w:pos="426"/>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3.2为使投标人在编制投标文件时把修改通知内容考虑进去，招标人可以酌情延长递交投标文件的截止日期。具体时间将在修改通知中写明。</w:t>
      </w:r>
    </w:p>
    <w:p w14:paraId="1FE7A951">
      <w:pPr>
        <w:tabs>
          <w:tab w:val="left" w:pos="-284"/>
          <w:tab w:val="left" w:pos="426"/>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3.3</w:t>
      </w:r>
      <w:r>
        <w:rPr>
          <w:rFonts w:hint="eastAsia" w:ascii="宋体" w:hAnsi="宋体" w:cs="宋体"/>
          <w:snapToGrid w:val="0"/>
          <w:color w:val="auto"/>
          <w:spacing w:val="-20"/>
          <w:sz w:val="21"/>
          <w:szCs w:val="21"/>
        </w:rPr>
        <w:t>当招标文件、修改通知内容相互矛盾时，以最后发出的通知为</w:t>
      </w:r>
      <w:r>
        <w:rPr>
          <w:rFonts w:hint="eastAsia" w:ascii="宋体" w:hAnsi="宋体" w:cs="宋体"/>
          <w:snapToGrid w:val="0"/>
          <w:color w:val="auto"/>
          <w:sz w:val="21"/>
          <w:szCs w:val="21"/>
        </w:rPr>
        <w:t>准。</w:t>
      </w:r>
    </w:p>
    <w:p w14:paraId="2701813C">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3.4修改的内容为招标文件的组成部分。所有答复、修改、变更内容均以书面形式公布在</w:t>
      </w:r>
      <w:r>
        <w:rPr>
          <w:rFonts w:hint="eastAsia" w:ascii="宋体" w:hAnsi="宋体" w:cs="宋体"/>
          <w:color w:val="auto"/>
          <w:sz w:val="21"/>
          <w:szCs w:val="21"/>
          <w:lang w:eastAsia="zh-CN"/>
        </w:rPr>
        <w:t>扬州大学附属医院网站</w:t>
      </w:r>
      <w:r>
        <w:rPr>
          <w:rFonts w:hint="eastAsia" w:ascii="宋体" w:hAnsi="宋体" w:cs="宋体"/>
          <w:color w:val="auto"/>
          <w:sz w:val="21"/>
          <w:szCs w:val="21"/>
        </w:rPr>
        <w:t>（</w:t>
      </w:r>
      <w:r>
        <w:rPr>
          <w:rFonts w:hint="eastAsia" w:ascii="宋体" w:hAnsi="宋体" w:cs="宋体"/>
          <w:color w:val="auto"/>
          <w:sz w:val="21"/>
          <w:szCs w:val="21"/>
          <w:lang w:eastAsia="zh-CN"/>
        </w:rPr>
        <w:t>http://www.yangzhouyiyuan.com/</w:t>
      </w:r>
      <w:r>
        <w:rPr>
          <w:rFonts w:hint="eastAsia" w:ascii="宋体" w:hAnsi="宋体" w:cs="宋体"/>
          <w:color w:val="auto"/>
          <w:sz w:val="21"/>
          <w:szCs w:val="21"/>
        </w:rPr>
        <w:t>）和中国招投标网上（http://www.infobidding.com），不再另行通知，请投标人关注网站内容的更新。</w:t>
      </w:r>
    </w:p>
    <w:p w14:paraId="76BE8E11">
      <w:pPr>
        <w:spacing w:line="360" w:lineRule="auto"/>
        <w:ind w:firstLine="422" w:firstLineChars="200"/>
        <w:contextualSpacing/>
        <w:outlineLvl w:val="1"/>
        <w:rPr>
          <w:rStyle w:val="19"/>
          <w:rFonts w:hint="eastAsia"/>
          <w:bCs w:val="0"/>
          <w:color w:val="auto"/>
          <w:sz w:val="21"/>
          <w:szCs w:val="21"/>
        </w:rPr>
      </w:pPr>
      <w:r>
        <w:rPr>
          <w:rStyle w:val="19"/>
          <w:rFonts w:hint="eastAsia"/>
          <w:bCs w:val="0"/>
          <w:color w:val="auto"/>
          <w:sz w:val="21"/>
          <w:szCs w:val="21"/>
        </w:rPr>
        <w:t>四、投标费用</w:t>
      </w:r>
    </w:p>
    <w:p w14:paraId="5836ADE8">
      <w:pPr>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4.1投标人应承担其编制投标文件与递交投标文件所涉及的一切费用。不管投标结果如何，招标人对上述费用不负任何责任。</w:t>
      </w:r>
    </w:p>
    <w:p w14:paraId="3F171601">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4.2标书工本费250元（含电子清标费）</w:t>
      </w:r>
      <w:r>
        <w:rPr>
          <w:rFonts w:hint="eastAsia" w:ascii="宋体" w:hAnsi="宋体" w:cs="宋体"/>
          <w:color w:val="auto"/>
          <w:szCs w:val="21"/>
        </w:rPr>
        <w:t>，递交纸质版响应文件时缴纳，售后不退</w:t>
      </w:r>
      <w:r>
        <w:rPr>
          <w:rFonts w:hint="eastAsia" w:ascii="宋体" w:hAnsi="宋体" w:cs="宋体"/>
          <w:color w:val="auto"/>
          <w:sz w:val="21"/>
          <w:szCs w:val="21"/>
        </w:rPr>
        <w:t>；评委评标费由中标人支付，</w:t>
      </w:r>
      <w:r>
        <w:rPr>
          <w:rFonts w:hint="eastAsia" w:ascii="宋体" w:hAnsi="宋体"/>
          <w:color w:val="auto"/>
          <w:szCs w:val="21"/>
        </w:rPr>
        <w:t>暂按500元/人，按实结算</w:t>
      </w:r>
      <w:r>
        <w:rPr>
          <w:rFonts w:hint="eastAsia" w:ascii="宋体" w:hAnsi="宋体" w:cs="宋体"/>
          <w:color w:val="auto"/>
          <w:sz w:val="21"/>
          <w:szCs w:val="21"/>
        </w:rPr>
        <w:t>。</w:t>
      </w:r>
    </w:p>
    <w:p w14:paraId="69033817">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4.3招标代理服务费</w:t>
      </w:r>
    </w:p>
    <w:p w14:paraId="01EA4D59">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（1）本次招标代理服务费由中标人在领取中标通知书前一次性支付给采购代理机构，招标代理服务费不在投标报价中单列，包含在投标总价中；</w:t>
      </w:r>
    </w:p>
    <w:p w14:paraId="1E775A5E">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（2）服务费标准：中标价在 100 万元〈不含 100万元〉以下，按壹仟伍佰元计取；中标价在 100万元(含 100 万元〉以上的项目〈每项目或标段计算代理酬金〉按照发改价格【2011 (534 )号文件】收费标准的 15% 折扣率计算，代理酬金最高不超过8000元整。</w:t>
      </w:r>
    </w:p>
    <w:p w14:paraId="73BF0392">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（3）中标服务费支付方式：一次性以电汇、转账、支票、现金等形式支付；</w:t>
      </w:r>
    </w:p>
    <w:p w14:paraId="05CB89F7">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（4）采购代理单位银行账号信息：</w:t>
      </w:r>
    </w:p>
    <w:p w14:paraId="5229BC26">
      <w:pPr>
        <w:spacing w:line="360" w:lineRule="auto"/>
        <w:ind w:firstLine="420" w:firstLineChars="200"/>
        <w:contextualSpacing/>
        <w:outlineLvl w:val="1"/>
        <w:rPr>
          <w:rFonts w:hint="eastAsia" w:ascii="宋体" w:hAnsi="宋体" w:cs="宋体"/>
          <w:color w:val="auto"/>
          <w:sz w:val="21"/>
          <w:szCs w:val="21"/>
        </w:rPr>
      </w:pPr>
      <w:r>
        <w:rPr>
          <w:rFonts w:hint="eastAsia" w:ascii="宋体" w:hAnsi="宋体" w:cs="宋体"/>
          <w:color w:val="auto"/>
          <w:sz w:val="21"/>
          <w:szCs w:val="21"/>
        </w:rPr>
        <w:t>招标代理服务费开户银行：中信银行扬州邗江支行</w:t>
      </w:r>
    </w:p>
    <w:p w14:paraId="5C419FE4">
      <w:pPr>
        <w:spacing w:line="360" w:lineRule="auto"/>
        <w:ind w:firstLine="420" w:firstLineChars="200"/>
        <w:contextualSpacing/>
        <w:outlineLvl w:val="1"/>
        <w:rPr>
          <w:rFonts w:hint="eastAsia" w:ascii="宋体" w:hAnsi="宋体" w:cs="宋体"/>
          <w:color w:val="auto"/>
          <w:sz w:val="21"/>
          <w:szCs w:val="21"/>
        </w:rPr>
      </w:pPr>
      <w:r>
        <w:rPr>
          <w:rFonts w:hint="eastAsia" w:ascii="宋体" w:hAnsi="宋体" w:cs="宋体"/>
          <w:color w:val="auto"/>
          <w:sz w:val="21"/>
          <w:szCs w:val="21"/>
        </w:rPr>
        <w:t>开户名称：江苏汇诚投资咨询管理有限公司</w:t>
      </w:r>
    </w:p>
    <w:p w14:paraId="18292E63">
      <w:pPr>
        <w:spacing w:line="360" w:lineRule="auto"/>
        <w:ind w:firstLine="420" w:firstLineChars="200"/>
        <w:contextualSpacing/>
        <w:outlineLvl w:val="1"/>
        <w:rPr>
          <w:rFonts w:hint="eastAsia" w:ascii="宋体" w:hAnsi="宋体" w:cs="宋体"/>
          <w:color w:val="auto"/>
          <w:sz w:val="21"/>
          <w:szCs w:val="21"/>
        </w:rPr>
      </w:pPr>
      <w:r>
        <w:rPr>
          <w:rFonts w:hint="eastAsia" w:ascii="宋体" w:hAnsi="宋体" w:cs="宋体"/>
          <w:color w:val="auto"/>
          <w:sz w:val="21"/>
          <w:szCs w:val="21"/>
        </w:rPr>
        <w:t>开户帐号：7328410182600010543</w:t>
      </w:r>
    </w:p>
    <w:p w14:paraId="0A6CAC13">
      <w:pPr>
        <w:spacing w:line="360" w:lineRule="auto"/>
        <w:ind w:firstLine="422" w:firstLineChars="200"/>
        <w:contextualSpacing/>
        <w:outlineLvl w:val="1"/>
        <w:rPr>
          <w:rStyle w:val="19"/>
          <w:rFonts w:hint="eastAsia"/>
          <w:bCs w:val="0"/>
          <w:color w:val="auto"/>
          <w:sz w:val="21"/>
          <w:szCs w:val="21"/>
        </w:rPr>
      </w:pPr>
      <w:r>
        <w:rPr>
          <w:rStyle w:val="19"/>
          <w:rFonts w:hint="eastAsia"/>
          <w:bCs w:val="0"/>
          <w:color w:val="auto"/>
          <w:sz w:val="21"/>
          <w:szCs w:val="21"/>
        </w:rPr>
        <w:t>五、投标文件组成</w:t>
      </w:r>
    </w:p>
    <w:p w14:paraId="090D21D8">
      <w:pPr>
        <w:tabs>
          <w:tab w:val="left" w:pos="-993"/>
          <w:tab w:val="left" w:pos="-851"/>
          <w:tab w:val="left" w:pos="0"/>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投标文件包括：</w:t>
      </w:r>
    </w:p>
    <w:p w14:paraId="73D7E9B7">
      <w:pPr>
        <w:tabs>
          <w:tab w:val="left" w:pos="-993"/>
          <w:tab w:val="left" w:pos="-851"/>
          <w:tab w:val="left" w:pos="0"/>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5.1资格审查文件（须单独装订编页码做目录，A4纸打印并在封面注明“资格审查文件”），所有复印件需加盖投标单位公章</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未提供格式的请各投标人格式自拟</w:t>
      </w:r>
      <w:r>
        <w:rPr>
          <w:rFonts w:hint="eastAsia" w:ascii="宋体" w:hAnsi="宋体" w:cs="宋体"/>
          <w:color w:val="auto"/>
          <w:sz w:val="21"/>
          <w:szCs w:val="21"/>
        </w:rPr>
        <w:t>：</w:t>
      </w:r>
    </w:p>
    <w:p w14:paraId="6CA7F408">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（1）资格审查申请书；</w:t>
      </w:r>
    </w:p>
    <w:p w14:paraId="5100226B">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（2）法定代表人身份证明或附有法定代表人身份证明的授权委托书；</w:t>
      </w:r>
    </w:p>
    <w:p w14:paraId="29DD8678">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（3）申请资格审查人简介；</w:t>
      </w:r>
    </w:p>
    <w:p w14:paraId="6A0A002B">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（4）近两年己完成工程、在建工程情况；</w:t>
      </w:r>
    </w:p>
    <w:p w14:paraId="393D772B">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（5）承诺书（无在建工程、材料真实性、渣土外运、施工单位投标安全承诺书</w:t>
      </w:r>
      <w:r>
        <w:rPr>
          <w:rFonts w:hint="eastAsia" w:ascii="宋体" w:hAnsi="宋体" w:cs="宋体"/>
          <w:color w:val="auto"/>
          <w:sz w:val="21"/>
          <w:szCs w:val="21"/>
          <w:lang w:eastAsia="zh-CN"/>
        </w:rPr>
        <w:t>、</w:t>
      </w:r>
      <w:r>
        <w:rPr>
          <w:rFonts w:hint="eastAsia" w:ascii="宋体" w:hAnsi="宋体" w:cs="宋体"/>
          <w:color w:val="auto"/>
          <w:sz w:val="21"/>
          <w:szCs w:val="21"/>
        </w:rPr>
        <w:t>设备材料品牌承诺书）；</w:t>
      </w:r>
    </w:p>
    <w:p w14:paraId="71BF918C">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（6）企业法人营业执照；</w:t>
      </w:r>
    </w:p>
    <w:p w14:paraId="5CF347D6">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（7）企业资质证书及安全生产许可证；</w:t>
      </w:r>
    </w:p>
    <w:p w14:paraId="77C51DC3">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（8）注册建造师资质证书及安全生产考核合格证；</w:t>
      </w:r>
    </w:p>
    <w:p w14:paraId="57907036">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9</w:t>
      </w:r>
      <w:r>
        <w:rPr>
          <w:rFonts w:hint="eastAsia" w:ascii="宋体" w:hAnsi="宋体" w:cs="宋体"/>
          <w:color w:val="auto"/>
          <w:sz w:val="21"/>
          <w:szCs w:val="21"/>
        </w:rPr>
        <w:t>）由社保部门出具的投标人为授权委托人及投标项目经理缴纳的</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24</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9</w:t>
      </w:r>
      <w:r>
        <w:rPr>
          <w:rFonts w:hint="eastAsia" w:ascii="宋体" w:hAnsi="宋体" w:cs="宋体"/>
          <w:color w:val="auto"/>
          <w:sz w:val="21"/>
          <w:szCs w:val="21"/>
          <w:lang w:eastAsia="zh-CN"/>
        </w:rPr>
        <w:t>月至20</w:t>
      </w:r>
      <w:r>
        <w:rPr>
          <w:rFonts w:hint="eastAsia" w:ascii="宋体" w:hAnsi="宋体" w:cs="宋体"/>
          <w:color w:val="auto"/>
          <w:sz w:val="21"/>
          <w:szCs w:val="21"/>
          <w:lang w:val="en-US" w:eastAsia="zh-CN"/>
        </w:rPr>
        <w:t>24</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11</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三个月内任意一个月</w:t>
      </w:r>
      <w:r>
        <w:rPr>
          <w:rFonts w:hint="eastAsia" w:ascii="宋体" w:hAnsi="宋体" w:cs="宋体"/>
          <w:color w:val="auto"/>
          <w:sz w:val="21"/>
          <w:szCs w:val="21"/>
        </w:rPr>
        <w:t>养老保险费用的证明材料</w:t>
      </w:r>
      <w:r>
        <w:rPr>
          <w:rFonts w:hint="eastAsia" w:ascii="宋体" w:hAnsi="宋体" w:cs="宋体"/>
          <w:color w:val="auto"/>
          <w:sz w:val="21"/>
          <w:szCs w:val="21"/>
          <w:lang w:eastAsia="zh-CN"/>
        </w:rPr>
        <w:t>（截止日前成立不足3个月的新办企业只需提供缴纳名册（名册中包含授权委托人、拟派项目</w:t>
      </w:r>
      <w:r>
        <w:rPr>
          <w:rFonts w:hint="eastAsia" w:ascii="宋体" w:hAnsi="宋体" w:cs="宋体"/>
          <w:color w:val="auto"/>
          <w:sz w:val="21"/>
          <w:szCs w:val="21"/>
          <w:lang w:val="en-US" w:eastAsia="zh-CN"/>
        </w:rPr>
        <w:t>经理</w:t>
      </w:r>
      <w:r>
        <w:rPr>
          <w:rFonts w:hint="eastAsia" w:ascii="宋体" w:hAnsi="宋体" w:cs="宋体"/>
          <w:color w:val="auto"/>
          <w:sz w:val="21"/>
          <w:szCs w:val="21"/>
          <w:lang w:eastAsia="zh-CN"/>
        </w:rPr>
        <w:t>）；新成立企业距投标截止日不足30日的，可不提供证明材料（以新办企业营业执照发放日期为准））</w:t>
      </w:r>
      <w:r>
        <w:rPr>
          <w:rFonts w:hint="eastAsia" w:ascii="宋体" w:hAnsi="宋体" w:cs="宋体"/>
          <w:color w:val="auto"/>
          <w:sz w:val="21"/>
          <w:szCs w:val="21"/>
        </w:rPr>
        <w:t>；</w:t>
      </w:r>
    </w:p>
    <w:p w14:paraId="388296F5">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5.2商务文件（须单独装订编页码做目录，A4纸打印并在封面注明“商务文件”）</w:t>
      </w:r>
    </w:p>
    <w:p w14:paraId="4E548281">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（1）投标函</w:t>
      </w:r>
    </w:p>
    <w:p w14:paraId="623FC7EA">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（2）投标报价书</w:t>
      </w:r>
    </w:p>
    <w:p w14:paraId="16D78904">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（3）辅助资料表</w:t>
      </w:r>
    </w:p>
    <w:p w14:paraId="612A991E">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（4）报价电子文件（u盘，提供jsbgtb格式及emjsx格式的两种格式的商务报价文件）</w:t>
      </w:r>
    </w:p>
    <w:p w14:paraId="45CCAFB9">
      <w:pPr>
        <w:spacing w:line="360" w:lineRule="auto"/>
        <w:ind w:firstLine="420" w:firstLineChars="200"/>
        <w:contextualSpacing/>
        <w:rPr>
          <w:rFonts w:hint="eastAsia" w:ascii="宋体" w:hAnsi="宋体" w:cs="宋体"/>
          <w:color w:val="auto"/>
          <w:sz w:val="21"/>
          <w:szCs w:val="21"/>
        </w:rPr>
      </w:pPr>
      <w:r>
        <w:rPr>
          <w:rFonts w:hint="eastAsia" w:ascii="宋体" w:hAnsi="宋体" w:cs="宋体"/>
          <w:bCs/>
          <w:snapToGrid w:val="0"/>
          <w:color w:val="auto"/>
          <w:sz w:val="21"/>
          <w:szCs w:val="21"/>
        </w:rPr>
        <w:t>5.3技术文件（须单独装订编页码，A4纸打印并在封面注明“技术文件”），详细完整的施工组织设计（双面打印，须控制在50页内）,至少应包括：</w:t>
      </w:r>
    </w:p>
    <w:p w14:paraId="70DF2088">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（1）总体部署：施工组织总体设想、方案针对性及施工标段划分；</w:t>
      </w:r>
    </w:p>
    <w:p w14:paraId="6FCC4E47">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（2）施工现场平面布置和临时设施；</w:t>
      </w:r>
    </w:p>
    <w:p w14:paraId="120FA939">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（3）施工进度计划和进度的保证措施；</w:t>
      </w:r>
    </w:p>
    <w:p w14:paraId="4BFF2533">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（4）质量安全保证体系及措施；</w:t>
      </w:r>
    </w:p>
    <w:p w14:paraId="1A591993">
      <w:pPr>
        <w:tabs>
          <w:tab w:val="left" w:pos="-993"/>
          <w:tab w:val="left" w:pos="-851"/>
          <w:tab w:val="left" w:pos="0"/>
        </w:tabs>
        <w:spacing w:line="360" w:lineRule="auto"/>
        <w:ind w:firstLine="420" w:firstLineChars="200"/>
        <w:contextualSpacing/>
        <w:rPr>
          <w:rFonts w:hint="eastAsia" w:ascii="宋体" w:hAnsi="宋体" w:cs="宋体"/>
          <w:bCs/>
          <w:snapToGrid w:val="0"/>
          <w:color w:val="auto"/>
          <w:sz w:val="21"/>
          <w:szCs w:val="21"/>
        </w:rPr>
      </w:pPr>
      <w:r>
        <w:rPr>
          <w:rFonts w:hint="eastAsia" w:ascii="宋体" w:hAnsi="宋体" w:cs="宋体"/>
          <w:bCs/>
          <w:snapToGrid w:val="0"/>
          <w:color w:val="auto"/>
          <w:sz w:val="21"/>
          <w:szCs w:val="21"/>
        </w:rPr>
        <w:t>（5）劳动力、机械设备和材料投入计划；</w:t>
      </w:r>
    </w:p>
    <w:p w14:paraId="6B3ACC13">
      <w:pPr>
        <w:tabs>
          <w:tab w:val="left" w:pos="-993"/>
          <w:tab w:val="left" w:pos="-851"/>
          <w:tab w:val="left" w:pos="0"/>
        </w:tabs>
        <w:spacing w:line="360" w:lineRule="auto"/>
        <w:ind w:firstLine="420" w:firstLineChars="200"/>
        <w:contextualSpacing/>
        <w:rPr>
          <w:rFonts w:hint="eastAsia" w:ascii="宋体" w:hAnsi="宋体" w:cs="宋体" w:eastAsiaTheme="minorEastAsia"/>
          <w:bCs/>
          <w:snapToGrid w:val="0"/>
          <w:color w:val="auto"/>
          <w:sz w:val="21"/>
          <w:szCs w:val="21"/>
          <w:lang w:eastAsia="zh-CN"/>
        </w:rPr>
      </w:pPr>
      <w:r>
        <w:rPr>
          <w:rFonts w:hint="eastAsia" w:ascii="宋体" w:hAnsi="宋体" w:cs="宋体"/>
          <w:bCs/>
          <w:snapToGrid w:val="0"/>
          <w:color w:val="auto"/>
          <w:sz w:val="21"/>
          <w:szCs w:val="21"/>
        </w:rPr>
        <w:t>（6）关键施工技术、工艺及工程项目实施的重点、难点和解决方案</w:t>
      </w:r>
      <w:r>
        <w:rPr>
          <w:rFonts w:hint="eastAsia" w:ascii="宋体" w:hAnsi="宋体" w:cs="宋体"/>
          <w:bCs/>
          <w:snapToGrid w:val="0"/>
          <w:color w:val="auto"/>
          <w:sz w:val="21"/>
          <w:szCs w:val="21"/>
          <w:lang w:eastAsia="zh-CN"/>
        </w:rPr>
        <w:t>；</w:t>
      </w:r>
    </w:p>
    <w:p w14:paraId="1696C7BD">
      <w:pPr>
        <w:tabs>
          <w:tab w:val="left" w:pos="-993"/>
          <w:tab w:val="left" w:pos="-851"/>
          <w:tab w:val="left" w:pos="0"/>
        </w:tabs>
        <w:spacing w:line="360" w:lineRule="auto"/>
        <w:ind w:firstLine="420" w:firstLineChars="200"/>
        <w:contextualSpacing/>
        <w:rPr>
          <w:rFonts w:hint="eastAsia" w:ascii="宋体" w:hAnsi="宋体" w:cs="宋体" w:eastAsiaTheme="minorEastAsia"/>
          <w:bCs/>
          <w:snapToGrid w:val="0"/>
          <w:color w:val="auto"/>
          <w:sz w:val="21"/>
          <w:szCs w:val="21"/>
          <w:lang w:eastAsia="zh-CN"/>
        </w:rPr>
      </w:pPr>
      <w:r>
        <w:rPr>
          <w:rFonts w:hint="eastAsia" w:ascii="宋体" w:hAnsi="宋体" w:cs="宋体"/>
          <w:bCs/>
          <w:snapToGrid w:val="0"/>
          <w:color w:val="auto"/>
          <w:sz w:val="21"/>
          <w:szCs w:val="21"/>
        </w:rPr>
        <w:t>（7）</w:t>
      </w:r>
      <w:r>
        <w:rPr>
          <w:rFonts w:hint="eastAsia" w:ascii="宋体" w:hAnsi="宋体" w:cs="宋体"/>
          <w:color w:val="auto"/>
          <w:sz w:val="21"/>
          <w:szCs w:val="21"/>
        </w:rPr>
        <w:t>在</w:t>
      </w:r>
      <w:r>
        <w:rPr>
          <w:rFonts w:hint="eastAsia" w:ascii="宋体" w:hAnsi="宋体" w:cs="宋体"/>
          <w:color w:val="auto"/>
          <w:sz w:val="21"/>
          <w:szCs w:val="21"/>
          <w:lang w:val="en-US" w:eastAsia="zh-CN"/>
        </w:rPr>
        <w:t>院区</w:t>
      </w:r>
      <w:r>
        <w:rPr>
          <w:rFonts w:hint="eastAsia" w:ascii="宋体" w:hAnsi="宋体" w:cs="宋体"/>
          <w:color w:val="auto"/>
          <w:sz w:val="21"/>
          <w:szCs w:val="21"/>
        </w:rPr>
        <w:t>内施工期间突发事件防范措施</w:t>
      </w:r>
      <w:r>
        <w:rPr>
          <w:rFonts w:hint="eastAsia" w:ascii="宋体" w:hAnsi="宋体" w:cs="宋体"/>
          <w:color w:val="auto"/>
          <w:sz w:val="21"/>
          <w:szCs w:val="21"/>
          <w:lang w:eastAsia="zh-CN"/>
        </w:rPr>
        <w:t>。</w:t>
      </w:r>
    </w:p>
    <w:p w14:paraId="550D5173">
      <w:pPr>
        <w:tabs>
          <w:tab w:val="left" w:pos="-993"/>
          <w:tab w:val="left" w:pos="-851"/>
          <w:tab w:val="left" w:pos="0"/>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5.4特别说明：</w:t>
      </w:r>
    </w:p>
    <w:p w14:paraId="23CDD07C">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drawing>
          <wp:anchor distT="0" distB="0" distL="114300" distR="114300" simplePos="0" relativeHeight="251659264" behindDoc="0" locked="0" layoutInCell="1" allowOverlap="1">
            <wp:simplePos x="0" y="0"/>
            <wp:positionH relativeFrom="column">
              <wp:posOffset>484505</wp:posOffset>
            </wp:positionH>
            <wp:positionV relativeFrom="paragraph">
              <wp:posOffset>840740</wp:posOffset>
            </wp:positionV>
            <wp:extent cx="5211445" cy="2284730"/>
            <wp:effectExtent l="0" t="0" r="8255" b="1270"/>
            <wp:wrapTopAndBottom/>
            <wp:docPr id="2" name="图片 2" descr="fd473355216468bb0cf77a2bfcc5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473355216468bb0cf77a2bfcc5bd3"/>
                    <pic:cNvPicPr>
                      <a:picLocks noChangeAspect="1"/>
                    </pic:cNvPicPr>
                  </pic:nvPicPr>
                  <pic:blipFill>
                    <a:blip r:embed="rId7"/>
                    <a:stretch>
                      <a:fillRect/>
                    </a:stretch>
                  </pic:blipFill>
                  <pic:spPr>
                    <a:xfrm>
                      <a:off x="0" y="0"/>
                      <a:ext cx="5211445" cy="2284730"/>
                    </a:xfrm>
                    <a:prstGeom prst="rect">
                      <a:avLst/>
                    </a:prstGeom>
                    <a:noFill/>
                    <a:ln>
                      <a:noFill/>
                    </a:ln>
                  </pic:spPr>
                </pic:pic>
              </a:graphicData>
            </a:graphic>
          </wp:anchor>
        </w:drawing>
      </w:r>
      <w:r>
        <w:rPr>
          <w:rFonts w:hint="eastAsia" w:ascii="宋体" w:hAnsi="宋体" w:cs="宋体"/>
          <w:b/>
          <w:bCs/>
          <w:snapToGrid w:val="0"/>
          <w:color w:val="auto"/>
          <w:sz w:val="21"/>
          <w:szCs w:val="21"/>
        </w:rPr>
        <w:t>（1）本工程投标单位需提供jsbgtb格式及</w:t>
      </w:r>
      <w:r>
        <w:rPr>
          <w:rFonts w:hint="eastAsia" w:ascii="宋体" w:hAnsi="宋体" w:cs="宋体"/>
          <w:b/>
          <w:bCs/>
          <w:color w:val="auto"/>
          <w:sz w:val="21"/>
          <w:szCs w:val="21"/>
        </w:rPr>
        <w:t>emjsx</w:t>
      </w:r>
      <w:r>
        <w:rPr>
          <w:rFonts w:hint="eastAsia" w:ascii="宋体" w:hAnsi="宋体" w:cs="宋体"/>
          <w:b/>
          <w:bCs/>
          <w:snapToGrid w:val="0"/>
          <w:color w:val="auto"/>
          <w:sz w:val="21"/>
          <w:szCs w:val="21"/>
        </w:rPr>
        <w:t>格式，两种格式的投标报价电子文件拷贝在u盘中，u盘应标明单位名称并封装在商务文件中递交招标人，供清标时使用。未提供或者提供内容不全的，将视为未响应招标文件要求，作为废标处理。</w:t>
      </w:r>
    </w:p>
    <w:p w14:paraId="0087EE3B">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本次投标应使用新点2013清单造价江苏版软件生成投标文件，并且生成投标文件时要选择标管接口而非常用的省接口。</w:t>
      </w:r>
    </w:p>
    <w:p w14:paraId="272507BE">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（2）参加本工程资格审查的投标申请人应按本文件的要求填报资格审查文件，以证明其符合规定要求的投标合格条件和履行合同的能力。</w:t>
      </w:r>
    </w:p>
    <w:p w14:paraId="163643B0">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3）投标人提供的全部资料必须准确详细，以便招标单位做出正确的判断。资格审查将依据资格审查文件中提供的资料或者应招标单位要求对所报资格审查文件的进行澄清。如果没按要求填写资格审查文件和提供具体证明材料，可能将导致资格审查不合格。</w:t>
      </w:r>
    </w:p>
    <w:p w14:paraId="4EA99498">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（4）投标申请人应对申报资料的真实性负责，资格审查委员会将进行必要的核实和澄清，对弄虚作假者，经查实，将取消其通过本次资格审查的资格。资格审查委员会对申请人的资格审查资料的保密性负责。</w:t>
      </w:r>
    </w:p>
    <w:p w14:paraId="60E4624A">
      <w:pPr>
        <w:tabs>
          <w:tab w:val="left" w:pos="-993"/>
          <w:tab w:val="left" w:pos="-851"/>
          <w:tab w:val="left" w:pos="426"/>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（5）申请人因某种原因决定放弃投标时，有权在招标单位规定的投标文件递交截止时间前以书面申请形式撤回提交的“投标文件”。</w:t>
      </w:r>
    </w:p>
    <w:p w14:paraId="544CEDE4">
      <w:pPr>
        <w:spacing w:line="360" w:lineRule="auto"/>
        <w:ind w:firstLine="422" w:firstLineChars="200"/>
        <w:contextualSpacing/>
        <w:outlineLvl w:val="1"/>
        <w:rPr>
          <w:rStyle w:val="19"/>
          <w:rFonts w:hint="eastAsia"/>
          <w:bCs w:val="0"/>
          <w:color w:val="auto"/>
          <w:sz w:val="21"/>
          <w:szCs w:val="21"/>
        </w:rPr>
      </w:pPr>
      <w:r>
        <w:rPr>
          <w:rStyle w:val="19"/>
          <w:rFonts w:hint="eastAsia"/>
          <w:bCs w:val="0"/>
          <w:color w:val="auto"/>
          <w:sz w:val="21"/>
          <w:szCs w:val="21"/>
        </w:rPr>
        <w:t>六、</w:t>
      </w:r>
      <w:bookmarkStart w:id="2" w:name="EBa0e52a1e446c4d739d7c85445824a4bc"/>
      <w:r>
        <w:rPr>
          <w:rStyle w:val="19"/>
          <w:rFonts w:hint="eastAsia"/>
          <w:bCs w:val="0"/>
          <w:color w:val="auto"/>
          <w:sz w:val="21"/>
          <w:szCs w:val="21"/>
        </w:rPr>
        <w:t>投标报价编制依据</w:t>
      </w:r>
    </w:p>
    <w:bookmarkEnd w:id="2"/>
    <w:p w14:paraId="4BAB76F2">
      <w:pPr>
        <w:tabs>
          <w:tab w:val="left" w:pos="426"/>
          <w:tab w:val="left" w:pos="993"/>
          <w:tab w:val="left" w:pos="1134"/>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详见编制报告。</w:t>
      </w:r>
    </w:p>
    <w:p w14:paraId="3B780325">
      <w:pPr>
        <w:spacing w:line="360" w:lineRule="auto"/>
        <w:ind w:firstLine="422" w:firstLineChars="200"/>
        <w:contextualSpacing/>
        <w:outlineLvl w:val="1"/>
        <w:rPr>
          <w:rStyle w:val="19"/>
          <w:rFonts w:hint="eastAsia"/>
          <w:bCs w:val="0"/>
          <w:color w:val="auto"/>
          <w:sz w:val="21"/>
          <w:szCs w:val="21"/>
        </w:rPr>
      </w:pPr>
      <w:r>
        <w:rPr>
          <w:rStyle w:val="19"/>
          <w:rFonts w:hint="eastAsia"/>
          <w:bCs w:val="0"/>
          <w:color w:val="auto"/>
          <w:sz w:val="21"/>
          <w:szCs w:val="21"/>
        </w:rPr>
        <w:t>七、投标报价编制要求</w:t>
      </w:r>
    </w:p>
    <w:p w14:paraId="20451F7C">
      <w:pPr>
        <w:tabs>
          <w:tab w:val="left" w:pos="-284"/>
          <w:tab w:val="left" w:pos="426"/>
        </w:tabs>
        <w:spacing w:line="360" w:lineRule="auto"/>
        <w:ind w:firstLine="420" w:firstLineChars="200"/>
        <w:contextualSpacing/>
        <w:rPr>
          <w:rFonts w:hint="eastAsia" w:ascii="宋体" w:hAnsi="宋体" w:cs="宋体"/>
          <w:b/>
          <w:snapToGrid w:val="0"/>
          <w:color w:val="auto"/>
          <w:sz w:val="21"/>
          <w:szCs w:val="21"/>
        </w:rPr>
      </w:pPr>
      <w:r>
        <w:rPr>
          <w:rFonts w:hint="eastAsia" w:ascii="宋体" w:hAnsi="宋体" w:cs="宋体"/>
          <w:snapToGrid w:val="0"/>
          <w:color w:val="auto"/>
          <w:sz w:val="21"/>
          <w:szCs w:val="21"/>
        </w:rPr>
        <w:t>7.1投标人应根据招标文件的报价要求以及本企业的具体经营技术、装备水平、管理水平、市场价格信息，视项目的实际情况自主确定人工费、材料费、运输费、垃圾清运费、成品保护费、安全文明措施费、机械使用费、工具使用费、管理费、利润和风险，计入综合单价并按省市有关规定计取规费和税金，进行投标报价，且不得低于企业成本</w:t>
      </w:r>
      <w:r>
        <w:rPr>
          <w:rFonts w:hint="eastAsia" w:ascii="宋体" w:hAnsi="宋体" w:cs="宋体"/>
          <w:b/>
          <w:snapToGrid w:val="0"/>
          <w:color w:val="auto"/>
          <w:sz w:val="21"/>
          <w:szCs w:val="21"/>
        </w:rPr>
        <w:t>。</w:t>
      </w:r>
    </w:p>
    <w:p w14:paraId="681341E5">
      <w:pPr>
        <w:tabs>
          <w:tab w:val="left" w:pos="-284"/>
          <w:tab w:val="left" w:pos="284"/>
          <w:tab w:val="left" w:pos="426"/>
          <w:tab w:val="left" w:pos="9356"/>
        </w:tabs>
        <w:spacing w:line="360" w:lineRule="auto"/>
        <w:ind w:firstLine="420" w:firstLineChars="200"/>
        <w:contextualSpacing/>
        <w:rPr>
          <w:rFonts w:hint="eastAsia" w:ascii="宋体" w:hAnsi="宋体" w:cs="宋体"/>
          <w:b/>
          <w:snapToGrid w:val="0"/>
          <w:color w:val="auto"/>
          <w:sz w:val="21"/>
          <w:szCs w:val="21"/>
        </w:rPr>
      </w:pPr>
      <w:r>
        <w:rPr>
          <w:rFonts w:hint="eastAsia" w:ascii="宋体" w:hAnsi="宋体" w:cs="宋体"/>
          <w:snapToGrid w:val="0"/>
          <w:color w:val="auto"/>
          <w:sz w:val="21"/>
          <w:szCs w:val="21"/>
        </w:rPr>
        <w:t>7.2</w:t>
      </w:r>
      <w:r>
        <w:rPr>
          <w:rFonts w:hint="eastAsia" w:ascii="宋体" w:hAnsi="宋体" w:cs="宋体"/>
          <w:b/>
          <w:snapToGrid w:val="0"/>
          <w:color w:val="auto"/>
          <w:sz w:val="21"/>
          <w:szCs w:val="21"/>
        </w:rPr>
        <w:t>施工水、电费用工程决算时在定额中按规定扣除。施工过程中应做好成品保护工作，防止损坏。</w:t>
      </w:r>
    </w:p>
    <w:p w14:paraId="019A624C">
      <w:pPr>
        <w:tabs>
          <w:tab w:val="left" w:pos="-284"/>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7.3投标报价应包括完成招标文件规定的工程量清单所列项目的全部费用，包括分部分项工程费、措施项目费、其他项目费、各种规费、税金。</w:t>
      </w:r>
    </w:p>
    <w:p w14:paraId="2B61A45D">
      <w:pPr>
        <w:tabs>
          <w:tab w:val="left" w:pos="-284"/>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7.4工程量清单计价应采用综合单价计价。</w:t>
      </w:r>
    </w:p>
    <w:p w14:paraId="55DA77D6">
      <w:pPr>
        <w:tabs>
          <w:tab w:val="left" w:pos="-284"/>
          <w:tab w:val="left" w:pos="426"/>
        </w:tabs>
        <w:spacing w:line="360" w:lineRule="auto"/>
        <w:ind w:firstLine="420" w:firstLineChars="200"/>
        <w:contextualSpacing/>
        <w:rPr>
          <w:rFonts w:hint="eastAsia" w:ascii="宋体" w:hAnsi="宋体" w:cs="宋体"/>
          <w:b/>
          <w:snapToGrid w:val="0"/>
          <w:color w:val="auto"/>
          <w:sz w:val="21"/>
          <w:szCs w:val="21"/>
        </w:rPr>
      </w:pPr>
      <w:r>
        <w:rPr>
          <w:rFonts w:hint="eastAsia" w:ascii="宋体" w:hAnsi="宋体" w:cs="宋体"/>
          <w:snapToGrid w:val="0"/>
          <w:color w:val="auto"/>
          <w:sz w:val="21"/>
          <w:szCs w:val="21"/>
        </w:rPr>
        <w:t>7.5投标人应将下列不可竞争费用按照规定的标准计取，不得降低标准计取：[1]现场安全、文明施工措施费；[2]劳动保险费及劳保统筹费；[3]省级以上财政、税收、物价等部门批准的税金及行政性规费；[4]其他按照法律、法规规定的不可竞争费用。</w:t>
      </w:r>
    </w:p>
    <w:p w14:paraId="25D350C1">
      <w:pPr>
        <w:pStyle w:val="8"/>
        <w:tabs>
          <w:tab w:val="left" w:pos="-284"/>
          <w:tab w:val="left" w:pos="-142"/>
          <w:tab w:val="left" w:pos="426"/>
        </w:tabs>
        <w:spacing w:line="360" w:lineRule="auto"/>
        <w:ind w:firstLine="420" w:firstLineChars="200"/>
        <w:contextualSpacing/>
        <w:jc w:val="left"/>
        <w:rPr>
          <w:rFonts w:hint="eastAsia" w:hAnsi="宋体" w:cs="宋体"/>
          <w:color w:val="auto"/>
        </w:rPr>
      </w:pPr>
      <w:r>
        <w:rPr>
          <w:rFonts w:hint="eastAsia" w:hAnsi="宋体" w:cs="宋体"/>
          <w:snapToGrid w:val="0"/>
          <w:color w:val="auto"/>
        </w:rPr>
        <w:t>7.6工程量清单报价中的项目单价与其数量相乘的总和，应与投标报价汇总表总价及投标函中的投标总价相符，不符时以单价数量的总和为准。</w:t>
      </w:r>
    </w:p>
    <w:p w14:paraId="6382B921">
      <w:pPr>
        <w:pStyle w:val="8"/>
        <w:tabs>
          <w:tab w:val="left" w:pos="-993"/>
          <w:tab w:val="left" w:pos="-284"/>
          <w:tab w:val="left" w:pos="426"/>
        </w:tabs>
        <w:spacing w:line="360" w:lineRule="auto"/>
        <w:ind w:firstLine="420" w:firstLineChars="200"/>
        <w:contextualSpacing/>
        <w:jc w:val="left"/>
        <w:rPr>
          <w:rFonts w:hint="eastAsia" w:hAnsi="宋体" w:cs="宋体"/>
          <w:snapToGrid w:val="0"/>
          <w:color w:val="auto"/>
          <w:kern w:val="0"/>
        </w:rPr>
      </w:pPr>
      <w:r>
        <w:rPr>
          <w:rFonts w:hint="eastAsia" w:hAnsi="宋体" w:cs="宋体"/>
          <w:bCs/>
          <w:snapToGrid w:val="0"/>
          <w:color w:val="auto"/>
        </w:rPr>
        <w:t>7.7投标人应对清单中的每一个项目进行报价（包括综合单价及合价），投标人自主报价部分如漏报或少报项目，则视为其费用已含在其它项目的综合单价或合价中，结算时不再增加。</w:t>
      </w:r>
    </w:p>
    <w:p w14:paraId="606753CE">
      <w:pPr>
        <w:pStyle w:val="8"/>
        <w:tabs>
          <w:tab w:val="left" w:pos="-284"/>
          <w:tab w:val="left" w:pos="284"/>
          <w:tab w:val="left" w:pos="426"/>
        </w:tabs>
        <w:spacing w:line="360" w:lineRule="auto"/>
        <w:ind w:firstLine="420" w:firstLineChars="200"/>
        <w:contextualSpacing/>
        <w:jc w:val="left"/>
        <w:rPr>
          <w:rFonts w:hint="eastAsia" w:hAnsi="宋体" w:cs="宋体"/>
          <w:color w:val="auto"/>
        </w:rPr>
      </w:pPr>
      <w:r>
        <w:rPr>
          <w:rFonts w:hint="eastAsia" w:hAnsi="宋体" w:cs="宋体"/>
          <w:snapToGrid w:val="0"/>
          <w:color w:val="auto"/>
        </w:rPr>
        <w:t>7.8所有投标报价以人民币表示，投标人报价单位为万元，保留小数点后两</w:t>
      </w:r>
      <w:r>
        <w:rPr>
          <w:rFonts w:hint="eastAsia" w:hAnsi="宋体" w:cs="宋体"/>
          <w:color w:val="auto"/>
        </w:rPr>
        <w:t>位。</w:t>
      </w:r>
    </w:p>
    <w:p w14:paraId="1D5EEE66">
      <w:pPr>
        <w:pStyle w:val="8"/>
        <w:tabs>
          <w:tab w:val="left" w:pos="-284"/>
          <w:tab w:val="left" w:pos="284"/>
          <w:tab w:val="left" w:pos="426"/>
        </w:tabs>
        <w:spacing w:line="360" w:lineRule="auto"/>
        <w:ind w:firstLine="422" w:firstLineChars="200"/>
        <w:contextualSpacing/>
        <w:jc w:val="left"/>
        <w:outlineLvl w:val="1"/>
        <w:rPr>
          <w:rFonts w:hint="eastAsia" w:hAnsi="宋体" w:cs="宋体"/>
          <w:b/>
          <w:snapToGrid w:val="0"/>
          <w:color w:val="auto"/>
        </w:rPr>
      </w:pPr>
      <w:r>
        <w:rPr>
          <w:rFonts w:hint="eastAsia" w:hAnsi="宋体" w:cs="宋体"/>
          <w:b/>
          <w:snapToGrid w:val="0"/>
          <w:color w:val="auto"/>
        </w:rPr>
        <w:t>八、投标报价的方式</w:t>
      </w:r>
    </w:p>
    <w:p w14:paraId="714A007C">
      <w:pPr>
        <w:shd w:val="clear" w:color="33CCCC" w:fill="auto"/>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8.1</w:t>
      </w:r>
      <w:r>
        <w:rPr>
          <w:rFonts w:hint="eastAsia" w:ascii="宋体" w:hAnsi="宋体" w:cs="宋体"/>
          <w:snapToGrid w:val="0"/>
          <w:color w:val="auto"/>
          <w:kern w:val="2"/>
          <w:sz w:val="21"/>
          <w:szCs w:val="21"/>
        </w:rPr>
        <w:t>本工程招标控制价为：</w:t>
      </w:r>
      <w:r>
        <w:rPr>
          <w:rFonts w:hint="eastAsia" w:ascii="宋体" w:hAnsi="宋体" w:cs="宋体"/>
          <w:snapToGrid w:val="0"/>
          <w:color w:val="auto"/>
          <w:kern w:val="2"/>
          <w:sz w:val="21"/>
          <w:szCs w:val="21"/>
          <w:u w:val="single"/>
        </w:rPr>
        <w:t>详见投标须知前附表</w:t>
      </w:r>
      <w:r>
        <w:rPr>
          <w:rFonts w:hint="eastAsia" w:ascii="宋体" w:hAnsi="宋体" w:cs="宋体"/>
          <w:snapToGrid w:val="0"/>
          <w:color w:val="auto"/>
          <w:kern w:val="2"/>
          <w:sz w:val="21"/>
          <w:szCs w:val="21"/>
        </w:rPr>
        <w:t>。投标人的报价高于招标控制价的，其投标文件无效。</w:t>
      </w:r>
    </w:p>
    <w:p w14:paraId="10968CD5">
      <w:pPr>
        <w:shd w:val="clear" w:color="33CCCC" w:fill="auto"/>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8.2本工程采用下列方式：</w:t>
      </w:r>
    </w:p>
    <w:p w14:paraId="1F9B9703">
      <w:pPr>
        <w:shd w:val="clear" w:color="33CCCC" w:fill="auto"/>
        <w:tabs>
          <w:tab w:val="left" w:pos="426"/>
          <w:tab w:val="left" w:pos="993"/>
          <w:tab w:val="left" w:pos="1134"/>
        </w:tabs>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采用</w:t>
      </w:r>
      <w:r>
        <w:rPr>
          <w:rFonts w:hint="eastAsia" w:ascii="宋体" w:hAnsi="宋体" w:cs="宋体"/>
          <w:b/>
          <w:snapToGrid w:val="0"/>
          <w:color w:val="auto"/>
          <w:sz w:val="21"/>
          <w:szCs w:val="21"/>
          <w:u w:val="single"/>
        </w:rPr>
        <w:t>固定单价</w:t>
      </w:r>
      <w:r>
        <w:rPr>
          <w:rFonts w:hint="eastAsia" w:ascii="宋体" w:hAnsi="宋体" w:cs="宋体"/>
          <w:snapToGrid w:val="0"/>
          <w:color w:val="auto"/>
          <w:sz w:val="21"/>
          <w:szCs w:val="21"/>
        </w:rPr>
        <w:t>报价。投标人报价时应充分考虑施工期间各类建材的市场风险。价的风险由承包人承担，投标人应在投标报价中充分考虑在施工中将不在做任何调整。</w:t>
      </w:r>
    </w:p>
    <w:p w14:paraId="252565D3">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施工方在投标书中漏报、少报的项目，决算时甲方不予增加。</w:t>
      </w:r>
    </w:p>
    <w:p w14:paraId="59E2084C">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甲方要求与图纸有冲突处，以两者中标准及要求更高者为准。</w:t>
      </w:r>
    </w:p>
    <w:p w14:paraId="7B68B4D5">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材料暂定价、工程预留金均不参加让利，计税入总价。</w:t>
      </w:r>
    </w:p>
    <w:p w14:paraId="5BE35CCD">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 xml:space="preserve">九、勘察现场 </w:t>
      </w:r>
    </w:p>
    <w:p w14:paraId="646A9239">
      <w:pPr>
        <w:tabs>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9.1考虑到本工程实际情况，投标人应对工程施工现场和周围环境进行勘察，以获取编制投标文件和签署合同所需的所有资料，招标人有向投标人提供帮助的义务。勘察现场所发生的费用由投标人承担。</w:t>
      </w:r>
    </w:p>
    <w:p w14:paraId="7F865C45">
      <w:pPr>
        <w:tabs>
          <w:tab w:val="left" w:pos="426"/>
        </w:tabs>
        <w:spacing w:line="360" w:lineRule="auto"/>
        <w:ind w:firstLine="422" w:firstLineChars="200"/>
        <w:contextualSpacing/>
        <w:rPr>
          <w:rFonts w:hint="eastAsia" w:ascii="宋体" w:hAnsi="宋体" w:cs="宋体"/>
          <w:b/>
          <w:snapToGrid w:val="0"/>
          <w:color w:val="auto"/>
          <w:sz w:val="21"/>
          <w:szCs w:val="21"/>
        </w:rPr>
      </w:pPr>
      <w:r>
        <w:rPr>
          <w:rFonts w:hint="eastAsia" w:ascii="宋体" w:hAnsi="宋体" w:cs="宋体"/>
          <w:b/>
          <w:snapToGrid w:val="0"/>
          <w:color w:val="auto"/>
          <w:sz w:val="21"/>
          <w:szCs w:val="21"/>
        </w:rPr>
        <w:t>9.2投标人到现场实地勘踏，应充分了解工地位置、情况、道路、储存空间、装卸限制及任何其他（包括且不限于：施工临时设施、脚手架及现场运输设备、施工现场因政府部门规定而造成的各种限制条件等等</w:t>
      </w:r>
      <w:r>
        <w:rPr>
          <w:rFonts w:hint="eastAsia" w:ascii="宋体" w:hAnsi="宋体" w:cs="宋体"/>
          <w:bCs/>
          <w:color w:val="auto"/>
          <w:sz w:val="21"/>
          <w:szCs w:val="21"/>
        </w:rPr>
        <w:t>）</w:t>
      </w:r>
      <w:r>
        <w:rPr>
          <w:rFonts w:hint="eastAsia" w:ascii="宋体" w:hAnsi="宋体" w:cs="宋体"/>
          <w:b/>
          <w:snapToGrid w:val="0"/>
          <w:color w:val="auto"/>
          <w:sz w:val="21"/>
          <w:szCs w:val="21"/>
        </w:rPr>
        <w:t>足以影响承包价的情况，任何忽视或误解工地情况而导致的索赔或工期延长申请将不获得批准。</w:t>
      </w:r>
    </w:p>
    <w:p w14:paraId="161E701E">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十、投标文件的份数和签署</w:t>
      </w:r>
    </w:p>
    <w:p w14:paraId="1C3B1BFD">
      <w:pPr>
        <w:tabs>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10.1投标文件份数：见投标人须知前附表；</w:t>
      </w:r>
    </w:p>
    <w:p w14:paraId="4A66F6BA">
      <w:pPr>
        <w:tabs>
          <w:tab w:val="left" w:pos="426"/>
        </w:tabs>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10.2</w:t>
      </w:r>
      <w:r>
        <w:rPr>
          <w:rFonts w:hint="eastAsia" w:ascii="宋体" w:hAnsi="宋体" w:cs="宋体"/>
          <w:b/>
          <w:bCs/>
          <w:snapToGrid w:val="0"/>
          <w:color w:val="auto"/>
          <w:sz w:val="21"/>
          <w:szCs w:val="21"/>
        </w:rPr>
        <w:t>所有封袋及投标文件的封面上都必须写明招标人名称、工程名称、投标人名称、卷别；</w:t>
      </w:r>
    </w:p>
    <w:p w14:paraId="5CF423D3">
      <w:pPr>
        <w:tabs>
          <w:tab w:val="left" w:pos="426"/>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10.3所有投标文件的封面及封袋上都必须加盖投标单位法人公章及其法定代表人或授权委托人的印鉴（或签字）；</w:t>
      </w:r>
    </w:p>
    <w:p w14:paraId="3AAD6C09">
      <w:pPr>
        <w:tabs>
          <w:tab w:val="left" w:pos="426"/>
        </w:tabs>
        <w:spacing w:line="360" w:lineRule="auto"/>
        <w:ind w:firstLine="422" w:firstLineChars="200"/>
        <w:contextualSpacing/>
        <w:rPr>
          <w:rFonts w:hint="eastAsia" w:ascii="宋体" w:hAnsi="宋体" w:cs="宋体"/>
          <w:b/>
          <w:bCs/>
          <w:snapToGrid w:val="0"/>
          <w:color w:val="auto"/>
          <w:sz w:val="21"/>
          <w:szCs w:val="21"/>
        </w:rPr>
      </w:pPr>
      <w:r>
        <w:rPr>
          <w:rFonts w:hint="eastAsia" w:ascii="宋体" w:hAnsi="宋体" w:cs="宋体"/>
          <w:b/>
          <w:bCs/>
          <w:snapToGrid w:val="0"/>
          <w:color w:val="auto"/>
          <w:sz w:val="21"/>
          <w:szCs w:val="21"/>
        </w:rPr>
        <w:t>10.4投标人必须提供与投标文件中内容一致的电子格式文本。电子标书需拷贝在u盘内。</w:t>
      </w:r>
    </w:p>
    <w:p w14:paraId="78CF6429">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十一、投标截止期</w:t>
      </w:r>
    </w:p>
    <w:p w14:paraId="70BB9501">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11.1投标人应在投标须知中规定的时间之前将实体投标文件递交到招标文件前附表指定地点。</w:t>
      </w:r>
    </w:p>
    <w:p w14:paraId="3CB2AF2C">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11.2招标人可以按本文件规定以修改通知的方式，酌情延长递交投标文件的截止日期。在上述情况下，招标人与投标人以前的在投标截止期方面的全部权力、责任和义务，将适用于延长后新的投标截止期。</w:t>
      </w:r>
    </w:p>
    <w:p w14:paraId="46B2535F">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11.3除投标人须知前附表另有规定外，投标人所递交的投标文件不予退还。</w:t>
      </w:r>
    </w:p>
    <w:p w14:paraId="5CB0409C">
      <w:pPr>
        <w:tabs>
          <w:tab w:val="left" w:pos="-851"/>
          <w:tab w:val="left" w:pos="-567"/>
          <w:tab w:val="left" w:pos="0"/>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11.4逾期送达的或者未送达指定地点的投标文件，招标人不予受理。</w:t>
      </w:r>
    </w:p>
    <w:p w14:paraId="09B9306D">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十二、投标文件的修改与撤回</w:t>
      </w:r>
    </w:p>
    <w:p w14:paraId="10882E99">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12.1在投标人须知前附表规定的投标有效期内，投标人不得要求撤销或修改其投标文件。</w:t>
      </w:r>
    </w:p>
    <w:p w14:paraId="75518523">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753B8C7">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12.3投标人可以在递交投标文件以后，在规定的投标截止期之前，以书面形式向招标人递交修改或撤回其投标文件的通知。在投标截止期以后，不得更改、撤回投标文件。</w:t>
      </w:r>
    </w:p>
    <w:p w14:paraId="60B214E2">
      <w:pPr>
        <w:tabs>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12.4投标文件的修改应按本文件相关条款规定的要求编制、密封、标志和递交（密封袋上应标明“修改”字样）。</w:t>
      </w:r>
    </w:p>
    <w:p w14:paraId="2FB07703">
      <w:pPr>
        <w:tabs>
          <w:tab w:val="left" w:pos="709"/>
        </w:tabs>
        <w:spacing w:line="360" w:lineRule="auto"/>
        <w:ind w:firstLine="420" w:firstLineChars="200"/>
        <w:contextualSpacing/>
        <w:rPr>
          <w:rFonts w:hint="eastAsia" w:ascii="宋体" w:hAnsi="宋体" w:cs="宋体"/>
          <w:snapToGrid w:val="0"/>
          <w:color w:val="auto"/>
          <w:spacing w:val="-20"/>
          <w:sz w:val="21"/>
          <w:szCs w:val="21"/>
        </w:rPr>
      </w:pPr>
      <w:r>
        <w:rPr>
          <w:rFonts w:hint="eastAsia" w:ascii="宋体" w:hAnsi="宋体" w:cs="宋体"/>
          <w:snapToGrid w:val="0"/>
          <w:color w:val="auto"/>
          <w:sz w:val="21"/>
          <w:szCs w:val="21"/>
        </w:rPr>
        <w:t>12.5投标截止以后,在投标有效期内，未确定中标人前，投标人不得撤回投标文件。</w:t>
      </w:r>
    </w:p>
    <w:p w14:paraId="59936A0F">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十三、开标</w:t>
      </w:r>
    </w:p>
    <w:p w14:paraId="13CC0291">
      <w:pPr>
        <w:tabs>
          <w:tab w:val="left" w:pos="-1134"/>
          <w:tab w:val="left" w:pos="709"/>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13.1开标会由招标人或招标代理机构主持，邀请所有投标人参加。在评标期间，投标人应主动远离评标场所，投标人对招标单位和评标委员会成员施加影响的任何行为，都将导致取消其中标资格，并承担相应法律责任。</w:t>
      </w:r>
    </w:p>
    <w:p w14:paraId="312610F4">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13.2评标委员会按照招标文件要求对投标人进行资格审查，经审查的合格的投标人若满足3家及以上，招标人将邀请所有资格审查合格的投标人进入商务技术标的评审。若资格审查合格单位不满三家招标人将依法重新招标。</w:t>
      </w:r>
    </w:p>
    <w:p w14:paraId="6E6E5D50">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13.3招标人在招标文件要求提交投标文件的截止时间前收到的所有符合招标文件规定要求的投标文件，开标时都将当众予以拆封、宣读、记录。</w:t>
      </w:r>
    </w:p>
    <w:p w14:paraId="01AEF294">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13.4在开标时，投标文件出现下列情形之一的，将作为无效投标文件，不得进入评标：</w:t>
      </w:r>
    </w:p>
    <w:p w14:paraId="32D57BF8">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（1）投标文件未按照招标文件的要求予以密封的、标识的；</w:t>
      </w:r>
    </w:p>
    <w:p w14:paraId="51127145">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（2）超过投标截止时间递交的投标文件；</w:t>
      </w:r>
    </w:p>
    <w:p w14:paraId="1DB0E00E">
      <w:pPr>
        <w:tabs>
          <w:tab w:val="left" w:pos="709"/>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（3）投标截止时间时，授权委托人未携带有效身份证件到开标会现场的。</w:t>
      </w:r>
    </w:p>
    <w:p w14:paraId="26984AD0">
      <w:pPr>
        <w:tabs>
          <w:tab w:val="left" w:pos="426"/>
          <w:tab w:val="left" w:pos="993"/>
          <w:tab w:val="left" w:pos="1134"/>
        </w:tabs>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十四、评标与定标</w:t>
      </w:r>
    </w:p>
    <w:p w14:paraId="628AE864">
      <w:pPr>
        <w:tabs>
          <w:tab w:val="left" w:pos="0"/>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14.1评标工作</w:t>
      </w:r>
    </w:p>
    <w:p w14:paraId="7BFE11DF">
      <w:pPr>
        <w:pStyle w:val="7"/>
        <w:tabs>
          <w:tab w:val="left" w:pos="426"/>
          <w:tab w:val="left" w:pos="709"/>
          <w:tab w:val="clear" w:pos="0"/>
        </w:tabs>
        <w:spacing w:line="360" w:lineRule="auto"/>
        <w:ind w:firstLine="420" w:firstLineChars="200"/>
        <w:contextualSpacing/>
        <w:jc w:val="left"/>
        <w:rPr>
          <w:rFonts w:hint="eastAsia" w:hAnsi="宋体" w:cs="宋体"/>
          <w:color w:val="auto"/>
          <w:sz w:val="21"/>
          <w:szCs w:val="21"/>
          <w:u w:val="single"/>
        </w:rPr>
      </w:pPr>
      <w:r>
        <w:rPr>
          <w:rFonts w:hint="eastAsia" w:hAnsi="宋体" w:cs="宋体"/>
          <w:snapToGrid w:val="0"/>
          <w:color w:val="auto"/>
          <w:sz w:val="21"/>
          <w:szCs w:val="21"/>
        </w:rPr>
        <w:t>投标文件的评审工作在业主纪检的监督下，由评标委员会负责进行。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14:paraId="44E4EA86">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14.2评标委员会成员签到</w:t>
      </w:r>
    </w:p>
    <w:p w14:paraId="3B2923A8">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评标委员会成员到达评标现场时应在签到表上签到以证明其出席。评标委员会首先推选一名评标委员会负责人。评标委员会负责人负责评标活动的组织领导工作。</w:t>
      </w:r>
    </w:p>
    <w:p w14:paraId="7C740400">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14.3 熟悉文件资料</w:t>
      </w:r>
    </w:p>
    <w:p w14:paraId="77DF7B01">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评标委员会成员应认真研究招标文件，了解和熟悉招标目的、招标范围、主要合同条件、技术标准和要求、质量标准和工期要求，掌握评标标准和方法，熟悉本章及附件中包括的评标表格的使用。</w:t>
      </w:r>
    </w:p>
    <w:p w14:paraId="1E03F667">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招标人或招标代理机构应向评标委员会提供评标所需的信息和数据，包括招标文件、未在开标会上当场拒绝的各投标文件、开标会记录、工程量清单、招标人预算、工程所在地工程造价管理部门颁布的工程造价信息、定额(如作为计价依据时)、有关的法律、法规、规章、国家标准以及招标人或评标委员会认为必要的其他信息和数据。</w:t>
      </w:r>
    </w:p>
    <w:p w14:paraId="60B98243">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14.4对投标文件进行基础性数据分析和整理工作(清标)</w:t>
      </w:r>
    </w:p>
    <w:p w14:paraId="4EB66AE8">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在不改变投标人投标文件实质性内容的前提下，评标委员会应当通过对投标文件进行基础性数据分析和整理(本章中简称为“清标”)，从而发现并提取其中可能存在的工程量的偏差、投标人资信、不良行为等方面的复核，投标报价的算术性错误、错漏项、取费、投标报价构成不合理、不平衡报价等存在明显异常的问题，并就这些问题整理形成清标成果。评标委员会对清标成果审议后，本工程商务投标报价将利用辅助评标系统进行电子辅助清标，由清标软件对各投标单位的商务文件进行初步清理，如出现偏差时，评标委员会应当进行核对并最终进行认定。需要投标人进行书面澄清、说明或补正的问题，形成质疑问卷，向投标人发出问题澄清通知(包括质疑问卷)。</w:t>
      </w:r>
    </w:p>
    <w:p w14:paraId="3D2B2529">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14.5初步评审</w:t>
      </w:r>
    </w:p>
    <w:p w14:paraId="55E35ECD">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14.5.1响应性评审</w:t>
      </w:r>
    </w:p>
    <w:p w14:paraId="25CA2745">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评标委员会根据招标文件重大偏差条款的规定，对投标人的投标文件进行响应性评审，并记录评审结果。</w:t>
      </w:r>
    </w:p>
    <w:p w14:paraId="412D1ECE">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14.5.2算术错误修正</w:t>
      </w:r>
    </w:p>
    <w:p w14:paraId="203F53FD">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投标报价有算术错误的，评标委员会按以下原则对投标报价进行修正，修正的价格经投标人书面确认后具有约束力。投标人不接受修正价格的，其投标作废标处理。</w:t>
      </w:r>
    </w:p>
    <w:p w14:paraId="0482F3E7">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14.5.2.1投标文件中的大写金额与小写金额不一致的，以大写金额为准；</w:t>
      </w:r>
    </w:p>
    <w:p w14:paraId="0D6CD3A0">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14.5.2.2总价金额与依据单价计算出的结果不一致的，以单价金额为准修正总价，但单价金额小数点有明显错误的除外。</w:t>
      </w:r>
    </w:p>
    <w:p w14:paraId="2359BCED">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14.5.3澄清、说明或补正</w:t>
      </w:r>
    </w:p>
    <w:p w14:paraId="212325F1">
      <w:pPr>
        <w:tabs>
          <w:tab w:val="left" w:pos="426"/>
          <w:tab w:val="left" w:pos="709"/>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在初步评审过程中，评标委员会应当就投标文件中不明确的内容要求投标人进行澄清．</w:t>
      </w:r>
    </w:p>
    <w:p w14:paraId="29069B1F">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14.6详细评审</w:t>
      </w:r>
    </w:p>
    <w:p w14:paraId="0D5979FC">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（1）初步评审完成后，评标委员会应当根据招标文件确定的评标标准和方法，对投标文件进行详细的评审和比较。</w:t>
      </w:r>
    </w:p>
    <w:p w14:paraId="02D9F48D">
      <w:pPr>
        <w:tabs>
          <w:tab w:val="left" w:pos="426"/>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（2）投标文件未通过初步评审的，视为无效投标文件，不得进入详细评审。</w:t>
      </w:r>
    </w:p>
    <w:p w14:paraId="56E9BC45">
      <w:pPr>
        <w:tabs>
          <w:tab w:val="left" w:pos="0"/>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（3）在详细评审阶段，对投标报价的评审应当以初步评审后得出的价格为依据。</w:t>
      </w:r>
    </w:p>
    <w:p w14:paraId="4C606DF5">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snapToGrid w:val="0"/>
          <w:color w:val="auto"/>
          <w:sz w:val="21"/>
          <w:szCs w:val="21"/>
        </w:rPr>
        <w:t>（4）</w:t>
      </w:r>
      <w:r>
        <w:rPr>
          <w:rFonts w:hint="eastAsia" w:ascii="宋体" w:hAnsi="宋体" w:cs="宋体"/>
          <w:color w:val="auto"/>
          <w:sz w:val="21"/>
          <w:szCs w:val="21"/>
        </w:rPr>
        <w:t>详细评审，下列情况的标书将被否决：</w:t>
      </w:r>
    </w:p>
    <w:p w14:paraId="572DF9EE">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1）投标报价中主要材料未注明品牌、规格型号的或与招标要求不符的；</w:t>
      </w:r>
    </w:p>
    <w:p w14:paraId="7FEC73F1">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2）投标报价有明显缺漏项，报价有明显不合理的；</w:t>
      </w:r>
    </w:p>
    <w:p w14:paraId="346BF52A">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3）标书出现雷同或非正常性一致的；</w:t>
      </w:r>
    </w:p>
    <w:p w14:paraId="628C7048">
      <w:pPr>
        <w:tabs>
          <w:tab w:val="left" w:pos="2127"/>
        </w:tabs>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4）其他不符合规定要求的。</w:t>
      </w:r>
    </w:p>
    <w:p w14:paraId="54D91FFC">
      <w:pPr>
        <w:tabs>
          <w:tab w:val="left" w:pos="426"/>
          <w:tab w:val="left" w:pos="993"/>
          <w:tab w:val="left" w:pos="1134"/>
        </w:tabs>
        <w:spacing w:line="360" w:lineRule="auto"/>
        <w:ind w:firstLine="420" w:firstLineChars="200"/>
        <w:contextualSpacing/>
        <w:rPr>
          <w:rFonts w:hint="eastAsia" w:ascii="宋体" w:hAnsi="宋体" w:cs="宋体"/>
          <w:b/>
          <w:bCs/>
          <w:snapToGrid w:val="0"/>
          <w:color w:val="auto"/>
          <w:sz w:val="21"/>
          <w:szCs w:val="21"/>
        </w:rPr>
      </w:pPr>
      <w:r>
        <w:rPr>
          <w:rFonts w:hint="eastAsia" w:ascii="宋体" w:hAnsi="宋体" w:cs="宋体"/>
          <w:snapToGrid w:val="0"/>
          <w:color w:val="auto"/>
          <w:sz w:val="21"/>
          <w:szCs w:val="21"/>
        </w:rPr>
        <w:t>14.7</w:t>
      </w:r>
      <w:r>
        <w:rPr>
          <w:rFonts w:hint="eastAsia" w:ascii="宋体" w:hAnsi="宋体" w:cs="宋体"/>
          <w:b/>
          <w:bCs/>
          <w:snapToGrid w:val="0"/>
          <w:color w:val="auto"/>
          <w:sz w:val="21"/>
          <w:szCs w:val="21"/>
        </w:rPr>
        <w:t>投标申请人所提交的资格审查文件有下列情况之一的，将作为符合性检查未通过而不予评审：</w:t>
      </w:r>
    </w:p>
    <w:p w14:paraId="0DA4C159">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（1）未按资格审查文件规定在资格审查申请书相应位置加盖法人印章或法定代表人未签字，或授权代理人的签字式样与授权书上的签字明显不符的。</w:t>
      </w:r>
    </w:p>
    <w:p w14:paraId="7C5418ED">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（2）资格审查申请文件(不含申请人的附加说明、证明材料)未按规定的格式、内容和要求编制的，或字迹潦草、模糊无法辨认的。</w:t>
      </w:r>
    </w:p>
    <w:p w14:paraId="4FB46086">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（3）资格审查申请文件中的授权书不是原件的。</w:t>
      </w:r>
    </w:p>
    <w:p w14:paraId="163DD300">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（4）申请人的资格不满足公告和招标文件要求的。</w:t>
      </w:r>
    </w:p>
    <w:p w14:paraId="1C67373B">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（5）申请人采用多种形式，对本工程递交二份或多份资格审查文件，并在递交资格审查文件时间截止时仍不加以说明的。</w:t>
      </w:r>
    </w:p>
    <w:p w14:paraId="7E6D1D6E">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14.8在评标过程中，评标委员会成员对同一问题意见不一致的，按照少数服从多数的原则形成评标结论。</w:t>
      </w:r>
    </w:p>
    <w:p w14:paraId="6B102EC7">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14.9评标过程中，数据和评分的计算过程和计算结果均保留两位小数，小数点后的第三位四舍五入，如保留两位小数后数据或分值并列，则保留三位小数。</w:t>
      </w:r>
    </w:p>
    <w:p w14:paraId="042ABF1C">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14.10重大偏差的认定</w:t>
      </w:r>
    </w:p>
    <w:p w14:paraId="2E1E291E">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（1）投标文件中的投标函未加盖投标人的公章及企业法定代表人印章的，或者企业法定代表人委托代理人没有合法、有效的委托书（原件）及委托代理人印章的；</w:t>
      </w:r>
    </w:p>
    <w:p w14:paraId="4A50D8E7">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（2）未按招标文件规定的格式填写，内容不全或关键字迹模糊、无法辨认的；</w:t>
      </w:r>
    </w:p>
    <w:p w14:paraId="622D9BC0">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（3）投标人递交两份或多份内容不同的投标文件，或在一份投标文件中对同一招标项目报有两个或多个报价，且未声明哪一个有效，按招标文件规定提交备选投标方案的除外；</w:t>
      </w:r>
    </w:p>
    <w:p w14:paraId="4FA6DB7D">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（4）投标人资格条件不符合国家有关规定及招标文件要求的；</w:t>
      </w:r>
    </w:p>
    <w:p w14:paraId="26378521">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（5）除投标人自行补充的措施项目外，投标报价的项目编码、项目名称、项目特征、计量单位、工程量与招标人提供不一致的；</w:t>
      </w:r>
    </w:p>
    <w:p w14:paraId="605BE9F0">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（6）改变招标文件规定的暂列金额、暂估价或不可竞争费用标准的；</w:t>
      </w:r>
    </w:p>
    <w:p w14:paraId="2A9FE0A0">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（7）投标文件载明的招标项目完成期限超过招标文件规定的期限；</w:t>
      </w:r>
    </w:p>
    <w:p w14:paraId="70AA34FE">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（8）明显不符合技术规范、技术标准的要求；</w:t>
      </w:r>
    </w:p>
    <w:p w14:paraId="0C0EE083">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（9）投标报价超过招标文件规定的招标控制价的；</w:t>
      </w:r>
    </w:p>
    <w:p w14:paraId="19754031">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（10）不同投标人的投标文件出现了评标委员会认为不应当雷同的情况；</w:t>
      </w:r>
    </w:p>
    <w:p w14:paraId="67B86931">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（11）未按建设工程工程量清单计价规范(GB50500-2013)编制投标报价的；</w:t>
      </w:r>
    </w:p>
    <w:p w14:paraId="68A265E1">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（12）投标文件载明的货物包装方式、检验标准和方法等不符合招标文件的要求；</w:t>
      </w:r>
    </w:p>
    <w:p w14:paraId="0B321DB7">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（13）投标文件提出了不能满足招标文件要求或招标人不能接受的工程验收、计量、价款结算支付办法；</w:t>
      </w:r>
    </w:p>
    <w:p w14:paraId="7821B349">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（14）以他人的名义投标、串通投标、以行贿手段谋取中标或者以其他弄虚作假方式投标的；</w:t>
      </w:r>
    </w:p>
    <w:p w14:paraId="2B24C285">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（15）经评标委员会认定投标人的投标报价低于成本价的；</w:t>
      </w:r>
    </w:p>
    <w:p w14:paraId="4FBEF125">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（16）投标人未按照招标文件的要求提供必须提交的相关资料的；</w:t>
      </w:r>
    </w:p>
    <w:p w14:paraId="7F8DDF22">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（17）投标报价中主要材料未注明品牌的或与招标要求不符的；</w:t>
      </w:r>
    </w:p>
    <w:p w14:paraId="5E0939FC">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（18）投标文件中提供虚假资料的；</w:t>
      </w:r>
    </w:p>
    <w:p w14:paraId="2821D91F">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（19）资格不合格的。</w:t>
      </w:r>
    </w:p>
    <w:p w14:paraId="0C5AB526">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14.11经评标委员会认定为存在重大偏差的投标文件，将作为废标处理。另在评标过程中，评标委员会若发现投标人以他人的名义投标、串通投标、以行贿手段谋取中标或者以其他弄虚作假方式投标的，该投标人的投标除作废标处理，并依据相关法律法规进行处罚。投标文件被确认废标的，招标人将告知该投标人。</w:t>
      </w:r>
    </w:p>
    <w:p w14:paraId="5B8268D4">
      <w:pPr>
        <w:tabs>
          <w:tab w:val="left" w:pos="426"/>
          <w:tab w:val="left" w:pos="993"/>
          <w:tab w:val="left" w:pos="1134"/>
        </w:tabs>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14.12评标委员会根据规定否决不合格投标或者界定为废标后，因有效投标不足三个使得投标明显缺乏竞争的，评标委员会可以否决全部投标。所有投标被否决的，招标人依法重新招标。</w:t>
      </w:r>
    </w:p>
    <w:p w14:paraId="4129E7AC">
      <w:pPr>
        <w:tabs>
          <w:tab w:val="left" w:pos="426"/>
          <w:tab w:val="left" w:pos="993"/>
          <w:tab w:val="left" w:pos="1134"/>
        </w:tabs>
        <w:spacing w:line="360" w:lineRule="auto"/>
        <w:ind w:firstLine="420" w:firstLineChars="200"/>
        <w:contextualSpacing/>
        <w:rPr>
          <w:rFonts w:hint="eastAsia" w:ascii="宋体" w:hAnsi="宋体" w:cs="宋体"/>
          <w:color w:val="auto"/>
          <w:sz w:val="24"/>
        </w:rPr>
      </w:pPr>
      <w:r>
        <w:rPr>
          <w:rFonts w:hint="eastAsia" w:ascii="宋体" w:hAnsi="宋体" w:cs="宋体"/>
          <w:color w:val="auto"/>
          <w:sz w:val="21"/>
          <w:szCs w:val="21"/>
        </w:rPr>
        <w:t>14.13评标标准和方法:本次招标采用综合评分法</w:t>
      </w:r>
    </w:p>
    <w:tbl>
      <w:tblPr>
        <w:tblStyle w:val="12"/>
        <w:tblW w:w="461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7117"/>
        <w:gridCol w:w="1772"/>
      </w:tblGrid>
      <w:tr w14:paraId="45728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exact"/>
          <w:tblHeader/>
          <w:jc w:val="center"/>
        </w:trPr>
        <w:tc>
          <w:tcPr>
            <w:tcW w:w="379" w:type="pct"/>
            <w:noWrap w:val="0"/>
            <w:vAlign w:val="top"/>
          </w:tcPr>
          <w:p w14:paraId="6C78A552">
            <w:pPr>
              <w:adjustRightInd w:val="0"/>
              <w:snapToGrid w:val="0"/>
              <w:spacing w:line="440" w:lineRule="exact"/>
              <w:contextualSpacing/>
              <w:rPr>
                <w:rFonts w:hint="eastAsia" w:ascii="宋体" w:hAnsi="宋体" w:cs="宋体"/>
                <w:b/>
                <w:color w:val="auto"/>
                <w:sz w:val="21"/>
                <w:szCs w:val="21"/>
              </w:rPr>
            </w:pPr>
            <w:bookmarkStart w:id="3" w:name="OLE_LINK1"/>
            <w:r>
              <w:rPr>
                <w:rFonts w:hint="eastAsia" w:ascii="宋体" w:hAnsi="宋体" w:cs="宋体"/>
                <w:b/>
                <w:color w:val="auto"/>
                <w:sz w:val="21"/>
                <w:szCs w:val="21"/>
              </w:rPr>
              <w:t>名称</w:t>
            </w:r>
          </w:p>
        </w:tc>
        <w:tc>
          <w:tcPr>
            <w:tcW w:w="3699" w:type="pct"/>
            <w:noWrap w:val="0"/>
            <w:vAlign w:val="center"/>
          </w:tcPr>
          <w:p w14:paraId="55E19866">
            <w:pPr>
              <w:adjustRightInd w:val="0"/>
              <w:snapToGrid w:val="0"/>
              <w:spacing w:line="440" w:lineRule="exact"/>
              <w:contextualSpacing/>
              <w:jc w:val="center"/>
              <w:rPr>
                <w:rFonts w:hint="eastAsia" w:ascii="宋体" w:hAnsi="宋体" w:cs="宋体"/>
                <w:b/>
                <w:color w:val="auto"/>
                <w:sz w:val="21"/>
                <w:szCs w:val="21"/>
              </w:rPr>
            </w:pPr>
            <w:r>
              <w:rPr>
                <w:rFonts w:hint="eastAsia" w:ascii="宋体" w:hAnsi="宋体" w:cs="宋体"/>
                <w:b/>
                <w:color w:val="auto"/>
                <w:sz w:val="21"/>
                <w:szCs w:val="21"/>
              </w:rPr>
              <w:t>评 分 项 目</w:t>
            </w:r>
          </w:p>
        </w:tc>
        <w:tc>
          <w:tcPr>
            <w:tcW w:w="921" w:type="pct"/>
            <w:noWrap w:val="0"/>
            <w:vAlign w:val="center"/>
          </w:tcPr>
          <w:p w14:paraId="373D78C2">
            <w:pPr>
              <w:adjustRightInd w:val="0"/>
              <w:snapToGrid w:val="0"/>
              <w:spacing w:line="440" w:lineRule="exact"/>
              <w:jc w:val="center"/>
              <w:rPr>
                <w:rFonts w:hint="eastAsia" w:ascii="宋体" w:hAnsi="宋体" w:cs="宋体"/>
                <w:b/>
                <w:color w:val="auto"/>
                <w:sz w:val="21"/>
                <w:szCs w:val="21"/>
              </w:rPr>
            </w:pPr>
            <w:r>
              <w:rPr>
                <w:rFonts w:hint="eastAsia" w:ascii="宋体" w:hAnsi="宋体" w:cs="宋体"/>
                <w:b/>
                <w:color w:val="auto"/>
                <w:sz w:val="21"/>
                <w:szCs w:val="21"/>
              </w:rPr>
              <w:t>满分</w:t>
            </w:r>
          </w:p>
        </w:tc>
      </w:tr>
      <w:tr w14:paraId="568FD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9" w:type="pct"/>
            <w:noWrap w:val="0"/>
            <w:vAlign w:val="center"/>
          </w:tcPr>
          <w:p w14:paraId="1C19CFB7">
            <w:pPr>
              <w:snapToGrid w:val="0"/>
              <w:rPr>
                <w:rFonts w:hint="eastAsia" w:ascii="宋体" w:hAnsi="宋体" w:cs="宋体"/>
                <w:color w:val="auto"/>
                <w:sz w:val="21"/>
                <w:szCs w:val="21"/>
              </w:rPr>
            </w:pPr>
            <w:r>
              <w:rPr>
                <w:rFonts w:hint="eastAsia" w:ascii="宋体" w:hAnsi="宋体" w:cs="宋体"/>
                <w:color w:val="auto"/>
                <w:sz w:val="21"/>
                <w:szCs w:val="21"/>
              </w:rPr>
              <w:t>投标</w:t>
            </w:r>
          </w:p>
          <w:p w14:paraId="5635F4AF">
            <w:pPr>
              <w:snapToGrid w:val="0"/>
              <w:rPr>
                <w:rFonts w:hint="eastAsia" w:ascii="宋体" w:hAnsi="宋体" w:cs="宋体"/>
                <w:color w:val="auto"/>
                <w:sz w:val="21"/>
                <w:szCs w:val="21"/>
              </w:rPr>
            </w:pPr>
            <w:r>
              <w:rPr>
                <w:rFonts w:hint="eastAsia" w:ascii="宋体" w:hAnsi="宋体" w:cs="宋体"/>
                <w:color w:val="auto"/>
                <w:sz w:val="21"/>
                <w:szCs w:val="21"/>
              </w:rPr>
              <w:t>报价</w:t>
            </w:r>
          </w:p>
        </w:tc>
        <w:tc>
          <w:tcPr>
            <w:tcW w:w="3699" w:type="pct"/>
            <w:noWrap w:val="0"/>
            <w:vAlign w:val="center"/>
          </w:tcPr>
          <w:p w14:paraId="78DFA19A">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1、不超过</w:t>
            </w:r>
            <w:r>
              <w:rPr>
                <w:rFonts w:hint="eastAsia" w:ascii="宋体" w:hAnsi="宋体" w:cs="宋体"/>
                <w:b/>
                <w:bCs/>
                <w:color w:val="auto"/>
                <w:sz w:val="21"/>
                <w:szCs w:val="21"/>
              </w:rPr>
              <w:t>招标控制价</w:t>
            </w:r>
            <w:r>
              <w:rPr>
                <w:rFonts w:hint="eastAsia" w:ascii="宋体" w:hAnsi="宋体" w:cs="宋体"/>
                <w:color w:val="auto"/>
                <w:sz w:val="21"/>
                <w:szCs w:val="21"/>
              </w:rPr>
              <w:t>并通过初步评审的投标报价为有效报价。</w:t>
            </w:r>
          </w:p>
          <w:p w14:paraId="06EA792A">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2、有效报价投标人＞9家时去除2个最高价和2个最低价，取其余报价的算术平均值为 A；</w:t>
            </w:r>
          </w:p>
          <w:p w14:paraId="40662964">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3、5≤有效报价投标人≤9家时去除1个最高价和1个最低价，取其余报价的算术平均值为 A；</w:t>
            </w:r>
          </w:p>
          <w:p w14:paraId="30BE7B7C">
            <w:pPr>
              <w:tabs>
                <w:tab w:val="left" w:pos="0"/>
              </w:tabs>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 xml:space="preserve">4、当有效投标文件＜5时，取所有报价的算术平均值为 A，则: </w:t>
            </w:r>
          </w:p>
          <w:p w14:paraId="6827050A">
            <w:pPr>
              <w:tabs>
                <w:tab w:val="left" w:pos="0"/>
              </w:tabs>
              <w:adjustRightInd w:val="0"/>
              <w:snapToGrid w:val="0"/>
              <w:spacing w:line="360" w:lineRule="auto"/>
              <w:ind w:firstLine="424" w:firstLineChars="202"/>
              <w:contextualSpacing/>
              <w:rPr>
                <w:rFonts w:hint="eastAsia" w:ascii="宋体" w:hAnsi="宋体" w:cs="宋体"/>
                <w:color w:val="auto"/>
                <w:sz w:val="21"/>
                <w:szCs w:val="21"/>
              </w:rPr>
            </w:pPr>
            <w:r>
              <w:rPr>
                <w:rFonts w:hint="eastAsia" w:ascii="宋体" w:hAnsi="宋体" w:cs="宋体"/>
                <w:color w:val="auto"/>
                <w:sz w:val="21"/>
                <w:szCs w:val="21"/>
              </w:rPr>
              <w:t>评标基准价 =A×98%</w:t>
            </w:r>
          </w:p>
          <w:p w14:paraId="54871836">
            <w:pPr>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投标价格高于基准价格的，每高出1%扣0.9分，每低出1%扣0.6分。不足1%的，按插入法计算,保留两位小数。</w:t>
            </w:r>
          </w:p>
        </w:tc>
        <w:tc>
          <w:tcPr>
            <w:tcW w:w="921" w:type="pct"/>
            <w:noWrap w:val="0"/>
            <w:vAlign w:val="center"/>
          </w:tcPr>
          <w:p w14:paraId="0844243B">
            <w:pPr>
              <w:snapToGrid w:val="0"/>
              <w:jc w:val="center"/>
              <w:rPr>
                <w:rFonts w:ascii="宋体" w:hAnsi="宋体" w:cs="宋体"/>
                <w:color w:val="auto"/>
                <w:sz w:val="21"/>
                <w:szCs w:val="21"/>
              </w:rPr>
            </w:pPr>
            <w:r>
              <w:rPr>
                <w:rFonts w:hint="eastAsia" w:ascii="宋体" w:hAnsi="宋体" w:cs="宋体"/>
                <w:color w:val="auto"/>
                <w:sz w:val="21"/>
                <w:szCs w:val="21"/>
              </w:rPr>
              <w:t>82</w:t>
            </w:r>
          </w:p>
        </w:tc>
      </w:tr>
      <w:tr w14:paraId="7D064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9" w:type="pct"/>
            <w:noWrap w:val="0"/>
            <w:vAlign w:val="center"/>
          </w:tcPr>
          <w:p w14:paraId="6153C800">
            <w:pPr>
              <w:snapToGrid w:val="0"/>
              <w:rPr>
                <w:rFonts w:hint="eastAsia" w:ascii="宋体" w:hAnsi="宋体" w:cs="宋体"/>
                <w:color w:val="auto"/>
                <w:sz w:val="21"/>
                <w:szCs w:val="21"/>
              </w:rPr>
            </w:pPr>
            <w:r>
              <w:rPr>
                <w:rFonts w:hint="eastAsia" w:ascii="宋体" w:hAnsi="宋体" w:cs="宋体"/>
                <w:color w:val="auto"/>
                <w:sz w:val="21"/>
                <w:szCs w:val="21"/>
              </w:rPr>
              <w:t>施工</w:t>
            </w:r>
          </w:p>
          <w:p w14:paraId="48D466D2">
            <w:pPr>
              <w:snapToGrid w:val="0"/>
              <w:rPr>
                <w:rFonts w:hint="eastAsia" w:ascii="宋体" w:hAnsi="宋体" w:cs="宋体"/>
                <w:color w:val="auto"/>
                <w:sz w:val="21"/>
                <w:szCs w:val="21"/>
              </w:rPr>
            </w:pPr>
            <w:r>
              <w:rPr>
                <w:rFonts w:hint="eastAsia" w:ascii="宋体" w:hAnsi="宋体" w:cs="宋体"/>
                <w:color w:val="auto"/>
                <w:sz w:val="21"/>
                <w:szCs w:val="21"/>
              </w:rPr>
              <w:t>组织</w:t>
            </w:r>
          </w:p>
          <w:p w14:paraId="4DC89931">
            <w:pPr>
              <w:snapToGrid w:val="0"/>
              <w:rPr>
                <w:rFonts w:hint="eastAsia" w:ascii="宋体" w:hAnsi="宋体" w:cs="宋体"/>
                <w:color w:val="auto"/>
                <w:sz w:val="21"/>
                <w:szCs w:val="21"/>
              </w:rPr>
            </w:pPr>
            <w:r>
              <w:rPr>
                <w:rFonts w:hint="eastAsia" w:ascii="宋体" w:hAnsi="宋体" w:cs="宋体"/>
                <w:color w:val="auto"/>
                <w:sz w:val="21"/>
                <w:szCs w:val="21"/>
              </w:rPr>
              <w:t>设计</w:t>
            </w:r>
          </w:p>
        </w:tc>
        <w:tc>
          <w:tcPr>
            <w:tcW w:w="3699" w:type="pct"/>
            <w:noWrap w:val="0"/>
            <w:vAlign w:val="center"/>
          </w:tcPr>
          <w:p w14:paraId="351F397D">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按以下项目及分值对上述符合条件的投标人的施工组织设计进行评分：</w:t>
            </w:r>
          </w:p>
          <w:p w14:paraId="74E76422">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1、总体部署：施工组织总体设想、方案针对性及施工标段划分（满分3分）；</w:t>
            </w:r>
          </w:p>
          <w:p w14:paraId="5C702197">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2、施工现场平面布置和临时设施（满分3分）；</w:t>
            </w:r>
          </w:p>
          <w:p w14:paraId="6AF1CB24">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3、施工进度计划和进度的保证措施（满分3分）；</w:t>
            </w:r>
          </w:p>
          <w:p w14:paraId="7F8B0E69">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4、质量、安全保证体系及措施（满分</w:t>
            </w:r>
            <w:r>
              <w:rPr>
                <w:rFonts w:ascii="宋体" w:hAnsi="宋体" w:cs="宋体"/>
                <w:color w:val="auto"/>
                <w:sz w:val="21"/>
                <w:szCs w:val="21"/>
              </w:rPr>
              <w:t>2</w:t>
            </w:r>
            <w:r>
              <w:rPr>
                <w:rFonts w:hint="eastAsia" w:ascii="宋体" w:hAnsi="宋体" w:cs="宋体"/>
                <w:color w:val="auto"/>
                <w:sz w:val="21"/>
                <w:szCs w:val="21"/>
              </w:rPr>
              <w:t>分）；</w:t>
            </w:r>
          </w:p>
          <w:p w14:paraId="3C1EEED2">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5、劳动力、机械设备和材料投入计划（满分</w:t>
            </w:r>
            <w:r>
              <w:rPr>
                <w:rFonts w:ascii="宋体" w:hAnsi="宋体" w:cs="宋体"/>
                <w:color w:val="auto"/>
                <w:sz w:val="21"/>
                <w:szCs w:val="21"/>
              </w:rPr>
              <w:t>2</w:t>
            </w:r>
            <w:r>
              <w:rPr>
                <w:rFonts w:hint="eastAsia" w:ascii="宋体" w:hAnsi="宋体" w:cs="宋体"/>
                <w:color w:val="auto"/>
                <w:sz w:val="21"/>
                <w:szCs w:val="21"/>
              </w:rPr>
              <w:t>分）；</w:t>
            </w:r>
          </w:p>
          <w:p w14:paraId="3C3819C8">
            <w:pPr>
              <w:adjustRightInd w:val="0"/>
              <w:snapToGrid w:val="0"/>
              <w:spacing w:line="360" w:lineRule="auto"/>
              <w:contextualSpacing/>
              <w:rPr>
                <w:rFonts w:ascii="宋体" w:hAnsi="宋体" w:cs="宋体"/>
                <w:color w:val="auto"/>
                <w:sz w:val="21"/>
                <w:szCs w:val="21"/>
              </w:rPr>
            </w:pPr>
            <w:r>
              <w:rPr>
                <w:rFonts w:hint="eastAsia" w:ascii="宋体" w:hAnsi="宋体" w:cs="宋体"/>
                <w:color w:val="auto"/>
                <w:sz w:val="21"/>
                <w:szCs w:val="21"/>
              </w:rPr>
              <w:t>6、关键施工技术、工艺及工程项目实施的重点、难点和解决方案（满分</w:t>
            </w:r>
            <w:r>
              <w:rPr>
                <w:rFonts w:ascii="宋体" w:hAnsi="宋体" w:cs="宋体"/>
                <w:color w:val="auto"/>
                <w:sz w:val="21"/>
                <w:szCs w:val="21"/>
              </w:rPr>
              <w:t>2</w:t>
            </w:r>
            <w:r>
              <w:rPr>
                <w:rFonts w:hint="eastAsia" w:ascii="宋体" w:hAnsi="宋体" w:cs="宋体"/>
                <w:color w:val="auto"/>
                <w:sz w:val="21"/>
                <w:szCs w:val="21"/>
              </w:rPr>
              <w:t>分）</w:t>
            </w:r>
          </w:p>
          <w:p w14:paraId="1780E597">
            <w:pPr>
              <w:adjustRightInd w:val="0"/>
              <w:snapToGrid w:val="0"/>
              <w:spacing w:line="360" w:lineRule="auto"/>
              <w:contextualSpacing/>
              <w:rPr>
                <w:rFonts w:hint="eastAsia" w:ascii="宋体" w:hAnsi="宋体" w:cs="宋体"/>
                <w:color w:val="auto"/>
                <w:sz w:val="21"/>
                <w:szCs w:val="21"/>
              </w:rPr>
            </w:pPr>
            <w:r>
              <w:rPr>
                <w:rFonts w:hint="eastAsia" w:ascii="宋体" w:hAnsi="宋体" w:cs="宋体"/>
                <w:color w:val="auto"/>
                <w:sz w:val="21"/>
                <w:szCs w:val="21"/>
              </w:rPr>
              <w:t>7、在</w:t>
            </w:r>
            <w:r>
              <w:rPr>
                <w:rFonts w:hint="eastAsia" w:ascii="宋体" w:hAnsi="宋体" w:cs="宋体"/>
                <w:color w:val="auto"/>
                <w:sz w:val="21"/>
                <w:szCs w:val="21"/>
                <w:lang w:val="en-US" w:eastAsia="zh-CN"/>
              </w:rPr>
              <w:t>院区</w:t>
            </w:r>
            <w:r>
              <w:rPr>
                <w:rFonts w:hint="eastAsia" w:ascii="宋体" w:hAnsi="宋体" w:cs="宋体"/>
                <w:color w:val="auto"/>
                <w:sz w:val="21"/>
                <w:szCs w:val="21"/>
              </w:rPr>
              <w:t>内施工期间突发事件防范措施（满分</w:t>
            </w:r>
            <w:r>
              <w:rPr>
                <w:rFonts w:ascii="宋体" w:hAnsi="宋体" w:cs="宋体"/>
                <w:color w:val="auto"/>
                <w:sz w:val="21"/>
                <w:szCs w:val="21"/>
              </w:rPr>
              <w:t>3</w:t>
            </w:r>
            <w:r>
              <w:rPr>
                <w:rFonts w:hint="eastAsia" w:ascii="宋体" w:hAnsi="宋体" w:cs="宋体"/>
                <w:color w:val="auto"/>
                <w:sz w:val="21"/>
                <w:szCs w:val="21"/>
              </w:rPr>
              <w:t>分）</w:t>
            </w:r>
          </w:p>
        </w:tc>
        <w:tc>
          <w:tcPr>
            <w:tcW w:w="921" w:type="pct"/>
            <w:noWrap w:val="0"/>
            <w:vAlign w:val="center"/>
          </w:tcPr>
          <w:p w14:paraId="53CE2EE7">
            <w:pPr>
              <w:snapToGrid w:val="0"/>
              <w:jc w:val="center"/>
              <w:rPr>
                <w:rFonts w:ascii="宋体" w:hAnsi="宋体" w:cs="宋体"/>
                <w:color w:val="auto"/>
                <w:sz w:val="21"/>
                <w:szCs w:val="21"/>
              </w:rPr>
            </w:pPr>
            <w:r>
              <w:rPr>
                <w:rFonts w:hint="eastAsia" w:ascii="宋体" w:hAnsi="宋体" w:cs="宋体"/>
                <w:color w:val="auto"/>
                <w:sz w:val="21"/>
                <w:szCs w:val="21"/>
              </w:rPr>
              <w:t>18</w:t>
            </w:r>
          </w:p>
        </w:tc>
      </w:tr>
      <w:bookmarkEnd w:id="3"/>
    </w:tbl>
    <w:p w14:paraId="6F7CC6E5">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技术方案”计分方法：当评标委员会人数大于等于5人时，去掉一个评委的最高分，去掉一个评委的最低分，汇总平均后的得分为技术标得分；当评标委员会人数小于5人时，直接汇总平均后的得分为技术标得分，分数值保留至小数点后两位。</w:t>
      </w:r>
    </w:p>
    <w:p w14:paraId="74F54E4C">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（2）本次投标报价评标基准价计算与修正方式在评标结束后，除确认存在计算错误外，评标基准价不因招投标当事人质疑、投拆、复议以及其它任何情形而改变。</w:t>
      </w:r>
    </w:p>
    <w:p w14:paraId="4EB0AF0D">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snapToGrid w:val="0"/>
          <w:color w:val="auto"/>
          <w:sz w:val="21"/>
          <w:szCs w:val="21"/>
        </w:rPr>
        <w:t>14.14</w:t>
      </w:r>
      <w:r>
        <w:rPr>
          <w:rFonts w:hint="eastAsia" w:ascii="宋体" w:hAnsi="宋体" w:cs="宋体"/>
          <w:color w:val="auto"/>
          <w:sz w:val="21"/>
          <w:szCs w:val="21"/>
        </w:rPr>
        <w:t>评标程序：</w:t>
      </w:r>
    </w:p>
    <w:p w14:paraId="63053F1A">
      <w:pPr>
        <w:tabs>
          <w:tab w:val="left" w:pos="2127"/>
        </w:tabs>
        <w:adjustRightInd w:val="0"/>
        <w:snapToGrid w:val="0"/>
        <w:spacing w:line="360" w:lineRule="auto"/>
        <w:ind w:firstLine="422" w:firstLineChars="200"/>
        <w:contextualSpacing/>
        <w:rPr>
          <w:rFonts w:hint="eastAsia" w:ascii="宋体" w:hAnsi="宋体" w:cs="宋体"/>
          <w:b/>
          <w:bCs/>
          <w:color w:val="auto"/>
          <w:sz w:val="21"/>
          <w:szCs w:val="21"/>
        </w:rPr>
      </w:pPr>
      <w:r>
        <w:rPr>
          <w:rFonts w:hint="eastAsia" w:ascii="宋体" w:hAnsi="宋体" w:cs="宋体"/>
          <w:b/>
          <w:bCs/>
          <w:color w:val="auto"/>
          <w:sz w:val="21"/>
          <w:szCs w:val="21"/>
        </w:rPr>
        <w:t>先对投标报价进行初步评审，计算评标基准价后，如初步评审的单位不足7家，则全部入围；如投标单位大于7家，先对投标报价进行初步评审，计算评标基准价后，高于基准价选取3家，低于基准价选取4家共7家投标人，由评委对7家投标人的施工组织设计评审计算得分，待施工组织设计分确定后再对7家投标人进行详细评审，计算最终得分。其余投标文件将不再评审打分。</w:t>
      </w:r>
    </w:p>
    <w:p w14:paraId="61658E53">
      <w:pPr>
        <w:tabs>
          <w:tab w:val="left" w:pos="426"/>
          <w:tab w:val="left" w:pos="993"/>
          <w:tab w:val="left" w:pos="1134"/>
        </w:tabs>
        <w:adjustRightInd w:val="0"/>
        <w:snapToGrid w:val="0"/>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十五、定标</w:t>
      </w:r>
    </w:p>
    <w:p w14:paraId="169B26CF">
      <w:pPr>
        <w:tabs>
          <w:tab w:val="left" w:pos="2127"/>
        </w:tabs>
        <w:adjustRightInd w:val="0"/>
        <w:snapToGrid w:val="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15.1评标委员会完成评标后，应当向招标人提出书面评标报告，阐明评标委员会对各投标文件的评审和比较意见，并按照招标文件中规定的评标方法，推荐不超过3名有排序的合格的中标候选人。</w:t>
      </w:r>
    </w:p>
    <w:p w14:paraId="1D3EF358">
      <w:pPr>
        <w:tabs>
          <w:tab w:val="left" w:pos="2127"/>
        </w:tabs>
        <w:adjustRightInd w:val="0"/>
        <w:snapToGrid w:val="0"/>
        <w:spacing w:line="360" w:lineRule="auto"/>
        <w:ind w:firstLine="452" w:firstLineChars="200"/>
        <w:contextualSpacing/>
        <w:rPr>
          <w:rFonts w:hint="eastAsia" w:ascii="宋体" w:hAnsi="宋体" w:cs="宋体"/>
          <w:color w:val="auto"/>
          <w:sz w:val="21"/>
          <w:szCs w:val="21"/>
        </w:rPr>
      </w:pPr>
      <w:r>
        <w:rPr>
          <w:rFonts w:hint="eastAsia" w:ascii="宋体" w:hAnsi="宋体" w:cs="宋体"/>
          <w:bCs/>
          <w:color w:val="auto"/>
          <w:spacing w:val="8"/>
          <w:sz w:val="21"/>
          <w:szCs w:val="21"/>
        </w:rPr>
        <w:t>排序原则</w:t>
      </w:r>
    </w:p>
    <w:p w14:paraId="3804CFB5">
      <w:pPr>
        <w:tabs>
          <w:tab w:val="left" w:pos="2127"/>
        </w:tabs>
        <w:adjustRightInd w:val="0"/>
        <w:snapToGrid w:val="0"/>
        <w:spacing w:line="360" w:lineRule="auto"/>
        <w:ind w:firstLine="452" w:firstLineChars="200"/>
        <w:contextualSpacing/>
        <w:rPr>
          <w:rFonts w:hint="eastAsia" w:ascii="宋体" w:hAnsi="宋体" w:cs="宋体"/>
          <w:color w:val="auto"/>
          <w:sz w:val="21"/>
          <w:szCs w:val="21"/>
        </w:rPr>
      </w:pPr>
      <w:r>
        <w:rPr>
          <w:rFonts w:hint="eastAsia" w:ascii="宋体" w:hAnsi="宋体" w:cs="宋体"/>
          <w:color w:val="auto"/>
          <w:spacing w:val="8"/>
          <w:sz w:val="21"/>
          <w:szCs w:val="21"/>
        </w:rPr>
        <w:t>（1）按得分高低从高到低进行排序；</w:t>
      </w:r>
    </w:p>
    <w:p w14:paraId="191DB9A7">
      <w:pPr>
        <w:adjustRightInd w:val="0"/>
        <w:snapToGrid w:val="0"/>
        <w:spacing w:line="360" w:lineRule="auto"/>
        <w:ind w:firstLine="452" w:firstLineChars="200"/>
        <w:contextualSpacing/>
        <w:rPr>
          <w:rFonts w:hint="eastAsia" w:ascii="宋体" w:hAnsi="宋体" w:cs="宋体"/>
          <w:color w:val="auto"/>
          <w:spacing w:val="8"/>
          <w:sz w:val="21"/>
          <w:szCs w:val="21"/>
        </w:rPr>
      </w:pPr>
      <w:r>
        <w:rPr>
          <w:rFonts w:hint="eastAsia" w:ascii="宋体" w:hAnsi="宋体" w:cs="宋体"/>
          <w:color w:val="auto"/>
          <w:spacing w:val="8"/>
          <w:sz w:val="21"/>
          <w:szCs w:val="21"/>
        </w:rPr>
        <w:t>（2）当得分相同时，取报价低者优先；</w:t>
      </w:r>
    </w:p>
    <w:p w14:paraId="31E03B05">
      <w:pPr>
        <w:adjustRightInd w:val="0"/>
        <w:snapToGrid w:val="0"/>
        <w:spacing w:line="360" w:lineRule="auto"/>
        <w:ind w:firstLine="452" w:firstLineChars="200"/>
        <w:contextualSpacing/>
        <w:rPr>
          <w:rFonts w:hint="eastAsia" w:ascii="宋体" w:hAnsi="宋体" w:cs="宋体"/>
          <w:b/>
          <w:bCs/>
          <w:color w:val="auto"/>
          <w:sz w:val="21"/>
          <w:szCs w:val="21"/>
        </w:rPr>
      </w:pPr>
      <w:r>
        <w:rPr>
          <w:rFonts w:hint="eastAsia" w:ascii="宋体" w:hAnsi="宋体" w:cs="宋体"/>
          <w:color w:val="auto"/>
          <w:spacing w:val="8"/>
          <w:sz w:val="21"/>
          <w:szCs w:val="21"/>
        </w:rPr>
        <w:t>（3）当得分、报价均相同时，由评标委员会决定。</w:t>
      </w:r>
    </w:p>
    <w:p w14:paraId="141E83A5">
      <w:pPr>
        <w:tabs>
          <w:tab w:val="left" w:pos="1134"/>
        </w:tabs>
        <w:adjustRightInd w:val="0"/>
        <w:snapToGrid w:val="0"/>
        <w:spacing w:line="360" w:lineRule="auto"/>
        <w:ind w:firstLine="420" w:firstLineChars="200"/>
        <w:contextualSpacing/>
        <w:rPr>
          <w:rFonts w:hint="eastAsia" w:ascii="宋体" w:hAnsi="宋体" w:cs="宋体"/>
          <w:color w:val="auto"/>
          <w:spacing w:val="8"/>
          <w:sz w:val="21"/>
          <w:szCs w:val="21"/>
        </w:rPr>
      </w:pPr>
      <w:r>
        <w:rPr>
          <w:rFonts w:hint="eastAsia" w:ascii="宋体" w:hAnsi="宋体" w:cs="宋体"/>
          <w:bCs/>
          <w:color w:val="auto"/>
          <w:sz w:val="21"/>
          <w:szCs w:val="21"/>
        </w:rPr>
        <w:t>15.2确定中标人的原则：</w:t>
      </w:r>
      <w:r>
        <w:rPr>
          <w:rFonts w:hint="eastAsia" w:ascii="宋体" w:hAnsi="宋体" w:cs="宋体"/>
          <w:b/>
          <w:bCs/>
          <w:color w:val="auto"/>
          <w:spacing w:val="8"/>
          <w:sz w:val="21"/>
          <w:szCs w:val="21"/>
        </w:rPr>
        <w:t>招标人按照评委会的书面评标报告中的中标候选人排序，确定排名第一的为中标人。</w:t>
      </w:r>
      <w:r>
        <w:rPr>
          <w:rFonts w:hint="eastAsia" w:ascii="宋体" w:hAnsi="宋体" w:cs="宋体"/>
          <w:color w:val="auto"/>
          <w:spacing w:val="8"/>
          <w:sz w:val="21"/>
          <w:szCs w:val="21"/>
        </w:rPr>
        <w:t>当排名第一的中标候选人放弃中标、因不可抗力提出不能履行合同或者未按本招标文件的规定提交履约保证金的，招标人可以确定排名第二的中标候选人为中标人；排名第二的中标候选人因同样的原因不能签订合同的，招标人可以确定排名第三的中标候选人为中标人。</w:t>
      </w:r>
    </w:p>
    <w:p w14:paraId="67B7A364">
      <w:pPr>
        <w:pStyle w:val="7"/>
        <w:adjustRightInd w:val="0"/>
        <w:snapToGrid w:val="0"/>
        <w:spacing w:line="360" w:lineRule="auto"/>
        <w:ind w:firstLine="420" w:firstLineChars="200"/>
        <w:contextualSpacing/>
        <w:jc w:val="left"/>
        <w:rPr>
          <w:rFonts w:hint="eastAsia" w:hAnsi="宋体" w:cs="宋体"/>
          <w:bCs/>
          <w:color w:val="auto"/>
          <w:sz w:val="21"/>
          <w:szCs w:val="21"/>
        </w:rPr>
      </w:pPr>
      <w:r>
        <w:rPr>
          <w:rFonts w:hint="eastAsia" w:hAnsi="宋体" w:cs="宋体"/>
          <w:bCs/>
          <w:color w:val="auto"/>
          <w:sz w:val="21"/>
          <w:szCs w:val="21"/>
        </w:rPr>
        <w:t>15.3</w:t>
      </w:r>
      <w:r>
        <w:rPr>
          <w:rFonts w:hint="eastAsia" w:hAnsi="宋体" w:cs="宋体"/>
          <w:snapToGrid w:val="0"/>
          <w:color w:val="auto"/>
          <w:sz w:val="21"/>
          <w:szCs w:val="21"/>
        </w:rPr>
        <w:t>评标和定标将在投标有效期结束日30个工作日前完成。不能在投标有效期结束日30个工作日前完成评标和定标的，招标人将通知所有投标人延长投标有效期。拒绝延长投标有效期的投标人有权撤回其投标。同意延长投标有效期的投标人不得修改投标文件的实质性内容。</w:t>
      </w:r>
    </w:p>
    <w:p w14:paraId="2526AF0D">
      <w:pPr>
        <w:tabs>
          <w:tab w:val="left" w:pos="426"/>
          <w:tab w:val="left" w:pos="993"/>
          <w:tab w:val="left" w:pos="1134"/>
        </w:tabs>
        <w:adjustRightInd w:val="0"/>
        <w:snapToGrid w:val="0"/>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十六、中标</w:t>
      </w:r>
    </w:p>
    <w:p w14:paraId="6E066B93">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16.1根据工程招标投标的有关法律、法规、规章和该工程招标文件的规定，评标委员会推荐排序第一名的中标候选人为中标人，公示不少于3日，未有质疑的，招标人将向中标单位发出中标通知书，并同时通知其他投标人。中标通知书将成为合同的组成部分。</w:t>
      </w:r>
    </w:p>
    <w:p w14:paraId="544D89C2">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16.2投标人或者其他利害关系人等各有关当事人对中标结果有异议的，可以在公告期限以书面形式向提出质疑，逾期将不再受理。招标人在3个工作日内对质疑作出答复，并在作出答复前暂停招标投标活动。</w:t>
      </w:r>
    </w:p>
    <w:p w14:paraId="241D0300">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16.3中标单位收到中标通知书后，应在30日内与招标人签订施工合同。中标人不与招标人订立合同的，招标人有权取消其中标资格，由此给招标人造成的损失，应予以赔偿。</w:t>
      </w:r>
    </w:p>
    <w:p w14:paraId="26A8F24F">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16.4招标人不得向中标人提出压报价、增加工作量，缩短工期或其他违背中标人意愿的要求，以此作为发出中标通知书和签订合同的条件。</w:t>
      </w:r>
    </w:p>
    <w:p w14:paraId="7AB66E75">
      <w:pPr>
        <w:tabs>
          <w:tab w:val="left" w:pos="426"/>
          <w:tab w:val="left" w:pos="993"/>
          <w:tab w:val="left" w:pos="1134"/>
        </w:tabs>
        <w:adjustRightInd w:val="0"/>
        <w:snapToGrid w:val="0"/>
        <w:spacing w:line="360" w:lineRule="auto"/>
        <w:ind w:firstLine="422" w:firstLineChars="200"/>
        <w:contextualSpacing/>
        <w:outlineLvl w:val="1"/>
        <w:rPr>
          <w:rFonts w:hint="eastAsia" w:ascii="宋体" w:hAnsi="宋体" w:cs="宋体"/>
          <w:b/>
          <w:snapToGrid w:val="0"/>
          <w:color w:val="auto"/>
          <w:sz w:val="21"/>
          <w:szCs w:val="21"/>
        </w:rPr>
      </w:pPr>
      <w:r>
        <w:rPr>
          <w:rFonts w:hint="eastAsia" w:ascii="宋体" w:hAnsi="宋体" w:cs="宋体"/>
          <w:b/>
          <w:snapToGrid w:val="0"/>
          <w:color w:val="auto"/>
          <w:sz w:val="21"/>
          <w:szCs w:val="21"/>
        </w:rPr>
        <w:t>十七、合同签订</w:t>
      </w:r>
    </w:p>
    <w:p w14:paraId="683D89C3">
      <w:pPr>
        <w:tabs>
          <w:tab w:val="left" w:pos="0"/>
          <w:tab w:val="left" w:pos="1134"/>
        </w:tabs>
        <w:adjustRightInd w:val="0"/>
        <w:snapToGrid w:val="0"/>
        <w:spacing w:line="360" w:lineRule="auto"/>
        <w:ind w:firstLine="420" w:firstLineChars="200"/>
        <w:contextualSpacing/>
        <w:rPr>
          <w:rFonts w:hint="eastAsia" w:ascii="宋体" w:hAnsi="宋体" w:cs="宋体"/>
          <w:snapToGrid w:val="0"/>
          <w:color w:val="auto"/>
          <w:sz w:val="21"/>
          <w:szCs w:val="21"/>
        </w:rPr>
      </w:pPr>
      <w:r>
        <w:rPr>
          <w:rFonts w:hint="eastAsia" w:ascii="宋体" w:hAnsi="宋体" w:cs="宋体"/>
          <w:snapToGrid w:val="0"/>
          <w:color w:val="auto"/>
          <w:sz w:val="21"/>
          <w:szCs w:val="21"/>
        </w:rPr>
        <w:t>17.1招标人与中标人将根据《中华人民共和国民法典》的规定，依据招标文件和投标文件签订施工合同，投标人的投标文件内容应作为合同的组成部分。</w:t>
      </w:r>
    </w:p>
    <w:p w14:paraId="4522CE09">
      <w:pPr>
        <w:tabs>
          <w:tab w:val="left" w:pos="0"/>
          <w:tab w:val="left" w:pos="1134"/>
        </w:tabs>
        <w:adjustRightInd w:val="0"/>
        <w:snapToGrid w:val="0"/>
        <w:spacing w:line="360" w:lineRule="auto"/>
        <w:ind w:firstLine="420" w:firstLineChars="200"/>
        <w:contextualSpacing/>
        <w:rPr>
          <w:rFonts w:hint="eastAsia" w:ascii="宋体" w:hAnsi="宋体" w:cs="宋体"/>
          <w:b/>
          <w:snapToGrid w:val="0"/>
          <w:color w:val="auto"/>
          <w:sz w:val="24"/>
          <w:szCs w:val="24"/>
        </w:rPr>
      </w:pPr>
      <w:r>
        <w:rPr>
          <w:rFonts w:hint="eastAsia" w:ascii="宋体" w:hAnsi="宋体" w:cs="宋体"/>
          <w:snapToGrid w:val="0"/>
          <w:color w:val="auto"/>
          <w:sz w:val="21"/>
          <w:szCs w:val="21"/>
        </w:rPr>
        <w:t>17.2施工合同签订前，中标人必须向招标人提交合同价10%作为履约保证金，合同履行完毕无遗留问题退还履约保证金，不计息。如果中标人在规定的时间内未能提交履约保证金，投标人将被视为放弃本中标项目，由此给招标人造成的损失，应予以赔偿。</w:t>
      </w:r>
    </w:p>
    <w:p w14:paraId="4CBD18DA">
      <w:pPr>
        <w:tabs>
          <w:tab w:val="left" w:pos="0"/>
          <w:tab w:val="left" w:pos="1002"/>
          <w:tab w:val="left" w:pos="1134"/>
        </w:tabs>
        <w:adjustRightInd w:val="0"/>
        <w:snapToGrid w:val="0"/>
        <w:spacing w:line="440" w:lineRule="exact"/>
        <w:rPr>
          <w:rFonts w:hint="eastAsia" w:ascii="宋体" w:hAnsi="宋体" w:cs="宋体"/>
          <w:b/>
          <w:snapToGrid w:val="0"/>
          <w:color w:val="auto"/>
          <w:sz w:val="24"/>
          <w:szCs w:val="24"/>
        </w:rPr>
      </w:pPr>
    </w:p>
    <w:p w14:paraId="4064051B">
      <w:pPr>
        <w:tabs>
          <w:tab w:val="left" w:pos="0"/>
          <w:tab w:val="left" w:pos="1002"/>
          <w:tab w:val="left" w:pos="1134"/>
        </w:tabs>
        <w:adjustRightInd w:val="0"/>
        <w:snapToGrid w:val="0"/>
        <w:spacing w:line="440" w:lineRule="exact"/>
        <w:jc w:val="center"/>
        <w:rPr>
          <w:rFonts w:hint="eastAsia" w:ascii="宋体" w:hAnsi="宋体" w:cs="宋体"/>
          <w:b/>
          <w:snapToGrid w:val="0"/>
          <w:color w:val="auto"/>
          <w:sz w:val="24"/>
          <w:szCs w:val="24"/>
        </w:rPr>
      </w:pPr>
      <w:r>
        <w:rPr>
          <w:rFonts w:hint="eastAsia" w:ascii="宋体" w:hAnsi="宋体" w:cs="宋体"/>
          <w:b/>
          <w:snapToGrid w:val="0"/>
          <w:color w:val="auto"/>
          <w:sz w:val="24"/>
          <w:szCs w:val="24"/>
        </w:rPr>
        <w:br w:type="page"/>
      </w:r>
    </w:p>
    <w:p w14:paraId="59C5BE8C">
      <w:pPr>
        <w:tabs>
          <w:tab w:val="left" w:pos="0"/>
          <w:tab w:val="left" w:pos="1002"/>
          <w:tab w:val="left" w:pos="1134"/>
        </w:tabs>
        <w:adjustRightInd w:val="0"/>
        <w:snapToGrid w:val="0"/>
        <w:spacing w:line="440" w:lineRule="exact"/>
        <w:jc w:val="center"/>
        <w:outlineLvl w:val="0"/>
        <w:rPr>
          <w:rFonts w:hint="eastAsia" w:ascii="宋体" w:hAnsi="宋体" w:cs="宋体"/>
          <w:b/>
          <w:snapToGrid w:val="0"/>
          <w:color w:val="auto"/>
          <w:sz w:val="36"/>
          <w:szCs w:val="36"/>
        </w:rPr>
      </w:pPr>
      <w:r>
        <w:rPr>
          <w:rFonts w:hint="eastAsia" w:ascii="宋体" w:hAnsi="宋体" w:cs="宋体"/>
          <w:b/>
          <w:snapToGrid w:val="0"/>
          <w:color w:val="auto"/>
          <w:sz w:val="36"/>
          <w:szCs w:val="36"/>
        </w:rPr>
        <w:t>第二章  合同主要条款</w:t>
      </w:r>
    </w:p>
    <w:p w14:paraId="28085BDB">
      <w:pPr>
        <w:pStyle w:val="20"/>
        <w:ind w:left="320" w:hanging="320" w:hangingChars="100"/>
        <w:jc w:val="left"/>
        <w:rPr>
          <w:rFonts w:hint="eastAsia" w:ascii="宋体" w:hAnsi="宋体" w:cs="宋体"/>
          <w:bCs/>
          <w:color w:val="auto"/>
          <w:kern w:val="2"/>
          <w:sz w:val="32"/>
          <w:szCs w:val="32"/>
        </w:rPr>
      </w:pPr>
    </w:p>
    <w:p w14:paraId="12C140B0">
      <w:pPr>
        <w:pStyle w:val="20"/>
        <w:rPr>
          <w:rFonts w:hint="eastAsia" w:ascii="宋体" w:hAnsi="宋体" w:cs="宋体"/>
          <w:b/>
          <w:bCs/>
          <w:color w:val="auto"/>
          <w:kern w:val="2"/>
          <w:sz w:val="32"/>
          <w:szCs w:val="32"/>
        </w:rPr>
      </w:pPr>
    </w:p>
    <w:p w14:paraId="08386BF1">
      <w:pPr>
        <w:pStyle w:val="20"/>
        <w:jc w:val="center"/>
        <w:rPr>
          <w:rFonts w:hint="eastAsia" w:ascii="宋体" w:hAnsi="宋体" w:cs="宋体"/>
          <w:b/>
          <w:color w:val="auto"/>
          <w:kern w:val="2"/>
          <w:sz w:val="52"/>
          <w:szCs w:val="52"/>
        </w:rPr>
      </w:pPr>
    </w:p>
    <w:p w14:paraId="35284926">
      <w:pPr>
        <w:pStyle w:val="20"/>
        <w:jc w:val="center"/>
        <w:rPr>
          <w:rFonts w:hint="eastAsia" w:ascii="宋体" w:hAnsi="宋体" w:cs="宋体"/>
          <w:b/>
          <w:color w:val="auto"/>
          <w:kern w:val="2"/>
          <w:sz w:val="72"/>
          <w:szCs w:val="52"/>
        </w:rPr>
      </w:pPr>
    </w:p>
    <w:p w14:paraId="1D834473">
      <w:pPr>
        <w:pStyle w:val="20"/>
        <w:jc w:val="center"/>
        <w:rPr>
          <w:rFonts w:hint="eastAsia" w:ascii="宋体" w:hAnsi="宋体" w:cs="宋体"/>
          <w:b/>
          <w:color w:val="auto"/>
          <w:kern w:val="2"/>
          <w:sz w:val="52"/>
          <w:szCs w:val="52"/>
        </w:rPr>
      </w:pPr>
      <w:r>
        <w:rPr>
          <w:rFonts w:hint="eastAsia" w:ascii="宋体" w:hAnsi="宋体" w:cs="宋体"/>
          <w:b/>
          <w:color w:val="auto"/>
          <w:kern w:val="2"/>
          <w:sz w:val="72"/>
          <w:szCs w:val="52"/>
        </w:rPr>
        <w:t>建设工程施工合同</w:t>
      </w:r>
    </w:p>
    <w:p w14:paraId="6E59AF27">
      <w:pPr>
        <w:pStyle w:val="20"/>
        <w:rPr>
          <w:rFonts w:hint="eastAsia" w:ascii="宋体" w:hAnsi="宋体" w:cs="宋体"/>
          <w:b/>
          <w:color w:val="auto"/>
          <w:kern w:val="2"/>
          <w:sz w:val="52"/>
          <w:szCs w:val="52"/>
        </w:rPr>
      </w:pPr>
    </w:p>
    <w:p w14:paraId="6A3C9164">
      <w:pPr>
        <w:pStyle w:val="20"/>
        <w:rPr>
          <w:rFonts w:hint="eastAsia" w:ascii="宋体" w:hAnsi="宋体" w:cs="宋体"/>
          <w:b/>
          <w:color w:val="auto"/>
          <w:kern w:val="2"/>
          <w:sz w:val="72"/>
          <w:szCs w:val="72"/>
        </w:rPr>
      </w:pPr>
    </w:p>
    <w:p w14:paraId="374DDC6A">
      <w:pPr>
        <w:pStyle w:val="20"/>
        <w:rPr>
          <w:rFonts w:hint="eastAsia" w:ascii="宋体" w:hAnsi="宋体" w:cs="宋体"/>
          <w:b/>
          <w:color w:val="auto"/>
          <w:kern w:val="2"/>
          <w:sz w:val="28"/>
          <w:szCs w:val="28"/>
        </w:rPr>
      </w:pPr>
    </w:p>
    <w:p w14:paraId="33AE3C5A">
      <w:pPr>
        <w:tabs>
          <w:tab w:val="left" w:pos="0"/>
          <w:tab w:val="left" w:pos="1002"/>
          <w:tab w:val="left" w:pos="1134"/>
        </w:tabs>
        <w:adjustRightInd w:val="0"/>
        <w:snapToGrid w:val="0"/>
        <w:spacing w:line="440" w:lineRule="exact"/>
        <w:jc w:val="both"/>
        <w:rPr>
          <w:rFonts w:hint="eastAsia" w:ascii="宋体" w:hAnsi="宋体" w:cs="宋体"/>
          <w:b/>
          <w:snapToGrid w:val="0"/>
          <w:color w:val="auto"/>
          <w:sz w:val="36"/>
          <w:szCs w:val="36"/>
        </w:rPr>
      </w:pPr>
    </w:p>
    <w:p w14:paraId="5681299D">
      <w:pPr>
        <w:tabs>
          <w:tab w:val="left" w:pos="0"/>
          <w:tab w:val="left" w:pos="1134"/>
        </w:tabs>
        <w:adjustRightInd w:val="0"/>
        <w:snapToGrid w:val="0"/>
        <w:spacing w:line="440" w:lineRule="exact"/>
        <w:rPr>
          <w:rFonts w:hint="eastAsia" w:ascii="宋体" w:hAnsi="宋体" w:cs="宋体"/>
          <w:b/>
          <w:snapToGrid w:val="0"/>
          <w:color w:val="auto"/>
          <w:sz w:val="28"/>
          <w:szCs w:val="28"/>
        </w:rPr>
      </w:pPr>
    </w:p>
    <w:p w14:paraId="123BD8B1">
      <w:pPr>
        <w:tabs>
          <w:tab w:val="left" w:pos="0"/>
          <w:tab w:val="left" w:pos="1134"/>
        </w:tabs>
        <w:adjustRightInd w:val="0"/>
        <w:snapToGrid w:val="0"/>
        <w:spacing w:line="440" w:lineRule="exact"/>
        <w:rPr>
          <w:rFonts w:hint="eastAsia" w:ascii="宋体" w:hAnsi="宋体" w:cs="宋体"/>
          <w:b/>
          <w:snapToGrid w:val="0"/>
          <w:color w:val="auto"/>
          <w:sz w:val="28"/>
          <w:szCs w:val="28"/>
        </w:rPr>
      </w:pPr>
    </w:p>
    <w:p w14:paraId="173DBB64">
      <w:pPr>
        <w:tabs>
          <w:tab w:val="left" w:pos="0"/>
          <w:tab w:val="left" w:pos="1134"/>
        </w:tabs>
        <w:adjustRightInd w:val="0"/>
        <w:snapToGrid w:val="0"/>
        <w:spacing w:line="440" w:lineRule="exact"/>
        <w:rPr>
          <w:rFonts w:hint="eastAsia" w:ascii="宋体" w:hAnsi="宋体" w:cs="宋体"/>
          <w:b/>
          <w:snapToGrid w:val="0"/>
          <w:color w:val="auto"/>
          <w:sz w:val="28"/>
          <w:szCs w:val="28"/>
        </w:rPr>
      </w:pPr>
    </w:p>
    <w:p w14:paraId="4B061C6B">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14:paraId="6FC51D78">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14:paraId="403A7B36">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14:paraId="47F0E94E">
      <w:pPr>
        <w:tabs>
          <w:tab w:val="left" w:pos="0"/>
          <w:tab w:val="left" w:pos="1134"/>
        </w:tabs>
        <w:adjustRightInd w:val="0"/>
        <w:snapToGrid w:val="0"/>
        <w:spacing w:line="440" w:lineRule="exact"/>
        <w:jc w:val="center"/>
        <w:rPr>
          <w:rFonts w:hint="eastAsia" w:ascii="宋体" w:hAnsi="宋体" w:cs="宋体"/>
          <w:b/>
          <w:snapToGrid w:val="0"/>
          <w:color w:val="auto"/>
          <w:sz w:val="36"/>
          <w:szCs w:val="36"/>
        </w:rPr>
      </w:pPr>
    </w:p>
    <w:p w14:paraId="201F6421">
      <w:pPr>
        <w:tabs>
          <w:tab w:val="left" w:pos="0"/>
          <w:tab w:val="left" w:pos="1134"/>
        </w:tabs>
        <w:adjustRightInd w:val="0"/>
        <w:snapToGrid w:val="0"/>
        <w:spacing w:line="480" w:lineRule="auto"/>
        <w:jc w:val="center"/>
        <w:outlineLvl w:val="0"/>
        <w:rPr>
          <w:rFonts w:ascii="宋体" w:hAnsi="宋体" w:cs="仿宋"/>
          <w:b/>
          <w:snapToGrid w:val="0"/>
          <w:color w:val="auto"/>
          <w:sz w:val="28"/>
          <w:szCs w:val="28"/>
        </w:rPr>
      </w:pPr>
      <w:r>
        <w:rPr>
          <w:rFonts w:hint="eastAsia" w:ascii="宋体" w:hAnsi="宋体" w:cs="宋体"/>
          <w:b/>
          <w:snapToGrid w:val="0"/>
          <w:color w:val="auto"/>
          <w:sz w:val="36"/>
          <w:szCs w:val="36"/>
        </w:rPr>
        <w:br w:type="page"/>
      </w:r>
      <w:r>
        <w:rPr>
          <w:rFonts w:hint="eastAsia" w:ascii="宋体" w:hAnsi="宋体" w:cs="仿宋"/>
          <w:b/>
          <w:snapToGrid w:val="0"/>
          <w:color w:val="auto"/>
          <w:sz w:val="28"/>
          <w:szCs w:val="28"/>
        </w:rPr>
        <w:t>第一部分协议书</w:t>
      </w:r>
    </w:p>
    <w:p w14:paraId="177587F6">
      <w:pPr>
        <w:tabs>
          <w:tab w:val="left" w:pos="426"/>
          <w:tab w:val="left" w:pos="1134"/>
        </w:tabs>
        <w:adjustRightInd w:val="0"/>
        <w:snapToGrid w:val="0"/>
        <w:spacing w:line="360" w:lineRule="auto"/>
        <w:ind w:firstLine="420" w:firstLineChars="200"/>
        <w:contextualSpacing/>
        <w:rPr>
          <w:rFonts w:hint="eastAsia" w:ascii="宋体" w:hAnsi="宋体"/>
          <w:color w:val="auto"/>
          <w:sz w:val="21"/>
          <w:szCs w:val="21"/>
        </w:rPr>
      </w:pPr>
      <w:r>
        <w:rPr>
          <w:rFonts w:hint="eastAsia" w:ascii="宋体" w:hAnsi="宋体"/>
          <w:color w:val="auto"/>
          <w:sz w:val="21"/>
          <w:szCs w:val="21"/>
        </w:rPr>
        <w:t>合同编号:</w:t>
      </w:r>
    </w:p>
    <w:p w14:paraId="25C57BC2">
      <w:pPr>
        <w:tabs>
          <w:tab w:val="left" w:pos="426"/>
          <w:tab w:val="left" w:pos="1134"/>
        </w:tabs>
        <w:adjustRightInd w:val="0"/>
        <w:snapToGrid w:val="0"/>
        <w:spacing w:line="360" w:lineRule="auto"/>
        <w:ind w:firstLine="420" w:firstLineChars="200"/>
        <w:contextualSpacing/>
        <w:rPr>
          <w:rFonts w:ascii="宋体" w:hAnsi="宋体" w:cs="仿宋"/>
          <w:b/>
          <w:snapToGrid w:val="0"/>
          <w:color w:val="auto"/>
          <w:sz w:val="21"/>
          <w:szCs w:val="21"/>
        </w:rPr>
      </w:pPr>
      <w:r>
        <w:rPr>
          <w:rFonts w:hint="eastAsia" w:ascii="宋体" w:hAnsi="宋体"/>
          <w:color w:val="auto"/>
          <w:sz w:val="21"/>
          <w:szCs w:val="21"/>
        </w:rPr>
        <w:t>发包人：</w:t>
      </w:r>
      <w:r>
        <w:rPr>
          <w:rFonts w:hint="eastAsia"/>
          <w:b/>
          <w:bCs/>
          <w:color w:val="auto"/>
          <w:sz w:val="21"/>
          <w:szCs w:val="21"/>
        </w:rPr>
        <w:t>扬州大学附属医院</w:t>
      </w:r>
    </w:p>
    <w:p w14:paraId="46B6B05E">
      <w:pPr>
        <w:tabs>
          <w:tab w:val="left" w:pos="426"/>
        </w:tabs>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承包人：</w:t>
      </w:r>
      <w:r>
        <w:rPr>
          <w:rFonts w:ascii="宋体" w:hAnsi="宋体"/>
          <w:color w:val="auto"/>
          <w:sz w:val="21"/>
          <w:szCs w:val="21"/>
        </w:rPr>
        <w:t xml:space="preserve"> </w:t>
      </w:r>
    </w:p>
    <w:p w14:paraId="480E7972">
      <w:pPr>
        <w:tabs>
          <w:tab w:val="left" w:pos="426"/>
        </w:tabs>
        <w:adjustRightInd w:val="0"/>
        <w:snapToGrid w:val="0"/>
        <w:spacing w:line="360" w:lineRule="auto"/>
        <w:ind w:firstLine="420" w:firstLineChars="200"/>
        <w:contextualSpacing/>
        <w:rPr>
          <w:rFonts w:ascii="宋体" w:hAnsi="宋体" w:cs="仿宋"/>
          <w:bCs/>
          <w:snapToGrid w:val="0"/>
          <w:color w:val="auto"/>
          <w:sz w:val="21"/>
          <w:szCs w:val="21"/>
        </w:rPr>
      </w:pPr>
      <w:r>
        <w:rPr>
          <w:rFonts w:hint="eastAsia" w:ascii="宋体" w:hAnsi="宋体"/>
          <w:color w:val="auto"/>
          <w:sz w:val="21"/>
          <w:szCs w:val="21"/>
        </w:rPr>
        <w:t>发包人承包人双方根据《中华人民共和国民法典》等相关法律法规，遵循平等、自愿、公平、诚实信用的原则，就</w:t>
      </w:r>
      <w:r>
        <w:rPr>
          <w:rFonts w:hint="eastAsia" w:ascii="宋体" w:hAnsi="宋体"/>
          <w:b/>
          <w:bCs/>
          <w:color w:val="auto"/>
          <w:sz w:val="21"/>
          <w:szCs w:val="21"/>
          <w:u w:val="single"/>
        </w:rPr>
        <w:t xml:space="preserve"> </w:t>
      </w:r>
      <w:r>
        <w:rPr>
          <w:rFonts w:hint="eastAsia" w:ascii="宋体" w:hAnsi="宋体"/>
          <w:b/>
          <w:bCs/>
          <w:color w:val="auto"/>
          <w:sz w:val="21"/>
          <w:szCs w:val="21"/>
          <w:u w:val="single"/>
          <w:lang w:val="en-US" w:eastAsia="zh-CN"/>
        </w:rPr>
        <w:t xml:space="preserve">                     </w:t>
      </w:r>
      <w:r>
        <w:rPr>
          <w:rFonts w:ascii="宋体" w:hAnsi="宋体"/>
          <w:b/>
          <w:bCs/>
          <w:color w:val="auto"/>
          <w:sz w:val="21"/>
          <w:szCs w:val="21"/>
          <w:u w:val="single"/>
        </w:rPr>
        <w:t xml:space="preserve"> </w:t>
      </w:r>
      <w:r>
        <w:rPr>
          <w:rFonts w:hint="eastAsia" w:ascii="宋体" w:hAnsi="宋体"/>
          <w:color w:val="auto"/>
          <w:sz w:val="21"/>
          <w:szCs w:val="21"/>
        </w:rPr>
        <w:t>，经发包人承包人双方友好协商签订以下合同：</w:t>
      </w:r>
    </w:p>
    <w:p w14:paraId="0ACCFA15">
      <w:pPr>
        <w:tabs>
          <w:tab w:val="left" w:pos="426"/>
        </w:tabs>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一、工程概况</w:t>
      </w:r>
    </w:p>
    <w:p w14:paraId="151FDD33">
      <w:pPr>
        <w:tabs>
          <w:tab w:val="left" w:pos="426"/>
        </w:tabs>
        <w:adjustRightInd w:val="0"/>
        <w:snapToGrid w:val="0"/>
        <w:spacing w:line="360" w:lineRule="auto"/>
        <w:ind w:firstLine="420" w:firstLineChars="200"/>
        <w:contextualSpacing/>
        <w:rPr>
          <w:rFonts w:hint="default" w:ascii="宋体" w:hAnsi="宋体" w:cs="仿宋" w:eastAsiaTheme="minorEastAsia"/>
          <w:b/>
          <w:bCs/>
          <w:snapToGrid w:val="0"/>
          <w:color w:val="auto"/>
          <w:sz w:val="21"/>
          <w:szCs w:val="21"/>
          <w:lang w:val="en-US" w:eastAsia="zh-CN"/>
        </w:rPr>
      </w:pPr>
      <w:r>
        <w:rPr>
          <w:rFonts w:hint="eastAsia" w:ascii="宋体" w:hAnsi="宋体"/>
          <w:color w:val="auto"/>
          <w:sz w:val="21"/>
          <w:szCs w:val="21"/>
        </w:rPr>
        <w:t>1.1工程名称：</w:t>
      </w:r>
      <w:r>
        <w:rPr>
          <w:rFonts w:hint="eastAsia" w:ascii="宋体" w:hAnsi="宋体"/>
          <w:color w:val="auto"/>
          <w:sz w:val="21"/>
          <w:szCs w:val="21"/>
          <w:lang w:val="en-US" w:eastAsia="zh-CN"/>
        </w:rPr>
        <w:t xml:space="preserve">        </w:t>
      </w:r>
    </w:p>
    <w:p w14:paraId="39743EB8">
      <w:pPr>
        <w:tabs>
          <w:tab w:val="left" w:pos="426"/>
        </w:tabs>
        <w:spacing w:line="360" w:lineRule="auto"/>
        <w:ind w:firstLine="420" w:firstLineChars="200"/>
        <w:contextualSpacing/>
        <w:rPr>
          <w:rFonts w:hint="default" w:ascii="宋体" w:hAnsi="宋体"/>
          <w:color w:val="auto"/>
          <w:sz w:val="21"/>
          <w:szCs w:val="21"/>
          <w:lang w:val="en-US" w:eastAsia="zh-CN"/>
        </w:rPr>
      </w:pPr>
      <w:r>
        <w:rPr>
          <w:rFonts w:hint="eastAsia" w:ascii="宋体" w:hAnsi="宋体"/>
          <w:color w:val="auto"/>
          <w:sz w:val="21"/>
          <w:szCs w:val="21"/>
        </w:rPr>
        <w:t>1.2工程地点：</w:t>
      </w:r>
      <w:r>
        <w:rPr>
          <w:rFonts w:hint="eastAsia" w:ascii="宋体" w:hAnsi="宋体"/>
          <w:color w:val="auto"/>
          <w:sz w:val="21"/>
          <w:szCs w:val="21"/>
          <w:lang w:val="en-US" w:eastAsia="zh-CN"/>
        </w:rPr>
        <w:t xml:space="preserve">     </w:t>
      </w:r>
    </w:p>
    <w:p w14:paraId="7F17A630">
      <w:pPr>
        <w:tabs>
          <w:tab w:val="left" w:pos="426"/>
        </w:tabs>
        <w:adjustRightInd w:val="0"/>
        <w:snapToGrid w:val="0"/>
        <w:spacing w:line="360" w:lineRule="auto"/>
        <w:ind w:firstLine="420" w:firstLineChars="200"/>
        <w:contextualSpacing/>
        <w:rPr>
          <w:rFonts w:ascii="宋体" w:hAnsi="宋体" w:cs="仿宋"/>
          <w:snapToGrid w:val="0"/>
          <w:color w:val="auto"/>
          <w:sz w:val="21"/>
          <w:szCs w:val="21"/>
        </w:rPr>
      </w:pPr>
      <w:r>
        <w:rPr>
          <w:rFonts w:hint="eastAsia" w:ascii="宋体" w:hAnsi="宋体"/>
          <w:color w:val="auto"/>
          <w:sz w:val="21"/>
          <w:szCs w:val="21"/>
        </w:rPr>
        <w:t>1.3主要工程项目和内容：</w:t>
      </w:r>
      <w:r>
        <w:rPr>
          <w:rFonts w:hint="eastAsia" w:ascii="宋体" w:hAnsi="宋体" w:cs="仿宋"/>
          <w:snapToGrid w:val="0"/>
          <w:color w:val="auto"/>
          <w:sz w:val="21"/>
          <w:szCs w:val="21"/>
        </w:rPr>
        <w:t xml:space="preserve"> </w:t>
      </w:r>
    </w:p>
    <w:p w14:paraId="2158DB18">
      <w:pPr>
        <w:tabs>
          <w:tab w:val="left" w:pos="426"/>
        </w:tabs>
        <w:adjustRightInd w:val="0"/>
        <w:snapToGrid w:val="0"/>
        <w:spacing w:line="360" w:lineRule="auto"/>
        <w:ind w:firstLine="422" w:firstLineChars="200"/>
        <w:contextualSpacing/>
        <w:rPr>
          <w:rFonts w:ascii="宋体" w:hAnsi="宋体"/>
          <w:color w:val="auto"/>
          <w:sz w:val="21"/>
          <w:szCs w:val="21"/>
        </w:rPr>
      </w:pPr>
      <w:r>
        <w:rPr>
          <w:rFonts w:hint="eastAsia" w:ascii="宋体" w:hAnsi="宋体" w:cs="仿宋"/>
          <w:b/>
          <w:snapToGrid w:val="0"/>
          <w:color w:val="auto"/>
          <w:sz w:val="21"/>
          <w:szCs w:val="21"/>
        </w:rPr>
        <w:t>详见图纸及本施工要求。</w:t>
      </w:r>
      <w:r>
        <w:rPr>
          <w:rFonts w:hint="eastAsia" w:ascii="宋体" w:hAnsi="宋体"/>
          <w:color w:val="auto"/>
          <w:sz w:val="21"/>
          <w:szCs w:val="21"/>
        </w:rPr>
        <w:t>按照图纸所示内容施工，若因发包人要求增加，增加部分的工程量按实际增加工作量签证另行计算。</w:t>
      </w:r>
    </w:p>
    <w:p w14:paraId="1DA4CDF5">
      <w:pPr>
        <w:pStyle w:val="21"/>
        <w:tabs>
          <w:tab w:val="left" w:pos="426"/>
        </w:tabs>
        <w:spacing w:line="360" w:lineRule="auto"/>
        <w:contextualSpacing/>
        <w:jc w:val="left"/>
        <w:rPr>
          <w:rFonts w:ascii="宋体" w:hAnsi="宋体"/>
          <w:color w:val="auto"/>
          <w:szCs w:val="21"/>
        </w:rPr>
      </w:pPr>
      <w:r>
        <w:rPr>
          <w:rFonts w:hint="eastAsia" w:ascii="宋体" w:hAnsi="宋体"/>
          <w:color w:val="auto"/>
          <w:szCs w:val="21"/>
        </w:rPr>
        <w:t>1.4资金来源：自筹。</w:t>
      </w:r>
    </w:p>
    <w:p w14:paraId="639FE31D">
      <w:pPr>
        <w:tabs>
          <w:tab w:val="left" w:pos="426"/>
        </w:tabs>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二、合同工期</w:t>
      </w:r>
    </w:p>
    <w:p w14:paraId="5B09FF61">
      <w:pPr>
        <w:pStyle w:val="21"/>
        <w:tabs>
          <w:tab w:val="left" w:pos="426"/>
        </w:tabs>
        <w:spacing w:line="360" w:lineRule="auto"/>
        <w:contextualSpacing/>
        <w:jc w:val="left"/>
        <w:rPr>
          <w:rFonts w:ascii="宋体" w:hAnsi="宋体"/>
          <w:color w:val="auto"/>
          <w:szCs w:val="21"/>
        </w:rPr>
      </w:pPr>
      <w:r>
        <w:rPr>
          <w:rFonts w:hint="eastAsia" w:ascii="宋体" w:hAnsi="宋体"/>
          <w:color w:val="auto"/>
          <w:szCs w:val="21"/>
        </w:rPr>
        <w:t>2.1</w:t>
      </w:r>
      <w:r>
        <w:rPr>
          <w:rFonts w:hint="eastAsia" w:ascii="宋体" w:hAnsi="宋体" w:cs="宋体"/>
          <w:b/>
          <w:bCs/>
          <w:snapToGrid w:val="0"/>
          <w:color w:val="auto"/>
          <w:szCs w:val="21"/>
          <w:highlight w:val="none"/>
        </w:rPr>
        <w:t>总工期</w:t>
      </w:r>
      <w:r>
        <w:rPr>
          <w:rFonts w:hint="eastAsia" w:ascii="宋体" w:hAnsi="宋体" w:cs="宋体"/>
          <w:b/>
          <w:bCs/>
          <w:snapToGrid w:val="0"/>
          <w:color w:val="auto"/>
          <w:szCs w:val="21"/>
          <w:highlight w:val="none"/>
          <w:lang w:val="en-US" w:eastAsia="zh-CN"/>
        </w:rPr>
        <w:t xml:space="preserve">  </w:t>
      </w:r>
      <w:r>
        <w:rPr>
          <w:rFonts w:hint="eastAsia" w:ascii="宋体" w:hAnsi="宋体" w:cs="宋体"/>
          <w:b/>
          <w:bCs/>
          <w:snapToGrid w:val="0"/>
          <w:color w:val="auto"/>
          <w:szCs w:val="21"/>
          <w:highlight w:val="none"/>
        </w:rPr>
        <w:t>日历天。</w:t>
      </w:r>
    </w:p>
    <w:p w14:paraId="2CF8BC13">
      <w:pPr>
        <w:pStyle w:val="21"/>
        <w:tabs>
          <w:tab w:val="left" w:pos="426"/>
        </w:tabs>
        <w:spacing w:line="360" w:lineRule="auto"/>
        <w:ind w:firstLine="436"/>
        <w:contextualSpacing/>
        <w:jc w:val="left"/>
        <w:rPr>
          <w:rFonts w:ascii="宋体" w:hAnsi="宋体"/>
          <w:color w:val="auto"/>
          <w:szCs w:val="21"/>
        </w:rPr>
      </w:pPr>
      <w:r>
        <w:rPr>
          <w:rFonts w:hint="eastAsia" w:ascii="宋体" w:hAnsi="宋体"/>
          <w:color w:val="auto"/>
          <w:spacing w:val="8"/>
          <w:szCs w:val="21"/>
        </w:rPr>
        <w:t>2.2开工日期为</w:t>
      </w:r>
      <w:r>
        <w:rPr>
          <w:rFonts w:hint="eastAsia" w:ascii="宋体" w:hAnsi="宋体"/>
          <w:color w:val="auto"/>
          <w:spacing w:val="8"/>
          <w:szCs w:val="21"/>
          <w:lang w:val="en-US" w:eastAsia="zh-CN"/>
        </w:rPr>
        <w:t xml:space="preserve">    </w:t>
      </w:r>
      <w:r>
        <w:rPr>
          <w:rFonts w:ascii="宋体" w:hAnsi="宋体"/>
          <w:color w:val="auto"/>
          <w:spacing w:val="8"/>
          <w:szCs w:val="21"/>
        </w:rPr>
        <w:t>年  月  日</w:t>
      </w:r>
      <w:r>
        <w:rPr>
          <w:rFonts w:hint="eastAsia" w:ascii="宋体" w:hAnsi="宋体"/>
          <w:color w:val="auto"/>
          <w:spacing w:val="8"/>
          <w:szCs w:val="21"/>
        </w:rPr>
        <w:t>（以发包人开工令为准）。</w:t>
      </w:r>
    </w:p>
    <w:p w14:paraId="68945CD7">
      <w:pPr>
        <w:tabs>
          <w:tab w:val="left" w:pos="426"/>
        </w:tabs>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三、质量标准</w:t>
      </w:r>
    </w:p>
    <w:p w14:paraId="7093D125">
      <w:pPr>
        <w:pStyle w:val="22"/>
        <w:tabs>
          <w:tab w:val="left" w:pos="426"/>
        </w:tabs>
        <w:snapToGrid w:val="0"/>
        <w:spacing w:before="0" w:after="0" w:line="360" w:lineRule="auto"/>
        <w:ind w:left="0" w:right="0" w:firstLine="420" w:firstLineChars="200"/>
        <w:contextualSpacing/>
        <w:rPr>
          <w:rFonts w:ascii="宋体" w:hAnsi="宋体"/>
          <w:color w:val="auto"/>
          <w:sz w:val="21"/>
          <w:szCs w:val="21"/>
        </w:rPr>
      </w:pPr>
      <w:r>
        <w:rPr>
          <w:rFonts w:hint="eastAsia" w:ascii="宋体" w:hAnsi="宋体"/>
          <w:color w:val="auto"/>
          <w:sz w:val="21"/>
          <w:szCs w:val="21"/>
        </w:rPr>
        <w:t>3.1质量要求：工程必须一次性验收达到合格。因承包人原因达不到合同约定质量要求，除合同价5%的违约金外，承包人必须保证整改后工程质量达到合格标准,由于承包人原因出现质量问题所造成的一切经济损失由承包人负责。</w:t>
      </w:r>
    </w:p>
    <w:p w14:paraId="510F0571">
      <w:pPr>
        <w:pStyle w:val="22"/>
        <w:tabs>
          <w:tab w:val="left" w:pos="426"/>
        </w:tabs>
        <w:snapToGrid w:val="0"/>
        <w:spacing w:before="0" w:after="0" w:line="360" w:lineRule="auto"/>
        <w:ind w:left="0" w:right="0" w:firstLine="422" w:firstLineChars="200"/>
        <w:contextualSpacing/>
        <w:rPr>
          <w:rFonts w:ascii="宋体" w:hAnsi="宋体"/>
          <w:b/>
          <w:color w:val="auto"/>
          <w:sz w:val="21"/>
          <w:szCs w:val="21"/>
        </w:rPr>
      </w:pPr>
      <w:r>
        <w:rPr>
          <w:rFonts w:hint="eastAsia" w:ascii="宋体" w:hAnsi="宋体"/>
          <w:b/>
          <w:color w:val="auto"/>
          <w:sz w:val="21"/>
          <w:szCs w:val="21"/>
        </w:rPr>
        <w:t>四、合同价款</w:t>
      </w:r>
    </w:p>
    <w:p w14:paraId="2D738F67">
      <w:pPr>
        <w:tabs>
          <w:tab w:val="left" w:pos="426"/>
        </w:tabs>
        <w:snapToGrid w:val="0"/>
        <w:spacing w:line="360" w:lineRule="auto"/>
        <w:ind w:firstLine="422" w:firstLineChars="200"/>
        <w:contextualSpacing/>
        <w:rPr>
          <w:rFonts w:ascii="宋体" w:hAnsi="宋体"/>
          <w:b/>
          <w:color w:val="auto"/>
          <w:sz w:val="21"/>
          <w:szCs w:val="21"/>
        </w:rPr>
      </w:pPr>
      <w:r>
        <w:rPr>
          <w:rFonts w:ascii="宋体" w:hAnsi="宋体"/>
          <w:b/>
          <w:color w:val="auto"/>
          <w:sz w:val="21"/>
          <w:szCs w:val="21"/>
        </w:rPr>
        <w:t>4.1</w:t>
      </w:r>
      <w:r>
        <w:rPr>
          <w:rFonts w:hint="eastAsia" w:ascii="宋体" w:hAnsi="宋体"/>
          <w:b/>
          <w:color w:val="auto"/>
          <w:sz w:val="21"/>
          <w:szCs w:val="21"/>
        </w:rPr>
        <w:t>合同</w:t>
      </w:r>
      <w:r>
        <w:rPr>
          <w:rFonts w:ascii="宋体" w:hAnsi="宋体"/>
          <w:b/>
          <w:color w:val="auto"/>
          <w:sz w:val="21"/>
          <w:szCs w:val="21"/>
        </w:rPr>
        <w:t>价为：人民币（大写）</w:t>
      </w:r>
      <w:r>
        <w:rPr>
          <w:rFonts w:hint="eastAsia" w:ascii="宋体" w:hAnsi="宋体"/>
          <w:b/>
          <w:color w:val="auto"/>
          <w:sz w:val="21"/>
          <w:szCs w:val="21"/>
        </w:rPr>
        <w:t>:</w:t>
      </w:r>
      <w:r>
        <w:rPr>
          <w:rFonts w:ascii="宋体" w:hAnsi="宋体"/>
          <w:b/>
          <w:color w:val="auto"/>
          <w:sz w:val="21"/>
          <w:szCs w:val="21"/>
        </w:rPr>
        <w:t xml:space="preserve"> </w:t>
      </w:r>
    </w:p>
    <w:p w14:paraId="6CD77CE8">
      <w:pPr>
        <w:tabs>
          <w:tab w:val="left" w:pos="426"/>
        </w:tabs>
        <w:snapToGrid w:val="0"/>
        <w:spacing w:line="360" w:lineRule="auto"/>
        <w:ind w:firstLine="422" w:firstLineChars="200"/>
        <w:contextualSpacing/>
        <w:rPr>
          <w:rFonts w:ascii="宋体" w:hAnsi="宋体" w:cs="Arial"/>
          <w:b/>
          <w:color w:val="auto"/>
          <w:sz w:val="21"/>
          <w:szCs w:val="21"/>
          <w:u w:val="single"/>
        </w:rPr>
      </w:pPr>
      <w:r>
        <w:rPr>
          <w:rFonts w:hint="eastAsia" w:ascii="宋体" w:hAnsi="宋体"/>
          <w:b/>
          <w:color w:val="auto"/>
          <w:sz w:val="21"/>
          <w:szCs w:val="21"/>
        </w:rPr>
        <w:t xml:space="preserve">               </w:t>
      </w:r>
      <w:r>
        <w:rPr>
          <w:rFonts w:ascii="宋体" w:hAnsi="宋体"/>
          <w:b/>
          <w:color w:val="auto"/>
          <w:sz w:val="21"/>
          <w:szCs w:val="21"/>
        </w:rPr>
        <w:t xml:space="preserve"> </w:t>
      </w:r>
      <w:r>
        <w:rPr>
          <w:rFonts w:hint="eastAsia" w:ascii="宋体" w:hAnsi="宋体"/>
          <w:b/>
          <w:color w:val="auto"/>
          <w:sz w:val="21"/>
          <w:szCs w:val="21"/>
        </w:rPr>
        <w:t xml:space="preserve">     (小写)：</w:t>
      </w:r>
      <w:r>
        <w:rPr>
          <w:rFonts w:ascii="宋体" w:hAnsi="宋体" w:cs="Arial"/>
          <w:b/>
          <w:color w:val="auto"/>
          <w:sz w:val="21"/>
          <w:szCs w:val="21"/>
          <w:u w:val="single"/>
        </w:rPr>
        <w:t xml:space="preserve"> </w:t>
      </w:r>
    </w:p>
    <w:p w14:paraId="5444DB60">
      <w:pPr>
        <w:tabs>
          <w:tab w:val="left" w:pos="426"/>
        </w:tabs>
        <w:snapToGrid w:val="0"/>
        <w:spacing w:line="360" w:lineRule="auto"/>
        <w:ind w:firstLine="422" w:firstLineChars="200"/>
        <w:contextualSpacing/>
        <w:rPr>
          <w:rFonts w:ascii="宋体" w:hAnsi="宋体"/>
          <w:b/>
          <w:color w:val="auto"/>
          <w:sz w:val="21"/>
          <w:szCs w:val="21"/>
        </w:rPr>
      </w:pPr>
      <w:r>
        <w:rPr>
          <w:rFonts w:hint="eastAsia" w:ascii="宋体" w:hAnsi="宋体"/>
          <w:b/>
          <w:color w:val="auto"/>
          <w:sz w:val="21"/>
          <w:szCs w:val="21"/>
        </w:rPr>
        <w:t>（最终造价按审计部门审计造价进行结算。）</w:t>
      </w:r>
    </w:p>
    <w:p w14:paraId="5F7291D8">
      <w:pPr>
        <w:tabs>
          <w:tab w:val="left" w:pos="426"/>
        </w:tabs>
        <w:spacing w:line="360" w:lineRule="auto"/>
        <w:ind w:firstLine="422" w:firstLineChars="200"/>
        <w:contextualSpacing/>
        <w:outlineLvl w:val="1"/>
        <w:rPr>
          <w:rFonts w:ascii="宋体" w:hAnsi="宋体"/>
          <w:color w:val="auto"/>
          <w:sz w:val="21"/>
          <w:szCs w:val="21"/>
        </w:rPr>
      </w:pPr>
      <w:r>
        <w:rPr>
          <w:rFonts w:hint="eastAsia" w:ascii="宋体" w:hAnsi="宋体"/>
          <w:b/>
          <w:color w:val="auto"/>
          <w:sz w:val="21"/>
          <w:szCs w:val="21"/>
        </w:rPr>
        <w:t>五、组成本合同的文件包括：</w:t>
      </w:r>
      <w:r>
        <w:rPr>
          <w:rFonts w:hint="eastAsia" w:ascii="宋体" w:hAnsi="宋体"/>
          <w:color w:val="auto"/>
          <w:sz w:val="21"/>
          <w:szCs w:val="21"/>
        </w:rPr>
        <w:t>是合同不可分割的组成部分，与合同具有同样的法律效力。</w:t>
      </w:r>
    </w:p>
    <w:p w14:paraId="66EE3450">
      <w:pPr>
        <w:tabs>
          <w:tab w:val="left" w:pos="426"/>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5.1合同协议书</w:t>
      </w:r>
      <w:r>
        <w:rPr>
          <w:rFonts w:hint="eastAsia" w:hAnsi="宋体"/>
          <w:snapToGrid w:val="0"/>
          <w:color w:val="auto"/>
          <w:sz w:val="21"/>
          <w:szCs w:val="21"/>
        </w:rPr>
        <w:t>；</w:t>
      </w:r>
    </w:p>
    <w:p w14:paraId="15B7E17F">
      <w:pPr>
        <w:tabs>
          <w:tab w:val="left" w:pos="426"/>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5.2合同专用条款</w:t>
      </w:r>
      <w:r>
        <w:rPr>
          <w:rFonts w:hint="eastAsia" w:hAnsi="宋体"/>
          <w:snapToGrid w:val="0"/>
          <w:color w:val="auto"/>
          <w:sz w:val="21"/>
          <w:szCs w:val="21"/>
        </w:rPr>
        <w:t>；</w:t>
      </w:r>
    </w:p>
    <w:p w14:paraId="5F5F1925">
      <w:pPr>
        <w:tabs>
          <w:tab w:val="left" w:pos="426"/>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5.3合同通用条款</w:t>
      </w:r>
      <w:r>
        <w:rPr>
          <w:rFonts w:hint="eastAsia" w:hAnsi="宋体"/>
          <w:snapToGrid w:val="0"/>
          <w:color w:val="auto"/>
          <w:sz w:val="21"/>
          <w:szCs w:val="21"/>
        </w:rPr>
        <w:t>；</w:t>
      </w:r>
    </w:p>
    <w:p w14:paraId="0C594325">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5.4招标文件及补遗书及澄清答疑文件</w:t>
      </w:r>
      <w:r>
        <w:rPr>
          <w:rFonts w:hint="eastAsia" w:hAnsi="宋体"/>
          <w:snapToGrid w:val="0"/>
          <w:color w:val="auto"/>
          <w:sz w:val="21"/>
          <w:szCs w:val="21"/>
        </w:rPr>
        <w:t>；</w:t>
      </w:r>
    </w:p>
    <w:p w14:paraId="0E3519F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5.5投标文件</w:t>
      </w:r>
      <w:r>
        <w:rPr>
          <w:rFonts w:hint="eastAsia" w:hAnsi="宋体"/>
          <w:snapToGrid w:val="0"/>
          <w:color w:val="auto"/>
          <w:sz w:val="21"/>
          <w:szCs w:val="21"/>
        </w:rPr>
        <w:t>；</w:t>
      </w:r>
    </w:p>
    <w:p w14:paraId="3FC0EE65">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5.6投标人投标时所作的申明、承诺、澄清及答复资料等</w:t>
      </w:r>
      <w:r>
        <w:rPr>
          <w:rFonts w:hint="eastAsia" w:hAnsi="宋体"/>
          <w:snapToGrid w:val="0"/>
          <w:color w:val="auto"/>
          <w:sz w:val="21"/>
          <w:szCs w:val="21"/>
        </w:rPr>
        <w:t>；</w:t>
      </w:r>
    </w:p>
    <w:p w14:paraId="34EDE596">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5.7国家及行业规范标准、</w:t>
      </w:r>
      <w:r>
        <w:rPr>
          <w:rFonts w:hint="eastAsia" w:ascii="宋体" w:hAnsi="宋体"/>
          <w:snapToGrid w:val="0"/>
          <w:color w:val="auto"/>
          <w:sz w:val="21"/>
          <w:szCs w:val="21"/>
        </w:rPr>
        <w:t>有关技术文件</w:t>
      </w:r>
      <w:r>
        <w:rPr>
          <w:rFonts w:hint="eastAsia" w:hAnsi="宋体"/>
          <w:snapToGrid w:val="0"/>
          <w:color w:val="auto"/>
          <w:sz w:val="21"/>
          <w:szCs w:val="21"/>
        </w:rPr>
        <w:t>；</w:t>
      </w:r>
    </w:p>
    <w:p w14:paraId="08FF914F">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5.8施工图纸</w:t>
      </w:r>
      <w:r>
        <w:rPr>
          <w:rFonts w:hint="eastAsia" w:hAnsi="宋体"/>
          <w:snapToGrid w:val="0"/>
          <w:color w:val="auto"/>
          <w:sz w:val="21"/>
          <w:szCs w:val="21"/>
        </w:rPr>
        <w:t>；</w:t>
      </w:r>
    </w:p>
    <w:p w14:paraId="61A9D59D">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5.9</w:t>
      </w:r>
      <w:r>
        <w:rPr>
          <w:rFonts w:hint="eastAsia" w:hAnsi="宋体"/>
          <w:snapToGrid w:val="0"/>
          <w:color w:val="auto"/>
          <w:sz w:val="21"/>
          <w:szCs w:val="21"/>
        </w:rPr>
        <w:t>工程报价单及预算书；</w:t>
      </w:r>
    </w:p>
    <w:p w14:paraId="098F7BA7">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5.10经双方确认的工程量清单</w:t>
      </w:r>
      <w:r>
        <w:rPr>
          <w:rFonts w:hint="eastAsia" w:hAnsi="宋体"/>
          <w:snapToGrid w:val="0"/>
          <w:color w:val="auto"/>
          <w:sz w:val="21"/>
          <w:szCs w:val="21"/>
        </w:rPr>
        <w:t>；</w:t>
      </w:r>
    </w:p>
    <w:p w14:paraId="23A44D7E">
      <w:pPr>
        <w:tabs>
          <w:tab w:val="left" w:pos="3420"/>
        </w:tabs>
        <w:adjustRightInd w:val="0"/>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5.11投标报价</w:t>
      </w:r>
      <w:r>
        <w:rPr>
          <w:rFonts w:hint="eastAsia" w:hAnsi="宋体"/>
          <w:snapToGrid w:val="0"/>
          <w:color w:val="auto"/>
          <w:sz w:val="21"/>
          <w:szCs w:val="21"/>
        </w:rPr>
        <w:t>；</w:t>
      </w:r>
    </w:p>
    <w:p w14:paraId="36F4EF5A">
      <w:pPr>
        <w:spacing w:line="360" w:lineRule="auto"/>
        <w:ind w:firstLine="420" w:firstLineChars="200"/>
        <w:contextualSpacing/>
        <w:rPr>
          <w:rFonts w:ascii="宋体" w:hAnsi="宋体"/>
          <w:color w:val="auto"/>
          <w:sz w:val="21"/>
          <w:szCs w:val="21"/>
        </w:rPr>
      </w:pPr>
      <w:r>
        <w:rPr>
          <w:rFonts w:hint="eastAsia" w:hAnsi="宋体"/>
          <w:snapToGrid w:val="0"/>
          <w:color w:val="auto"/>
          <w:sz w:val="21"/>
          <w:szCs w:val="21"/>
        </w:rPr>
        <w:t>合同履行中，</w:t>
      </w:r>
      <w:r>
        <w:rPr>
          <w:rFonts w:hint="eastAsia" w:ascii="宋体" w:hAnsi="宋体"/>
          <w:color w:val="auto"/>
          <w:sz w:val="21"/>
          <w:szCs w:val="21"/>
        </w:rPr>
        <w:t>双方有关工程的洽商、变更等书面协议或文件视为本合同的组成部分。</w:t>
      </w:r>
    </w:p>
    <w:p w14:paraId="53740CD9">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六、本合同书中有关词语含义与本合同《通用条款》中分别赋予它们的定义相同。</w:t>
      </w:r>
    </w:p>
    <w:p w14:paraId="526D04CD">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七、承包人向发包人承诺按照合同约定进行施工，并在质量保修期内承担工程质量的保修责任。</w:t>
      </w:r>
    </w:p>
    <w:p w14:paraId="37346D37">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八、发包人向承包人承诺按照合同约定的期限和方式支付合同价款及其他应当支付的款项。</w:t>
      </w:r>
    </w:p>
    <w:p w14:paraId="0F3B2C61">
      <w:pPr>
        <w:spacing w:line="360" w:lineRule="auto"/>
        <w:ind w:firstLine="422" w:firstLineChars="200"/>
        <w:contextualSpacing/>
        <w:outlineLvl w:val="1"/>
        <w:rPr>
          <w:rFonts w:ascii="宋体" w:hAnsi="宋体"/>
          <w:b/>
          <w:color w:val="auto"/>
          <w:sz w:val="21"/>
          <w:szCs w:val="21"/>
        </w:rPr>
      </w:pPr>
      <w:r>
        <w:rPr>
          <w:rFonts w:hint="eastAsia" w:ascii="宋体" w:hAnsi="宋体"/>
          <w:b/>
          <w:color w:val="auto"/>
          <w:sz w:val="21"/>
          <w:szCs w:val="21"/>
        </w:rPr>
        <w:t>九、合同生效</w:t>
      </w:r>
    </w:p>
    <w:p w14:paraId="030F1340">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9.1合同订立时间：</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14:paraId="13A00126">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9.2合同订立地点：扬州大学附属医院。</w:t>
      </w:r>
    </w:p>
    <w:p w14:paraId="063C8CD5">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9.3本合同双方约定双方签字盖章后生效。</w:t>
      </w:r>
    </w:p>
    <w:p w14:paraId="0298B339">
      <w:pPr>
        <w:tabs>
          <w:tab w:val="left" w:pos="567"/>
        </w:tabs>
        <w:snapToGrid w:val="0"/>
        <w:spacing w:line="360" w:lineRule="auto"/>
        <w:ind w:firstLine="420" w:firstLineChars="200"/>
        <w:contextualSpacing/>
        <w:rPr>
          <w:rFonts w:ascii="宋体" w:hAnsi="宋体" w:cs="宋体"/>
          <w:bCs/>
          <w:color w:val="auto"/>
          <w:sz w:val="21"/>
          <w:szCs w:val="21"/>
        </w:rPr>
      </w:pPr>
      <w:r>
        <w:rPr>
          <w:rFonts w:hint="eastAsia" w:ascii="宋体" w:hAnsi="宋体" w:cs="宋体"/>
          <w:bCs/>
          <w:color w:val="auto"/>
          <w:sz w:val="21"/>
          <w:szCs w:val="21"/>
        </w:rPr>
        <w:t>9.4</w:t>
      </w:r>
      <w:r>
        <w:rPr>
          <w:rFonts w:hint="eastAsia" w:ascii="宋体" w:hAnsi="宋体" w:cs="宋体"/>
          <w:color w:val="auto"/>
          <w:sz w:val="21"/>
          <w:szCs w:val="21"/>
        </w:rPr>
        <w:t>本合同一式</w:t>
      </w:r>
      <w:r>
        <w:rPr>
          <w:rFonts w:hint="eastAsia" w:ascii="宋体" w:hAnsi="宋体" w:cs="宋体"/>
          <w:b/>
          <w:bCs/>
          <w:color w:val="auto"/>
          <w:sz w:val="21"/>
          <w:szCs w:val="21"/>
          <w:u w:val="single"/>
        </w:rPr>
        <w:t>伍</w:t>
      </w:r>
      <w:r>
        <w:rPr>
          <w:rFonts w:hint="eastAsia" w:ascii="宋体" w:hAnsi="宋体" w:cs="宋体"/>
          <w:color w:val="auto"/>
          <w:sz w:val="21"/>
          <w:szCs w:val="21"/>
        </w:rPr>
        <w:t>份，发包人方执</w:t>
      </w:r>
      <w:r>
        <w:rPr>
          <w:rFonts w:hint="eastAsia" w:ascii="宋体" w:hAnsi="宋体" w:cs="宋体"/>
          <w:b/>
          <w:bCs/>
          <w:color w:val="auto"/>
          <w:sz w:val="21"/>
          <w:szCs w:val="21"/>
          <w:u w:val="single"/>
        </w:rPr>
        <w:t>叁</w:t>
      </w:r>
      <w:r>
        <w:rPr>
          <w:rFonts w:hint="eastAsia" w:ascii="宋体" w:hAnsi="宋体" w:cs="宋体"/>
          <w:color w:val="auto"/>
          <w:sz w:val="21"/>
          <w:szCs w:val="21"/>
        </w:rPr>
        <w:t>份，承包人方执</w:t>
      </w:r>
      <w:r>
        <w:rPr>
          <w:rFonts w:hint="eastAsia" w:ascii="宋体" w:hAnsi="宋体" w:cs="宋体"/>
          <w:b/>
          <w:bCs/>
          <w:color w:val="auto"/>
          <w:sz w:val="21"/>
          <w:szCs w:val="21"/>
          <w:u w:val="single"/>
        </w:rPr>
        <w:t>贰</w:t>
      </w:r>
      <w:r>
        <w:rPr>
          <w:rFonts w:hint="eastAsia" w:ascii="宋体" w:hAnsi="宋体" w:cs="宋体"/>
          <w:color w:val="auto"/>
          <w:sz w:val="21"/>
          <w:szCs w:val="21"/>
        </w:rPr>
        <w:t>份。</w:t>
      </w:r>
    </w:p>
    <w:p w14:paraId="074B9005">
      <w:pPr>
        <w:tabs>
          <w:tab w:val="left" w:pos="567"/>
        </w:tabs>
        <w:snapToGrid w:val="0"/>
        <w:spacing w:line="360" w:lineRule="auto"/>
        <w:ind w:firstLine="420" w:firstLineChars="200"/>
        <w:contextualSpacing/>
        <w:rPr>
          <w:rFonts w:ascii="宋体" w:hAnsi="宋体" w:cs="宋体"/>
          <w:bCs/>
          <w:color w:val="auto"/>
          <w:sz w:val="21"/>
          <w:szCs w:val="21"/>
        </w:rPr>
      </w:pPr>
    </w:p>
    <w:p w14:paraId="10F56DEE">
      <w:pPr>
        <w:tabs>
          <w:tab w:val="left" w:pos="567"/>
        </w:tabs>
        <w:snapToGrid w:val="0"/>
        <w:spacing w:line="360" w:lineRule="auto"/>
        <w:ind w:firstLine="420" w:firstLineChars="200"/>
        <w:contextualSpacing/>
        <w:rPr>
          <w:rFonts w:ascii="宋体" w:hAnsi="宋体" w:cs="宋体"/>
          <w:bCs/>
          <w:color w:val="auto"/>
          <w:sz w:val="21"/>
          <w:szCs w:val="21"/>
        </w:rPr>
      </w:pPr>
    </w:p>
    <w:p w14:paraId="11603ABE">
      <w:pPr>
        <w:tabs>
          <w:tab w:val="left" w:pos="567"/>
        </w:tabs>
        <w:snapToGrid w:val="0"/>
        <w:spacing w:line="360" w:lineRule="auto"/>
        <w:ind w:firstLine="420" w:firstLineChars="200"/>
        <w:contextualSpacing/>
        <w:rPr>
          <w:rFonts w:ascii="宋体" w:hAnsi="宋体" w:cs="宋体"/>
          <w:bCs/>
          <w:color w:val="auto"/>
          <w:sz w:val="21"/>
          <w:szCs w:val="21"/>
        </w:rPr>
      </w:pPr>
    </w:p>
    <w:p w14:paraId="457F3513">
      <w:pPr>
        <w:tabs>
          <w:tab w:val="left" w:pos="567"/>
        </w:tabs>
        <w:snapToGrid w:val="0"/>
        <w:spacing w:line="360" w:lineRule="auto"/>
        <w:ind w:firstLine="420" w:firstLineChars="200"/>
        <w:contextualSpacing/>
        <w:rPr>
          <w:rFonts w:hint="eastAsia" w:ascii="宋体" w:hAnsi="宋体"/>
          <w:b/>
          <w:color w:val="auto"/>
          <w:sz w:val="21"/>
          <w:szCs w:val="21"/>
        </w:rPr>
      </w:pPr>
      <w:r>
        <w:rPr>
          <w:rFonts w:hint="eastAsia" w:ascii="宋体" w:hAnsi="宋体" w:cs="宋体"/>
          <w:bCs/>
          <w:color w:val="auto"/>
          <w:sz w:val="21"/>
          <w:szCs w:val="21"/>
        </w:rPr>
        <w:t>发包人：</w:t>
      </w:r>
      <w:r>
        <w:rPr>
          <w:rFonts w:hint="eastAsia" w:ascii="宋体" w:hAnsi="宋体" w:cs="宋体"/>
          <w:b/>
          <w:bCs/>
          <w:color w:val="auto"/>
          <w:sz w:val="21"/>
          <w:szCs w:val="21"/>
        </w:rPr>
        <w:t xml:space="preserve">扬州大学附属医院                </w:t>
      </w:r>
      <w:r>
        <w:rPr>
          <w:rFonts w:hint="eastAsia" w:ascii="宋体" w:hAnsi="宋体" w:cs="宋体"/>
          <w:bCs/>
          <w:color w:val="auto"/>
          <w:sz w:val="21"/>
          <w:szCs w:val="21"/>
        </w:rPr>
        <w:t>承包人：</w:t>
      </w:r>
      <w:r>
        <w:rPr>
          <w:rFonts w:hint="eastAsia" w:ascii="宋体" w:hAnsi="宋体"/>
          <w:b/>
          <w:color w:val="auto"/>
          <w:sz w:val="21"/>
          <w:szCs w:val="21"/>
        </w:rPr>
        <w:t xml:space="preserve"> </w:t>
      </w:r>
    </w:p>
    <w:p w14:paraId="106FC245">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 xml:space="preserve">            （盖章）                                （盖章）</w:t>
      </w:r>
    </w:p>
    <w:p w14:paraId="6D8902D0">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法定代表人：                            法定代表人：</w:t>
      </w:r>
    </w:p>
    <w:p w14:paraId="6C0D5DAE">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（或授权签约人）：                      （或授权签约人）：</w:t>
      </w:r>
    </w:p>
    <w:p w14:paraId="6BB0B493">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电话：                                  电话：</w:t>
      </w:r>
    </w:p>
    <w:p w14:paraId="64AE2AB5">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传真：                                  传真：</w:t>
      </w:r>
    </w:p>
    <w:p w14:paraId="3778BABF">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地址：                                  地址：</w:t>
      </w:r>
    </w:p>
    <w:p w14:paraId="69EEFED3">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开户银行：                              开户银行：</w:t>
      </w:r>
    </w:p>
    <w:p w14:paraId="7D4F77CC">
      <w:pPr>
        <w:tabs>
          <w:tab w:val="left" w:pos="-235"/>
        </w:tabs>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账号：                                  账号：</w:t>
      </w:r>
    </w:p>
    <w:p w14:paraId="5CB1EB95">
      <w:pPr>
        <w:tabs>
          <w:tab w:val="left" w:pos="0"/>
          <w:tab w:val="left" w:pos="1134"/>
        </w:tabs>
        <w:adjustRightInd w:val="0"/>
        <w:snapToGrid w:val="0"/>
        <w:spacing w:line="360" w:lineRule="auto"/>
        <w:ind w:firstLine="422" w:firstLineChars="200"/>
        <w:jc w:val="center"/>
        <w:outlineLvl w:val="0"/>
        <w:rPr>
          <w:rFonts w:ascii="宋体" w:hAnsi="宋体" w:cs="仿宋"/>
          <w:b/>
          <w:snapToGrid w:val="0"/>
          <w:color w:val="auto"/>
          <w:sz w:val="36"/>
          <w:szCs w:val="36"/>
        </w:rPr>
      </w:pPr>
      <w:r>
        <w:rPr>
          <w:rFonts w:ascii="宋体" w:hAnsi="宋体" w:cs="仿宋"/>
          <w:b/>
          <w:snapToGrid w:val="0"/>
          <w:color w:val="auto"/>
          <w:sz w:val="21"/>
          <w:szCs w:val="21"/>
        </w:rPr>
        <w:br w:type="page"/>
      </w:r>
      <w:r>
        <w:rPr>
          <w:rFonts w:hint="eastAsia" w:ascii="宋体" w:hAnsi="宋体" w:cs="仿宋"/>
          <w:b/>
          <w:snapToGrid w:val="0"/>
          <w:color w:val="auto"/>
          <w:sz w:val="36"/>
          <w:szCs w:val="36"/>
        </w:rPr>
        <w:t>第二部分  通用条款</w:t>
      </w:r>
    </w:p>
    <w:p w14:paraId="0075635A">
      <w:pPr>
        <w:pStyle w:val="22"/>
        <w:snapToGrid w:val="0"/>
        <w:spacing w:before="0" w:after="0" w:line="500" w:lineRule="exact"/>
        <w:ind w:left="0" w:right="0" w:firstLine="562"/>
        <w:jc w:val="center"/>
        <w:rPr>
          <w:rFonts w:ascii="宋体"/>
          <w:b/>
          <w:color w:val="auto"/>
          <w:sz w:val="28"/>
          <w:szCs w:val="28"/>
        </w:rPr>
      </w:pPr>
      <w:r>
        <w:rPr>
          <w:rFonts w:hint="eastAsia" w:ascii="宋体" w:hAnsi="宋体"/>
          <w:b/>
          <w:color w:val="auto"/>
          <w:sz w:val="28"/>
          <w:szCs w:val="28"/>
        </w:rPr>
        <w:t>【按照建设工程施工合同（GF-2017-0201）】</w:t>
      </w:r>
    </w:p>
    <w:p w14:paraId="7AF0353D">
      <w:pPr>
        <w:pStyle w:val="22"/>
        <w:snapToGrid w:val="0"/>
        <w:spacing w:before="0" w:after="0" w:line="500" w:lineRule="exact"/>
        <w:ind w:left="0" w:right="720" w:firstLine="726"/>
        <w:jc w:val="center"/>
        <w:outlineLvl w:val="0"/>
        <w:rPr>
          <w:rFonts w:ascii="宋体" w:hAnsi="宋体"/>
          <w:b/>
          <w:snapToGrid w:val="0"/>
          <w:color w:val="auto"/>
          <w:sz w:val="36"/>
          <w:szCs w:val="36"/>
        </w:rPr>
      </w:pPr>
      <w:r>
        <w:rPr>
          <w:rFonts w:hint="eastAsia" w:ascii="宋体" w:hAnsi="宋体"/>
          <w:b/>
          <w:snapToGrid w:val="0"/>
          <w:color w:val="auto"/>
          <w:sz w:val="36"/>
          <w:szCs w:val="36"/>
        </w:rPr>
        <w:br w:type="page"/>
      </w:r>
      <w:r>
        <w:rPr>
          <w:rFonts w:hint="eastAsia" w:ascii="宋体" w:hAnsi="宋体"/>
          <w:b/>
          <w:snapToGrid w:val="0"/>
          <w:color w:val="auto"/>
          <w:sz w:val="36"/>
          <w:szCs w:val="36"/>
        </w:rPr>
        <w:t>第三部分专用条款</w:t>
      </w:r>
    </w:p>
    <w:p w14:paraId="5C5BFD98">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一、词语定义及合同文件</w:t>
      </w:r>
    </w:p>
    <w:p w14:paraId="2E6D8E6D">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1.合同文件及解释顺序</w:t>
      </w:r>
    </w:p>
    <w:p w14:paraId="1A690E41">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合同履行中，发包人承包人有关工程的洽商、变更等书面协议或文件视为本合同的组成部分。合同文件组成及解释顺序：(1).本合同协议书；(2).中标通知书； (3). 投标书及其附件； (4). 本合同专用条款； (5). 本合同通用条款； (6). 标准规范及有关技术文件； (7). 图纸； (8) .招标文件及答疑文书、工程量清单； (9). 工程报价单及预算书；（10）合同履行中，发包人承包人有关工程的洽商、变更等书面协议或文件视为本合同的组成部分；</w:t>
      </w:r>
    </w:p>
    <w:p w14:paraId="7192EA18">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2.语言文字和适用法律、标准及规范</w:t>
      </w:r>
    </w:p>
    <w:p w14:paraId="75FFAC8D">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2.1本合同除使用汉语外，还使用</w:t>
      </w:r>
      <w:r>
        <w:rPr>
          <w:rFonts w:hint="eastAsia" w:hAnsi="宋体" w:cs="仿宋"/>
          <w:snapToGrid w:val="0"/>
          <w:color w:val="auto"/>
          <w:sz w:val="21"/>
          <w:szCs w:val="21"/>
          <w:u w:val="single"/>
        </w:rPr>
        <w:t>∕</w:t>
      </w:r>
      <w:r>
        <w:rPr>
          <w:rFonts w:hint="eastAsia" w:hAnsi="宋体" w:cs="仿宋"/>
          <w:snapToGrid w:val="0"/>
          <w:color w:val="auto"/>
          <w:sz w:val="21"/>
          <w:szCs w:val="21"/>
        </w:rPr>
        <w:t>语言文字。</w:t>
      </w:r>
    </w:p>
    <w:p w14:paraId="7EF2A456">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2.2适用法律和法规</w:t>
      </w:r>
    </w:p>
    <w:p w14:paraId="067F2805">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需要明示的法律、行政法规：</w:t>
      </w:r>
      <w:r>
        <w:rPr>
          <w:rFonts w:hint="eastAsia" w:hAnsi="宋体" w:cs="仿宋"/>
          <w:snapToGrid w:val="0"/>
          <w:color w:val="auto"/>
          <w:sz w:val="21"/>
          <w:szCs w:val="21"/>
          <w:u w:val="single"/>
        </w:rPr>
        <w:t>《中华人民共和国民法典》、《中华人民共和国建筑法》、《中华人民共和国招标投标法》、《建设工程质量管理条例》、《建设工程价款结算暂行办法》等以及江苏省、扬州市现行相关法律法规</w:t>
      </w:r>
      <w:r>
        <w:rPr>
          <w:rFonts w:hint="eastAsia" w:hAnsi="宋体" w:cs="仿宋"/>
          <w:snapToGrid w:val="0"/>
          <w:color w:val="auto"/>
          <w:sz w:val="21"/>
          <w:szCs w:val="21"/>
        </w:rPr>
        <w:t>。</w:t>
      </w:r>
    </w:p>
    <w:p w14:paraId="463C614A">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2.3适用标准、规范</w:t>
      </w:r>
    </w:p>
    <w:p w14:paraId="4A2F82E7">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适用标准、规范的名称：</w:t>
      </w:r>
      <w:r>
        <w:rPr>
          <w:rFonts w:hint="eastAsia" w:hAnsi="宋体" w:cs="仿宋"/>
          <w:snapToGrid w:val="0"/>
          <w:color w:val="auto"/>
          <w:sz w:val="21"/>
          <w:szCs w:val="21"/>
          <w:u w:val="single"/>
        </w:rPr>
        <w:t>（1）与工程相关的现行图集、施工说明；（2）现行国家施工规范及验收标准</w:t>
      </w:r>
      <w:r>
        <w:rPr>
          <w:rFonts w:hint="eastAsia" w:hAnsi="宋体" w:cs="仿宋"/>
          <w:snapToGrid w:val="0"/>
          <w:color w:val="auto"/>
          <w:sz w:val="21"/>
          <w:szCs w:val="21"/>
        </w:rPr>
        <w:t>。</w:t>
      </w:r>
    </w:p>
    <w:p w14:paraId="55E6E9B6">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发包人提供标准、规范的时间：</w:t>
      </w:r>
      <w:r>
        <w:rPr>
          <w:rFonts w:hint="eastAsia" w:hAnsi="宋体" w:cs="仿宋"/>
          <w:snapToGrid w:val="0"/>
          <w:color w:val="auto"/>
          <w:sz w:val="21"/>
          <w:szCs w:val="21"/>
          <w:u w:val="single"/>
        </w:rPr>
        <w:t>发包人不提供，凡涉及到的相关技术标准、规范均由承包人自备</w:t>
      </w:r>
      <w:r>
        <w:rPr>
          <w:rFonts w:hint="eastAsia" w:hAnsi="宋体" w:cs="仿宋"/>
          <w:snapToGrid w:val="0"/>
          <w:color w:val="auto"/>
          <w:sz w:val="21"/>
          <w:szCs w:val="21"/>
        </w:rPr>
        <w:t>。</w:t>
      </w:r>
    </w:p>
    <w:p w14:paraId="316F7975">
      <w:pPr>
        <w:pStyle w:val="7"/>
        <w:tabs>
          <w:tab w:val="left" w:pos="284"/>
          <w:tab w:val="clear" w:pos="0"/>
        </w:tabs>
        <w:adjustRightInd w:val="0"/>
        <w:snapToGrid w:val="0"/>
        <w:spacing w:line="360" w:lineRule="auto"/>
        <w:ind w:firstLine="420" w:firstLineChars="200"/>
        <w:jc w:val="left"/>
        <w:rPr>
          <w:rFonts w:hAnsi="宋体" w:cs="仿宋"/>
          <w:b/>
          <w:snapToGrid w:val="0"/>
          <w:color w:val="auto"/>
          <w:sz w:val="21"/>
          <w:szCs w:val="21"/>
        </w:rPr>
      </w:pPr>
      <w:r>
        <w:rPr>
          <w:rFonts w:hint="eastAsia" w:hAnsi="宋体" w:cs="仿宋"/>
          <w:snapToGrid w:val="0"/>
          <w:color w:val="auto"/>
          <w:sz w:val="21"/>
          <w:szCs w:val="21"/>
        </w:rPr>
        <w:t>3.图纸</w:t>
      </w:r>
    </w:p>
    <w:p w14:paraId="650033C4">
      <w:pPr>
        <w:pStyle w:val="7"/>
        <w:tabs>
          <w:tab w:val="left" w:pos="284"/>
          <w:tab w:val="clear" w:pos="0"/>
        </w:tabs>
        <w:adjustRightInd w:val="0"/>
        <w:snapToGrid w:val="0"/>
        <w:spacing w:line="360" w:lineRule="auto"/>
        <w:ind w:firstLine="422" w:firstLineChars="200"/>
        <w:jc w:val="left"/>
        <w:rPr>
          <w:rFonts w:hAnsi="宋体" w:cs="仿宋"/>
          <w:snapToGrid w:val="0"/>
          <w:color w:val="auto"/>
          <w:sz w:val="21"/>
          <w:szCs w:val="21"/>
        </w:rPr>
      </w:pPr>
      <w:r>
        <w:rPr>
          <w:rFonts w:hint="eastAsia" w:hAnsi="宋体" w:cs="仿宋"/>
          <w:b/>
          <w:snapToGrid w:val="0"/>
          <w:color w:val="auto"/>
          <w:sz w:val="21"/>
          <w:szCs w:val="21"/>
        </w:rPr>
        <w:t>发包人向承包人</w:t>
      </w:r>
      <w:r>
        <w:rPr>
          <w:rFonts w:hint="eastAsia" w:hAnsi="宋体" w:cs="仿宋"/>
          <w:snapToGrid w:val="0"/>
          <w:color w:val="auto"/>
          <w:sz w:val="21"/>
          <w:szCs w:val="21"/>
        </w:rPr>
        <w:t>提供图纸日期和套数：</w:t>
      </w:r>
      <w:r>
        <w:rPr>
          <w:rFonts w:hint="eastAsia" w:hAnsi="宋体" w:cs="仿宋"/>
          <w:snapToGrid w:val="0"/>
          <w:color w:val="auto"/>
          <w:sz w:val="21"/>
          <w:szCs w:val="21"/>
          <w:u w:val="single"/>
        </w:rPr>
        <w:t>签订合同后叁天内提供施工图纸贰套</w:t>
      </w:r>
      <w:r>
        <w:rPr>
          <w:rFonts w:hint="eastAsia" w:hAnsi="宋体" w:cs="仿宋"/>
          <w:snapToGrid w:val="0"/>
          <w:color w:val="auto"/>
          <w:sz w:val="21"/>
          <w:szCs w:val="21"/>
        </w:rPr>
        <w:t>；</w:t>
      </w:r>
    </w:p>
    <w:p w14:paraId="02E2BD88">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发包人对图纸的保密要求: 施工图纸要求承包人保密，保密费用承包人自行承担。</w:t>
      </w:r>
    </w:p>
    <w:p w14:paraId="10B16AA5">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二、双方一般权利和义务</w:t>
      </w:r>
    </w:p>
    <w:p w14:paraId="18959928">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4.工程师</w:t>
      </w:r>
    </w:p>
    <w:p w14:paraId="62B23F39">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4.1监理单位委派的工程师</w:t>
      </w:r>
    </w:p>
    <w:p w14:paraId="36801A37">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 xml:space="preserve">姓名:      </w:t>
      </w:r>
      <w:r>
        <w:rPr>
          <w:rFonts w:hAnsi="宋体" w:cs="仿宋"/>
          <w:snapToGrid w:val="0"/>
          <w:color w:val="auto"/>
          <w:sz w:val="21"/>
          <w:szCs w:val="21"/>
        </w:rPr>
        <w:t xml:space="preserve">     </w:t>
      </w:r>
      <w:r>
        <w:rPr>
          <w:rFonts w:hint="eastAsia" w:hAnsi="宋体" w:cs="仿宋"/>
          <w:snapToGrid w:val="0"/>
          <w:color w:val="auto"/>
          <w:sz w:val="21"/>
          <w:szCs w:val="21"/>
        </w:rPr>
        <w:t xml:space="preserve">    </w:t>
      </w:r>
      <w:r>
        <w:rPr>
          <w:rFonts w:hAnsi="宋体" w:cs="仿宋"/>
          <w:snapToGrid w:val="0"/>
          <w:color w:val="auto"/>
          <w:sz w:val="21"/>
          <w:szCs w:val="21"/>
        </w:rPr>
        <w:t xml:space="preserve"> </w:t>
      </w:r>
      <w:r>
        <w:rPr>
          <w:rFonts w:hint="eastAsia" w:hAnsi="宋体" w:cs="仿宋"/>
          <w:snapToGrid w:val="0"/>
          <w:color w:val="auto"/>
          <w:sz w:val="21"/>
          <w:szCs w:val="21"/>
        </w:rPr>
        <w:t xml:space="preserve">  职务:总监理工程师</w:t>
      </w:r>
    </w:p>
    <w:p w14:paraId="010C0135">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发包人委托的职权:工程变更、经济签证、工程延误、暂定价材料验收批准等。对该工程质量、进度、投资、安全进行控制以及合同管理、信息管理和监理合同中明确的相关工作。需要取得发包人批准才能行使的职权：工程变更、经济签证、工期延误等。</w:t>
      </w:r>
    </w:p>
    <w:p w14:paraId="293A8065">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4.2发包人派驻的工程师</w:t>
      </w:r>
    </w:p>
    <w:p w14:paraId="24412A7B">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 xml:space="preserve">姓名:           </w:t>
      </w:r>
      <w:r>
        <w:rPr>
          <w:rFonts w:hAnsi="宋体" w:cs="仿宋"/>
          <w:snapToGrid w:val="0"/>
          <w:color w:val="auto"/>
          <w:sz w:val="21"/>
          <w:szCs w:val="21"/>
        </w:rPr>
        <w:t xml:space="preserve">  </w:t>
      </w:r>
      <w:r>
        <w:rPr>
          <w:rFonts w:hint="eastAsia" w:hAnsi="宋体" w:cs="仿宋"/>
          <w:snapToGrid w:val="0"/>
          <w:color w:val="auto"/>
          <w:sz w:val="21"/>
          <w:szCs w:val="21"/>
        </w:rPr>
        <w:t xml:space="preserve">      职务:现场代表         </w:t>
      </w:r>
    </w:p>
    <w:p w14:paraId="5C6CE716">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职权:（1）监督检查承包人、监理执行合同情况，（</w:t>
      </w:r>
      <w:r>
        <w:rPr>
          <w:rFonts w:hAnsi="宋体" w:cs="仿宋"/>
          <w:snapToGrid w:val="0"/>
          <w:color w:val="auto"/>
          <w:sz w:val="21"/>
          <w:szCs w:val="21"/>
        </w:rPr>
        <w:t>2）协同</w:t>
      </w:r>
      <w:r>
        <w:rPr>
          <w:rFonts w:hint="eastAsia" w:hAnsi="宋体" w:cs="仿宋"/>
          <w:snapToGrid w:val="0"/>
          <w:color w:val="auto"/>
          <w:sz w:val="21"/>
          <w:szCs w:val="21"/>
        </w:rPr>
        <w:t>监理做好工程质量控制、进度控制、安全生产等工作；（3）发出经发包人同意的工程指令；（4）对支付工程款进行审核等。</w:t>
      </w:r>
    </w:p>
    <w:p w14:paraId="1151C77F">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5.项目经理</w:t>
      </w:r>
    </w:p>
    <w:p w14:paraId="07D3AF34">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姓名:</w:t>
      </w:r>
      <w:r>
        <w:rPr>
          <w:rFonts w:hint="eastAsia"/>
          <w:color w:val="auto"/>
          <w:sz w:val="21"/>
          <w:szCs w:val="21"/>
        </w:rPr>
        <w:t xml:space="preserve">           </w:t>
      </w:r>
      <w:r>
        <w:rPr>
          <w:color w:val="auto"/>
          <w:sz w:val="21"/>
          <w:szCs w:val="21"/>
        </w:rPr>
        <w:t xml:space="preserve">    </w:t>
      </w:r>
      <w:r>
        <w:rPr>
          <w:rFonts w:hint="eastAsia"/>
          <w:color w:val="auto"/>
          <w:sz w:val="21"/>
          <w:szCs w:val="21"/>
        </w:rPr>
        <w:t xml:space="preserve">    </w:t>
      </w:r>
      <w:r>
        <w:rPr>
          <w:rFonts w:hint="eastAsia" w:hAnsi="宋体" w:cs="仿宋"/>
          <w:snapToGrid w:val="0"/>
          <w:color w:val="auto"/>
          <w:sz w:val="21"/>
          <w:szCs w:val="21"/>
        </w:rPr>
        <w:t>职务:项目经理</w:t>
      </w:r>
    </w:p>
    <w:p w14:paraId="61EF3C31">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职权：按照国家相关规定和合同约定，作为承包方施工现场负责人，全面负责本工地施工现场进度、质量、安全工作，负责本合同的全面履行。</w:t>
      </w:r>
    </w:p>
    <w:p w14:paraId="37D54BC1">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6.发包人工作</w:t>
      </w:r>
    </w:p>
    <w:p w14:paraId="5612E9EF">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6.1发包人应按约定的时间和要求及完成以下工作:</w:t>
      </w:r>
    </w:p>
    <w:p w14:paraId="10AEF256">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施工场地具备施工条件的要求及完成时间:施工期间医院正常运行；现场具备施工条件，承包人在踏勘现场时确认，场地不利因素，施工降效等因素承包人已在投标报价时充分考虑，发包人不再因此支付任何费用。</w:t>
      </w:r>
    </w:p>
    <w:p w14:paraId="1DA53CC3">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（2）将施工所需的水、电、电讯线路接至施工场地的时间、地点和供应要求：水电接口已提供至施工现场，其位置承包人在踏勘现场时确认，水电在场内接线一切费用包含在总报价中，发包人不再另外支付。</w:t>
      </w:r>
    </w:p>
    <w:p w14:paraId="0BF02DC8">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（3）施工场地与公共道路的通道开通时间和要求：主要公共道路开通，施工区道路由承包人承担。</w:t>
      </w:r>
    </w:p>
    <w:p w14:paraId="6915C42B">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（4）工程地质和地下管线资料的提供时间：</w:t>
      </w:r>
      <w:r>
        <w:rPr>
          <w:rFonts w:hint="eastAsia" w:hAnsi="宋体" w:cs="仿宋"/>
          <w:snapToGrid w:val="0"/>
          <w:color w:val="auto"/>
          <w:sz w:val="21"/>
          <w:szCs w:val="21"/>
          <w:u w:val="single"/>
        </w:rPr>
        <w:t>开工前5天提供</w:t>
      </w:r>
      <w:r>
        <w:rPr>
          <w:rFonts w:hint="eastAsia" w:hAnsi="宋体" w:cs="仿宋"/>
          <w:snapToGrid w:val="0"/>
          <w:color w:val="auto"/>
          <w:sz w:val="21"/>
          <w:szCs w:val="21"/>
        </w:rPr>
        <w:t>。</w:t>
      </w:r>
    </w:p>
    <w:p w14:paraId="2D63AB82">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（5）由发包人办理的施工所需证件、批件的名称和完成时间：</w:t>
      </w:r>
      <w:r>
        <w:rPr>
          <w:rFonts w:hint="eastAsia" w:hAnsi="宋体" w:cs="仿宋"/>
          <w:snapToGrid w:val="0"/>
          <w:color w:val="auto"/>
          <w:sz w:val="21"/>
          <w:szCs w:val="21"/>
          <w:u w:val="single"/>
        </w:rPr>
        <w:t>开工前由承包人协助发包人办理，不能影响开工</w:t>
      </w:r>
      <w:r>
        <w:rPr>
          <w:rFonts w:hint="eastAsia" w:hAnsi="宋体" w:cs="仿宋"/>
          <w:snapToGrid w:val="0"/>
          <w:color w:val="auto"/>
          <w:sz w:val="21"/>
          <w:szCs w:val="21"/>
        </w:rPr>
        <w:t>。</w:t>
      </w:r>
    </w:p>
    <w:p w14:paraId="4A4FD592">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（6）水准点与坐标控制点交验要求：</w:t>
      </w:r>
      <w:r>
        <w:rPr>
          <w:rFonts w:hint="eastAsia" w:hAnsi="宋体" w:cs="仿宋"/>
          <w:snapToGrid w:val="0"/>
          <w:color w:val="auto"/>
          <w:sz w:val="21"/>
          <w:szCs w:val="21"/>
          <w:u w:val="single"/>
        </w:rPr>
        <w:t>开工前现场交验，承包人负责做好保护工作。施工过程中若水准基点出现遗失或损坏，承包人应立即汇报工程师，重新布点的费用由承包人承担</w:t>
      </w:r>
      <w:r>
        <w:rPr>
          <w:rFonts w:hint="eastAsia" w:hAnsi="宋体" w:cs="仿宋"/>
          <w:snapToGrid w:val="0"/>
          <w:color w:val="auto"/>
          <w:sz w:val="21"/>
          <w:szCs w:val="21"/>
        </w:rPr>
        <w:t>。</w:t>
      </w:r>
    </w:p>
    <w:p w14:paraId="08032544">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（7）图纸会审和设计交底时间：</w:t>
      </w:r>
      <w:r>
        <w:rPr>
          <w:rFonts w:hint="eastAsia" w:hAnsi="宋体" w:cs="仿宋"/>
          <w:snapToGrid w:val="0"/>
          <w:color w:val="auto"/>
          <w:sz w:val="21"/>
          <w:szCs w:val="21"/>
          <w:u w:val="single"/>
        </w:rPr>
        <w:t>双方约定时间</w:t>
      </w:r>
      <w:r>
        <w:rPr>
          <w:rFonts w:hint="eastAsia" w:hAnsi="宋体" w:cs="仿宋"/>
          <w:snapToGrid w:val="0"/>
          <w:color w:val="auto"/>
          <w:sz w:val="21"/>
          <w:szCs w:val="21"/>
        </w:rPr>
        <w:t>。</w:t>
      </w:r>
    </w:p>
    <w:p w14:paraId="2EE7711E">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（8）协调处理施工场地周围地下管线和邻近建筑、构筑物（含文物保护建筑）、古树名木的保护工作：</w:t>
      </w:r>
      <w:r>
        <w:rPr>
          <w:rFonts w:hint="eastAsia" w:hAnsi="宋体" w:cs="仿宋"/>
          <w:snapToGrid w:val="0"/>
          <w:color w:val="auto"/>
          <w:sz w:val="21"/>
          <w:szCs w:val="21"/>
          <w:u w:val="single"/>
        </w:rPr>
        <w:t>执行通用条款</w:t>
      </w:r>
      <w:r>
        <w:rPr>
          <w:rFonts w:hint="eastAsia" w:hAnsi="宋体" w:cs="仿宋"/>
          <w:snapToGrid w:val="0"/>
          <w:color w:val="auto"/>
          <w:sz w:val="21"/>
          <w:szCs w:val="21"/>
        </w:rPr>
        <w:t>。</w:t>
      </w:r>
    </w:p>
    <w:p w14:paraId="5E23C576">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（9）双方约定发包人做的其他工作：</w:t>
      </w:r>
      <w:r>
        <w:rPr>
          <w:rFonts w:hint="eastAsia" w:hAnsi="宋体" w:cs="仿宋"/>
          <w:snapToGrid w:val="0"/>
          <w:color w:val="auto"/>
          <w:sz w:val="21"/>
          <w:szCs w:val="21"/>
          <w:u w:val="single"/>
        </w:rPr>
        <w:t xml:space="preserve">  /。 </w:t>
      </w:r>
    </w:p>
    <w:p w14:paraId="0A2AA5E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（10）发包人委托承包人办理的工作：按发包人的布置要求，承包人有配合与该工程建设有关工作的义务，包括协助办理有关施工所需证件、批件等手续。</w:t>
      </w:r>
    </w:p>
    <w:p w14:paraId="38062406">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7.承包人工作</w:t>
      </w:r>
    </w:p>
    <w:p w14:paraId="06604F44">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7.1承包人应按约定时间和要求,完成以下工作:</w:t>
      </w:r>
    </w:p>
    <w:p w14:paraId="1E8C4555">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（1）需由设计资质等级和业务范围允许的承包人完成的设计文件提交时间:</w:t>
      </w:r>
      <w:r>
        <w:rPr>
          <w:rFonts w:hint="eastAsia" w:hAnsi="宋体" w:cs="仿宋"/>
          <w:snapToGrid w:val="0"/>
          <w:color w:val="auto"/>
          <w:sz w:val="21"/>
          <w:szCs w:val="21"/>
          <w:u w:val="single"/>
        </w:rPr>
        <w:t>∕</w:t>
      </w:r>
      <w:r>
        <w:rPr>
          <w:rFonts w:hint="eastAsia" w:hAnsi="宋体" w:cs="仿宋"/>
          <w:snapToGrid w:val="0"/>
          <w:color w:val="auto"/>
          <w:sz w:val="21"/>
          <w:szCs w:val="21"/>
        </w:rPr>
        <w:t>；</w:t>
      </w:r>
    </w:p>
    <w:p w14:paraId="5ED24A02">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（2）应提供计划、报表的名称及完成时间：</w:t>
      </w:r>
      <w:r>
        <w:rPr>
          <w:rFonts w:hint="eastAsia" w:hAnsi="宋体" w:cs="仿宋"/>
          <w:snapToGrid w:val="0"/>
          <w:color w:val="auto"/>
          <w:sz w:val="21"/>
          <w:szCs w:val="21"/>
          <w:u w:val="single"/>
        </w:rPr>
        <w:t>开工前5天内提供切实可行的进度表以及相对应的人机配置情况、材料供应情况</w:t>
      </w:r>
      <w:r>
        <w:rPr>
          <w:rFonts w:hint="eastAsia" w:hAnsi="宋体" w:cs="仿宋"/>
          <w:snapToGrid w:val="0"/>
          <w:color w:val="auto"/>
          <w:sz w:val="21"/>
          <w:szCs w:val="21"/>
        </w:rPr>
        <w:t>；</w:t>
      </w:r>
    </w:p>
    <w:p w14:paraId="03490F2A">
      <w:pPr>
        <w:pStyle w:val="7"/>
        <w:tabs>
          <w:tab w:val="left" w:pos="284"/>
          <w:tab w:val="clear" w:pos="0"/>
        </w:tabs>
        <w:adjustRightInd w:val="0"/>
        <w:snapToGrid w:val="0"/>
        <w:spacing w:line="360" w:lineRule="auto"/>
        <w:ind w:firstLine="420" w:firstLineChars="200"/>
        <w:contextualSpacing/>
        <w:jc w:val="left"/>
        <w:rPr>
          <w:rFonts w:hAnsi="宋体"/>
          <w:snapToGrid w:val="0"/>
          <w:color w:val="auto"/>
          <w:sz w:val="21"/>
          <w:szCs w:val="21"/>
        </w:rPr>
      </w:pPr>
      <w:r>
        <w:rPr>
          <w:rFonts w:hint="eastAsia" w:hAnsi="宋体" w:cs="仿宋"/>
          <w:snapToGrid w:val="0"/>
          <w:color w:val="auto"/>
          <w:sz w:val="21"/>
          <w:szCs w:val="21"/>
        </w:rPr>
        <w:t>（3）承担施工安全保卫工作及非夜间施工照明的责任和要求：</w:t>
      </w:r>
    </w:p>
    <w:p w14:paraId="1E76654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承包人承担现场的安全、保卫、照明等责任和费用；在施工前，必须对施工现场进行封闭并按实际现场需要，提供施工安全保卫工作及施工照明等，施工期间，所造成的一切安全责任均由承包人负责</w:t>
      </w:r>
      <w:r>
        <w:rPr>
          <w:rFonts w:hint="eastAsia" w:hAnsi="宋体" w:cs="仿宋"/>
          <w:snapToGrid w:val="0"/>
          <w:color w:val="auto"/>
          <w:sz w:val="21"/>
          <w:szCs w:val="21"/>
        </w:rPr>
        <w:t>；</w:t>
      </w:r>
    </w:p>
    <w:p w14:paraId="070C5E6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（4）向发包人提供的办公和生活房屋及设施和要求：</w:t>
      </w:r>
      <w:r>
        <w:rPr>
          <w:rFonts w:hint="eastAsia" w:hAnsi="宋体" w:cs="仿宋"/>
          <w:snapToGrid w:val="0"/>
          <w:color w:val="auto"/>
          <w:sz w:val="21"/>
          <w:szCs w:val="21"/>
          <w:u w:val="single"/>
        </w:rPr>
        <w:t>∕</w:t>
      </w:r>
      <w:r>
        <w:rPr>
          <w:rFonts w:hint="eastAsia" w:hAnsi="宋体" w:cs="仿宋"/>
          <w:snapToGrid w:val="0"/>
          <w:color w:val="auto"/>
          <w:sz w:val="21"/>
          <w:szCs w:val="21"/>
        </w:rPr>
        <w:t>；</w:t>
      </w:r>
    </w:p>
    <w:p w14:paraId="46665B8D">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（5）需承包人办理的有关施工场地交通、环卫和施工噪音管理等手续：</w:t>
      </w:r>
    </w:p>
    <w:p w14:paraId="6F0C4064">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承包人自行办理有关施工场地交通、城管、环卫和施工噪音管理等手续，不得影响施工工期，并严格按照扬州市城市管理的有关规定以及安全文明施工要求进行施工</w:t>
      </w:r>
      <w:r>
        <w:rPr>
          <w:rFonts w:hint="eastAsia" w:hAnsi="宋体" w:cs="仿宋"/>
          <w:snapToGrid w:val="0"/>
          <w:color w:val="auto"/>
          <w:sz w:val="21"/>
          <w:szCs w:val="21"/>
        </w:rPr>
        <w:t>；</w:t>
      </w:r>
    </w:p>
    <w:p w14:paraId="5A58FC2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（6）已完成工程成品保护的特殊要求及费用承担：</w:t>
      </w:r>
    </w:p>
    <w:p w14:paraId="08D0878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工程交付使用前承包人自己发生的损坏或因承包人保护实施不当而产生的第三方对成品（半成品）的损坏均由承包人自己负责</w:t>
      </w:r>
      <w:r>
        <w:rPr>
          <w:rFonts w:hint="eastAsia" w:hAnsi="宋体" w:cs="仿宋"/>
          <w:snapToGrid w:val="0"/>
          <w:color w:val="auto"/>
          <w:sz w:val="21"/>
          <w:szCs w:val="21"/>
        </w:rPr>
        <w:t>；</w:t>
      </w:r>
    </w:p>
    <w:p w14:paraId="43864F9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（7）施工场地周围地下管线和邻近建筑物、构筑物（含文物保护建筑）、古树名木的保护要求及费用承担：</w:t>
      </w:r>
      <w:r>
        <w:rPr>
          <w:rFonts w:hint="eastAsia" w:hAnsi="宋体" w:cs="仿宋"/>
          <w:snapToGrid w:val="0"/>
          <w:color w:val="auto"/>
          <w:sz w:val="21"/>
          <w:szCs w:val="21"/>
          <w:u w:val="single"/>
        </w:rPr>
        <w:t>承包人自行负责承担施工场地周围地下管线和邻近建筑物、构筑物（含文物保护建筑）、古树名木的保护要求及费用</w:t>
      </w:r>
      <w:r>
        <w:rPr>
          <w:rFonts w:hint="eastAsia" w:hAnsi="宋体" w:cs="仿宋"/>
          <w:snapToGrid w:val="0"/>
          <w:color w:val="auto"/>
          <w:sz w:val="21"/>
          <w:szCs w:val="21"/>
        </w:rPr>
        <w:t>；</w:t>
      </w:r>
    </w:p>
    <w:p w14:paraId="186B7074">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（8）施工场地清洁卫生的要求：</w:t>
      </w:r>
      <w:r>
        <w:rPr>
          <w:rFonts w:hint="eastAsia" w:hAnsi="宋体" w:cs="仿宋"/>
          <w:snapToGrid w:val="0"/>
          <w:color w:val="auto"/>
          <w:sz w:val="21"/>
          <w:szCs w:val="21"/>
          <w:u w:val="single"/>
        </w:rPr>
        <w:t>施工过程中，要求现场工完料清，承包人应及时清除现场的所有不需要的障碍物，并应根据发包人要求转移剩余材料，清除现场残物、垃圾或转移临时工作用具以及工程不再需要的施工设备。如果承包人清除现场垃圾不及时，发包人有权委派他人清除现场垃圾，由此发生的费用从承包人工程款中扣除。工程竣工验收后5日内，承包人需自行拆除临时设施及附属物，完成所有的人、材、机全部退场，并将其运出施工现场，放置于合适的场所。所发生的费用由承包人自行承担</w:t>
      </w:r>
      <w:r>
        <w:rPr>
          <w:rFonts w:hint="eastAsia" w:hAnsi="宋体" w:cs="仿宋"/>
          <w:snapToGrid w:val="0"/>
          <w:color w:val="auto"/>
          <w:sz w:val="21"/>
          <w:szCs w:val="21"/>
        </w:rPr>
        <w:t>；</w:t>
      </w:r>
    </w:p>
    <w:p w14:paraId="7BBC6A55">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（9）</w:t>
      </w:r>
      <w:r>
        <w:rPr>
          <w:rFonts w:hint="eastAsia" w:hAnsi="宋体" w:cs="仿宋"/>
          <w:snapToGrid w:val="0"/>
          <w:color w:val="auto"/>
          <w:sz w:val="21"/>
          <w:szCs w:val="21"/>
          <w:u w:val="single"/>
        </w:rPr>
        <w:t>施工过程中承包人应服从现场统一管理，做到安全、文明、有序施工，一切安全责任自行负责</w:t>
      </w:r>
      <w:r>
        <w:rPr>
          <w:rFonts w:hint="eastAsia" w:hAnsi="宋体" w:cs="仿宋"/>
          <w:snapToGrid w:val="0"/>
          <w:color w:val="auto"/>
          <w:sz w:val="21"/>
          <w:szCs w:val="21"/>
        </w:rPr>
        <w:t>；</w:t>
      </w:r>
    </w:p>
    <w:p w14:paraId="1F8CAE11">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（10）施工过程中，</w:t>
      </w:r>
      <w:r>
        <w:rPr>
          <w:rFonts w:hint="eastAsia" w:hAnsi="宋体" w:cs="仿宋"/>
          <w:snapToGrid w:val="0"/>
          <w:color w:val="auto"/>
          <w:sz w:val="21"/>
          <w:szCs w:val="21"/>
          <w:u w:val="single"/>
        </w:rPr>
        <w:t>承包人应主动与上、下工序相关单位进行协调对接，避免产生矛盾，做到有序科学衔接，配合其他相关单位，费用已在投标报价中考虑发包人不再另行支付</w:t>
      </w:r>
      <w:r>
        <w:rPr>
          <w:rFonts w:hint="eastAsia" w:hAnsi="宋体" w:cs="仿宋"/>
          <w:snapToGrid w:val="0"/>
          <w:color w:val="auto"/>
          <w:sz w:val="21"/>
          <w:szCs w:val="21"/>
        </w:rPr>
        <w:t>；</w:t>
      </w:r>
    </w:p>
    <w:p w14:paraId="57A80A06">
      <w:pPr>
        <w:pStyle w:val="7"/>
        <w:tabs>
          <w:tab w:val="left" w:pos="284"/>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（11）双方约定承包人应做的其他工作：</w:t>
      </w:r>
    </w:p>
    <w:p w14:paraId="434540FB">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u w:val="single"/>
        </w:rPr>
        <w:t>a安排足够的工程管理人员，各工种合格的技术人员和工人，按劳动管理部门的要求，特种施工人员必须持有上岗证；b开工前向建设方和监理方提供月进度计划和月完成工程量报表；c保证工地的管理井然有序，无打架斗殴等不良现象；d加强卫生管理，无传染病、食物中毒等现象；e其他事项双方约定</w:t>
      </w:r>
      <w:r>
        <w:rPr>
          <w:rFonts w:hint="eastAsia" w:hAnsi="宋体" w:cs="仿宋"/>
          <w:snapToGrid w:val="0"/>
          <w:color w:val="auto"/>
          <w:sz w:val="21"/>
          <w:szCs w:val="21"/>
        </w:rPr>
        <w:t>；</w:t>
      </w:r>
    </w:p>
    <w:p w14:paraId="1E692DB6">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三、施工组织设计和工期</w:t>
      </w:r>
    </w:p>
    <w:p w14:paraId="37163AA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8.进度计划</w:t>
      </w:r>
    </w:p>
    <w:p w14:paraId="02154BAD">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8.1承包人提供施工组织设计(施工方案)和进度计划的时间:</w:t>
      </w:r>
    </w:p>
    <w:p w14:paraId="7BED4622">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u w:val="single"/>
        </w:rPr>
        <w:t>开工前5天以书面形式向发包人和监理提交施工组织设计和进度计划，经发包人和监理方审核同意后的施工组织设计作为施工中发包人与监理方进行监督受理的依据</w:t>
      </w:r>
      <w:r>
        <w:rPr>
          <w:rFonts w:hint="eastAsia" w:hAnsi="宋体" w:cs="仿宋"/>
          <w:snapToGrid w:val="0"/>
          <w:color w:val="auto"/>
          <w:sz w:val="21"/>
          <w:szCs w:val="21"/>
        </w:rPr>
        <w:t>；</w:t>
      </w:r>
    </w:p>
    <w:p w14:paraId="29D48CB2">
      <w:pPr>
        <w:pStyle w:val="7"/>
        <w:tabs>
          <w:tab w:val="left" w:pos="284"/>
          <w:tab w:val="clear" w:pos="0"/>
        </w:tabs>
        <w:adjustRightInd w:val="0"/>
        <w:snapToGrid w:val="0"/>
        <w:spacing w:line="360" w:lineRule="auto"/>
        <w:ind w:firstLine="420" w:firstLineChars="200"/>
        <w:jc w:val="left"/>
        <w:rPr>
          <w:rFonts w:hAnsi="宋体"/>
          <w:snapToGrid w:val="0"/>
          <w:color w:val="auto"/>
          <w:sz w:val="21"/>
          <w:szCs w:val="21"/>
        </w:rPr>
      </w:pPr>
      <w:r>
        <w:rPr>
          <w:rFonts w:hint="eastAsia" w:hAnsi="宋体" w:cs="仿宋"/>
          <w:snapToGrid w:val="0"/>
          <w:color w:val="auto"/>
          <w:sz w:val="21"/>
          <w:szCs w:val="21"/>
        </w:rPr>
        <w:t>工程师确认的时间:</w:t>
      </w:r>
      <w:r>
        <w:rPr>
          <w:rFonts w:hint="eastAsia" w:hAnsi="宋体" w:cs="仿宋"/>
          <w:snapToGrid w:val="0"/>
          <w:color w:val="auto"/>
          <w:sz w:val="21"/>
          <w:szCs w:val="21"/>
          <w:u w:val="single"/>
        </w:rPr>
        <w:t>送达后7日历天内</w:t>
      </w:r>
      <w:r>
        <w:rPr>
          <w:rFonts w:hint="eastAsia" w:hAnsi="宋体" w:cs="仿宋"/>
          <w:snapToGrid w:val="0"/>
          <w:color w:val="auto"/>
          <w:sz w:val="21"/>
          <w:szCs w:val="21"/>
        </w:rPr>
        <w:t>。</w:t>
      </w:r>
    </w:p>
    <w:p w14:paraId="1703E194">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9、工期延误</w:t>
      </w:r>
    </w:p>
    <w:p w14:paraId="664A3DCC">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9.1合同工期按承包人中标工期执行，如因承包人原因延误工期的，承包人应承担违约责任，详见第21.2条款。</w:t>
      </w:r>
    </w:p>
    <w:p w14:paraId="4EFBCC5F">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9.2双方约定工期顺延的其他情况:</w:t>
      </w:r>
    </w:p>
    <w:p w14:paraId="564DD39A">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若出现以下情况造成工期延误的发包人不承担费用，只认可工期顺延，顺延时间双方另行协商。</w:t>
      </w:r>
    </w:p>
    <w:p w14:paraId="2A9E43ED">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（1）不可抗力（战争以及地震、水灾、暴风雪等严重自然灾害）；</w:t>
      </w:r>
    </w:p>
    <w:p w14:paraId="5E448D6D">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（2）因发包人设计变更在结构形式、设计标准作重大调整，增加的工程量使承包人工程进度无法按原计划实施进行的；</w:t>
      </w:r>
    </w:p>
    <w:p w14:paraId="63DCFC7F">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（3）非因承包人原因停水、停电连续24小时以上的；</w:t>
      </w:r>
    </w:p>
    <w:p w14:paraId="416E03DA">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（4）政府行为：政府强制要求停工（非承包人原因引起，如全市性的安全整顿，要求建设工地停工等）。</w:t>
      </w:r>
    </w:p>
    <w:p w14:paraId="5276334A">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9.3承包人不得以任何理由停工，包括由于变更引起价格改变，发生分歧等，如有争议应协商解决，如因停工造成工期延误，承包人承担违约责任。</w:t>
      </w:r>
    </w:p>
    <w:p w14:paraId="7614FE62">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四、质量与验收</w:t>
      </w:r>
    </w:p>
    <w:p w14:paraId="1C4FC880">
      <w:pPr>
        <w:pStyle w:val="22"/>
        <w:tabs>
          <w:tab w:val="left" w:pos="426"/>
        </w:tabs>
        <w:snapToGrid w:val="0"/>
        <w:spacing w:before="0" w:after="0" w:line="360" w:lineRule="auto"/>
        <w:ind w:left="0" w:right="0" w:firstLine="420" w:firstLineChars="200"/>
        <w:contextualSpacing/>
        <w:rPr>
          <w:rFonts w:ascii="宋体" w:hAnsi="宋体"/>
          <w:color w:val="auto"/>
          <w:sz w:val="21"/>
          <w:szCs w:val="21"/>
        </w:rPr>
      </w:pPr>
      <w:r>
        <w:rPr>
          <w:rFonts w:hint="eastAsia" w:ascii="宋体" w:hAnsi="宋体"/>
          <w:color w:val="auto"/>
          <w:sz w:val="21"/>
          <w:szCs w:val="21"/>
        </w:rPr>
        <w:t>质量要求：符合合格标准。</w:t>
      </w:r>
    </w:p>
    <w:p w14:paraId="23DC75DA">
      <w:pPr>
        <w:pStyle w:val="22"/>
        <w:tabs>
          <w:tab w:val="left" w:pos="426"/>
        </w:tabs>
        <w:snapToGrid w:val="0"/>
        <w:spacing w:before="0" w:after="0" w:line="360" w:lineRule="auto"/>
        <w:ind w:left="0" w:right="0" w:firstLine="420" w:firstLineChars="200"/>
        <w:contextualSpacing/>
        <w:rPr>
          <w:rFonts w:ascii="宋体" w:hAnsi="宋体"/>
          <w:color w:val="auto"/>
          <w:sz w:val="21"/>
          <w:szCs w:val="21"/>
        </w:rPr>
      </w:pPr>
      <w:r>
        <w:rPr>
          <w:rFonts w:hint="eastAsia" w:ascii="宋体" w:hAnsi="宋体"/>
          <w:color w:val="auto"/>
          <w:sz w:val="21"/>
          <w:szCs w:val="21"/>
        </w:rPr>
        <w:t>工程必须一次性验收达到合格。因承包人原因达不到合同约定质量要求，除合同价5%的违约金外，承包人必须保证整改后工程质量达到合格标准，由于承包人原因出现质量问题所造成的一切经济损失由承包人负责。</w:t>
      </w:r>
    </w:p>
    <w:p w14:paraId="2C1D650E">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10.隐蔽工程和中间验收</w:t>
      </w:r>
    </w:p>
    <w:p w14:paraId="21C02F2C">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10.1双方约定中间验收部位: 按规定及监理认为确有必要进行验收的分部。</w:t>
      </w:r>
    </w:p>
    <w:p w14:paraId="2B8B5D4B">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10.2验收前承包人首先进行自检，在隐蔽工程验收和中间验收前应提前</w:t>
      </w:r>
      <w:r>
        <w:rPr>
          <w:rFonts w:hAnsi="宋体" w:cs="仿宋"/>
          <w:snapToGrid w:val="0"/>
          <w:color w:val="auto"/>
          <w:sz w:val="21"/>
          <w:szCs w:val="21"/>
        </w:rPr>
        <w:t>24小时通知发包人、</w:t>
      </w:r>
      <w:r>
        <w:rPr>
          <w:rFonts w:hint="eastAsia" w:hAnsi="宋体" w:cs="仿宋"/>
          <w:snapToGrid w:val="0"/>
          <w:color w:val="auto"/>
          <w:sz w:val="21"/>
          <w:szCs w:val="21"/>
        </w:rPr>
        <w:t>监理方，并提供相关资料。不论发包人、监理方是否参与验收，当发包人或工程师提出对隐蔽工程需进行重新验收时，承包人必须配合工作且在检验后重新覆盖，若验收合格，发包人承担此项费用，并相应顺延工期，若验收不合格，承包人承担所有损失，且工期不顺延。</w:t>
      </w:r>
    </w:p>
    <w:p w14:paraId="1FA414C9">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10.3达不到约定条件的部分，监理方或发包人一经发现，可要求承包人返工，承包人应按监理方或发包人的要求返工，直到符合约定条件，因承包人原因达不到约定条件，由承包人承担返工费用，工期不予顺延。返工后仍不能达到约定条件，承包人承担违约责任。因发包人原因达不到约定条件的，发包人承担经济损失，工期相应顺延。</w:t>
      </w:r>
    </w:p>
    <w:p w14:paraId="4B21D558">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10.4监理方或发包人发现工程质量问题，可下达停工令，承包人在3天内提出书面整改措施，经报项目总监和发包人代表审批同意后，实施整改达到合格，由此所产生的工期延误和整改费用，由承包人承担，否则发包人有权停止拨付工程款。</w:t>
      </w:r>
    </w:p>
    <w:p w14:paraId="16D2A409">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10.5验收时间：除质检站、设计院等其他部门参加验收，承包人需提前72小时书面报告以便及时联系和安排外，其余均提前24小时即可。</w:t>
      </w:r>
    </w:p>
    <w:p w14:paraId="724A431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11工程试车</w:t>
      </w:r>
    </w:p>
    <w:p w14:paraId="52D40CC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11.1试车费用的承担: 安排相关的技术人员无条件配合联合试车工作。</w:t>
      </w:r>
    </w:p>
    <w:p w14:paraId="7D4DED3E">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五、安全文明施工要求</w:t>
      </w:r>
    </w:p>
    <w:p w14:paraId="7753FAB7">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（1）承包人对现场作业和现有施工方法的安全承担全部责任，执行通用条款第20条规定，并赔偿因承包人责任给发包人造成的一切损失；</w:t>
      </w:r>
    </w:p>
    <w:p w14:paraId="0294AAF6">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（2）承包人应采取控制措施使施工现场达到市环保和政府其它部门对建筑工地的要求，避免伤害或妨碍公众及周围环境。如因妨碍或伤害造成的行政处罚等其它赔偿均由承包人承担；</w:t>
      </w:r>
    </w:p>
    <w:p w14:paraId="5620C0D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（3）承包人负责现场保卫和管理；</w:t>
      </w:r>
    </w:p>
    <w:p w14:paraId="1BDA7CC8">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（4）承包人应遵守工程建设安全生产有关管理规定，严格按安全标准组织施工，随时接受行业、监理方的安全检查和监督，并针对该工程特点</w:t>
      </w:r>
      <w:r>
        <w:rPr>
          <w:rFonts w:hAnsi="宋体" w:cs="仿宋"/>
          <w:snapToGrid w:val="0"/>
          <w:color w:val="auto"/>
          <w:sz w:val="21"/>
          <w:szCs w:val="21"/>
        </w:rPr>
        <w:t>,采取一切必要的安全防护措施，消除事故隐患，承担施工中的全部安全责任及费用（包括承包人和承包人原因造成的第三方）；</w:t>
      </w:r>
    </w:p>
    <w:p w14:paraId="37893E4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w:t>
      </w:r>
      <w:r>
        <w:rPr>
          <w:rFonts w:hAnsi="宋体" w:cs="仿宋"/>
          <w:snapToGrid w:val="0"/>
          <w:color w:val="auto"/>
          <w:sz w:val="21"/>
          <w:szCs w:val="21"/>
        </w:rPr>
        <w:t>5）施工单位进场后必须签署</w:t>
      </w:r>
      <w:r>
        <w:rPr>
          <w:rFonts w:hint="eastAsia" w:hAnsi="宋体" w:cs="仿宋"/>
          <w:snapToGrid w:val="0"/>
          <w:color w:val="auto"/>
          <w:sz w:val="21"/>
          <w:szCs w:val="21"/>
        </w:rPr>
        <w:t>《建设工程安全责任协议书》，并遵守《工程施工现场管理规定》、《建设工程施工安全管理规定》以及《建设工程文明施工管理规定》，不得影响发包人单位正常工作运行，并达到市级安全文明工地要求；</w:t>
      </w:r>
    </w:p>
    <w:p w14:paraId="7FB66DC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w:t>
      </w:r>
      <w:r>
        <w:rPr>
          <w:rFonts w:hAnsi="宋体" w:cs="仿宋"/>
          <w:snapToGrid w:val="0"/>
          <w:color w:val="auto"/>
          <w:sz w:val="21"/>
          <w:szCs w:val="21"/>
        </w:rPr>
        <w:t>6）严格遵守施工现场总平面的规划，服从</w:t>
      </w:r>
      <w:r>
        <w:rPr>
          <w:rFonts w:hint="eastAsia" w:hAnsi="宋体" w:cs="仿宋"/>
          <w:snapToGrid w:val="0"/>
          <w:color w:val="auto"/>
          <w:sz w:val="21"/>
          <w:szCs w:val="21"/>
        </w:rPr>
        <w:t>监理与发包人统一指挥，发包人与监理将组织定期检查，对于出现的问题，发包人及监理有权要求总包单位进行整改，否则视承包人为违约；</w:t>
      </w:r>
    </w:p>
    <w:p w14:paraId="3676D0F4">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（7）若发生安全事故，承包人承担全部责任，与发包人无关。承包人应按规定立即报告建设主管部门并通知发包人和监理。如因此造成发包人承担责任的，发包人有权向承包人索赔；</w:t>
      </w:r>
    </w:p>
    <w:p w14:paraId="7B431CFD">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六、合同价款与支付</w:t>
      </w:r>
    </w:p>
    <w:p w14:paraId="407081AD">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12.合同价款及调整</w:t>
      </w:r>
    </w:p>
    <w:p w14:paraId="4CDC3A27">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12.1本合同价款采用</w:t>
      </w:r>
      <w:r>
        <w:rPr>
          <w:rFonts w:hint="eastAsia" w:hAnsi="宋体" w:cs="仿宋"/>
          <w:snapToGrid w:val="0"/>
          <w:color w:val="auto"/>
          <w:sz w:val="21"/>
          <w:szCs w:val="21"/>
          <w:u w:val="single"/>
        </w:rPr>
        <w:t>固定单价</w:t>
      </w:r>
      <w:r>
        <w:rPr>
          <w:rFonts w:hint="eastAsia" w:hAnsi="宋体" w:cs="仿宋"/>
          <w:snapToGrid w:val="0"/>
          <w:color w:val="auto"/>
          <w:sz w:val="21"/>
          <w:szCs w:val="21"/>
        </w:rPr>
        <w:t>方式确定。</w:t>
      </w:r>
    </w:p>
    <w:p w14:paraId="69342732">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（1）采用固定单价合同，合同价款中包括的风险范围：全部风险已包含在投标报价中，承包人投标时已充分考虑风险范围，并计算风险系数。</w:t>
      </w:r>
    </w:p>
    <w:p w14:paraId="4131A8FB">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（2）风险范围以外合同价款调整方法：</w:t>
      </w:r>
    </w:p>
    <w:p w14:paraId="3AF4AB3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12.1由设计变更或发包人要求变动的内容引起的工程量清单已有项目的工程量的增加和减少，其相应综合单价不变，工程量据实增减，其措施项目费用同时进行相应调整；若该部分项工程量变更超过15%，则综合单价由承包人、发包人另行商定。</w:t>
      </w:r>
    </w:p>
    <w:p w14:paraId="580956F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12.2由于设计变更或发包人要求变动的内容引起的新的工程量清单项目，如发生了清单中没有相同的工作内容时，由承包人执行工程量清单、工程预算书编制依据提出相应综合单价，同时按投标报价时的优惠幅度（即招标人控制价与中标人报价的差额跟招标人控制价的比值）进行让利，经发包人认可后作为结算的依据。</w:t>
      </w:r>
    </w:p>
    <w:p w14:paraId="28C2C14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12.3如清单项目中工作内容，实际施工中并未发生，应在“综合单价分析表”中相应的扣减该部分工作内容所含综合单价后形成的新的综合单价作为结算综合单价。</w:t>
      </w:r>
    </w:p>
    <w:p w14:paraId="14D3AEBC">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12.4投标人依据招标文件、工程量清单、施工图纸及设计文件、施工现场情况等资料并自行考虑包括以上各种风险因素在内的所有风险后进行投标报价，一旦中标，投标报价将不会得到调整（工程变更、招标人要求变动的内容、合同约定内容除外）。</w:t>
      </w:r>
    </w:p>
    <w:p w14:paraId="286DB365">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u w:val="single"/>
        </w:rPr>
      </w:pPr>
      <w:r>
        <w:rPr>
          <w:rFonts w:hint="eastAsia" w:hAnsi="宋体" w:cs="仿宋"/>
          <w:snapToGrid w:val="0"/>
          <w:color w:val="auto"/>
          <w:sz w:val="21"/>
          <w:szCs w:val="21"/>
        </w:rPr>
        <w:t xml:space="preserve">13.工程预付款、发包人向承包人预付工程款的时间和金额或占合同价款总额的比例: </w:t>
      </w:r>
      <w:r>
        <w:rPr>
          <w:rFonts w:hint="eastAsia" w:hAnsi="宋体" w:cs="仿宋"/>
          <w:snapToGrid w:val="0"/>
          <w:color w:val="auto"/>
          <w:sz w:val="21"/>
          <w:szCs w:val="21"/>
          <w:u w:val="single"/>
        </w:rPr>
        <w:t xml:space="preserve"> / </w:t>
      </w:r>
    </w:p>
    <w:p w14:paraId="00A4CE6B">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14.工程量确认</w:t>
      </w:r>
    </w:p>
    <w:p w14:paraId="236A890C">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14.1承包人向工程师提交已完成工程量报告的时间:承包人应在每周监理例会前向现场工程师及发包人提供本月完成工程量情况。</w:t>
      </w:r>
    </w:p>
    <w:p w14:paraId="0E2CAC87">
      <w:pPr>
        <w:pStyle w:val="7"/>
        <w:tabs>
          <w:tab w:val="left" w:pos="284"/>
          <w:tab w:val="clear" w:pos="0"/>
        </w:tabs>
        <w:adjustRightInd w:val="0"/>
        <w:snapToGrid w:val="0"/>
        <w:spacing w:line="360" w:lineRule="auto"/>
        <w:ind w:firstLine="420" w:firstLineChars="200"/>
        <w:contextualSpacing/>
        <w:jc w:val="left"/>
        <w:rPr>
          <w:rFonts w:hint="eastAsia" w:hAnsi="宋体" w:cs="仿宋"/>
          <w:snapToGrid w:val="0"/>
          <w:color w:val="auto"/>
          <w:sz w:val="21"/>
          <w:szCs w:val="21"/>
        </w:rPr>
      </w:pPr>
      <w:r>
        <w:rPr>
          <w:rFonts w:hint="eastAsia" w:hAnsi="宋体" w:cs="仿宋"/>
          <w:snapToGrid w:val="0"/>
          <w:color w:val="auto"/>
          <w:sz w:val="21"/>
          <w:szCs w:val="21"/>
        </w:rPr>
        <w:t>15.工程款(进度款)支付：见投标人须知前附表</w:t>
      </w:r>
    </w:p>
    <w:p w14:paraId="7144A04F">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七、材料设备供应</w:t>
      </w:r>
    </w:p>
    <w:p w14:paraId="2E6D1C89">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16.发包人供应材料设备：</w:t>
      </w:r>
    </w:p>
    <w:p w14:paraId="6B796291">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16.1发包人供应的材料设备与一览表不符时,双方约定发包人承担责任如下:</w:t>
      </w:r>
    </w:p>
    <w:p w14:paraId="5769CB18">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（1）材料设备单价与一览表不符:</w:t>
      </w:r>
      <w:r>
        <w:rPr>
          <w:rFonts w:hint="eastAsia" w:hAnsi="宋体" w:cs="仿宋"/>
          <w:snapToGrid w:val="0"/>
          <w:color w:val="auto"/>
          <w:sz w:val="21"/>
          <w:szCs w:val="21"/>
          <w:u w:val="single"/>
        </w:rPr>
        <w:t xml:space="preserve">   /  </w:t>
      </w:r>
    </w:p>
    <w:p w14:paraId="22D8BC2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（2）材料设备的品种、规格、型号、质量等级与一览表不符：承包人有权拒收，发包人负责调换，承包人可代为调剂串换的材料：设计院批准，监理认可，并报发包人同意后方可串换；</w:t>
      </w:r>
    </w:p>
    <w:p w14:paraId="7777CEB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（3）到货地点与一览表不符：发包人运至规定的供货地点，承包人应予积极配合；</w:t>
      </w:r>
    </w:p>
    <w:p w14:paraId="334E184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（4）供货数量与一览表不符：发包人补足；</w:t>
      </w:r>
    </w:p>
    <w:p w14:paraId="5051B072">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（5）到货时间与一览表不符；</w:t>
      </w:r>
    </w:p>
    <w:p w14:paraId="2FB563D0">
      <w:pPr>
        <w:pStyle w:val="7"/>
        <w:tabs>
          <w:tab w:val="left" w:pos="284"/>
          <w:tab w:val="clear" w:pos="0"/>
        </w:tabs>
        <w:adjustRightInd w:val="0"/>
        <w:snapToGrid w:val="0"/>
        <w:spacing w:line="360" w:lineRule="auto"/>
        <w:ind w:firstLine="420" w:firstLineChars="200"/>
        <w:contextualSpacing/>
        <w:jc w:val="left"/>
        <w:rPr>
          <w:rFonts w:hint="eastAsia" w:hAnsi="宋体" w:cs="宋体"/>
          <w:snapToGrid w:val="0"/>
          <w:color w:val="auto"/>
          <w:sz w:val="21"/>
          <w:szCs w:val="21"/>
        </w:rPr>
      </w:pPr>
      <w:r>
        <w:rPr>
          <w:rFonts w:hint="eastAsia" w:hAnsi="宋体" w:cs="宋体"/>
          <w:snapToGrid w:val="0"/>
          <w:color w:val="auto"/>
          <w:sz w:val="21"/>
          <w:szCs w:val="21"/>
        </w:rPr>
        <w:t>开工前承包人须书面通知发包人，因发包人原因延迟供货的，可以延期；如承包人未在开工前书面通知的，发包人不承担相应责任。</w:t>
      </w:r>
    </w:p>
    <w:p w14:paraId="4AF7E3FD">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16.2发包人供应材料设备的结算方法:/</w:t>
      </w:r>
    </w:p>
    <w:p w14:paraId="0B749A0D">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17．承包人采购材料设备</w:t>
      </w:r>
    </w:p>
    <w:p w14:paraId="72553B7C">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17.1购材料设备的约定：</w:t>
      </w:r>
    </w:p>
    <w:p w14:paraId="4BAE54A2">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承包人采购的材料设备，必须在发包人认可的产品质量等级及价格范围内，发包人供应的材料、设备、承包人应在材料设备验收后及时开出收料单，以便发包人执行供应合同，承包人无故推迟或不开收料单，影响发包人执行合同或工程结算，发包人有权处罚承包人，承包人对进场材料设备安全保管负责，如有受损承包人承担赔偿责任。承包人应按约定及设计和有关标准要求采购，并提供产品合格证明，对材料设备质量负责。承包人进场材料的样品必须经发包人和监理验收认可，经验收合格的材料方可批量进场（样品由发包人封存，承包人必须保证施工中材料设备质量与样品一致），否则，造成的损失由承包人承担；承包人在材料设备到货前</w:t>
      </w:r>
      <w:r>
        <w:rPr>
          <w:rFonts w:hAnsi="宋体" w:cs="仿宋"/>
          <w:snapToGrid w:val="0"/>
          <w:color w:val="auto"/>
          <w:sz w:val="21"/>
          <w:szCs w:val="21"/>
        </w:rPr>
        <w:t>24小时通知发包人和</w:t>
      </w:r>
      <w:r>
        <w:rPr>
          <w:rFonts w:hint="eastAsia" w:hAnsi="宋体" w:cs="仿宋"/>
          <w:snapToGrid w:val="0"/>
          <w:color w:val="auto"/>
          <w:sz w:val="21"/>
          <w:szCs w:val="21"/>
        </w:rPr>
        <w:t>监理工程师验收。</w:t>
      </w:r>
    </w:p>
    <w:p w14:paraId="1F90CB8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highlight w:val="none"/>
        </w:rPr>
      </w:pPr>
      <w:r>
        <w:rPr>
          <w:rFonts w:hint="eastAsia" w:hAnsi="宋体" w:cs="仿宋"/>
          <w:snapToGrid w:val="0"/>
          <w:color w:val="auto"/>
          <w:sz w:val="21"/>
          <w:szCs w:val="21"/>
        </w:rPr>
        <w:t>（2）设备与设计标准不符时，承包人应按工程师要求的时间运出施工场地，重新采购符合要求的产品，承</w:t>
      </w:r>
      <w:r>
        <w:rPr>
          <w:rFonts w:hint="eastAsia" w:hAnsi="宋体" w:cs="仿宋"/>
          <w:snapToGrid w:val="0"/>
          <w:color w:val="auto"/>
          <w:sz w:val="21"/>
          <w:szCs w:val="21"/>
          <w:highlight w:val="none"/>
        </w:rPr>
        <w:t>担由此产生的费用，由此延误的工期不予顺延。</w:t>
      </w:r>
    </w:p>
    <w:p w14:paraId="653D088A">
      <w:pPr>
        <w:pStyle w:val="7"/>
        <w:tabs>
          <w:tab w:val="left" w:pos="284"/>
          <w:tab w:val="clear" w:pos="0"/>
        </w:tabs>
        <w:adjustRightInd w:val="0"/>
        <w:snapToGrid w:val="0"/>
        <w:spacing w:line="360" w:lineRule="auto"/>
        <w:ind w:firstLine="422" w:firstLineChars="200"/>
        <w:contextualSpacing/>
        <w:jc w:val="left"/>
        <w:rPr>
          <w:rFonts w:hint="eastAsia" w:hAnsi="宋体" w:cs="仿宋"/>
          <w:b/>
          <w:bCs/>
          <w:snapToGrid w:val="0"/>
          <w:sz w:val="21"/>
          <w:szCs w:val="21"/>
          <w:highlight w:val="none"/>
        </w:rPr>
      </w:pPr>
      <w:r>
        <w:rPr>
          <w:rFonts w:hint="eastAsia" w:hAnsi="宋体" w:cs="仿宋"/>
          <w:b/>
          <w:bCs/>
          <w:snapToGrid w:val="0"/>
          <w:color w:val="auto"/>
          <w:sz w:val="21"/>
          <w:szCs w:val="21"/>
          <w:highlight w:val="none"/>
        </w:rPr>
        <w:t>（3）承包人采购的全部材料和设备在使用前，承包人应当根据国家有关法律、法规、工程建设强制性标准</w:t>
      </w:r>
      <w:r>
        <w:rPr>
          <w:rFonts w:hint="eastAsia" w:hAnsi="宋体" w:cs="仿宋"/>
          <w:b/>
          <w:bCs/>
          <w:snapToGrid w:val="0"/>
          <w:sz w:val="21"/>
          <w:szCs w:val="21"/>
          <w:highlight w:val="none"/>
        </w:rPr>
        <w:t>和设计文件，按监理人或工程师要求，对建设工程的材料、构配件、设备，以及工程实体质量、使用功能等进行见证取样检验或试验。所有上述建设工程质量检测（初试及复试）的全部费用，其中包括室内环境监测费，均由承包人承担，不合格的不得使用。</w:t>
      </w:r>
    </w:p>
    <w:p w14:paraId="32D44677">
      <w:pPr>
        <w:pStyle w:val="7"/>
        <w:tabs>
          <w:tab w:val="left" w:pos="284"/>
          <w:tab w:val="clear" w:pos="0"/>
        </w:tabs>
        <w:adjustRightInd w:val="0"/>
        <w:snapToGrid w:val="0"/>
        <w:spacing w:line="360" w:lineRule="auto"/>
        <w:ind w:firstLine="422" w:firstLineChars="200"/>
        <w:contextualSpacing/>
        <w:jc w:val="left"/>
        <w:rPr>
          <w:rFonts w:hint="eastAsia" w:hAnsi="宋体" w:cs="仿宋"/>
          <w:b/>
          <w:bCs/>
          <w:snapToGrid w:val="0"/>
          <w:color w:val="auto"/>
          <w:sz w:val="21"/>
          <w:szCs w:val="21"/>
          <w:highlight w:val="none"/>
        </w:rPr>
      </w:pPr>
      <w:r>
        <w:rPr>
          <w:rFonts w:hint="eastAsia" w:hAnsi="宋体" w:cs="仿宋"/>
          <w:b/>
          <w:bCs/>
          <w:snapToGrid w:val="0"/>
          <w:sz w:val="21"/>
          <w:szCs w:val="21"/>
          <w:highlight w:val="none"/>
        </w:rPr>
        <w:t>（4）除国家有关法律、法规、工程建设强制性标准和设计文件规定之外，如发包人或监理人或工程师对其材料和设备有异议的，承包人需无条件配合检测。若材料或设备检测合格，检测费由</w:t>
      </w:r>
      <w:r>
        <w:rPr>
          <w:rFonts w:hint="eastAsia" w:hAnsi="宋体" w:cs="仿宋"/>
          <w:b/>
          <w:bCs/>
          <w:snapToGrid w:val="0"/>
          <w:color w:val="auto"/>
          <w:sz w:val="21"/>
          <w:szCs w:val="21"/>
          <w:highlight w:val="none"/>
        </w:rPr>
        <w:t>发包人承担。若材料或设备检测不合格，检测费由承包人承担，并配合进行复检，复检费用也由承包人承担。</w:t>
      </w:r>
    </w:p>
    <w:p w14:paraId="4B6D9DC6">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5）承包人供应的材料设备必须保证质量，使用中如发现有质量问题，承包人承担返工的全部损失并赔偿由此给发包人带来的损失。工程师发现承包人采购并使用不符合设计和标准要求的材料设备时，应要求承包人负责修复、拆除或重新采购，由承包人承担发生的费用，由此延误的工期不予顺延。</w:t>
      </w:r>
    </w:p>
    <w:p w14:paraId="11767CA9">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（6）由承包人供应的材料、设备其品牌、生产厂家、质量等级等均需与投标书相同，除因市场无供应外，需提前</w:t>
      </w:r>
      <w:r>
        <w:rPr>
          <w:rFonts w:hAnsi="宋体" w:cs="仿宋"/>
          <w:snapToGrid w:val="0"/>
          <w:color w:val="auto"/>
          <w:sz w:val="21"/>
          <w:szCs w:val="21"/>
        </w:rPr>
        <w:t>5</w:t>
      </w:r>
      <w:r>
        <w:rPr>
          <w:rFonts w:hint="eastAsia" w:hAnsi="宋体" w:cs="仿宋"/>
          <w:snapToGrid w:val="0"/>
          <w:color w:val="auto"/>
          <w:sz w:val="21"/>
          <w:szCs w:val="21"/>
        </w:rPr>
        <w:t>天书面申请和递交替换材料和资料，在得到发包人和监理方的认可，并且出具的各种生产许可证、质量认证、安全认证、试验报告、试验证明等全套的质保资料等也得到发包人和监理方的认可后方能供货，未经许可其后果及损失均由承包人承担，直至终止承包合同、更换承包人。</w:t>
      </w:r>
    </w:p>
    <w:p w14:paraId="6FC08587">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w:t>
      </w:r>
      <w:r>
        <w:rPr>
          <w:rFonts w:hAnsi="宋体" w:cs="仿宋"/>
          <w:snapToGrid w:val="0"/>
          <w:color w:val="auto"/>
          <w:sz w:val="21"/>
          <w:szCs w:val="21"/>
        </w:rPr>
        <w:t>）承包人供应的材料设备其品牌、生产厂家、质量等级等如与投标书相同时，其质量及质保资料均需发包人和</w:t>
      </w:r>
      <w:r>
        <w:rPr>
          <w:rFonts w:hint="eastAsia" w:hAnsi="宋体" w:cs="仿宋"/>
          <w:snapToGrid w:val="0"/>
          <w:color w:val="auto"/>
          <w:sz w:val="21"/>
          <w:szCs w:val="21"/>
        </w:rPr>
        <w:t>监理方的认可后方能供货，发包人对该部分材料质量具有检查监督权利，对材料的使用具有否决权，如遇到材料涨价，承包人不能以降低材料品质、档次来抵消风险，也不能要求由发包人供应。</w:t>
      </w:r>
    </w:p>
    <w:p w14:paraId="6800F0A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w:t>
      </w:r>
      <w:r>
        <w:rPr>
          <w:rFonts w:hAnsi="宋体" w:cs="仿宋"/>
          <w:snapToGrid w:val="0"/>
          <w:color w:val="auto"/>
          <w:sz w:val="21"/>
          <w:szCs w:val="21"/>
        </w:rPr>
        <w:t>）由承包人供应的材料设备其品牌、生产厂家、质量等级等如与投标书不同时，必须得到发包人和</w:t>
      </w:r>
      <w:r>
        <w:rPr>
          <w:rFonts w:hint="eastAsia" w:hAnsi="宋体" w:cs="仿宋"/>
          <w:snapToGrid w:val="0"/>
          <w:color w:val="auto"/>
          <w:sz w:val="21"/>
          <w:szCs w:val="21"/>
        </w:rPr>
        <w:t>监理方的认可，并且出具的各种生产许可证、质量认证、安全认证、试验报告、试验证明等全套的质保资料等也必须得到发包人和监理方的认可后方能供货，未经许可其后果及损失均由承包人承担，直至终止承包合同、更换承包人。</w:t>
      </w:r>
    </w:p>
    <w:p w14:paraId="11257FF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（9</w:t>
      </w:r>
      <w:r>
        <w:rPr>
          <w:rFonts w:hAnsi="宋体" w:cs="仿宋"/>
          <w:snapToGrid w:val="0"/>
          <w:color w:val="auto"/>
          <w:sz w:val="21"/>
          <w:szCs w:val="21"/>
        </w:rPr>
        <w:t>）</w:t>
      </w:r>
      <w:r>
        <w:rPr>
          <w:rFonts w:hint="eastAsia" w:hAnsi="宋体" w:cs="仿宋"/>
          <w:snapToGrid w:val="0"/>
          <w:color w:val="auto"/>
          <w:sz w:val="21"/>
          <w:szCs w:val="21"/>
        </w:rPr>
        <w:t>当发包人和监理人要求对强制性检测要求范围外的材料进行检测时，承包人应按照要求进行检测，检测试验合格由发包人承担费用，测试不合格的检测费用由承包人承担。承包人承担的检验费用包括：</w:t>
      </w:r>
      <w:r>
        <w:rPr>
          <w:rFonts w:hint="eastAsia" w:hAnsi="宋体" w:cs="仿宋"/>
          <w:snapToGrid w:val="0"/>
          <w:color w:val="auto"/>
          <w:sz w:val="21"/>
          <w:szCs w:val="21"/>
        </w:rPr>
        <w:fldChar w:fldCharType="begin"/>
      </w:r>
      <w:r>
        <w:rPr>
          <w:rFonts w:hint="eastAsia" w:hAnsi="宋体" w:cs="仿宋"/>
          <w:snapToGrid w:val="0"/>
          <w:color w:val="auto"/>
          <w:sz w:val="21"/>
          <w:szCs w:val="21"/>
        </w:rPr>
        <w:instrText xml:space="preserve"> eq \o\ac(○,1)</w:instrText>
      </w:r>
      <w:r>
        <w:rPr>
          <w:rFonts w:hint="eastAsia" w:hAnsi="宋体" w:cs="仿宋"/>
          <w:snapToGrid w:val="0"/>
          <w:color w:val="auto"/>
          <w:sz w:val="21"/>
          <w:szCs w:val="21"/>
        </w:rPr>
        <w:fldChar w:fldCharType="end"/>
      </w:r>
      <w:r>
        <w:rPr>
          <w:rFonts w:hint="eastAsia" w:hAnsi="宋体" w:cs="仿宋"/>
          <w:snapToGrid w:val="0"/>
          <w:color w:val="auto"/>
          <w:sz w:val="21"/>
          <w:szCs w:val="21"/>
        </w:rPr>
        <w:t xml:space="preserve">承包人采取新工艺或特殊施工措施造成的检验、试验费用 </w:t>
      </w:r>
      <w:r>
        <w:rPr>
          <w:rFonts w:hint="eastAsia" w:hAnsi="宋体" w:cs="仿宋"/>
          <w:snapToGrid w:val="0"/>
          <w:color w:val="auto"/>
          <w:sz w:val="21"/>
          <w:szCs w:val="21"/>
        </w:rPr>
        <w:fldChar w:fldCharType="begin"/>
      </w:r>
      <w:r>
        <w:rPr>
          <w:rFonts w:hint="eastAsia" w:hAnsi="宋体" w:cs="仿宋"/>
          <w:snapToGrid w:val="0"/>
          <w:color w:val="auto"/>
          <w:sz w:val="21"/>
          <w:szCs w:val="21"/>
        </w:rPr>
        <w:instrText xml:space="preserve"> eq \o\ac(○,2)</w:instrText>
      </w:r>
      <w:r>
        <w:rPr>
          <w:rFonts w:hint="eastAsia" w:hAnsi="宋体" w:cs="仿宋"/>
          <w:snapToGrid w:val="0"/>
          <w:color w:val="auto"/>
          <w:sz w:val="21"/>
          <w:szCs w:val="21"/>
        </w:rPr>
        <w:fldChar w:fldCharType="end"/>
      </w:r>
      <w:r>
        <w:rPr>
          <w:rFonts w:hint="eastAsia" w:hAnsi="宋体" w:cs="仿宋"/>
          <w:snapToGrid w:val="0"/>
          <w:color w:val="auto"/>
          <w:sz w:val="21"/>
          <w:szCs w:val="21"/>
        </w:rPr>
        <w:t>不在“由发包人承担检验试验费用”之列的其它检验试验费。</w:t>
      </w:r>
    </w:p>
    <w:p w14:paraId="4E935A4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（10）需送检的材料必须检验合格后方能投入使用。</w:t>
      </w:r>
    </w:p>
    <w:p w14:paraId="4F1D4BD9">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（11）承包人供应的材料设备必须保证质量，使用中如发现有质量问题、有毒、污染等不符合环保、安全、卫生要求的，承包人承担返工的全部损失并赔偿由此给发包人带来的损失。</w:t>
      </w:r>
    </w:p>
    <w:p w14:paraId="4797D19D">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（12）如需发包人认定质价后购买的材料，或者必须代换材料时，承包人必须提前10天书面报告，经发包人批准后实施，否则一切后果均由承包人自己负责。</w:t>
      </w:r>
    </w:p>
    <w:p w14:paraId="3FF4D547">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八、工程变更</w:t>
      </w:r>
    </w:p>
    <w:p w14:paraId="0784BD3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（1）工程变更通知是合同及施工设计图纸的补充和完善，承包人不得拒绝，不能因变更延误工期。</w:t>
      </w:r>
    </w:p>
    <w:p w14:paraId="5CA151E4">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（2）由于工程设计变更导致本合同工程量增减变化时，是对合同价款增减调整的依据，承包人不能因变更提出不合理的造价要求，造价变化按上述约定执行，结算审核时按实调整。</w:t>
      </w:r>
    </w:p>
    <w:p w14:paraId="535A0E67">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（3）承包人不得以设计变更或工程量的变化为理由，解除或修改合同对其规定的责任和义务。</w:t>
      </w:r>
    </w:p>
    <w:p w14:paraId="410C8FB1">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（4）施工中承包人不得对原工程设计进行变更，因承包人擅自变更设计发生的费用和由此导致发包人的直接损失由承包人承担，延误的工期不予顺延。</w:t>
      </w:r>
    </w:p>
    <w:p w14:paraId="11F857D7">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18.竣工验收</w:t>
      </w:r>
    </w:p>
    <w:p w14:paraId="554C230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18.1.承包人负责工程验收，并有义务参加配合相关单位验收工作。</w:t>
      </w:r>
    </w:p>
    <w:p w14:paraId="212C826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18.2.工程具备竣工验收条件，承包人按国家工程竣工验收有关规定，向发包人提供竣工验收报告。</w:t>
      </w:r>
    </w:p>
    <w:p w14:paraId="7E71C9A1">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18.3.工程竣工验收通过，承包人送交竣工验收报告的日期为实际竣工日期。工程按发包人要求修改后通过竣工验收的，实际竣工日期为承包人修改后提请发包人验收的日期。发包人接到竣工验收报告后28天内组织有关单位验收，并在验收后14天内给予认可或提出修改意见。承包人按要求修改，并承担由自身原因造成修改的费用。</w:t>
      </w:r>
    </w:p>
    <w:p w14:paraId="4B0F92E1">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18.4.承包人提供竣工图的约定：竣工验收后三十日内承包人提供自己绘制的与实物相符并符合城建档案馆要求的竣工图叁套(医院不提供图纸),竣工资料三套（原件资料）其中一套原件交城建档案馆，并确保资料准确，否则每迟一天，每日向发包人支付违约金500元。</w:t>
      </w:r>
    </w:p>
    <w:p w14:paraId="08ED1456">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snapToGrid w:val="0"/>
          <w:color w:val="auto"/>
          <w:sz w:val="21"/>
          <w:szCs w:val="21"/>
        </w:rPr>
        <w:t>19.竣工结算</w:t>
      </w:r>
    </w:p>
    <w:p w14:paraId="628F5712">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19.1工程竣工验收合格后60天内承包人向发包人提供完整的工程结算资料。由发包人接收（一式两份）。结算资料提交应按时完成，否则每迟一天，除每日向发包人支付违约金500元，工程款相应延期支付。</w:t>
      </w:r>
    </w:p>
    <w:p w14:paraId="4E81F84F">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19.2发包人收到竣工结算资料后，由发包人和监理方分别进行审查确认后送给有关造价咨询部门进行工程价款的审核。</w:t>
      </w:r>
    </w:p>
    <w:p w14:paraId="76B746C6">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20、工程保修</w:t>
      </w:r>
    </w:p>
    <w:p w14:paraId="3A3E3E4C">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20.1工程保修内容及期限按《建设工程质量管理条例》（中华人民共和国国务院令2000年第279号）、《房屋建筑工程质量保修办法》（中华人民共和国建设部令第８０号）等有关规定执行</w:t>
      </w:r>
      <w:r>
        <w:rPr>
          <w:rFonts w:hAnsi="宋体" w:cs="仿宋"/>
          <w:snapToGrid w:val="0"/>
          <w:color w:val="auto"/>
          <w:sz w:val="21"/>
          <w:szCs w:val="21"/>
        </w:rPr>
        <w:t>,保修金预留的比例为工程结算价的</w:t>
      </w:r>
      <w:r>
        <w:rPr>
          <w:rFonts w:hint="eastAsia" w:hAnsi="宋体" w:cs="仿宋"/>
          <w:snapToGrid w:val="0"/>
          <w:color w:val="auto"/>
          <w:sz w:val="21"/>
          <w:szCs w:val="21"/>
          <w:lang w:val="en-US" w:eastAsia="zh-CN"/>
        </w:rPr>
        <w:t>3</w:t>
      </w:r>
      <w:r>
        <w:rPr>
          <w:rFonts w:hAnsi="宋体" w:cs="仿宋"/>
          <w:snapToGrid w:val="0"/>
          <w:color w:val="auto"/>
          <w:sz w:val="21"/>
          <w:szCs w:val="21"/>
        </w:rPr>
        <w:t>%。</w:t>
      </w:r>
    </w:p>
    <w:p w14:paraId="026B5841">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20.2工程保修期在工程竣工验收合格之日起计算。</w:t>
      </w:r>
    </w:p>
    <w:p w14:paraId="2F7E8E3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20.3在承包人对质量保证期内出现的质量问题进行维修时，承包人应相应延长维修或更换部分的质量保证期。维修或更换部分的质保期从维修或更换合格之日起重新计算。</w:t>
      </w:r>
    </w:p>
    <w:p w14:paraId="59E10D1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20.4承包人有责任和义务及时进行承包工程的维修工作，若不能及时履行保修约定，发包人可以委托他人修理，其相应维修费用在保修预留金中扣除，扣完为止。如预留金不够支付因质量问题返修的费用，承包人应补全所缺部分的返修费用。</w:t>
      </w:r>
    </w:p>
    <w:p w14:paraId="149B5C4E">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九、违约、索赔和争议</w:t>
      </w:r>
    </w:p>
    <w:p w14:paraId="0765C628">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21.违约</w:t>
      </w:r>
    </w:p>
    <w:p w14:paraId="05FC130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21.1本合同中关于发包人违约的具体责任如下:</w:t>
      </w:r>
    </w:p>
    <w:p w14:paraId="29BA43D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本合同通用条款第</w:t>
      </w:r>
      <w:r>
        <w:rPr>
          <w:rFonts w:hAnsi="宋体" w:cs="仿宋"/>
          <w:snapToGrid w:val="0"/>
          <w:color w:val="auto"/>
          <w:sz w:val="21"/>
          <w:szCs w:val="21"/>
        </w:rPr>
        <w:t>24条</w:t>
      </w:r>
      <w:r>
        <w:rPr>
          <w:rFonts w:hint="eastAsia" w:hAnsi="宋体" w:cs="仿宋"/>
          <w:snapToGrid w:val="0"/>
          <w:color w:val="auto"/>
          <w:sz w:val="21"/>
          <w:szCs w:val="21"/>
        </w:rPr>
        <w:t>约定发包人违约应承担的违约责任:</w:t>
      </w:r>
      <w:r>
        <w:rPr>
          <w:rFonts w:hint="eastAsia" w:hAnsi="宋体" w:cs="仿宋"/>
          <w:snapToGrid w:val="0"/>
          <w:color w:val="auto"/>
          <w:sz w:val="21"/>
          <w:szCs w:val="21"/>
          <w:u w:val="single"/>
        </w:rPr>
        <w:t xml:space="preserve">    /    </w:t>
      </w:r>
    </w:p>
    <w:p w14:paraId="33D63539">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u w:val="single"/>
        </w:rPr>
      </w:pPr>
      <w:r>
        <w:rPr>
          <w:rFonts w:hint="eastAsia" w:hAnsi="宋体" w:cs="仿宋"/>
          <w:snapToGrid w:val="0"/>
          <w:color w:val="auto"/>
          <w:sz w:val="21"/>
          <w:szCs w:val="21"/>
        </w:rPr>
        <w:t>本合同通用条款第</w:t>
      </w:r>
      <w:r>
        <w:rPr>
          <w:rFonts w:hAnsi="宋体" w:cs="仿宋"/>
          <w:snapToGrid w:val="0"/>
          <w:color w:val="auto"/>
          <w:sz w:val="21"/>
          <w:szCs w:val="21"/>
        </w:rPr>
        <w:t>26.4</w:t>
      </w:r>
      <w:r>
        <w:rPr>
          <w:rFonts w:hint="eastAsia" w:hAnsi="宋体" w:cs="仿宋"/>
          <w:snapToGrid w:val="0"/>
          <w:color w:val="auto"/>
          <w:sz w:val="21"/>
          <w:szCs w:val="21"/>
        </w:rPr>
        <w:t>款约定发包人违约应承担的违约责任:</w:t>
      </w:r>
      <w:r>
        <w:rPr>
          <w:rFonts w:hint="eastAsia" w:hAnsi="宋体" w:cs="仿宋"/>
          <w:snapToGrid w:val="0"/>
          <w:color w:val="auto"/>
          <w:sz w:val="21"/>
          <w:szCs w:val="21"/>
          <w:u w:val="single"/>
        </w:rPr>
        <w:t xml:space="preserve">    /    </w:t>
      </w:r>
    </w:p>
    <w:p w14:paraId="60C5B7AC">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u w:val="single"/>
        </w:rPr>
      </w:pPr>
      <w:r>
        <w:rPr>
          <w:rFonts w:hint="eastAsia" w:hAnsi="宋体" w:cs="仿宋"/>
          <w:snapToGrid w:val="0"/>
          <w:color w:val="auto"/>
          <w:sz w:val="21"/>
          <w:szCs w:val="21"/>
        </w:rPr>
        <w:t>本合同通用条款第</w:t>
      </w:r>
      <w:r>
        <w:rPr>
          <w:rFonts w:hAnsi="宋体" w:cs="仿宋"/>
          <w:snapToGrid w:val="0"/>
          <w:color w:val="auto"/>
          <w:sz w:val="21"/>
          <w:szCs w:val="21"/>
        </w:rPr>
        <w:t>33.3</w:t>
      </w:r>
      <w:r>
        <w:rPr>
          <w:rFonts w:hint="eastAsia" w:hAnsi="宋体" w:cs="仿宋"/>
          <w:snapToGrid w:val="0"/>
          <w:color w:val="auto"/>
          <w:sz w:val="21"/>
          <w:szCs w:val="21"/>
        </w:rPr>
        <w:t>款约定发包人违约应承担的违约责任:</w:t>
      </w:r>
      <w:r>
        <w:rPr>
          <w:rFonts w:hint="eastAsia" w:hAnsi="宋体" w:cs="仿宋"/>
          <w:snapToGrid w:val="0"/>
          <w:color w:val="auto"/>
          <w:sz w:val="21"/>
          <w:szCs w:val="21"/>
          <w:u w:val="single"/>
        </w:rPr>
        <w:t xml:space="preserve">   /   </w:t>
      </w:r>
    </w:p>
    <w:p w14:paraId="0739C7D7">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双方约定的发包人其他违约责任: 执行合同约定、招标文件</w:t>
      </w:r>
    </w:p>
    <w:p w14:paraId="0AC7799A">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21.2本合同中关于承包人违约的具体责任如下:</w:t>
      </w:r>
    </w:p>
    <w:p w14:paraId="71BC7B3B">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本合同通用条款第14.2款约定承包人违约应承担的违约责任:</w:t>
      </w:r>
    </w:p>
    <w:p w14:paraId="32D6ABF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1）延误工期。在十天内（含十天）的承包人按1000元/天赔偿，逾期在20天内（含20天）的承包人按2000元/天赔偿，逾期在30天（含30天）的承包人按5000元/天赔偿，如竣工时间超过合同工期一个月以上，发包人有权终止合同，承包人除按本工程结算价的5%支付违约金外，还应赔偿因工期违约给发包人造成的损失。</w:t>
      </w:r>
    </w:p>
    <w:p w14:paraId="553FE7EF">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21.3本合同通用条款第15.1款约定承包人违约应承担的违约责任:</w:t>
      </w:r>
    </w:p>
    <w:p w14:paraId="2038B9D7">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因承包人原因达不到约定的质量标准，承包人按合同总价的5%向发包人支付违约金的同时，承包人必须保证整改后工程达到约定的质量标准并承担所有发生的费用，出现质量问题所造成的一切经济损失由承包人承担。</w:t>
      </w:r>
    </w:p>
    <w:p w14:paraId="11293F75">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21.4双方约定的承包人其他违约责任:</w:t>
      </w:r>
    </w:p>
    <w:p w14:paraId="0DDC5C0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21.4.1.遵守政府和发包人对施工现场的一切规定和要求，承担因自身原因违反有关规定造成的损失和罚款。</w:t>
      </w:r>
    </w:p>
    <w:p w14:paraId="1CB46DBD">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21.4.2承包人在施工过程中，项目经理及主要施工人员应与投标文件中相一致，如承包人擅自变换项目经理及主要施工人员，发包人有权终止合同，承包人无条件退场且工程款不予结算，项目经理必须长驻施工现场，负责该项目施工，如需离开施工现场，必须向发包人请假，在征得发包人同意后，才能离开现场，未经批准离开现场，一经发现按每天1000元进行处罚，处罚款上不封顶，结算时在工程款中扣除，如发现项目经理三次擅自离开现场，发包人有权终止合同，承包人无条件退场且工程款不予支付并扣除履约保证金，同时报相应的建设主管部门处理。</w:t>
      </w:r>
    </w:p>
    <w:p w14:paraId="204369D0">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21.4.3承包人应服从发包人的制度、会议、通知等形式的管理，以整个项目全局为重，除履行合同义务外应积极配合发包人及其他参建单位完成项目目标。</w:t>
      </w:r>
    </w:p>
    <w:p w14:paraId="0708466F">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Ansi="宋体" w:cs="仿宋"/>
          <w:snapToGrid w:val="0"/>
          <w:color w:val="auto"/>
          <w:sz w:val="21"/>
          <w:szCs w:val="21"/>
        </w:rPr>
        <w:t>21.4.4由于承包人原因无故连续停工一周，且又未向</w:t>
      </w:r>
      <w:r>
        <w:rPr>
          <w:rFonts w:hint="eastAsia" w:hAnsi="宋体" w:cs="仿宋"/>
          <w:snapToGrid w:val="0"/>
          <w:color w:val="auto"/>
          <w:sz w:val="21"/>
          <w:szCs w:val="21"/>
        </w:rPr>
        <w:t>监理及发包人书面说明原因并取得发包人书面认可，发包人有权终止合同，承包人将承担一切损失。</w:t>
      </w:r>
    </w:p>
    <w:p w14:paraId="0D120D73">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21.4.5承包人擅自将工程全部或其中的一部分转包或违法分包给其它单位，发包人有权终止合同，并没收履约保证金，由此造成的一切损失由承包人承担。</w:t>
      </w:r>
    </w:p>
    <w:p w14:paraId="15F9037A">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21.4.6施工期间由于承包人原因出现重大质量问题，且又无法弥补，给发包人造成重大损失，发包人有权终止合同，承包人负责赔偿发包人由此造成的一切损失。</w:t>
      </w:r>
    </w:p>
    <w:p w14:paraId="0F63B47A">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21.4.7承包人使用劣质材料，无论使用量多少，一经发现，发包人有权终止合同，承包人除承担责任和赔偿损失外，并无条件退出施工现场。</w:t>
      </w:r>
    </w:p>
    <w:p w14:paraId="6E2B37E9">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22.争议</w:t>
      </w:r>
    </w:p>
    <w:p w14:paraId="2F2888D6">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22.1双方约定,在履行合同过程中产生争议时:</w:t>
      </w:r>
    </w:p>
    <w:p w14:paraId="10CBCF31">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(1)请有关</w:t>
      </w:r>
      <w:r>
        <w:rPr>
          <w:rFonts w:hint="eastAsia" w:hAnsi="宋体" w:cs="仿宋"/>
          <w:snapToGrid w:val="0"/>
          <w:color w:val="auto"/>
          <w:sz w:val="21"/>
          <w:szCs w:val="21"/>
          <w:u w:val="single"/>
        </w:rPr>
        <w:t>建设行政主管部门</w:t>
      </w:r>
      <w:r>
        <w:rPr>
          <w:rFonts w:hint="eastAsia" w:hAnsi="宋体" w:cs="仿宋"/>
          <w:snapToGrid w:val="0"/>
          <w:color w:val="auto"/>
          <w:sz w:val="21"/>
          <w:szCs w:val="21"/>
        </w:rPr>
        <w:t>调解;</w:t>
      </w:r>
    </w:p>
    <w:p w14:paraId="76C69294">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(2)调解不成，双方约定向</w:t>
      </w:r>
      <w:r>
        <w:rPr>
          <w:rFonts w:hint="eastAsia" w:hAnsi="宋体" w:cs="仿宋"/>
          <w:snapToGrid w:val="0"/>
          <w:color w:val="auto"/>
          <w:sz w:val="21"/>
          <w:szCs w:val="21"/>
          <w:u w:val="single"/>
        </w:rPr>
        <w:t>发包人所在地人民法院</w:t>
      </w:r>
      <w:r>
        <w:rPr>
          <w:rFonts w:hint="eastAsia" w:hAnsi="宋体" w:cs="仿宋"/>
          <w:snapToGrid w:val="0"/>
          <w:color w:val="auto"/>
          <w:sz w:val="21"/>
          <w:szCs w:val="21"/>
        </w:rPr>
        <w:t>提起诉讼。</w:t>
      </w:r>
    </w:p>
    <w:p w14:paraId="3ACF7CE4">
      <w:pPr>
        <w:pStyle w:val="7"/>
        <w:tabs>
          <w:tab w:val="left" w:pos="284"/>
          <w:tab w:val="clear" w:pos="0"/>
        </w:tabs>
        <w:adjustRightInd w:val="0"/>
        <w:snapToGrid w:val="0"/>
        <w:spacing w:line="360" w:lineRule="auto"/>
        <w:ind w:firstLine="420" w:firstLineChars="200"/>
        <w:jc w:val="left"/>
        <w:outlineLvl w:val="1"/>
        <w:rPr>
          <w:rFonts w:hAnsi="宋体" w:cs="仿宋"/>
          <w:snapToGrid w:val="0"/>
          <w:color w:val="auto"/>
          <w:sz w:val="21"/>
          <w:szCs w:val="21"/>
        </w:rPr>
      </w:pPr>
      <w:r>
        <w:rPr>
          <w:rFonts w:hint="eastAsia" w:hAnsi="宋体" w:cs="仿宋"/>
          <w:snapToGrid w:val="0"/>
          <w:color w:val="auto"/>
          <w:sz w:val="21"/>
          <w:szCs w:val="21"/>
        </w:rPr>
        <w:t>十、其他</w:t>
      </w:r>
    </w:p>
    <w:p w14:paraId="36C3C3E0">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23.工程分包</w:t>
      </w:r>
    </w:p>
    <w:p w14:paraId="5A6B2477">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本工程除渣土外运工程外，其他项目不允许转包和违法分包。渣土外运必须发包给具备《渣土运输车辆许可证》、《渣土运输车辆交通安全证》和《渣土运输车辆通行证》的渣土运输企业作业。</w:t>
      </w:r>
    </w:p>
    <w:p w14:paraId="0BDB202E">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24.不可抗力</w:t>
      </w:r>
    </w:p>
    <w:p w14:paraId="266D610C">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24.1双方关于不可抗力的约定:</w:t>
      </w:r>
      <w:r>
        <w:rPr>
          <w:rFonts w:hint="eastAsia" w:hAnsi="宋体" w:cs="仿宋"/>
          <w:snapToGrid w:val="0"/>
          <w:color w:val="auto"/>
          <w:sz w:val="21"/>
          <w:szCs w:val="21"/>
          <w:u w:val="single"/>
        </w:rPr>
        <w:t>执行通用条款</w:t>
      </w:r>
    </w:p>
    <w:p w14:paraId="763D7041">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25.担保</w:t>
      </w:r>
    </w:p>
    <w:p w14:paraId="37EFFAC4">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25.1本工程双方约定担保事项如下:</w:t>
      </w:r>
    </w:p>
    <w:p w14:paraId="1FF9CA00">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 xml:space="preserve">25.2发包人向承包人提供履约担保,担保方式为: </w:t>
      </w:r>
      <w:r>
        <w:rPr>
          <w:rFonts w:hint="eastAsia" w:hAnsi="宋体" w:cs="仿宋"/>
          <w:snapToGrid w:val="0"/>
          <w:color w:val="auto"/>
          <w:sz w:val="21"/>
          <w:szCs w:val="21"/>
          <w:u w:val="single"/>
        </w:rPr>
        <w:t xml:space="preserve">  / </w:t>
      </w:r>
    </w:p>
    <w:p w14:paraId="4D59AB73">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25.3 承包人向发包人提供履约担保,担保方式为:</w:t>
      </w:r>
      <w:r>
        <w:rPr>
          <w:rFonts w:hint="eastAsia" w:hAnsi="宋体" w:cs="仿宋"/>
          <w:snapToGrid w:val="0"/>
          <w:color w:val="auto"/>
          <w:sz w:val="21"/>
          <w:szCs w:val="21"/>
          <w:u w:val="single"/>
        </w:rPr>
        <w:t xml:space="preserve"> 合同签订前承包人向发包人提交合同价的</w:t>
      </w:r>
      <w:r>
        <w:rPr>
          <w:rFonts w:hAnsi="宋体" w:cs="仿宋"/>
          <w:snapToGrid w:val="0"/>
          <w:color w:val="auto"/>
          <w:sz w:val="21"/>
          <w:szCs w:val="21"/>
          <w:u w:val="single"/>
        </w:rPr>
        <w:t>10%</w:t>
      </w:r>
      <w:r>
        <w:rPr>
          <w:rFonts w:hint="eastAsia" w:hAnsi="宋体" w:cs="仿宋"/>
          <w:snapToGrid w:val="0"/>
          <w:color w:val="auto"/>
          <w:sz w:val="21"/>
          <w:szCs w:val="21"/>
          <w:u w:val="single"/>
        </w:rPr>
        <w:t>履约保证金，合同履行完毕无遗留问题退还履约保证金。如果承包人</w:t>
      </w:r>
      <w:r>
        <w:rPr>
          <w:rFonts w:hint="eastAsia" w:ascii="黑体" w:hAnsi="黑体" w:eastAsia="黑体" w:cs="仿宋"/>
          <w:b/>
          <w:snapToGrid w:val="0"/>
          <w:color w:val="auto"/>
          <w:sz w:val="21"/>
          <w:szCs w:val="21"/>
          <w:u w:val="single"/>
        </w:rPr>
        <w:t>在规定时间内</w:t>
      </w:r>
      <w:r>
        <w:rPr>
          <w:rFonts w:hint="eastAsia" w:hAnsi="宋体" w:cs="仿宋"/>
          <w:snapToGrid w:val="0"/>
          <w:color w:val="auto"/>
          <w:sz w:val="21"/>
          <w:szCs w:val="21"/>
          <w:u w:val="single"/>
        </w:rPr>
        <w:t>未能提交履约保证金，将被视为放弃中标资格，由此给发包人造成的损失，应予以赔偿</w:t>
      </w:r>
      <w:r>
        <w:rPr>
          <w:rFonts w:hint="eastAsia" w:hAnsi="宋体" w:cs="仿宋"/>
          <w:snapToGrid w:val="0"/>
          <w:color w:val="auto"/>
          <w:sz w:val="21"/>
          <w:szCs w:val="21"/>
        </w:rPr>
        <w:t>。（以上均不计息）</w:t>
      </w:r>
    </w:p>
    <w:p w14:paraId="177BADDB">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26.合同份数</w:t>
      </w:r>
    </w:p>
    <w:p w14:paraId="58524E36">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26.1双方约定在合同份数：</w:t>
      </w:r>
    </w:p>
    <w:p w14:paraId="0D86B743">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本合同</w:t>
      </w:r>
      <w:r>
        <w:rPr>
          <w:rFonts w:hint="eastAsia" w:hAnsi="宋体" w:cs="仿宋"/>
          <w:b/>
          <w:snapToGrid w:val="0"/>
          <w:color w:val="auto"/>
          <w:sz w:val="21"/>
          <w:szCs w:val="21"/>
          <w:u w:val="single"/>
        </w:rPr>
        <w:t>伍</w:t>
      </w:r>
      <w:r>
        <w:rPr>
          <w:rFonts w:hint="eastAsia" w:hAnsi="宋体" w:cs="仿宋"/>
          <w:snapToGrid w:val="0"/>
          <w:color w:val="auto"/>
          <w:sz w:val="21"/>
          <w:szCs w:val="21"/>
        </w:rPr>
        <w:t>份，其中正本</w:t>
      </w:r>
      <w:r>
        <w:rPr>
          <w:rFonts w:hint="eastAsia" w:hAnsi="宋体" w:cs="仿宋"/>
          <w:b/>
          <w:snapToGrid w:val="0"/>
          <w:color w:val="auto"/>
          <w:sz w:val="21"/>
          <w:szCs w:val="21"/>
          <w:u w:val="single"/>
        </w:rPr>
        <w:t>叁</w:t>
      </w:r>
      <w:r>
        <w:rPr>
          <w:rFonts w:hint="eastAsia" w:hAnsi="宋体" w:cs="仿宋"/>
          <w:snapToGrid w:val="0"/>
          <w:color w:val="auto"/>
          <w:sz w:val="21"/>
          <w:szCs w:val="21"/>
        </w:rPr>
        <w:t>份，副本</w:t>
      </w:r>
      <w:r>
        <w:rPr>
          <w:rFonts w:hint="eastAsia" w:hAnsi="宋体" w:cs="仿宋"/>
          <w:b/>
          <w:snapToGrid w:val="0"/>
          <w:color w:val="auto"/>
          <w:sz w:val="21"/>
          <w:szCs w:val="21"/>
          <w:u w:val="single"/>
        </w:rPr>
        <w:t>贰</w:t>
      </w:r>
      <w:r>
        <w:rPr>
          <w:rFonts w:hint="eastAsia" w:hAnsi="宋体" w:cs="仿宋"/>
          <w:snapToGrid w:val="0"/>
          <w:color w:val="auto"/>
          <w:sz w:val="21"/>
          <w:szCs w:val="21"/>
        </w:rPr>
        <w:t>份。</w:t>
      </w:r>
      <w:r>
        <w:rPr>
          <w:rFonts w:hint="eastAsia" w:hAnsi="宋体" w:cs="宋体"/>
          <w:color w:val="auto"/>
          <w:sz w:val="21"/>
          <w:szCs w:val="21"/>
        </w:rPr>
        <w:t>发包人方执</w:t>
      </w:r>
      <w:r>
        <w:rPr>
          <w:rFonts w:hint="eastAsia" w:hAnsi="宋体" w:cs="宋体"/>
          <w:b/>
          <w:bCs/>
          <w:color w:val="auto"/>
          <w:sz w:val="21"/>
          <w:szCs w:val="21"/>
          <w:u w:val="single"/>
        </w:rPr>
        <w:t>叁</w:t>
      </w:r>
      <w:r>
        <w:rPr>
          <w:rFonts w:hint="eastAsia" w:hAnsi="宋体" w:cs="宋体"/>
          <w:color w:val="auto"/>
          <w:sz w:val="21"/>
          <w:szCs w:val="21"/>
        </w:rPr>
        <w:t>份，承包人方执</w:t>
      </w:r>
      <w:r>
        <w:rPr>
          <w:rFonts w:hint="eastAsia" w:hAnsi="宋体" w:cs="宋体"/>
          <w:b/>
          <w:bCs/>
          <w:color w:val="auto"/>
          <w:sz w:val="21"/>
          <w:szCs w:val="21"/>
          <w:u w:val="single"/>
        </w:rPr>
        <w:t>贰</w:t>
      </w:r>
      <w:r>
        <w:rPr>
          <w:rFonts w:hint="eastAsia" w:hAnsi="宋体" w:cs="宋体"/>
          <w:color w:val="auto"/>
          <w:sz w:val="21"/>
          <w:szCs w:val="21"/>
        </w:rPr>
        <w:t>份。</w:t>
      </w:r>
    </w:p>
    <w:p w14:paraId="07BA68A8">
      <w:pPr>
        <w:pStyle w:val="7"/>
        <w:tabs>
          <w:tab w:val="left" w:pos="284"/>
          <w:tab w:val="clear" w:pos="0"/>
        </w:tabs>
        <w:adjustRightInd w:val="0"/>
        <w:snapToGrid w:val="0"/>
        <w:spacing w:line="360" w:lineRule="auto"/>
        <w:ind w:firstLine="420" w:firstLineChars="200"/>
        <w:jc w:val="left"/>
        <w:rPr>
          <w:rFonts w:hAnsi="宋体" w:cs="仿宋"/>
          <w:snapToGrid w:val="0"/>
          <w:color w:val="auto"/>
          <w:sz w:val="21"/>
          <w:szCs w:val="21"/>
        </w:rPr>
      </w:pPr>
      <w:r>
        <w:rPr>
          <w:rFonts w:hint="eastAsia" w:hAnsi="宋体" w:cs="仿宋"/>
          <w:snapToGrid w:val="0"/>
          <w:color w:val="auto"/>
          <w:sz w:val="21"/>
          <w:szCs w:val="21"/>
        </w:rPr>
        <w:t>27.其他</w:t>
      </w:r>
    </w:p>
    <w:p w14:paraId="39A24941">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highlight w:val="none"/>
        </w:rPr>
      </w:pPr>
      <w:r>
        <w:rPr>
          <w:rFonts w:hint="eastAsia" w:hAnsi="宋体" w:cs="仿宋"/>
          <w:snapToGrid w:val="0"/>
          <w:color w:val="auto"/>
          <w:sz w:val="21"/>
          <w:szCs w:val="21"/>
          <w:highlight w:val="none"/>
        </w:rPr>
        <w:t>（1）</w:t>
      </w:r>
      <w:r>
        <w:rPr>
          <w:rFonts w:hint="eastAsia" w:hAnsi="宋体" w:cs="仿宋"/>
          <w:b/>
          <w:snapToGrid w:val="0"/>
          <w:color w:val="auto"/>
          <w:sz w:val="21"/>
          <w:szCs w:val="21"/>
          <w:highlight w:val="none"/>
        </w:rPr>
        <w:t>施工水、电费用工程决算时在定额中按规定扣除。</w:t>
      </w:r>
    </w:p>
    <w:p w14:paraId="0270D597">
      <w:pPr>
        <w:pStyle w:val="7"/>
        <w:tabs>
          <w:tab w:val="left" w:pos="284"/>
          <w:tab w:val="clear" w:pos="0"/>
        </w:tabs>
        <w:adjustRightInd w:val="0"/>
        <w:snapToGrid w:val="0"/>
        <w:spacing w:line="360" w:lineRule="auto"/>
        <w:ind w:firstLine="420" w:firstLineChars="200"/>
        <w:contextualSpacing/>
        <w:jc w:val="left"/>
        <w:rPr>
          <w:rFonts w:hint="eastAsia" w:hAnsi="宋体" w:eastAsiaTheme="minorEastAsia"/>
          <w:color w:val="auto"/>
          <w:sz w:val="21"/>
          <w:szCs w:val="21"/>
          <w:highlight w:val="none"/>
          <w:lang w:eastAsia="zh-CN"/>
        </w:rPr>
      </w:pPr>
      <w:r>
        <w:rPr>
          <w:rFonts w:hint="eastAsia" w:hAnsi="宋体" w:cs="仿宋"/>
          <w:snapToGrid w:val="0"/>
          <w:color w:val="auto"/>
          <w:sz w:val="21"/>
          <w:szCs w:val="21"/>
          <w:highlight w:val="none"/>
        </w:rPr>
        <w:t>（2）</w:t>
      </w:r>
      <w:r>
        <w:rPr>
          <w:rFonts w:hint="eastAsia" w:hAnsi="宋体" w:cs="仿宋"/>
          <w:b/>
          <w:bCs/>
          <w:snapToGrid w:val="0"/>
          <w:sz w:val="21"/>
          <w:szCs w:val="21"/>
          <w:highlight w:val="none"/>
        </w:rPr>
        <w:t>本工程经审计后核减率超过10%(含10%)的，其审计费用全部由承包人承担（比例为净核减金额的5%）；本工程经审计后核减率在10%以下的，其审计费用由发包人承包人各承担50%。以上承包人应承担的审计费用，承包人交至医院财务处，由发包人代为支付给审计单位</w:t>
      </w:r>
      <w:r>
        <w:rPr>
          <w:rFonts w:hint="eastAsia" w:hAnsi="宋体" w:cs="仿宋"/>
          <w:b/>
          <w:bCs/>
          <w:snapToGrid w:val="0"/>
          <w:sz w:val="21"/>
          <w:szCs w:val="21"/>
          <w:highlight w:val="none"/>
          <w:lang w:eastAsia="zh-CN"/>
        </w:rPr>
        <w:t>。</w:t>
      </w:r>
    </w:p>
    <w:p w14:paraId="3383CFD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(3）施工过程中发生的变更签证，承包人必须在变更发生后5日内申报，逾期对增加费用的签证申报，发包人有权不予承认，但发包人保留对减少费用的签证追溯权；</w:t>
      </w:r>
    </w:p>
    <w:p w14:paraId="76197740">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4）承包人应加强工作人员的管理，禁止承包人以各种手段腐蚀、贿赂发包人单位工作人员，如有违反，发包人将停止履行合同，将诚信档案记录的工作人员违规不良行为纳入违约行为，并追究承包人违约责任；</w:t>
      </w:r>
    </w:p>
    <w:p w14:paraId="7565A7DD">
      <w:pPr>
        <w:pStyle w:val="7"/>
        <w:tabs>
          <w:tab w:val="left" w:pos="284"/>
          <w:tab w:val="clear" w:pos="0"/>
        </w:tabs>
        <w:adjustRightInd w:val="0"/>
        <w:snapToGrid w:val="0"/>
        <w:spacing w:line="360" w:lineRule="auto"/>
        <w:ind w:firstLine="420" w:firstLineChars="200"/>
        <w:contextualSpacing/>
        <w:jc w:val="left"/>
        <w:rPr>
          <w:rFonts w:hAnsi="宋体"/>
          <w:color w:val="auto"/>
          <w:sz w:val="21"/>
          <w:szCs w:val="21"/>
        </w:rPr>
      </w:pPr>
      <w:r>
        <w:rPr>
          <w:rFonts w:hint="eastAsia" w:hAnsi="宋体" w:cs="仿宋"/>
          <w:snapToGrid w:val="0"/>
          <w:color w:val="auto"/>
          <w:sz w:val="21"/>
          <w:szCs w:val="21"/>
        </w:rPr>
        <w:t>（5）</w:t>
      </w:r>
      <w:r>
        <w:rPr>
          <w:rFonts w:hint="eastAsia" w:hAnsi="宋体"/>
          <w:color w:val="auto"/>
          <w:sz w:val="21"/>
          <w:szCs w:val="21"/>
        </w:rPr>
        <w:t>承包人应按《建筑工程安全管理条例》以及国家、省市有关规定安全施工对于存在的安全隐患应及时整改到位。安全责任由承包人自行承担。承包人应按照国家和省市的有关规定文明施工。接受发包人、监理方及有关部门的管理、检查和监督，并有义务与施工现场各单位协调配合，自觉遵守《建设工程施工场地管理规定》（见附件</w:t>
      </w:r>
      <w:r>
        <w:rPr>
          <w:rFonts w:hAnsi="宋体"/>
          <w:color w:val="auto"/>
          <w:sz w:val="21"/>
          <w:szCs w:val="21"/>
        </w:rPr>
        <w:t>1</w:t>
      </w:r>
      <w:r>
        <w:rPr>
          <w:rFonts w:hint="eastAsia" w:hAnsi="宋体"/>
          <w:color w:val="auto"/>
          <w:sz w:val="21"/>
          <w:szCs w:val="21"/>
        </w:rPr>
        <w:t>），违者按以上规定条款处罚；</w:t>
      </w:r>
    </w:p>
    <w:p w14:paraId="20EB02CD">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（6）在工程竣工后在进行竣工验收前，对施工范围内进行打扫和清理，达到发包人提出的清洁要求，如达不到上述要求发包人将委托其他单位进行清理，其费用由承包人承担；</w:t>
      </w:r>
    </w:p>
    <w:p w14:paraId="6C8F5A7E">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（7）在工程未交付前，承包人负责做好成品保护，如有损坏应负责维修，直至合格，其维修看护费用由承包人承担。</w:t>
      </w:r>
    </w:p>
    <w:p w14:paraId="0E14DE63">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（8）在施工期间医院正常运行，承包人在施工中应做好环境保护及环境安全的防护，部分区域需封闭施工，相关费用视为包含在投标报价中，不再另行支付；</w:t>
      </w:r>
    </w:p>
    <w:p w14:paraId="085C17EB">
      <w:pPr>
        <w:pStyle w:val="7"/>
        <w:tabs>
          <w:tab w:val="left" w:pos="284"/>
          <w:tab w:val="clear" w:pos="0"/>
        </w:tabs>
        <w:adjustRightInd w:val="0"/>
        <w:snapToGrid w:val="0"/>
        <w:spacing w:line="360" w:lineRule="auto"/>
        <w:ind w:firstLine="420" w:firstLineChars="200"/>
        <w:contextualSpacing/>
        <w:jc w:val="left"/>
        <w:rPr>
          <w:rFonts w:hAnsi="宋体" w:cs="仿宋"/>
          <w:snapToGrid w:val="0"/>
          <w:color w:val="auto"/>
          <w:sz w:val="21"/>
          <w:szCs w:val="21"/>
        </w:rPr>
      </w:pPr>
      <w:r>
        <w:rPr>
          <w:rFonts w:hint="eastAsia" w:hAnsi="宋体" w:cs="仿宋"/>
          <w:snapToGrid w:val="0"/>
          <w:color w:val="auto"/>
          <w:sz w:val="21"/>
          <w:szCs w:val="21"/>
        </w:rPr>
        <w:t>（9）各个施工环节，需发包人施工质量管理员现场验收确认后方可进行下一环节施工；</w:t>
      </w:r>
    </w:p>
    <w:p w14:paraId="6367D4CE">
      <w:pPr>
        <w:pStyle w:val="23"/>
        <w:tabs>
          <w:tab w:val="left" w:pos="284"/>
        </w:tabs>
        <w:spacing w:line="360" w:lineRule="auto"/>
        <w:ind w:firstLine="420" w:firstLineChars="200"/>
        <w:contextualSpacing/>
        <w:jc w:val="left"/>
        <w:rPr>
          <w:rFonts w:ascii="宋体" w:hAnsi="宋体"/>
          <w:color w:val="auto"/>
          <w:szCs w:val="21"/>
        </w:rPr>
      </w:pPr>
      <w:r>
        <w:rPr>
          <w:rFonts w:hint="eastAsia" w:ascii="宋体" w:hAnsi="宋体" w:cs="仿宋"/>
          <w:snapToGrid w:val="0"/>
          <w:color w:val="auto"/>
          <w:kern w:val="0"/>
          <w:szCs w:val="21"/>
        </w:rPr>
        <w:t>（</w:t>
      </w:r>
      <w:r>
        <w:rPr>
          <w:rFonts w:hint="eastAsia" w:ascii="宋体" w:hAnsi="宋体"/>
          <w:color w:val="auto"/>
          <w:szCs w:val="21"/>
        </w:rPr>
        <w:t>10</w:t>
      </w:r>
      <w:r>
        <w:rPr>
          <w:rFonts w:hint="eastAsia" w:ascii="宋体" w:hAnsi="宋体" w:cs="仿宋"/>
          <w:snapToGrid w:val="0"/>
          <w:color w:val="auto"/>
          <w:kern w:val="0"/>
          <w:szCs w:val="21"/>
        </w:rPr>
        <w:t>）</w:t>
      </w:r>
      <w:r>
        <w:rPr>
          <w:rFonts w:hint="eastAsia" w:ascii="宋体" w:hAnsi="宋体"/>
          <w:color w:val="auto"/>
          <w:szCs w:val="21"/>
        </w:rPr>
        <w:t>本工程在施工期间医院运行不停止，承包单位进场施工时必须在不影响医院正常运行情况下进行，在施工过程中要注意保护环境卫生、文明施工、污水、杂物严谨乱扔乱抛，施工严控噪声和粉尘，以防影响病人治疗，违者按《建设工程安全文明施工管理办法》规定处罚；（见附件</w:t>
      </w:r>
      <w:r>
        <w:rPr>
          <w:rFonts w:ascii="宋体" w:hAnsi="宋体"/>
          <w:color w:val="auto"/>
          <w:szCs w:val="21"/>
        </w:rPr>
        <w:t>2</w:t>
      </w:r>
      <w:r>
        <w:rPr>
          <w:rFonts w:hint="eastAsia" w:ascii="宋体" w:hAnsi="宋体"/>
          <w:color w:val="auto"/>
          <w:szCs w:val="21"/>
        </w:rPr>
        <w:t>）</w:t>
      </w:r>
    </w:p>
    <w:p w14:paraId="25D4B8D1">
      <w:pPr>
        <w:pStyle w:val="23"/>
        <w:tabs>
          <w:tab w:val="left" w:pos="284"/>
        </w:tabs>
        <w:spacing w:line="360" w:lineRule="auto"/>
        <w:ind w:firstLine="420" w:firstLineChars="200"/>
        <w:contextualSpacing/>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11</w:t>
      </w:r>
      <w:r>
        <w:rPr>
          <w:rFonts w:ascii="宋体" w:hAnsi="宋体"/>
          <w:color w:val="auto"/>
          <w:szCs w:val="21"/>
        </w:rPr>
        <w:t>）</w:t>
      </w:r>
      <w:r>
        <w:rPr>
          <w:rFonts w:hint="eastAsia" w:ascii="宋体" w:hAnsi="宋体"/>
          <w:color w:val="auto"/>
          <w:szCs w:val="21"/>
        </w:rPr>
        <w:t>承包人在中标公示结束后</w:t>
      </w:r>
      <w:r>
        <w:rPr>
          <w:rFonts w:ascii="宋体" w:hAnsi="宋体"/>
          <w:color w:val="auto"/>
          <w:szCs w:val="21"/>
        </w:rPr>
        <w:t>3</w:t>
      </w:r>
      <w:r>
        <w:rPr>
          <w:rFonts w:hint="eastAsia" w:ascii="宋体" w:hAnsi="宋体"/>
          <w:color w:val="auto"/>
          <w:szCs w:val="21"/>
        </w:rPr>
        <w:t>0</w:t>
      </w:r>
      <w:r>
        <w:rPr>
          <w:rFonts w:ascii="宋体" w:hAnsi="宋体"/>
          <w:color w:val="auto"/>
          <w:szCs w:val="21"/>
        </w:rPr>
        <w:t>天内与</w:t>
      </w:r>
      <w:r>
        <w:rPr>
          <w:rFonts w:hint="eastAsia" w:ascii="宋体" w:hAnsi="宋体"/>
          <w:color w:val="auto"/>
          <w:szCs w:val="21"/>
        </w:rPr>
        <w:t>发包人</w:t>
      </w:r>
      <w:r>
        <w:rPr>
          <w:rFonts w:ascii="宋体" w:hAnsi="宋体"/>
          <w:color w:val="auto"/>
          <w:szCs w:val="21"/>
        </w:rPr>
        <w:t>签订施工合同并交纳履约保证金；</w:t>
      </w:r>
    </w:p>
    <w:p w14:paraId="12DFD681">
      <w:pPr>
        <w:pStyle w:val="23"/>
        <w:tabs>
          <w:tab w:val="left" w:pos="284"/>
        </w:tabs>
        <w:spacing w:line="360" w:lineRule="auto"/>
        <w:ind w:firstLine="420" w:firstLineChars="200"/>
        <w:contextualSpacing/>
        <w:jc w:val="left"/>
        <w:rPr>
          <w:rFonts w:ascii="宋体" w:hAnsi="宋体"/>
          <w:color w:val="auto"/>
          <w:szCs w:val="21"/>
        </w:rPr>
      </w:pPr>
      <w:r>
        <w:rPr>
          <w:rFonts w:hint="eastAsia" w:ascii="宋体" w:hAnsi="宋体"/>
          <w:color w:val="auto"/>
          <w:szCs w:val="21"/>
        </w:rPr>
        <w:t>（12）施工期间，将对承包人实行考核，考核结果与奖惩挂钩。如承包人不加强管理造成施工场地混乱，又不服从发包人及现场监理管理，以致影响工程质量和进度，经发包人三次警告，仍然整改不到位发包人有权终止合同，承包人应无条件退出施工现场并将承担一切损失；</w:t>
      </w:r>
    </w:p>
    <w:p w14:paraId="6164F199">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（13）承包人擅自将工程全部或其中的一部分转包或违法分包给其他单位，发包人有权终止合同，并没收履约保证金，由此造成的一切损失由承包人承担；</w:t>
      </w:r>
    </w:p>
    <w:p w14:paraId="28861B3E">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（14）施工方对施工材料运送要统筹考虑,不得影响院区内的道路交通,对施工场地周边的道路、树木、建筑等设施做好保护；</w:t>
      </w:r>
    </w:p>
    <w:p w14:paraId="19B25ADC">
      <w:pPr>
        <w:pStyle w:val="23"/>
        <w:tabs>
          <w:tab w:val="left" w:pos="284"/>
        </w:tabs>
        <w:snapToGrid w:val="0"/>
        <w:spacing w:line="360" w:lineRule="auto"/>
        <w:ind w:firstLine="420" w:firstLineChars="200"/>
        <w:contextualSpacing/>
        <w:jc w:val="left"/>
        <w:rPr>
          <w:rFonts w:hint="eastAsia" w:ascii="宋体" w:hAnsi="宋体"/>
          <w:color w:val="auto"/>
          <w:szCs w:val="21"/>
        </w:rPr>
      </w:pPr>
      <w:r>
        <w:rPr>
          <w:rFonts w:hint="eastAsia" w:ascii="宋体" w:hAnsi="宋体"/>
          <w:color w:val="auto"/>
          <w:szCs w:val="21"/>
        </w:rPr>
        <w:t>28、施工期间相关要求：（以下规定与政府部门有冲突的部分依照政府文件规定执行）</w:t>
      </w:r>
    </w:p>
    <w:p w14:paraId="2F861409">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（1）严格按国家强制性标准、施工组织设计或拆除方案实施相关部位拆除施工作业；</w:t>
      </w:r>
    </w:p>
    <w:p w14:paraId="0DAECE08">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（2）做好拆除工程施工现场的防护。在现场醒目位置设置施工标志牌、安全警示牌，人员通道设置防护通道，非施工人员不得进入施工区；</w:t>
      </w:r>
    </w:p>
    <w:p w14:paraId="62CC41C9">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（3）制定安全事故应急救援预案，做好防火、防盗工作；</w:t>
      </w:r>
    </w:p>
    <w:p w14:paraId="77B04D3E">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（4）对拆除施工人员进行安全技术交底，施工作业人员必须穿戴安全帽等劳动保护用品，高处作业应系好安全带，不得冒险作业；</w:t>
      </w:r>
    </w:p>
    <w:p w14:paraId="727C2F4A">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（5）由施工方、监理、承包人方共同对拆除的部位进行标记，由施工方检查建筑内各类管线情况，确认必须切断的应全部切断后方可施工；</w:t>
      </w:r>
    </w:p>
    <w:p w14:paraId="4F5FA4A0">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拆除施工时应有防止扬尘和降低噪声的措施，拆除前洒水，过程中喷水，采用轻型风镐，严禁超负荷或带故障运转；</w:t>
      </w:r>
    </w:p>
    <w:p w14:paraId="3B1F5F22">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7）拆除作业时楼板上严禁人员聚集或堆放材料，作业人员应站在稳定结构或专用脚手架上操作，不得垂直交叉作业，对拆除物应采取有效的下落控制措施，不得直接砸落在楼板面上，构件应有安全的放置场所。水平作业时，操作人员应保持安全距离；</w:t>
      </w:r>
    </w:p>
    <w:p w14:paraId="796FE497">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（8）楼层内的施工垃圾应采用垃圾袋运下，不得向下抛掷；</w:t>
      </w:r>
    </w:p>
    <w:p w14:paraId="76F73455">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（9）对原有梁、柱、楼板面等建筑结构要进行有效防护，拆除部位的地面必须用模板铺垫；</w:t>
      </w:r>
    </w:p>
    <w:p w14:paraId="59C1F087">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（10）室内墙体在拆除时，顶部应拆除至梁体或楼板混凝土结构面，将砂浆连接层彻底清理干净，便于下道工序直接施工包含柱面；</w:t>
      </w:r>
    </w:p>
    <w:p w14:paraId="1E2D76FF">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(11)现场用电应符合施工现场临时用电安全技术规范要求；</w:t>
      </w:r>
    </w:p>
    <w:p w14:paraId="4864F670">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(12)根据拆除现场作业环境，制定相应的消防安全措施；</w:t>
      </w:r>
    </w:p>
    <w:p w14:paraId="79B20360">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(13)拆除后形成的临边洞口及时维护完成；</w:t>
      </w:r>
    </w:p>
    <w:p w14:paraId="396CB2A6">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(14)清运渣土的车辆应封闭或覆盖，出入现场应有专人指挥，作业时间、作业方式应遵守扬州市有关管理规定。要求拆除的垃圾袋装化处理，并及时拆及时清运；</w:t>
      </w:r>
    </w:p>
    <w:p w14:paraId="4ABB0304">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(15)使用建设单位提供运输等设备、设施要服从管理安排，爱护设备，损坏赔偿；</w:t>
      </w:r>
    </w:p>
    <w:p w14:paraId="3CD14D8A">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(16)编制切实可行的施工准备计划，科学、合理安排组织施工工序，对准备工作建立严格的责任制和检查制度，做到有计划、有分工、有布置、有检查，各分部分项工程必须按计划完成；</w:t>
      </w:r>
    </w:p>
    <w:p w14:paraId="409A3923">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(17)根据总进度计划的要求，制定详细的天计划。加强计划的科学性、严肃性，在编制天计划时要考虑各种不利因素的影响，以保证计划的有效性、可行性，一旦发现天计划与总进度计划相比有滞后现象时，要及时调整，采取相应的补救措施，制定可行的计划，以保证总进度计划的实现；</w:t>
      </w:r>
    </w:p>
    <w:p w14:paraId="19B23396">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(18)若有后续工作跟进施工应与配合，及时提供工作面，确保后续工作顺利实施；</w:t>
      </w:r>
    </w:p>
    <w:p w14:paraId="7FBAF4CC">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(19)本工程不包含任何可回收材料，可回收材料均属发包人所有；</w:t>
      </w:r>
    </w:p>
    <w:p w14:paraId="48C248B8">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（20）保险</w:t>
      </w:r>
    </w:p>
    <w:p w14:paraId="63016B12">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工程保险：</w:t>
      </w:r>
      <w:r>
        <w:rPr>
          <w:rFonts w:hint="eastAsia" w:ascii="宋体" w:hAnsi="宋体"/>
          <w:color w:val="auto"/>
          <w:szCs w:val="21"/>
          <w:u w:val="single"/>
        </w:rPr>
        <w:t>按相关规定，应由承包人缴纳的保险必须按时依法办理</w:t>
      </w:r>
      <w:r>
        <w:rPr>
          <w:rFonts w:hint="eastAsia" w:ascii="宋体" w:hAnsi="宋体"/>
          <w:color w:val="auto"/>
          <w:szCs w:val="21"/>
        </w:rPr>
        <w:t>。</w:t>
      </w:r>
    </w:p>
    <w:p w14:paraId="5DB8DE9D">
      <w:pPr>
        <w:pStyle w:val="23"/>
        <w:tabs>
          <w:tab w:val="left" w:pos="284"/>
        </w:tabs>
        <w:snapToGrid w:val="0"/>
        <w:spacing w:line="360" w:lineRule="auto"/>
        <w:ind w:firstLine="420" w:firstLineChars="200"/>
        <w:contextualSpacing/>
        <w:jc w:val="left"/>
        <w:rPr>
          <w:rFonts w:ascii="宋体" w:hAnsi="宋体"/>
          <w:color w:val="auto"/>
          <w:szCs w:val="21"/>
        </w:rPr>
      </w:pPr>
      <w:r>
        <w:rPr>
          <w:rFonts w:hint="eastAsia" w:ascii="宋体" w:hAnsi="宋体"/>
          <w:color w:val="auto"/>
          <w:szCs w:val="21"/>
        </w:rPr>
        <w:t>其他保险：</w:t>
      </w:r>
      <w:r>
        <w:rPr>
          <w:rFonts w:hint="eastAsia" w:ascii="宋体" w:hAnsi="宋体"/>
          <w:color w:val="auto"/>
          <w:szCs w:val="21"/>
          <w:u w:val="single"/>
        </w:rPr>
        <w:t>按相关规定，应由承包人缴纳的保险必须按时依法办理</w:t>
      </w:r>
      <w:r>
        <w:rPr>
          <w:rFonts w:hint="eastAsia" w:ascii="宋体" w:hAnsi="宋体"/>
          <w:color w:val="auto"/>
          <w:szCs w:val="21"/>
        </w:rPr>
        <w:t>。</w:t>
      </w:r>
    </w:p>
    <w:p w14:paraId="085BBBF2">
      <w:pPr>
        <w:pStyle w:val="23"/>
        <w:tabs>
          <w:tab w:val="left" w:pos="284"/>
        </w:tabs>
        <w:snapToGrid w:val="0"/>
        <w:spacing w:line="360" w:lineRule="auto"/>
        <w:ind w:firstLine="420" w:firstLineChars="200"/>
        <w:contextualSpacing/>
        <w:jc w:val="left"/>
        <w:rPr>
          <w:rFonts w:ascii="宋体" w:hAnsi="宋体"/>
          <w:color w:val="auto"/>
          <w:szCs w:val="21"/>
          <w:u w:val="single"/>
        </w:rPr>
      </w:pPr>
      <w:r>
        <w:rPr>
          <w:rFonts w:hint="eastAsia" w:ascii="宋体" w:hAnsi="宋体"/>
          <w:color w:val="auto"/>
          <w:szCs w:val="21"/>
        </w:rPr>
        <w:t>承包人是否应为其施工设备等办理财产保险：</w:t>
      </w:r>
      <w:r>
        <w:rPr>
          <w:rFonts w:hint="eastAsia" w:ascii="宋体" w:hAnsi="宋体"/>
          <w:color w:val="auto"/>
          <w:szCs w:val="21"/>
          <w:u w:val="single"/>
        </w:rPr>
        <w:t>应该办理</w:t>
      </w:r>
    </w:p>
    <w:p w14:paraId="2805F1D2">
      <w:pPr>
        <w:pStyle w:val="23"/>
        <w:tabs>
          <w:tab w:val="left" w:pos="284"/>
        </w:tabs>
        <w:snapToGrid w:val="0"/>
        <w:spacing w:line="360" w:lineRule="auto"/>
        <w:ind w:firstLine="420" w:firstLineChars="200"/>
        <w:contextualSpacing/>
        <w:jc w:val="left"/>
        <w:rPr>
          <w:rFonts w:ascii="宋体" w:hAnsi="宋体"/>
          <w:color w:val="auto"/>
          <w:sz w:val="24"/>
          <w:szCs w:val="24"/>
        </w:rPr>
      </w:pPr>
      <w:r>
        <w:rPr>
          <w:rFonts w:hint="eastAsia" w:ascii="宋体" w:hAnsi="宋体"/>
          <w:color w:val="auto"/>
          <w:szCs w:val="21"/>
        </w:rPr>
        <w:t>关于变更保险合同时的通知义务的约定：</w:t>
      </w:r>
      <w:r>
        <w:rPr>
          <w:rFonts w:hint="eastAsia" w:ascii="宋体" w:hAnsi="宋体"/>
          <w:color w:val="auto"/>
          <w:szCs w:val="21"/>
          <w:u w:val="single"/>
        </w:rPr>
        <w:t>执行通用条款</w:t>
      </w:r>
    </w:p>
    <w:p w14:paraId="64AD2D9A">
      <w:pPr>
        <w:snapToGrid w:val="0"/>
        <w:spacing w:before="120" w:beforeLines="50" w:after="120" w:afterLines="50" w:line="440" w:lineRule="exact"/>
        <w:ind w:right="409" w:rightChars="195"/>
        <w:contextualSpacing/>
        <w:outlineLvl w:val="1"/>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附件1</w:t>
      </w:r>
    </w:p>
    <w:p w14:paraId="5BF07D75">
      <w:pPr>
        <w:snapToGrid w:val="0"/>
        <w:spacing w:before="120" w:beforeLines="50" w:after="120" w:afterLines="50" w:line="440" w:lineRule="exact"/>
        <w:ind w:left="594" w:leftChars="283" w:right="409" w:rightChars="195"/>
        <w:contextualSpacing/>
        <w:jc w:val="center"/>
        <w:rPr>
          <w:rFonts w:ascii="宋体" w:hAnsi="宋体"/>
          <w:color w:val="auto"/>
          <w:sz w:val="28"/>
          <w:szCs w:val="28"/>
        </w:rPr>
      </w:pPr>
      <w:r>
        <w:rPr>
          <w:rFonts w:hint="eastAsia" w:ascii="宋体" w:hAnsi="宋体"/>
          <w:b/>
          <w:color w:val="auto"/>
          <w:sz w:val="28"/>
          <w:szCs w:val="28"/>
        </w:rPr>
        <w:t>建设工程施工场地管理规定</w:t>
      </w:r>
    </w:p>
    <w:p w14:paraId="4E711E66">
      <w:pPr>
        <w:spacing w:line="360" w:lineRule="auto"/>
        <w:ind w:firstLine="420" w:firstLineChars="200"/>
        <w:contextualSpacing/>
        <w:rPr>
          <w:rFonts w:hint="eastAsia" w:ascii="宋体" w:hAnsi="宋体"/>
          <w:color w:val="auto"/>
          <w:sz w:val="21"/>
          <w:szCs w:val="21"/>
        </w:rPr>
      </w:pPr>
    </w:p>
    <w:p w14:paraId="6A219B0C">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为了保证建设工程质量、进度达到预定目标,确保在施工中不出现质量、安全责任事故,同时能给各施工单位创造良好的文明施工环境、合作条件,经研究特制订本工程施工场地管理规定。</w:t>
      </w:r>
    </w:p>
    <w:p w14:paraId="0B50AB8C">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一、施工场地管理要求:</w:t>
      </w:r>
    </w:p>
    <w:p w14:paraId="50F5B65C">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1、所有进场的施工单位必须建立健全项目管理机构,项目部全体人员一览表应公布上墙。</w:t>
      </w:r>
    </w:p>
    <w:p w14:paraId="78CCBF58">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2、各项目部应根据国家和省、市有关法律、法规、标准、规范,按照项目部的工作要求建立如下规章制度。</w:t>
      </w:r>
    </w:p>
    <w:p w14:paraId="177E9CFE">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(1)安全生产责任制度、安全教育制度</w:t>
      </w:r>
    </w:p>
    <w:p w14:paraId="54B6751A">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(2)质量、进度目标管理制度</w:t>
      </w:r>
    </w:p>
    <w:p w14:paraId="6FBBD14D">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(3)文明施工及场地清洁卫生管理制度</w:t>
      </w:r>
    </w:p>
    <w:p w14:paraId="600E9A70">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(4)施工用电管理制度</w:t>
      </w:r>
    </w:p>
    <w:p w14:paraId="69CBB6E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(5)“三宝”、“四口”“五临边”防护制度</w:t>
      </w:r>
    </w:p>
    <w:p w14:paraId="75BCC8F0">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(6)成品保护制度</w:t>
      </w:r>
    </w:p>
    <w:p w14:paraId="14AF8C80">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(7)动火管理制度</w:t>
      </w:r>
    </w:p>
    <w:p w14:paraId="517B84C0">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(8)其它规章制度</w:t>
      </w:r>
    </w:p>
    <w:p w14:paraId="533AE8C8">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3、各项目部应认真执行如下规定。</w:t>
      </w:r>
    </w:p>
    <w:p w14:paraId="25EBEAF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(1)各施工单位的项目经理必须坚守工作岗位,遇有特殊情况需要离开施工现场必须向承包人、监理请假</w:t>
      </w:r>
      <w:r>
        <w:rPr>
          <w:rFonts w:ascii="宋体" w:hAnsi="宋体"/>
          <w:color w:val="auto"/>
          <w:sz w:val="21"/>
          <w:szCs w:val="21"/>
        </w:rPr>
        <w:t>,经同意后才能离开。</w:t>
      </w:r>
    </w:p>
    <w:p w14:paraId="76BF6BA4">
      <w:pPr>
        <w:spacing w:line="360" w:lineRule="auto"/>
        <w:ind w:firstLine="420" w:firstLineChars="200"/>
        <w:contextualSpacing/>
        <w:rPr>
          <w:rFonts w:ascii="宋体" w:hAnsi="宋体"/>
          <w:color w:val="auto"/>
          <w:sz w:val="21"/>
          <w:szCs w:val="21"/>
        </w:rPr>
      </w:pPr>
      <w:r>
        <w:rPr>
          <w:rFonts w:ascii="宋体" w:hAnsi="宋体"/>
          <w:color w:val="auto"/>
          <w:sz w:val="21"/>
          <w:szCs w:val="21"/>
        </w:rPr>
        <w:t>(2)各项目部的质量和安全管理人员应认真履行工作职责,上述人员如有变动必须报发包人、</w:t>
      </w:r>
      <w:r>
        <w:rPr>
          <w:rFonts w:hint="eastAsia" w:ascii="宋体" w:hAnsi="宋体"/>
          <w:color w:val="auto"/>
          <w:sz w:val="21"/>
          <w:szCs w:val="21"/>
        </w:rPr>
        <w:t>监理同意。</w:t>
      </w:r>
    </w:p>
    <w:p w14:paraId="4A7172B8">
      <w:pPr>
        <w:spacing w:line="360" w:lineRule="auto"/>
        <w:ind w:firstLine="420" w:firstLineChars="200"/>
        <w:contextualSpacing/>
        <w:rPr>
          <w:rFonts w:ascii="宋体" w:hAnsi="宋体"/>
          <w:color w:val="auto"/>
          <w:sz w:val="21"/>
          <w:szCs w:val="21"/>
        </w:rPr>
      </w:pPr>
      <w:r>
        <w:rPr>
          <w:rFonts w:ascii="宋体" w:hAnsi="宋体"/>
          <w:color w:val="auto"/>
          <w:sz w:val="21"/>
          <w:szCs w:val="21"/>
        </w:rPr>
        <w:t>(3)各项目部在施工前应认真编制施工方案,并上报</w:t>
      </w:r>
      <w:r>
        <w:rPr>
          <w:rFonts w:hint="eastAsia" w:ascii="宋体" w:hAnsi="宋体"/>
          <w:color w:val="auto"/>
          <w:sz w:val="21"/>
          <w:szCs w:val="21"/>
        </w:rPr>
        <w:t>监理、发包人审核</w:t>
      </w:r>
      <w:r>
        <w:rPr>
          <w:rFonts w:ascii="宋体" w:hAnsi="宋体"/>
          <w:color w:val="auto"/>
          <w:sz w:val="21"/>
          <w:szCs w:val="21"/>
        </w:rPr>
        <w:t>,经审核同意后严格按方案实施,对重点部位应按要求编制专项施工方案。</w:t>
      </w:r>
    </w:p>
    <w:p w14:paraId="12E504C1">
      <w:pPr>
        <w:spacing w:line="360" w:lineRule="auto"/>
        <w:ind w:firstLine="420" w:firstLineChars="200"/>
        <w:contextualSpacing/>
        <w:rPr>
          <w:rFonts w:ascii="宋体" w:hAnsi="宋体"/>
          <w:color w:val="auto"/>
          <w:sz w:val="21"/>
          <w:szCs w:val="21"/>
        </w:rPr>
      </w:pPr>
      <w:r>
        <w:rPr>
          <w:rFonts w:ascii="宋体" w:hAnsi="宋体"/>
          <w:color w:val="auto"/>
          <w:sz w:val="21"/>
          <w:szCs w:val="21"/>
        </w:rPr>
        <w:t>(4)隐蔽工程应先进行自检,自检合格后报</w:t>
      </w:r>
      <w:r>
        <w:rPr>
          <w:rFonts w:hint="eastAsia" w:ascii="宋体" w:hAnsi="宋体"/>
          <w:color w:val="auto"/>
          <w:sz w:val="21"/>
          <w:szCs w:val="21"/>
        </w:rPr>
        <w:t>监理及发包人进行隐蔽部位验收隐蔽工程在封闭前要求各施工单位执行会签制度。未经验收、会签不得擅自封闭。</w:t>
      </w:r>
    </w:p>
    <w:p w14:paraId="6D0CA7EE">
      <w:pPr>
        <w:spacing w:line="360" w:lineRule="auto"/>
        <w:ind w:firstLine="420" w:firstLineChars="200"/>
        <w:contextualSpacing/>
        <w:rPr>
          <w:rFonts w:ascii="宋体" w:hAnsi="宋体"/>
          <w:color w:val="auto"/>
          <w:sz w:val="21"/>
          <w:szCs w:val="21"/>
        </w:rPr>
      </w:pPr>
      <w:r>
        <w:rPr>
          <w:rFonts w:ascii="宋体" w:hAnsi="宋体"/>
          <w:color w:val="auto"/>
          <w:sz w:val="21"/>
          <w:szCs w:val="21"/>
        </w:rPr>
        <w:t>(5)所有进场施工材料必须经</w:t>
      </w:r>
      <w:r>
        <w:rPr>
          <w:rFonts w:hint="eastAsia" w:ascii="宋体" w:hAnsi="宋体"/>
          <w:color w:val="auto"/>
          <w:sz w:val="21"/>
          <w:szCs w:val="21"/>
        </w:rPr>
        <w:t>监理、发包人验收合格后才能使用</w:t>
      </w:r>
      <w:r>
        <w:rPr>
          <w:rFonts w:ascii="宋体" w:hAnsi="宋体"/>
          <w:color w:val="auto"/>
          <w:sz w:val="21"/>
          <w:szCs w:val="21"/>
        </w:rPr>
        <w:t>,材料如需复试,必须待试验合格后方可使用。同时不合格的进场</w:t>
      </w:r>
      <w:r>
        <w:rPr>
          <w:rFonts w:hint="eastAsia" w:ascii="宋体" w:hAnsi="宋体"/>
          <w:color w:val="auto"/>
          <w:sz w:val="21"/>
          <w:szCs w:val="21"/>
        </w:rPr>
        <w:t>材料要求立即退场,若已使用必须拆除。工程材料需及时提供样品,征得业主、监理确认同意后,按样品进行验收。</w:t>
      </w:r>
    </w:p>
    <w:p w14:paraId="2BD199C2">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(6)加强现场安全保卫工作,所有施工单位进场人员必须佩带胸牌上岗,进入施工现场必须配戴安全帽。</w:t>
      </w:r>
    </w:p>
    <w:p w14:paraId="4AED656D">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(7)未施工的材料应要善保管,已施工完毕的成品必须加强保护(附件:成品地面、门窗成品保护要求),同时要求做好防火、防盗和用电安全管理等工作。</w:t>
      </w:r>
    </w:p>
    <w:p w14:paraId="69A59528">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(8)保持施工现场环境卫生整洁。建筑垃圾、生活垃圾及时清理,按指定地点堆放。</w:t>
      </w:r>
    </w:p>
    <w:p w14:paraId="732FDC65">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(9)施工单位必须按照图纸施工,施工中如需调整与变更应及时办理变更手续,并严格执行。</w:t>
      </w:r>
    </w:p>
    <w:p w14:paraId="2545824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(10)对监理、业主发现的工程施工质量、安全问题,各施工单位应按发包人、监理意见积极整改到位。</w:t>
      </w:r>
    </w:p>
    <w:p w14:paraId="4CD9199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(11)各施工单位应树立全局观念,主动积极做好协调、配合工作,不得故意刁难,相互扯皮。</w:t>
      </w:r>
    </w:p>
    <w:p w14:paraId="314A3F41">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(12)各施工单位必须对照施工合同,严格履行合同承诺。</w:t>
      </w:r>
    </w:p>
    <w:p w14:paraId="6336B48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二、施工管理处罚规定:</w:t>
      </w:r>
    </w:p>
    <w:p w14:paraId="336C5039">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凡出现下列情况者给予处罚如下:</w:t>
      </w:r>
    </w:p>
    <w:p w14:paraId="3FAFBE14">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1、文明施工方面:</w:t>
      </w:r>
    </w:p>
    <w:p w14:paraId="173CBD8A">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(1)各单位人员进入现场施工必须佩戴工作卡,发现无卡人员每人次处罚50元。</w:t>
      </w:r>
    </w:p>
    <w:p w14:paraId="7F06FAA9">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(2)施工作业人员不准穿拖鞋、高跟鞋、赤膊,发现一人次处罚50元。严禁酒后进入施工区作业,发现一人次罚款50元。严禁家眷、小孩进入施工区,每发现一人次处罚50元。</w:t>
      </w:r>
    </w:p>
    <w:p w14:paraId="78A21305">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仓库易燃、易爆品及其它物品必须分开堆放,严禁混放,发现一处罚款200元。现场灭火器材、消防通道焊接接火斗等消防设施未设置到位,发现一处罚款20O元。仓库严禁烟火,施工现场严禁吸烟,每发现一次处罚50元。</w:t>
      </w:r>
    </w:p>
    <w:p w14:paraId="2FEB14A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(4)在建建筑物内除仓库保管员及保卫人员外,其余人员严禁入住,发现一次处罚200元。</w:t>
      </w:r>
    </w:p>
    <w:p w14:paraId="470E4F2F">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(5)现场施工人员盗窃发现一次立即开除,按造成直接损失的3倍进行赔偿。情节严重者送当地公安部门处理。</w:t>
      </w:r>
    </w:p>
    <w:p w14:paraId="3E9B698A">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(6)施工现场严禁赌博、打架斗殴,每发现一次处罚500元,情节严重者送当地公安部门处理。</w:t>
      </w:r>
    </w:p>
    <w:p w14:paraId="1A51A92F">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(7)夜间施工必须有足够的照明设施,楼梯通道必须设置安全照明灯。每发现一处不合格处罚200元。</w:t>
      </w:r>
    </w:p>
    <w:p w14:paraId="02BDA129">
      <w:pPr>
        <w:spacing w:line="360" w:lineRule="auto"/>
        <w:ind w:firstLine="420" w:firstLineChars="200"/>
        <w:contextualSpacing/>
        <w:rPr>
          <w:rFonts w:ascii="宋体" w:hAnsi="宋体"/>
          <w:color w:val="auto"/>
          <w:sz w:val="21"/>
          <w:szCs w:val="21"/>
        </w:rPr>
      </w:pPr>
      <w:r>
        <w:rPr>
          <w:rFonts w:ascii="宋体" w:hAnsi="宋体"/>
          <w:color w:val="auto"/>
          <w:sz w:val="21"/>
          <w:szCs w:val="21"/>
        </w:rPr>
        <w:t>(8)发现施工现场环境脏、乱、差每次处罚200元。</w:t>
      </w:r>
      <w:r>
        <w:rPr>
          <w:rFonts w:hint="eastAsia" w:ascii="宋体" w:hAnsi="宋体"/>
          <w:color w:val="auto"/>
          <w:sz w:val="21"/>
          <w:szCs w:val="21"/>
        </w:rPr>
        <w:t>监理通知后仍不积极整改</w:t>
      </w:r>
      <w:r>
        <w:rPr>
          <w:rFonts w:ascii="宋体" w:hAnsi="宋体"/>
          <w:color w:val="auto"/>
          <w:sz w:val="21"/>
          <w:szCs w:val="21"/>
        </w:rPr>
        <w:t>,汇报业主派人清理,费用从相关施工单位工程款中扣除。</w:t>
      </w:r>
    </w:p>
    <w:p w14:paraId="592677ED">
      <w:pPr>
        <w:spacing w:line="360" w:lineRule="auto"/>
        <w:ind w:firstLine="420" w:firstLineChars="200"/>
        <w:contextualSpacing/>
        <w:rPr>
          <w:rFonts w:ascii="宋体" w:hAnsi="宋体"/>
          <w:color w:val="auto"/>
          <w:sz w:val="21"/>
          <w:szCs w:val="21"/>
        </w:rPr>
      </w:pPr>
      <w:r>
        <w:rPr>
          <w:rFonts w:ascii="宋体" w:hAnsi="宋体"/>
          <w:color w:val="auto"/>
          <w:sz w:val="21"/>
          <w:szCs w:val="21"/>
        </w:rPr>
        <w:t>(9)建筑物内各标段应设置临时厕所，严禁随地大小便,每发现一次处罚50元。</w:t>
      </w:r>
    </w:p>
    <w:p w14:paraId="08ED71E6">
      <w:pPr>
        <w:spacing w:line="360" w:lineRule="auto"/>
        <w:ind w:firstLine="420" w:firstLineChars="200"/>
        <w:contextualSpacing/>
        <w:rPr>
          <w:rFonts w:ascii="宋体" w:hAnsi="宋体"/>
          <w:color w:val="auto"/>
          <w:sz w:val="21"/>
          <w:szCs w:val="21"/>
        </w:rPr>
      </w:pPr>
      <w:r>
        <w:rPr>
          <w:rFonts w:ascii="宋体" w:hAnsi="宋体"/>
          <w:color w:val="auto"/>
          <w:sz w:val="21"/>
          <w:szCs w:val="21"/>
        </w:rPr>
        <w:t>(10)自行车、电动车、摩托车按指定地点停放,不得进入建筑物施工现场内，每发现一辆处罚50元。</w:t>
      </w:r>
    </w:p>
    <w:p w14:paraId="6B75E8EE">
      <w:pPr>
        <w:spacing w:line="360" w:lineRule="auto"/>
        <w:ind w:firstLine="420" w:firstLineChars="200"/>
        <w:contextualSpacing/>
        <w:rPr>
          <w:rFonts w:ascii="宋体" w:hAnsi="宋体"/>
          <w:color w:val="auto"/>
          <w:sz w:val="21"/>
          <w:szCs w:val="21"/>
        </w:rPr>
      </w:pPr>
      <w:r>
        <w:rPr>
          <w:rFonts w:ascii="宋体" w:hAnsi="宋体"/>
          <w:color w:val="auto"/>
          <w:sz w:val="21"/>
          <w:szCs w:val="21"/>
        </w:rPr>
        <w:t>2、现场管理方面:</w:t>
      </w:r>
    </w:p>
    <w:p w14:paraId="4DAA723E">
      <w:pPr>
        <w:spacing w:line="360" w:lineRule="auto"/>
        <w:ind w:firstLine="420" w:firstLineChars="200"/>
        <w:contextualSpacing/>
        <w:rPr>
          <w:rFonts w:ascii="宋体" w:hAnsi="宋体"/>
          <w:color w:val="auto"/>
          <w:sz w:val="21"/>
          <w:szCs w:val="21"/>
        </w:rPr>
      </w:pPr>
      <w:r>
        <w:rPr>
          <w:rFonts w:ascii="宋体" w:hAnsi="宋体"/>
          <w:color w:val="auto"/>
          <w:sz w:val="21"/>
          <w:szCs w:val="21"/>
        </w:rPr>
        <w:t>(I)各施工单位在施工中相互扯皮不协调配合,造成返工或浪费所产生的费用由业主、</w:t>
      </w:r>
      <w:r>
        <w:rPr>
          <w:rFonts w:hint="eastAsia" w:ascii="宋体" w:hAnsi="宋体"/>
          <w:color w:val="auto"/>
          <w:sz w:val="21"/>
          <w:szCs w:val="21"/>
        </w:rPr>
        <w:t>监理按实进行核算</w:t>
      </w:r>
      <w:r>
        <w:rPr>
          <w:rFonts w:ascii="宋体" w:hAnsi="宋体"/>
          <w:color w:val="auto"/>
          <w:sz w:val="21"/>
          <w:szCs w:val="21"/>
        </w:rPr>
        <w:t>,在工程款中予以扣除。</w:t>
      </w:r>
    </w:p>
    <w:p w14:paraId="576F7C2D">
      <w:pPr>
        <w:spacing w:line="360" w:lineRule="auto"/>
        <w:ind w:firstLine="420" w:firstLineChars="200"/>
        <w:contextualSpacing/>
        <w:rPr>
          <w:rFonts w:ascii="宋体" w:hAnsi="宋体"/>
          <w:color w:val="auto"/>
          <w:sz w:val="21"/>
          <w:szCs w:val="21"/>
        </w:rPr>
      </w:pPr>
      <w:r>
        <w:rPr>
          <w:rFonts w:ascii="宋体" w:hAnsi="宋体"/>
          <w:color w:val="auto"/>
          <w:sz w:val="21"/>
          <w:szCs w:val="21"/>
        </w:rPr>
        <w:t>(2)各施工单位未按业主、</w:t>
      </w:r>
      <w:r>
        <w:rPr>
          <w:rFonts w:hint="eastAsia" w:ascii="宋体" w:hAnsi="宋体"/>
          <w:color w:val="auto"/>
          <w:sz w:val="21"/>
          <w:szCs w:val="21"/>
        </w:rPr>
        <w:t>监理要求时间完成配合工作</w:t>
      </w:r>
      <w:r>
        <w:rPr>
          <w:rFonts w:ascii="宋体" w:hAnsi="宋体"/>
          <w:color w:val="auto"/>
          <w:sz w:val="21"/>
          <w:szCs w:val="21"/>
        </w:rPr>
        <w:t>,造成其它施工单位工期延误,出现一次处罚1000元,为不影响总体进度,业主、</w:t>
      </w:r>
      <w:r>
        <w:rPr>
          <w:rFonts w:hint="eastAsia" w:ascii="宋体" w:hAnsi="宋体"/>
          <w:color w:val="auto"/>
          <w:sz w:val="21"/>
          <w:szCs w:val="21"/>
        </w:rPr>
        <w:t>监理有权另请其它单位进行施工</w:t>
      </w:r>
      <w:r>
        <w:rPr>
          <w:rFonts w:ascii="宋体" w:hAnsi="宋体"/>
          <w:color w:val="auto"/>
          <w:sz w:val="21"/>
          <w:szCs w:val="21"/>
        </w:rPr>
        <w:t>,费用从施工单位工程款中扣除。</w:t>
      </w:r>
    </w:p>
    <w:p w14:paraId="3C10157A">
      <w:pPr>
        <w:spacing w:line="360" w:lineRule="auto"/>
        <w:ind w:firstLine="420" w:firstLineChars="200"/>
        <w:contextualSpacing/>
        <w:rPr>
          <w:rFonts w:ascii="宋体" w:hAnsi="宋体"/>
          <w:color w:val="auto"/>
          <w:sz w:val="21"/>
          <w:szCs w:val="21"/>
        </w:rPr>
      </w:pPr>
      <w:r>
        <w:rPr>
          <w:rFonts w:ascii="宋体" w:hAnsi="宋体"/>
          <w:color w:val="auto"/>
          <w:sz w:val="21"/>
          <w:szCs w:val="21"/>
        </w:rPr>
        <w:t>(3)因施工方原因影响群众利益,造成负面影晌,导致群众堵工上访或新闻媒体曝光的,每发生一次罚款10000元。</w:t>
      </w:r>
    </w:p>
    <w:p w14:paraId="2E37C614">
      <w:pPr>
        <w:spacing w:line="360" w:lineRule="auto"/>
        <w:ind w:firstLine="420" w:firstLineChars="200"/>
        <w:contextualSpacing/>
        <w:rPr>
          <w:rFonts w:ascii="宋体" w:hAnsi="宋体"/>
          <w:color w:val="auto"/>
          <w:sz w:val="21"/>
          <w:szCs w:val="21"/>
        </w:rPr>
      </w:pPr>
      <w:r>
        <w:rPr>
          <w:rFonts w:ascii="宋体" w:hAnsi="宋体"/>
          <w:color w:val="auto"/>
          <w:sz w:val="21"/>
          <w:szCs w:val="21"/>
        </w:rPr>
        <w:t>(4)发现管理人员值班不在岗,每人次处罚100元。现场有人施工作业时专职安全员不在岗,每发现一次处罚100元。工序质量验收时,专职质检员不在岗,每发现一次处罚100元。特殊工种无上岗证违规操作者,每人次处罚100元。</w:t>
      </w:r>
    </w:p>
    <w:p w14:paraId="3645868D">
      <w:pPr>
        <w:spacing w:line="360" w:lineRule="auto"/>
        <w:ind w:firstLine="420" w:firstLineChars="200"/>
        <w:contextualSpacing/>
        <w:rPr>
          <w:rFonts w:ascii="宋体" w:hAnsi="宋体"/>
          <w:color w:val="auto"/>
          <w:sz w:val="21"/>
          <w:szCs w:val="21"/>
        </w:rPr>
      </w:pPr>
      <w:r>
        <w:rPr>
          <w:rFonts w:ascii="宋体" w:hAnsi="宋体"/>
          <w:color w:val="auto"/>
          <w:sz w:val="21"/>
          <w:szCs w:val="21"/>
        </w:rPr>
        <w:t>(5)现场项目经理、主要负责人必须每天在现场6小时以上,召开工程例会有关人员无故缺席的,有特殊情况需提前请假。违反规定,每人次每天处罚1000元。</w:t>
      </w:r>
    </w:p>
    <w:p w14:paraId="089818A5">
      <w:pPr>
        <w:spacing w:line="360" w:lineRule="auto"/>
        <w:ind w:firstLine="420" w:firstLineChars="200"/>
        <w:contextualSpacing/>
        <w:rPr>
          <w:rFonts w:ascii="宋体" w:hAnsi="宋体"/>
          <w:color w:val="auto"/>
          <w:sz w:val="21"/>
          <w:szCs w:val="21"/>
        </w:rPr>
      </w:pPr>
      <w:r>
        <w:rPr>
          <w:rFonts w:ascii="宋体" w:hAnsi="宋体"/>
          <w:color w:val="auto"/>
          <w:sz w:val="21"/>
          <w:szCs w:val="21"/>
        </w:rPr>
        <w:t>(6)施工单位需对进场材料及时报验,未经业主、</w:t>
      </w:r>
      <w:r>
        <w:rPr>
          <w:rFonts w:hint="eastAsia" w:ascii="宋体" w:hAnsi="宋体"/>
          <w:color w:val="auto"/>
          <w:sz w:val="21"/>
          <w:szCs w:val="21"/>
        </w:rPr>
        <w:t>监理单位验收合格擅自使用</w:t>
      </w:r>
      <w:r>
        <w:rPr>
          <w:rFonts w:ascii="宋体" w:hAnsi="宋体"/>
          <w:color w:val="auto"/>
          <w:sz w:val="21"/>
          <w:szCs w:val="21"/>
        </w:rPr>
        <w:t>,处罚责任单位1000元。工程材料便用劣质、冒牌材料,发现一</w:t>
      </w:r>
      <w:r>
        <w:rPr>
          <w:rFonts w:hint="eastAsia" w:ascii="宋体" w:hAnsi="宋体"/>
          <w:color w:val="auto"/>
          <w:sz w:val="21"/>
          <w:szCs w:val="21"/>
        </w:rPr>
        <w:t>次除按合同有关条款处罚外,再处罚责任单位3000元。</w:t>
      </w:r>
    </w:p>
    <w:p w14:paraId="5CC36BA8">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(7)施工方如果发现现场实物与图纸内容不符,需及时上报监理、业主</w:t>
      </w:r>
      <w:r>
        <w:rPr>
          <w:rFonts w:ascii="宋体" w:hAnsi="宋体"/>
          <w:color w:val="auto"/>
          <w:sz w:val="21"/>
          <w:szCs w:val="21"/>
        </w:rPr>
        <w:t>,严禁盲目施工,发现一次处罚责任单位2000元。</w:t>
      </w:r>
    </w:p>
    <w:p w14:paraId="4562902C">
      <w:pPr>
        <w:spacing w:line="360" w:lineRule="auto"/>
        <w:ind w:firstLine="420" w:firstLineChars="200"/>
        <w:contextualSpacing/>
        <w:rPr>
          <w:rFonts w:ascii="宋体" w:hAnsi="宋体"/>
          <w:color w:val="auto"/>
          <w:sz w:val="21"/>
          <w:szCs w:val="21"/>
        </w:rPr>
      </w:pPr>
      <w:r>
        <w:rPr>
          <w:rFonts w:ascii="宋体" w:hAnsi="宋体"/>
          <w:color w:val="auto"/>
          <w:sz w:val="21"/>
          <w:szCs w:val="21"/>
        </w:rPr>
        <w:t>(8)各单位做好现场成品保护工作,保护好自己和他人的工程成品,一经查实损害他人成品,按实价赔偿。若发现恶意破坏他人成品现象,发现一次按造成直接损失的3倍进行赔偿。</w:t>
      </w:r>
    </w:p>
    <w:p w14:paraId="101CA0B6">
      <w:pPr>
        <w:spacing w:line="360" w:lineRule="auto"/>
        <w:ind w:firstLine="420" w:firstLineChars="200"/>
        <w:contextualSpacing/>
        <w:rPr>
          <w:rFonts w:ascii="宋体" w:hAnsi="宋体"/>
          <w:color w:val="auto"/>
          <w:sz w:val="21"/>
          <w:szCs w:val="21"/>
        </w:rPr>
      </w:pPr>
      <w:r>
        <w:rPr>
          <w:rFonts w:ascii="宋体" w:hAnsi="宋体"/>
          <w:color w:val="auto"/>
          <w:sz w:val="21"/>
          <w:szCs w:val="21"/>
        </w:rPr>
        <w:t>(9)现场材料堆放严禁超过设计荷载值,发现一次处罚责任单位1000元。</w:t>
      </w:r>
    </w:p>
    <w:p w14:paraId="5B6C31DC">
      <w:pPr>
        <w:spacing w:line="360" w:lineRule="auto"/>
        <w:ind w:firstLine="420" w:firstLineChars="200"/>
        <w:contextualSpacing/>
        <w:rPr>
          <w:rFonts w:ascii="宋体" w:hAnsi="宋体"/>
          <w:color w:val="auto"/>
          <w:sz w:val="21"/>
          <w:szCs w:val="21"/>
        </w:rPr>
      </w:pPr>
      <w:r>
        <w:rPr>
          <w:rFonts w:ascii="宋体" w:hAnsi="宋体"/>
          <w:color w:val="auto"/>
          <w:sz w:val="21"/>
          <w:szCs w:val="21"/>
        </w:rPr>
        <w:t>(10)若工程被质量监督部门、安全监督部门或其它建筑主管部门通报批评,出现一次处罚责任单位5000元。</w:t>
      </w:r>
    </w:p>
    <w:p w14:paraId="725194AE">
      <w:pPr>
        <w:spacing w:line="360" w:lineRule="auto"/>
        <w:ind w:firstLine="420" w:firstLineChars="200"/>
        <w:contextualSpacing/>
        <w:rPr>
          <w:rFonts w:ascii="宋体" w:hAnsi="宋体"/>
          <w:color w:val="auto"/>
          <w:sz w:val="21"/>
          <w:szCs w:val="21"/>
        </w:rPr>
      </w:pPr>
      <w:r>
        <w:rPr>
          <w:rFonts w:ascii="宋体" w:hAnsi="宋体"/>
          <w:color w:val="auto"/>
          <w:sz w:val="21"/>
          <w:szCs w:val="21"/>
        </w:rPr>
        <w:t>(11)各施工单位应积极主动配合各类检查、观摩活动,由于现场工作未做到位导致不良后果,视情节严重情况,出现一次处罚责任单位200―500元。</w:t>
      </w:r>
    </w:p>
    <w:p w14:paraId="607E03CF">
      <w:pPr>
        <w:spacing w:line="360" w:lineRule="auto"/>
        <w:ind w:firstLine="420" w:firstLineChars="200"/>
        <w:contextualSpacing/>
        <w:rPr>
          <w:rFonts w:ascii="宋体" w:hAnsi="宋体"/>
          <w:color w:val="auto"/>
          <w:sz w:val="21"/>
          <w:szCs w:val="21"/>
        </w:rPr>
      </w:pPr>
      <w:r>
        <w:rPr>
          <w:rFonts w:ascii="宋体" w:hAnsi="宋体"/>
          <w:color w:val="auto"/>
          <w:sz w:val="21"/>
          <w:szCs w:val="21"/>
        </w:rPr>
        <w:t>(12)不服从业主、</w:t>
      </w:r>
      <w:r>
        <w:rPr>
          <w:rFonts w:hint="eastAsia" w:ascii="宋体" w:hAnsi="宋体"/>
          <w:color w:val="auto"/>
          <w:sz w:val="21"/>
          <w:szCs w:val="21"/>
        </w:rPr>
        <w:t>监理人员管理</w:t>
      </w:r>
      <w:r>
        <w:rPr>
          <w:rFonts w:ascii="宋体" w:hAnsi="宋体"/>
          <w:color w:val="auto"/>
          <w:sz w:val="21"/>
          <w:szCs w:val="21"/>
        </w:rPr>
        <w:t>,出现漫骂、侮辱、殴打现场业主、</w:t>
      </w:r>
      <w:r>
        <w:rPr>
          <w:rFonts w:hint="eastAsia" w:ascii="宋体" w:hAnsi="宋体"/>
          <w:color w:val="auto"/>
          <w:sz w:val="21"/>
          <w:szCs w:val="21"/>
        </w:rPr>
        <w:t>监理人员</w:t>
      </w:r>
      <w:r>
        <w:rPr>
          <w:rFonts w:ascii="宋体" w:hAnsi="宋体"/>
          <w:color w:val="auto"/>
          <w:sz w:val="21"/>
          <w:szCs w:val="21"/>
        </w:rPr>
        <w:t>,发现一次处罚1000元,责任人员限期退场。</w:t>
      </w:r>
    </w:p>
    <w:p w14:paraId="402F06BB">
      <w:pPr>
        <w:spacing w:line="360" w:lineRule="auto"/>
        <w:ind w:firstLine="420" w:firstLineChars="200"/>
        <w:contextualSpacing/>
        <w:rPr>
          <w:rFonts w:ascii="宋体" w:hAnsi="宋体"/>
          <w:color w:val="auto"/>
          <w:sz w:val="21"/>
          <w:szCs w:val="21"/>
        </w:rPr>
      </w:pPr>
      <w:r>
        <w:rPr>
          <w:rFonts w:ascii="宋体" w:hAnsi="宋体"/>
          <w:color w:val="auto"/>
          <w:sz w:val="21"/>
          <w:szCs w:val="21"/>
        </w:rPr>
        <w:t>(13)上道工序未经业主、</w:t>
      </w:r>
      <w:r>
        <w:rPr>
          <w:rFonts w:hint="eastAsia" w:ascii="宋体" w:hAnsi="宋体"/>
          <w:color w:val="auto"/>
          <w:sz w:val="21"/>
          <w:szCs w:val="21"/>
        </w:rPr>
        <w:t>监理验收合格</w:t>
      </w:r>
      <w:r>
        <w:rPr>
          <w:rFonts w:ascii="宋体" w:hAnsi="宋体"/>
          <w:color w:val="auto"/>
          <w:sz w:val="21"/>
          <w:szCs w:val="21"/>
        </w:rPr>
        <w:t>,擅自进入下道工序施工,隐蔽工程未经业主、</w:t>
      </w:r>
      <w:r>
        <w:rPr>
          <w:rFonts w:hint="eastAsia" w:ascii="宋体" w:hAnsi="宋体"/>
          <w:color w:val="auto"/>
          <w:sz w:val="21"/>
          <w:szCs w:val="21"/>
        </w:rPr>
        <w:t>监理检查合格擅白隐蔽</w:t>
      </w:r>
      <w:r>
        <w:rPr>
          <w:rFonts w:ascii="宋体" w:hAnsi="宋体"/>
          <w:color w:val="auto"/>
          <w:sz w:val="21"/>
          <w:szCs w:val="21"/>
        </w:rPr>
        <w:t>,进行剥露检验,质量不符合要求,返工费用由施工单位承担,出现一次处罚1000元。</w:t>
      </w:r>
    </w:p>
    <w:p w14:paraId="1D590A0F">
      <w:pPr>
        <w:spacing w:line="360" w:lineRule="auto"/>
        <w:ind w:firstLine="420" w:firstLineChars="200"/>
        <w:contextualSpacing/>
        <w:rPr>
          <w:rFonts w:ascii="宋体" w:hAnsi="宋体"/>
          <w:color w:val="auto"/>
          <w:sz w:val="21"/>
          <w:szCs w:val="21"/>
        </w:rPr>
      </w:pPr>
      <w:r>
        <w:rPr>
          <w:rFonts w:ascii="宋体" w:hAnsi="宋体"/>
          <w:color w:val="auto"/>
          <w:sz w:val="21"/>
          <w:szCs w:val="21"/>
        </w:rPr>
        <w:t>(14)</w:t>
      </w:r>
      <w:r>
        <w:rPr>
          <w:rFonts w:hint="eastAsia" w:ascii="宋体" w:hAnsi="宋体"/>
          <w:color w:val="auto"/>
          <w:sz w:val="21"/>
          <w:szCs w:val="21"/>
        </w:rPr>
        <w:t>监理、业主如发现的工程施工质量、安全问题</w:t>
      </w:r>
      <w:r>
        <w:rPr>
          <w:rFonts w:ascii="宋体" w:hAnsi="宋体"/>
          <w:color w:val="auto"/>
          <w:sz w:val="21"/>
          <w:szCs w:val="21"/>
        </w:rPr>
        <w:t>,第一次以书面形式告知并限期整改,在期限内未能及时整改到位,发现一次处罚200元,第二次告知仍不积极整改,发现一次处罚500元。</w:t>
      </w:r>
    </w:p>
    <w:p w14:paraId="0A475C8D">
      <w:pPr>
        <w:spacing w:line="360" w:lineRule="auto"/>
        <w:ind w:firstLine="420" w:firstLineChars="200"/>
        <w:contextualSpacing/>
        <w:rPr>
          <w:rFonts w:ascii="宋体" w:hAnsi="宋体"/>
          <w:color w:val="auto"/>
          <w:sz w:val="21"/>
          <w:szCs w:val="21"/>
        </w:rPr>
      </w:pPr>
      <w:r>
        <w:rPr>
          <w:rFonts w:ascii="宋体" w:hAnsi="宋体"/>
          <w:color w:val="auto"/>
          <w:sz w:val="21"/>
          <w:szCs w:val="21"/>
        </w:rPr>
        <w:t>(15)各施工单位在施工时,未经业主、</w:t>
      </w:r>
      <w:r>
        <w:rPr>
          <w:rFonts w:hint="eastAsia" w:ascii="宋体" w:hAnsi="宋体"/>
          <w:color w:val="auto"/>
          <w:sz w:val="21"/>
          <w:szCs w:val="21"/>
        </w:rPr>
        <w:t>监理同意</w:t>
      </w:r>
      <w:r>
        <w:rPr>
          <w:rFonts w:ascii="宋体" w:hAnsi="宋体"/>
          <w:color w:val="auto"/>
          <w:sz w:val="21"/>
          <w:szCs w:val="21"/>
        </w:rPr>
        <w:t>,不得擅自</w:t>
      </w:r>
      <w:r>
        <w:rPr>
          <w:rFonts w:hint="eastAsia" w:ascii="宋体" w:hAnsi="宋体"/>
          <w:color w:val="auto"/>
          <w:sz w:val="21"/>
          <w:szCs w:val="21"/>
        </w:rPr>
        <w:t>停水、停电、开挖道路、阻碍交通等影响其它单位施工行为。如出现上述问题,每发现一次罚款1000元,另再追究造成的停工间接损失。</w:t>
      </w:r>
    </w:p>
    <w:p w14:paraId="014E579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3、安全检查方面:</w:t>
      </w:r>
    </w:p>
    <w:p w14:paraId="18977B5C">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(1)在危险部位未设置明显的安全警示标志及防范措施,发现一处罚款50元。</w:t>
      </w:r>
    </w:p>
    <w:p w14:paraId="00C3DA3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(2)对危险性较大的部位,施工前未编制专项施工方案或方案未经施工单位技术负责人及总监审批擅自施工,每发现一次处罚500元。</w:t>
      </w:r>
    </w:p>
    <w:p w14:paraId="3644230E">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(3)分部分项工程施工前未对施工班组、作业人员进行安全技术交底,发现一次处罚200元。</w:t>
      </w:r>
    </w:p>
    <w:p w14:paraId="0B5CCEFD">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(4)施工负责人对工地现场安全未执行定期检查制度或检查无记录,发现一次处罚200元。</w:t>
      </w:r>
    </w:p>
    <w:p w14:paraId="0B7053D5">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(5)无安全教育制度，新进场人员未进行三级安全教育，发现一次处罚100元。</w:t>
      </w:r>
    </w:p>
    <w:p w14:paraId="751E92A5">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(6)发现违章操作、野蛮施工或强令冒险作业,每发现一次处罚500元。</w:t>
      </w:r>
    </w:p>
    <w:p w14:paraId="506537E3">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(7)严禁高空向下抛物、倾倒垃圾,每发现一次处罚200—500元，若造成人员伤害及财产损失,由当事人承担相关责任。</w:t>
      </w:r>
    </w:p>
    <w:p w14:paraId="1C5B3D61">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(8)“三宝”使用不当，口”“五临边”防护不到位，每发现一次处罚100元(其中不戴安全帽,发现一人次处罚50元)。</w:t>
      </w:r>
    </w:p>
    <w:p w14:paraId="74BFC508">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(9)如发现违反用电安全情况时每次处罚100元。由于安全用电措施不落实、用电不规范导致不良后果,除按相关规定追究责任外,视情节轻重罚款200—2000元。</w:t>
      </w:r>
    </w:p>
    <w:p w14:paraId="0DF7AC83">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(10)脚手架搭设必须进行设计计算，编制搭拆方案，满足规范要求。严禁施工荷载超过规定要求。每发现一处不合格处罚500元。</w:t>
      </w:r>
    </w:p>
    <w:p w14:paraId="0FB7EF7C">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(11)电梯应指定专人进行操作,严禁电梯超荷载运行,按规定做好交接班。违反电梯使用规定,每发现一处不合格处罚200—500元。谁损坏谁赔偿。</w:t>
      </w:r>
    </w:p>
    <w:p w14:paraId="6648126F">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(12)由于焊接火花、明火、吸烟、电火花等造成施工现场失火事件，除追究当事人责任外,再视情节轻重罚款500—2000元，并按造成直接损失进行赔偿。</w:t>
      </w:r>
    </w:p>
    <w:p w14:paraId="7B7E94CF">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(13)因违反其它安全规定造成不良后果，由违反单位及责任者承担全部责任。</w:t>
      </w:r>
    </w:p>
    <w:p w14:paraId="36CE78A2">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由业主、监理在日常工作中进行监督检查，</w:t>
      </w:r>
      <w:r>
        <w:rPr>
          <w:rFonts w:ascii="宋体" w:hAnsi="宋体"/>
          <w:color w:val="auto"/>
          <w:sz w:val="21"/>
          <w:szCs w:val="21"/>
        </w:rPr>
        <w:t>同时业主、</w:t>
      </w:r>
      <w:r>
        <w:rPr>
          <w:rFonts w:hint="eastAsia" w:ascii="宋体" w:hAnsi="宋体"/>
          <w:color w:val="auto"/>
          <w:sz w:val="21"/>
          <w:szCs w:val="21"/>
        </w:rPr>
        <w:t>监理不定期组织施工单位检查，</w:t>
      </w:r>
      <w:r>
        <w:rPr>
          <w:rFonts w:ascii="宋体" w:hAnsi="宋体"/>
          <w:color w:val="auto"/>
          <w:sz w:val="21"/>
          <w:szCs w:val="21"/>
        </w:rPr>
        <w:t>一经发现上述情况由业主、</w:t>
      </w:r>
      <w:r>
        <w:rPr>
          <w:rFonts w:hint="eastAsia" w:ascii="宋体" w:hAnsi="宋体"/>
          <w:color w:val="auto"/>
          <w:sz w:val="21"/>
          <w:szCs w:val="21"/>
        </w:rPr>
        <w:t>监理按规定进行处罚</w:t>
      </w:r>
      <w:r>
        <w:rPr>
          <w:rFonts w:ascii="宋体" w:hAnsi="宋体"/>
          <w:color w:val="auto"/>
          <w:sz w:val="21"/>
          <w:szCs w:val="21"/>
        </w:rPr>
        <w:t>,所有罚款在施工单位履约保证金或工程款中扣除。(本规定自公布之日起执行)</w:t>
      </w:r>
    </w:p>
    <w:p w14:paraId="11336069">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附件：</w:t>
      </w:r>
    </w:p>
    <w:p w14:paraId="57236D24">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成品地面、门窗成品保护要求：</w:t>
      </w:r>
    </w:p>
    <w:p w14:paraId="487FACF3">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要求地面开槽、凿洞须经业主、监理同意方可施工。</w:t>
      </w:r>
    </w:p>
    <w:p w14:paraId="6E562DE8">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成品地面必须有覆盖物保护措施。</w:t>
      </w:r>
    </w:p>
    <w:p w14:paraId="7D03192C">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在成品地面上不允许进行切割、焊接、绞丝等施工作业。</w:t>
      </w:r>
    </w:p>
    <w:p w14:paraId="3E4707AA">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铁梯、脚手架等必须包护脚。</w:t>
      </w:r>
    </w:p>
    <w:p w14:paraId="6C73710C">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地面防止被油污浸入污染。</w:t>
      </w:r>
    </w:p>
    <w:p w14:paraId="041AAA27">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地面、门窗不准硬物、重物撞击及利物损伤，造成损坏或变形。</w:t>
      </w:r>
    </w:p>
    <w:p w14:paraId="5CD33D78">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窗框上不允许搁置重物。</w:t>
      </w:r>
    </w:p>
    <w:p w14:paraId="302B1402">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幕墙及窗框防止被污染，必须有保护措施。</w:t>
      </w:r>
    </w:p>
    <w:p w14:paraId="1E59B5DD">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玻璃及易碎品防止损坏。</w:t>
      </w:r>
    </w:p>
    <w:p w14:paraId="4A082860">
      <w:pPr>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防止玻璃被火花烧伤。</w:t>
      </w:r>
    </w:p>
    <w:p w14:paraId="21CD4B38">
      <w:pPr>
        <w:spacing w:line="360" w:lineRule="auto"/>
        <w:ind w:firstLine="420" w:firstLineChars="200"/>
        <w:contextualSpacing/>
        <w:rPr>
          <w:rFonts w:ascii="宋体" w:hAnsi="宋体"/>
          <w:color w:val="auto"/>
          <w:sz w:val="24"/>
          <w:szCs w:val="24"/>
        </w:rPr>
      </w:pPr>
      <w:r>
        <w:rPr>
          <w:rFonts w:hint="eastAsia" w:ascii="宋体" w:hAnsi="宋体"/>
          <w:color w:val="auto"/>
          <w:sz w:val="21"/>
          <w:szCs w:val="21"/>
        </w:rPr>
        <w:t>地面、门窗成品保护不到位，执行《施工场地管理规定》2、（8）条。</w:t>
      </w:r>
    </w:p>
    <w:p w14:paraId="47B7F1A3">
      <w:pPr>
        <w:snapToGrid w:val="0"/>
        <w:spacing w:before="120" w:beforeLines="50" w:after="120" w:afterLines="50" w:line="440" w:lineRule="exact"/>
        <w:ind w:left="594" w:leftChars="283" w:right="409" w:rightChars="195"/>
        <w:contextualSpacing/>
        <w:jc w:val="center"/>
        <w:rPr>
          <w:rFonts w:ascii="仿宋_GB2312" w:hAnsi="仿宋" w:eastAsia="仿宋_GB2312"/>
          <w:b/>
          <w:color w:val="auto"/>
          <w:sz w:val="24"/>
          <w:szCs w:val="24"/>
        </w:rPr>
      </w:pPr>
    </w:p>
    <w:p w14:paraId="3E805BE7">
      <w:pPr>
        <w:snapToGrid w:val="0"/>
        <w:spacing w:before="120" w:beforeLines="50" w:after="120" w:afterLines="50" w:line="440" w:lineRule="exact"/>
        <w:ind w:right="409" w:rightChars="195"/>
        <w:contextualSpacing/>
        <w:outlineLvl w:val="1"/>
        <w:rPr>
          <w:rFonts w:ascii="宋体" w:hAnsi="宋体"/>
          <w:b/>
          <w:color w:val="auto"/>
          <w:sz w:val="28"/>
          <w:szCs w:val="28"/>
        </w:rPr>
      </w:pPr>
      <w:r>
        <w:rPr>
          <w:rFonts w:hint="eastAsia" w:ascii="仿宋_GB2312" w:hAnsi="仿宋" w:eastAsia="仿宋_GB2312"/>
          <w:b/>
          <w:color w:val="auto"/>
          <w:sz w:val="24"/>
          <w:szCs w:val="24"/>
        </w:rPr>
        <w:br w:type="page"/>
      </w:r>
      <w:r>
        <w:rPr>
          <w:rFonts w:hint="eastAsia" w:ascii="宋体" w:hAnsi="宋体"/>
          <w:b/>
          <w:color w:val="auto"/>
          <w:sz w:val="28"/>
          <w:szCs w:val="28"/>
        </w:rPr>
        <w:t>附件2</w:t>
      </w:r>
    </w:p>
    <w:p w14:paraId="192DD9E6">
      <w:pPr>
        <w:spacing w:before="120" w:beforeLines="50" w:after="120" w:afterLines="50" w:line="440" w:lineRule="exact"/>
        <w:ind w:left="447" w:leftChars="213" w:right="409" w:rightChars="195" w:firstLine="424" w:firstLineChars="151"/>
        <w:jc w:val="center"/>
        <w:rPr>
          <w:rFonts w:ascii="宋体" w:hAnsi="宋体"/>
          <w:color w:val="auto"/>
          <w:sz w:val="28"/>
          <w:szCs w:val="28"/>
        </w:rPr>
      </w:pPr>
      <w:r>
        <w:rPr>
          <w:rFonts w:hint="eastAsia" w:ascii="宋体" w:hAnsi="宋体"/>
          <w:b/>
          <w:color w:val="auto"/>
          <w:sz w:val="28"/>
          <w:szCs w:val="28"/>
        </w:rPr>
        <w:t>建设工程安全文明施工管理办法</w:t>
      </w:r>
    </w:p>
    <w:p w14:paraId="287844F8">
      <w:pPr>
        <w:snapToGrid w:val="0"/>
        <w:spacing w:line="360" w:lineRule="auto"/>
        <w:ind w:firstLine="420" w:firstLineChars="200"/>
        <w:contextualSpacing/>
        <w:rPr>
          <w:rFonts w:hint="eastAsia" w:ascii="宋体" w:hAnsi="宋体"/>
          <w:color w:val="auto"/>
          <w:sz w:val="21"/>
          <w:szCs w:val="21"/>
        </w:rPr>
      </w:pPr>
    </w:p>
    <w:p w14:paraId="61277CAE">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第一章总则</w:t>
      </w:r>
    </w:p>
    <w:p w14:paraId="3CCC79CC">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第一条为了切实加强医院基本建设安全文明施工管理,根据建设部有关安全文明施工的规定,结合我院实际,制定本管理办法。</w:t>
      </w:r>
    </w:p>
    <w:p w14:paraId="08EC0936">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第二条凡在院区范围内从事有基建办负责管理的基本建设、改扩建及维修工程的施工单位</w:t>
      </w:r>
      <w:r>
        <w:rPr>
          <w:rFonts w:ascii="宋体" w:hAnsi="宋体"/>
          <w:color w:val="auto"/>
          <w:sz w:val="21"/>
          <w:szCs w:val="21"/>
        </w:rPr>
        <w:t>,必须遵守本办法。</w:t>
      </w:r>
    </w:p>
    <w:p w14:paraId="03D98815">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第三条施工单位、监理单位是安全文明施工的责任主体</w:t>
      </w:r>
      <w:r>
        <w:rPr>
          <w:rFonts w:ascii="宋体" w:hAnsi="宋体"/>
          <w:color w:val="auto"/>
          <w:sz w:val="21"/>
          <w:szCs w:val="21"/>
        </w:rPr>
        <w:t>,对其施工、</w:t>
      </w:r>
      <w:r>
        <w:rPr>
          <w:rFonts w:hint="eastAsia" w:ascii="宋体" w:hAnsi="宋体"/>
          <w:color w:val="auto"/>
          <w:sz w:val="21"/>
          <w:szCs w:val="21"/>
        </w:rPr>
        <w:t>监理范围内工程的安全文明施工负责。基建办有关管理人员负协助管理责任。</w:t>
      </w:r>
    </w:p>
    <w:p w14:paraId="353A6E42">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第四条施工单位、监理单位及基建办指派的现场管理人员要对安全文明施工采取切实可行的措施</w:t>
      </w:r>
      <w:r>
        <w:rPr>
          <w:rFonts w:ascii="宋体" w:hAnsi="宋体"/>
          <w:color w:val="auto"/>
          <w:sz w:val="21"/>
          <w:szCs w:val="21"/>
        </w:rPr>
        <w:t>,严格按照建设部有关安全文明施工的规定组织施工,防止安全事故和不文</w:t>
      </w:r>
      <w:r>
        <w:rPr>
          <w:rFonts w:hint="eastAsia" w:ascii="宋体" w:hAnsi="宋体"/>
          <w:color w:val="auto"/>
          <w:sz w:val="21"/>
          <w:szCs w:val="21"/>
        </w:rPr>
        <w:t>明行为的发生。具体条款参照建设部最新规定相关条款执行。</w:t>
      </w:r>
    </w:p>
    <w:p w14:paraId="2F6B64DA">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第二章施工现场安全文明管理</w:t>
      </w:r>
    </w:p>
    <w:p w14:paraId="681568F6">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第五条施工场地四周围墙设置高度应不低于1.8米,在主要路段工地施工的围墙设置应不低于2.5米。围墙须沿工地四周连续设置,并建有门楼和值班室。围墙及门楼材料要坚固,做到稳定、整洁、美观。</w:t>
      </w:r>
    </w:p>
    <w:p w14:paraId="3A9B8A89">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第六条施工门楼前必须设置企业标志,新建或改扩建项目平面布置图、效果图,以及工程概况、组织管理网络、文明施工管理、安全生产牌。十项安全技术措施，消防须知牌等各种现场管理制度。</w:t>
      </w:r>
    </w:p>
    <w:p w14:paraId="43DE6135">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第七条施工现场必须配备责任心强的值班人员,实行封闭式管理。施工作业人员和工作人员进出施工现场必须佩戴工作卡,非现场工作人员未经批准不得擅自进入施工现场。</w:t>
      </w:r>
    </w:p>
    <w:p w14:paraId="1D6D494D">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第八条现场施工人员及其工作人员必须佩戴安全帽。同时现场应配备一定数量的安全帽,以便供外来参观和检查人员使用。</w:t>
      </w:r>
    </w:p>
    <w:p w14:paraId="401DC550">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第九条主要出入口和通道口应设置有顶盖的安全防护,临近道路和其它建筑物的外墙立面或有其它要求的外墙立面应采取封闭施工。</w:t>
      </w:r>
    </w:p>
    <w:p w14:paraId="20BE81CF">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第十条现场施工必须严格遵守国家有关安全文明施工的规定和规范要求，严禁违规操作。</w:t>
      </w:r>
    </w:p>
    <w:p w14:paraId="4DAA425A">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第十一条加强现场成品保护和周边环境保护。施工单位是施工现场成品的安全责任主体,要派专人看守,基建办应予以协助。施工单位的施工人员在施工过程中不得破坏和损坏周边环境。包括道路和树木。</w:t>
      </w:r>
    </w:p>
    <w:p w14:paraId="371EE88D">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第十二条施工现场道路和材料堆放场地必须硬化,排水通畅,保证施工现场无积水。</w:t>
      </w:r>
    </w:p>
    <w:p w14:paraId="4636C3AD">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三条施工材料、机具及设备应按平面布置图合理摆放在施工现场内,不得混合堆放,且标识正确、清楚。易燃易爆及危险品要严格按规定分类入库管理。无论是施工材料还是施工用机具与设备,均不得随意摆放在场外。</w:t>
      </w:r>
    </w:p>
    <w:p w14:paraId="55E297F5">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四条对于单体建筑工程的施工现场,其道路必须畅通无阻,现场出入口处道路必须设置车辆冲洗槽、沉淀池,配备冲洗设备。出入车辆必须冲洗干净,保证车辆不带泥土上路。对于难以保证车辆不带泥土上路的工程,施工单位在施工过程中要派专人及时清扫路面,保持路面整洁、干净。</w:t>
      </w:r>
    </w:p>
    <w:p w14:paraId="4DDC0D8D">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第十五条施工现场的建筑废料和垃圾要及时清理外运,做到工完料尽场清。严格按要求运至基建办指定地点。严禁未经批准随处乱倒建筑废料和垃圾。</w:t>
      </w:r>
    </w:p>
    <w:p w14:paraId="39932AA3">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第十六条生活区必须与施工作业区分开。正在施工的工程不得用作施工单位职工宿舍、项目部办公室。生活临时用房要按基建办指定地点新建,工程完工后应将其场地清理干净。</w:t>
      </w:r>
    </w:p>
    <w:p w14:paraId="42DB3ABC">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七条施工现场要采取防粉尘、防噪音、防灯光措施,严禁在施工现场焚烧有毒有害物质,一般不得在晚上6点至次日凌晨6点时段内施工，中午避让病人休息时间。特殊情况须经基建办领导批准后，向环保部门办理夜间施工相关手续。</w:t>
      </w:r>
    </w:p>
    <w:p w14:paraId="1DFD3B33">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第十八条施工现场应制定防火制度,落实防火责任人。施工单位要认真贯彻“以防为主,防消结合”的方针。现场要配足必备的灭火器材,提供充足的消防水源,并建有临时休息室,严禁作业人员乱扔烟头。</w:t>
      </w:r>
    </w:p>
    <w:p w14:paraId="23CE14A7">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第十九条施工现场应设置自冲式男、女厕所,严禁作业人员随地大小便。</w:t>
      </w:r>
    </w:p>
    <w:p w14:paraId="276173DF">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第三章安全文明综合治理</w:t>
      </w:r>
    </w:p>
    <w:p w14:paraId="0D2BE8E0">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第二十条施工单位的所有人员必须遵守国家的法律法规。各施工单位应定期对其职工加强安全文明教育和遵纪守法教育。</w:t>
      </w:r>
    </w:p>
    <w:p w14:paraId="4BC211E6">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第二十一条施工单位应建立安全文明管理制度,采取切实可行的安全保卫和文明管理措施,落实责任人,坚决杜绝不安全和不文明行为的发生,严禁打架斗殴、赌博、行窃等违法违纪行为。</w:t>
      </w:r>
    </w:p>
    <w:p w14:paraId="01B2E2C4">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第二十二条加强施工人员生活区管理。生活区的食堂、厕所与垃圾箱应保持一定的距离。生活区与现场作业区相邻时,场内须设置带盖的垃圾桶。生活垃圾与建筑垃圾应分开堆放和处置。</w:t>
      </w:r>
    </w:p>
    <w:p w14:paraId="56A7C814">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第二十三条加强施工人员宿舍内用电管理，宿舍内严禁使用大功率电器。</w:t>
      </w:r>
    </w:p>
    <w:p w14:paraId="146795A3">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第二十四条施工单位所有车辆不得在院区内高速行驶和鸣号,所有建筑材料运输车辆不得在院区路道路上行驶,因施工需要,须经基建办领导批准。</w:t>
      </w:r>
    </w:p>
    <w:p w14:paraId="2A141150">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第四章处罚措施</w:t>
      </w:r>
    </w:p>
    <w:p w14:paraId="3B527406">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第二十五条监理单位和基建办指派现场的管理人员要加强施工现场安全文明施工的管理和监督</w:t>
      </w:r>
      <w:r>
        <w:rPr>
          <w:rFonts w:ascii="宋体" w:hAnsi="宋体"/>
          <w:color w:val="auto"/>
          <w:sz w:val="21"/>
          <w:szCs w:val="21"/>
        </w:rPr>
        <w:t>,对施工单位违反本办法的规定和不安全、不文明的行为应提出处理处罚建议,经基建办主管领导批准执行。</w:t>
      </w:r>
    </w:p>
    <w:p w14:paraId="21E8E115">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第二十六条对于任何处理处罚决定</w:t>
      </w:r>
      <w:r>
        <w:rPr>
          <w:rFonts w:ascii="宋体" w:hAnsi="宋体"/>
          <w:color w:val="auto"/>
          <w:sz w:val="21"/>
          <w:szCs w:val="21"/>
        </w:rPr>
        <w:t>,基建办应出据处理处罚通知书。通知书一式五份,施工单位、处办公室、现场管理人员、</w:t>
      </w:r>
      <w:r>
        <w:rPr>
          <w:rFonts w:hint="eastAsia" w:ascii="宋体" w:hAnsi="宋体"/>
          <w:color w:val="auto"/>
          <w:sz w:val="21"/>
          <w:szCs w:val="21"/>
        </w:rPr>
        <w:t>监理公司、基建办主管领导各一份。对于经济处罚决定</w:t>
      </w:r>
      <w:r>
        <w:rPr>
          <w:rFonts w:ascii="宋体" w:hAnsi="宋体"/>
          <w:color w:val="auto"/>
          <w:sz w:val="21"/>
          <w:szCs w:val="21"/>
        </w:rPr>
        <w:t>,其处理处罚通知书应另加一份送校基建财务科,由校基建财务科从被处罚单位工程款项中扣减其处罚款。</w:t>
      </w:r>
    </w:p>
    <w:p w14:paraId="1FC9476A">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第二十七条有下列行为之一者,应给予告诫整改、责令停工整顿、罚款等处理处罚。情节严重者送交司法机关,追究刑事责任。</w:t>
      </w:r>
    </w:p>
    <w:p w14:paraId="4DD51D0A">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(一)施工现场围墙及安全保护设施不符合本管理办法规定的规范要求,进行告诫整改或责令停工整顿,必要时应进行经济处罚。</w:t>
      </w:r>
    </w:p>
    <w:p w14:paraId="11E05054">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(二)现场施工人员违反施工管理规定和施工操作规范,在告诫整改不听的情况下,处以100—500元的罚款。</w:t>
      </w:r>
    </w:p>
    <w:p w14:paraId="6A686925">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(三)施工人员在施工过程中破坏或损坏周边环境、应保护成品,除赔偿损失外,处以200—600元的罚款。</w:t>
      </w:r>
    </w:p>
    <w:p w14:paraId="504C5A26">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(四)施工车辆未经清洗上路行驶,污染路面而未及时清扫干净,除接受城管部门处罚外，来院再处以1000—5000元的罚款。</w:t>
      </w:r>
    </w:p>
    <w:p w14:paraId="0EACE9FE">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(五)施工单位对职工管理不严,出现打架斗殴、盗窃、赌博等违纪违法行为,轻则告诫整改和进行经济处罚,发现一起可处以500—1000元的罚款。重则移交司法机关追究刑事责任。</w:t>
      </w:r>
    </w:p>
    <w:p w14:paraId="3FFAE5EB">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(六)未经批准,其建筑材料运输车辆和施工车辆擅自进入院区道路行驶,处以500—1000元的罚款。</w:t>
      </w:r>
    </w:p>
    <w:p w14:paraId="4EAE3702">
      <w:pPr>
        <w:snapToGri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(七)违反本办法的其它规定,经教育不改者,可处以200—1000元的罚款。</w:t>
      </w:r>
    </w:p>
    <w:p w14:paraId="4A7A3F6C">
      <w:pPr>
        <w:pStyle w:val="7"/>
        <w:adjustRightInd w:val="0"/>
        <w:snapToGrid w:val="0"/>
        <w:spacing w:line="360" w:lineRule="auto"/>
        <w:ind w:firstLine="420" w:firstLineChars="200"/>
        <w:jc w:val="left"/>
        <w:rPr>
          <w:rFonts w:hAnsi="宋体" w:cs="仿宋"/>
          <w:snapToGrid w:val="0"/>
          <w:color w:val="auto"/>
          <w:sz w:val="21"/>
          <w:szCs w:val="21"/>
        </w:rPr>
      </w:pPr>
    </w:p>
    <w:p w14:paraId="10CCDB2A">
      <w:pPr>
        <w:tabs>
          <w:tab w:val="left" w:pos="0"/>
          <w:tab w:val="left" w:pos="993"/>
          <w:tab w:val="left" w:pos="1134"/>
        </w:tabs>
        <w:adjustRightInd w:val="0"/>
        <w:snapToGrid w:val="0"/>
        <w:spacing w:line="360" w:lineRule="auto"/>
        <w:rPr>
          <w:rFonts w:eastAsia="黑体"/>
          <w:b/>
          <w:snapToGrid w:val="0"/>
          <w:color w:val="auto"/>
          <w:sz w:val="32"/>
        </w:rPr>
      </w:pPr>
    </w:p>
    <w:p w14:paraId="50000C52">
      <w:pPr>
        <w:tabs>
          <w:tab w:val="left" w:pos="0"/>
          <w:tab w:val="left" w:pos="993"/>
          <w:tab w:val="left" w:pos="1134"/>
        </w:tabs>
        <w:adjustRightInd w:val="0"/>
        <w:snapToGrid w:val="0"/>
        <w:spacing w:line="360" w:lineRule="auto"/>
        <w:rPr>
          <w:rFonts w:eastAsia="黑体"/>
          <w:b/>
          <w:snapToGrid w:val="0"/>
          <w:color w:val="auto"/>
          <w:sz w:val="32"/>
        </w:rPr>
      </w:pPr>
    </w:p>
    <w:p w14:paraId="0C2F7B1B">
      <w:pPr>
        <w:tabs>
          <w:tab w:val="left" w:pos="0"/>
          <w:tab w:val="left" w:pos="993"/>
          <w:tab w:val="left" w:pos="1134"/>
        </w:tabs>
        <w:adjustRightInd w:val="0"/>
        <w:snapToGrid w:val="0"/>
        <w:spacing w:line="360" w:lineRule="auto"/>
        <w:rPr>
          <w:rFonts w:eastAsia="黑体"/>
          <w:b/>
          <w:snapToGrid w:val="0"/>
          <w:color w:val="auto"/>
          <w:sz w:val="32"/>
        </w:rPr>
      </w:pPr>
    </w:p>
    <w:p w14:paraId="6519EB80">
      <w:pPr>
        <w:tabs>
          <w:tab w:val="left" w:pos="0"/>
          <w:tab w:val="left" w:pos="993"/>
          <w:tab w:val="left" w:pos="1134"/>
        </w:tabs>
        <w:adjustRightInd w:val="0"/>
        <w:snapToGrid w:val="0"/>
        <w:spacing w:line="360" w:lineRule="auto"/>
        <w:jc w:val="center"/>
        <w:outlineLvl w:val="1"/>
        <w:rPr>
          <w:b/>
          <w:bCs/>
          <w:color w:val="auto"/>
          <w:sz w:val="32"/>
          <w:szCs w:val="32"/>
        </w:rPr>
      </w:pPr>
      <w:r>
        <w:rPr>
          <w:rFonts w:eastAsia="黑体"/>
          <w:b/>
          <w:snapToGrid w:val="0"/>
          <w:color w:val="auto"/>
          <w:sz w:val="32"/>
        </w:rPr>
        <w:br w:type="page"/>
      </w:r>
      <w:r>
        <w:rPr>
          <w:rFonts w:hint="eastAsia"/>
          <w:b/>
          <w:bCs/>
          <w:color w:val="auto"/>
          <w:sz w:val="32"/>
          <w:szCs w:val="32"/>
        </w:rPr>
        <w:t>工程质量保修书</w:t>
      </w:r>
    </w:p>
    <w:p w14:paraId="7CF42AED">
      <w:pPr>
        <w:pStyle w:val="22"/>
        <w:snapToGrid w:val="0"/>
        <w:spacing w:before="0" w:after="0" w:line="360" w:lineRule="auto"/>
        <w:ind w:left="0" w:right="0" w:firstLine="420" w:firstLineChars="200"/>
        <w:contextualSpacing/>
        <w:rPr>
          <w:rFonts w:hint="eastAsia" w:ascii="宋体" w:hAnsi="宋体"/>
          <w:color w:val="auto"/>
          <w:sz w:val="21"/>
          <w:szCs w:val="21"/>
        </w:rPr>
      </w:pPr>
    </w:p>
    <w:p w14:paraId="2797E917">
      <w:pPr>
        <w:pStyle w:val="22"/>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olor w:val="auto"/>
          <w:sz w:val="21"/>
          <w:szCs w:val="21"/>
        </w:rPr>
        <w:t>发包人</w:t>
      </w:r>
      <w:r>
        <w:rPr>
          <w:rFonts w:ascii="宋体" w:hAnsi="宋体"/>
          <w:color w:val="auto"/>
          <w:sz w:val="21"/>
          <w:szCs w:val="21"/>
        </w:rPr>
        <w:t>：</w:t>
      </w:r>
      <w:r>
        <w:rPr>
          <w:rFonts w:hint="eastAsia" w:ascii="宋体" w:hAnsi="宋体"/>
          <w:b/>
          <w:color w:val="auto"/>
          <w:sz w:val="21"/>
          <w:szCs w:val="21"/>
        </w:rPr>
        <w:t>扬州大学附属医院</w:t>
      </w:r>
    </w:p>
    <w:p w14:paraId="0C066F14">
      <w:pPr>
        <w:pStyle w:val="22"/>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olor w:val="auto"/>
          <w:sz w:val="21"/>
          <w:szCs w:val="21"/>
        </w:rPr>
        <w:t>承包人</w:t>
      </w:r>
      <w:r>
        <w:rPr>
          <w:rFonts w:ascii="宋体" w:hAnsi="宋体"/>
          <w:color w:val="auto"/>
          <w:sz w:val="21"/>
          <w:szCs w:val="21"/>
        </w:rPr>
        <w:t>：</w:t>
      </w:r>
      <w:r>
        <w:rPr>
          <w:rFonts w:ascii="宋体" w:hAnsi="宋体"/>
          <w:b/>
          <w:color w:val="auto"/>
          <w:sz w:val="21"/>
          <w:szCs w:val="21"/>
        </w:rPr>
        <w:t xml:space="preserve"> </w:t>
      </w:r>
    </w:p>
    <w:p w14:paraId="1231BB77">
      <w:pPr>
        <w:adjustRightInd w:val="0"/>
        <w:snapToGrid w:val="0"/>
        <w:spacing w:line="360" w:lineRule="auto"/>
        <w:ind w:firstLine="420" w:firstLineChars="200"/>
        <w:contextualSpacing/>
        <w:rPr>
          <w:rFonts w:ascii="宋体" w:hAnsi="宋体" w:cs="仿宋"/>
          <w:b/>
          <w:bCs/>
          <w:snapToGrid w:val="0"/>
          <w:color w:val="auto"/>
          <w:sz w:val="21"/>
          <w:szCs w:val="21"/>
        </w:rPr>
      </w:pPr>
      <w:r>
        <w:rPr>
          <w:rFonts w:hint="eastAsia" w:ascii="宋体" w:hAnsi="宋体" w:cs="宋体"/>
          <w:color w:val="auto"/>
          <w:sz w:val="21"/>
          <w:szCs w:val="21"/>
        </w:rPr>
        <w:t>发包人承包人双方</w:t>
      </w:r>
      <w:r>
        <w:rPr>
          <w:rFonts w:ascii="宋体" w:hAnsi="宋体" w:cs="宋体"/>
          <w:color w:val="auto"/>
          <w:sz w:val="21"/>
          <w:szCs w:val="21"/>
        </w:rPr>
        <w:t>根据《中华人民共和国建筑法》、《建设工程质量管理条例》和《房屋建筑工程质量保修办法》，经协商一致，对</w:t>
      </w:r>
      <w:r>
        <w:rPr>
          <w:rFonts w:hint="eastAsia" w:ascii="宋体" w:hAnsi="宋体"/>
          <w:b/>
          <w:bCs/>
          <w:color w:val="auto"/>
          <w:sz w:val="21"/>
          <w:szCs w:val="21"/>
          <w:u w:val="single"/>
        </w:rPr>
        <w:t xml:space="preserve"> </w:t>
      </w:r>
      <w:r>
        <w:rPr>
          <w:rFonts w:ascii="宋体" w:hAnsi="宋体"/>
          <w:b/>
          <w:bCs/>
          <w:color w:val="auto"/>
          <w:sz w:val="21"/>
          <w:szCs w:val="21"/>
          <w:u w:val="single"/>
        </w:rPr>
        <w:t xml:space="preserve">                          </w:t>
      </w:r>
      <w:r>
        <w:rPr>
          <w:rFonts w:hint="eastAsia" w:ascii="宋体" w:hAnsi="宋体" w:cs="仿宋"/>
          <w:bCs/>
          <w:snapToGrid w:val="0"/>
          <w:color w:val="auto"/>
          <w:sz w:val="21"/>
          <w:szCs w:val="21"/>
        </w:rPr>
        <w:t>项目</w:t>
      </w:r>
      <w:r>
        <w:rPr>
          <w:rFonts w:hint="eastAsia" w:ascii="宋体" w:hAnsi="宋体" w:cs="宋体"/>
          <w:color w:val="auto"/>
          <w:sz w:val="21"/>
          <w:szCs w:val="21"/>
        </w:rPr>
        <w:t>签订</w:t>
      </w:r>
      <w:r>
        <w:rPr>
          <w:rFonts w:ascii="宋体" w:hAnsi="宋体" w:cs="宋体"/>
          <w:color w:val="auto"/>
          <w:sz w:val="21"/>
          <w:szCs w:val="21"/>
        </w:rPr>
        <w:t>工程质量保修书。</w:t>
      </w:r>
    </w:p>
    <w:p w14:paraId="1BB21315">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一、</w:t>
      </w:r>
      <w:r>
        <w:rPr>
          <w:color w:val="auto"/>
          <w:sz w:val="21"/>
          <w:szCs w:val="21"/>
        </w:rPr>
        <w:t>工程质量保修范围和内容</w:t>
      </w:r>
    </w:p>
    <w:p w14:paraId="6E973B0A">
      <w:pPr>
        <w:pStyle w:val="11"/>
        <w:snapToGrid w:val="0"/>
        <w:spacing w:before="0" w:beforeAutospacing="0" w:after="0" w:afterAutospacing="0" w:line="360" w:lineRule="auto"/>
        <w:ind w:firstLine="420" w:firstLineChars="200"/>
        <w:contextualSpacing/>
        <w:rPr>
          <w:b/>
          <w:color w:val="auto"/>
          <w:sz w:val="21"/>
          <w:szCs w:val="21"/>
          <w:u w:val="single"/>
        </w:rPr>
      </w:pPr>
      <w:r>
        <w:rPr>
          <w:rFonts w:hint="eastAsia"/>
          <w:color w:val="auto"/>
          <w:sz w:val="21"/>
          <w:szCs w:val="21"/>
        </w:rPr>
        <w:t>1、承包人</w:t>
      </w:r>
      <w:r>
        <w:rPr>
          <w:color w:val="auto"/>
          <w:sz w:val="21"/>
          <w:szCs w:val="21"/>
        </w:rPr>
        <w:t>在质量保修期内，按照有关法律、法规、规章的管理规定和双方约定，承担本工程质量保修责任</w:t>
      </w:r>
      <w:r>
        <w:rPr>
          <w:rFonts w:hint="eastAsia"/>
          <w:color w:val="auto"/>
          <w:sz w:val="21"/>
          <w:szCs w:val="21"/>
        </w:rPr>
        <w:t>。质量保修范围内包括合同约定的全部承包项目。具体质量保修内容双方约定如下：</w:t>
      </w:r>
      <w:r>
        <w:rPr>
          <w:rFonts w:hint="eastAsia"/>
          <w:b/>
          <w:color w:val="auto"/>
          <w:sz w:val="21"/>
          <w:szCs w:val="21"/>
          <w:u w:val="single"/>
        </w:rPr>
        <w:t>凡属承包人加工及施工工艺、施工方法及材料质量等质量问题造成的需返工修补的情况。</w:t>
      </w:r>
    </w:p>
    <w:p w14:paraId="185071EF">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二、</w:t>
      </w:r>
      <w:r>
        <w:rPr>
          <w:color w:val="auto"/>
          <w:sz w:val="21"/>
          <w:szCs w:val="21"/>
        </w:rPr>
        <w:t>质量保修期</w:t>
      </w:r>
    </w:p>
    <w:p w14:paraId="54E209C3">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1、质量保修期从工程实际竣工之日起开始计算。分单项竣工验收的工程，按单项工程分别计算质量保修期。</w:t>
      </w:r>
      <w:r>
        <w:rPr>
          <w:color w:val="auto"/>
          <w:sz w:val="21"/>
          <w:szCs w:val="21"/>
        </w:rPr>
        <w:t>双方根据《建设工程质量管理条例》及有关规定，约定本工程的质量保修期如下：</w:t>
      </w:r>
    </w:p>
    <w:p w14:paraId="3DF5A92C">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本工程质量保修期为</w:t>
      </w:r>
      <w:r>
        <w:rPr>
          <w:rFonts w:hint="eastAsia"/>
          <w:b/>
          <w:color w:val="auto"/>
          <w:sz w:val="21"/>
          <w:szCs w:val="21"/>
          <w:u w:val="single"/>
        </w:rPr>
        <w:t xml:space="preserve"> 2年 </w:t>
      </w:r>
      <w:r>
        <w:rPr>
          <w:rFonts w:hint="eastAsia"/>
          <w:color w:val="auto"/>
          <w:sz w:val="21"/>
          <w:szCs w:val="21"/>
        </w:rPr>
        <w:t>，从工程竣工验收合格之日起，2年内因工程质量问题所发生的材料费、保修人工费等均由承包人负责免费维修和更换。</w:t>
      </w:r>
    </w:p>
    <w:p w14:paraId="48964C0C">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2、在承包人对质量保证期内出现的质量问题进行维修时，承包人应相应延长维修或更换部分的质量保证期。</w:t>
      </w:r>
    </w:p>
    <w:p w14:paraId="023511F7">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3、质量保证期内因发包人原因或自然灾害而造成的损坏，承包人不承担保修责任，但承包人有义务对此进行维修，维修发生的材料和人工费用由发包人承担。</w:t>
      </w:r>
    </w:p>
    <w:p w14:paraId="2DB2B5F5">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三、</w:t>
      </w:r>
      <w:r>
        <w:rPr>
          <w:color w:val="auto"/>
          <w:sz w:val="21"/>
          <w:szCs w:val="21"/>
        </w:rPr>
        <w:t>质量保修责任</w:t>
      </w:r>
    </w:p>
    <w:p w14:paraId="2437113C">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1、</w:t>
      </w:r>
      <w:r>
        <w:rPr>
          <w:color w:val="auto"/>
          <w:sz w:val="21"/>
          <w:szCs w:val="21"/>
        </w:rPr>
        <w:t>属于保修范围、内容的项目，承包人应当在接到保修通知之曰起7天内派人保修。承包人不在约定期限内派人保修的，发包人可以委托他人修理</w:t>
      </w:r>
      <w:r>
        <w:rPr>
          <w:rFonts w:hint="eastAsia"/>
          <w:color w:val="auto"/>
          <w:sz w:val="21"/>
          <w:szCs w:val="21"/>
        </w:rPr>
        <w:t>，保修费用从质量保修金内扣除。</w:t>
      </w:r>
    </w:p>
    <w:p w14:paraId="47706C20">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2、</w:t>
      </w:r>
      <w:r>
        <w:rPr>
          <w:color w:val="auto"/>
          <w:sz w:val="21"/>
          <w:szCs w:val="21"/>
        </w:rPr>
        <w:t>发生紧急抢修事故的，承包人在接到事故通知后，应当立即到达事故现场抢修。</w:t>
      </w:r>
      <w:r>
        <w:rPr>
          <w:rFonts w:hint="eastAsia"/>
          <w:color w:val="auto"/>
          <w:sz w:val="21"/>
          <w:szCs w:val="21"/>
        </w:rPr>
        <w:t>非承包人施工质量引起的事故，费用由发包人承担。</w:t>
      </w:r>
    </w:p>
    <w:p w14:paraId="4D8236AE">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3、在国家规定的工程合理使用年限内，承包人要确保工程质量。因承包人原因致使工程在合理使用年限内造成人身和财产损害的，承包人应承担损害赔偿责任。</w:t>
      </w:r>
    </w:p>
    <w:p w14:paraId="11EE9E89">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四、</w:t>
      </w:r>
      <w:r>
        <w:rPr>
          <w:color w:val="auto"/>
          <w:sz w:val="21"/>
          <w:szCs w:val="21"/>
        </w:rPr>
        <w:t>保修费用</w:t>
      </w:r>
    </w:p>
    <w:p w14:paraId="453B07DE">
      <w:pPr>
        <w:pStyle w:val="11"/>
        <w:snapToGrid w:val="0"/>
        <w:spacing w:before="0" w:beforeAutospacing="0" w:after="0" w:afterAutospacing="0" w:line="360" w:lineRule="auto"/>
        <w:ind w:firstLine="420" w:firstLineChars="200"/>
        <w:contextualSpacing/>
        <w:rPr>
          <w:color w:val="auto"/>
          <w:sz w:val="21"/>
          <w:szCs w:val="21"/>
          <w:u w:val="single"/>
        </w:rPr>
      </w:pPr>
      <w:r>
        <w:rPr>
          <w:color w:val="auto"/>
          <w:sz w:val="21"/>
          <w:szCs w:val="21"/>
        </w:rPr>
        <w:t>保修费用由造成质量缺陷的责任方承担。</w:t>
      </w:r>
      <w:r>
        <w:rPr>
          <w:rFonts w:hint="eastAsia"/>
          <w:color w:val="auto"/>
          <w:sz w:val="21"/>
          <w:szCs w:val="21"/>
        </w:rPr>
        <w:t>本工程约定的工程质量保修金为施工合同价的</w:t>
      </w:r>
      <w:r>
        <w:rPr>
          <w:rFonts w:hint="eastAsia"/>
          <w:color w:val="auto"/>
          <w:sz w:val="21"/>
          <w:szCs w:val="21"/>
          <w:lang w:val="en-US" w:eastAsia="zh-CN"/>
        </w:rPr>
        <w:t>3</w:t>
      </w:r>
      <w:r>
        <w:rPr>
          <w:rFonts w:hint="eastAsia"/>
          <w:color w:val="auto"/>
          <w:sz w:val="21"/>
          <w:szCs w:val="21"/>
        </w:rPr>
        <w:t>%。本工程双方约定的工程质量保修金的金额为人民币（大写）：</w:t>
      </w:r>
      <w:r>
        <w:rPr>
          <w:rFonts w:hint="eastAsia"/>
          <w:color w:val="auto"/>
          <w:sz w:val="21"/>
          <w:szCs w:val="21"/>
          <w:u w:val="single"/>
        </w:rPr>
        <w:t xml:space="preserve"> </w:t>
      </w:r>
      <w:r>
        <w:rPr>
          <w:color w:val="auto"/>
          <w:sz w:val="21"/>
          <w:szCs w:val="21"/>
          <w:u w:val="single"/>
        </w:rPr>
        <w:t xml:space="preserve">    </w:t>
      </w:r>
    </w:p>
    <w:p w14:paraId="52C54F6F">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五、质量保修金的退还</w:t>
      </w:r>
    </w:p>
    <w:p w14:paraId="19602CEC">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发包人在质量保修期满后21天内，将剩余保修金（不计利息）返还承包人。</w:t>
      </w:r>
    </w:p>
    <w:p w14:paraId="10ABFA39">
      <w:pPr>
        <w:pStyle w:val="11"/>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六、</w:t>
      </w:r>
      <w:r>
        <w:rPr>
          <w:color w:val="auto"/>
          <w:sz w:val="21"/>
          <w:szCs w:val="21"/>
        </w:rPr>
        <w:t>其他</w:t>
      </w:r>
    </w:p>
    <w:p w14:paraId="31FCC373">
      <w:pPr>
        <w:pStyle w:val="11"/>
        <w:snapToGrid w:val="0"/>
        <w:spacing w:before="0" w:beforeAutospacing="0" w:after="0" w:afterAutospacing="0" w:line="360" w:lineRule="auto"/>
        <w:ind w:firstLine="420" w:firstLineChars="200"/>
        <w:contextualSpacing/>
        <w:rPr>
          <w:rFonts w:hint="eastAsia"/>
          <w:b/>
          <w:color w:val="auto"/>
          <w:sz w:val="21"/>
          <w:szCs w:val="21"/>
        </w:rPr>
      </w:pPr>
      <w:r>
        <w:rPr>
          <w:color w:val="auto"/>
          <w:sz w:val="21"/>
          <w:szCs w:val="21"/>
        </w:rPr>
        <w:t>双方约定的其他工程质量保修事项：</w:t>
      </w:r>
      <w:r>
        <w:rPr>
          <w:rFonts w:hint="eastAsia"/>
          <w:b/>
          <w:color w:val="auto"/>
          <w:sz w:val="21"/>
          <w:szCs w:val="21"/>
          <w:u w:val="single"/>
        </w:rPr>
        <w:t xml:space="preserve">       /       </w:t>
      </w:r>
      <w:r>
        <w:rPr>
          <w:b/>
          <w:color w:val="auto"/>
          <w:sz w:val="21"/>
          <w:szCs w:val="21"/>
        </w:rPr>
        <w:t>。</w:t>
      </w:r>
    </w:p>
    <w:p w14:paraId="28ECB12B">
      <w:pPr>
        <w:pStyle w:val="11"/>
        <w:snapToGrid w:val="0"/>
        <w:spacing w:before="0" w:beforeAutospacing="0" w:after="0" w:afterAutospacing="0" w:line="360" w:lineRule="auto"/>
        <w:ind w:firstLine="420" w:firstLineChars="200"/>
        <w:contextualSpacing/>
        <w:rPr>
          <w:color w:val="auto"/>
          <w:sz w:val="21"/>
          <w:szCs w:val="21"/>
        </w:rPr>
      </w:pPr>
      <w:r>
        <w:rPr>
          <w:color w:val="auto"/>
          <w:sz w:val="21"/>
          <w:szCs w:val="21"/>
        </w:rPr>
        <w:t>本工程</w:t>
      </w:r>
      <w:r>
        <w:rPr>
          <w:rFonts w:hint="eastAsia"/>
          <w:color w:val="auto"/>
          <w:sz w:val="21"/>
          <w:szCs w:val="21"/>
        </w:rPr>
        <w:t>质量</w:t>
      </w:r>
      <w:r>
        <w:rPr>
          <w:color w:val="auto"/>
          <w:sz w:val="21"/>
          <w:szCs w:val="21"/>
        </w:rPr>
        <w:t>保修书，由施工合同发包人、承包人双方在竣工验收前共同签署，作为施工合同附件其有效期限至保修期满。</w:t>
      </w:r>
    </w:p>
    <w:p w14:paraId="22A271D5">
      <w:pPr>
        <w:pStyle w:val="11"/>
        <w:snapToGrid w:val="0"/>
        <w:spacing w:before="0" w:beforeAutospacing="0" w:after="0" w:afterAutospacing="0" w:line="360" w:lineRule="auto"/>
        <w:ind w:firstLine="420" w:firstLineChars="200"/>
        <w:contextualSpacing/>
        <w:rPr>
          <w:color w:val="auto"/>
          <w:sz w:val="21"/>
          <w:szCs w:val="21"/>
        </w:rPr>
      </w:pPr>
    </w:p>
    <w:p w14:paraId="42D7660D">
      <w:pPr>
        <w:spacing w:line="360" w:lineRule="auto"/>
        <w:ind w:firstLine="420" w:firstLineChars="200"/>
        <w:contextualSpacing/>
        <w:rPr>
          <w:rFonts w:ascii="宋体" w:hAnsi="宋体" w:cs="宋体"/>
          <w:color w:val="auto"/>
          <w:sz w:val="21"/>
          <w:szCs w:val="21"/>
        </w:rPr>
      </w:pPr>
    </w:p>
    <w:p w14:paraId="7ABA9987">
      <w:pPr>
        <w:pStyle w:val="22"/>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s="宋体"/>
          <w:color w:val="auto"/>
          <w:sz w:val="21"/>
          <w:szCs w:val="21"/>
        </w:rPr>
        <w:t>发包人：（盖章）</w:t>
      </w:r>
      <w:r>
        <w:rPr>
          <w:rFonts w:hint="eastAsia" w:ascii="宋体" w:hAnsi="宋体" w:cs="宋体"/>
          <w:b/>
          <w:color w:val="auto"/>
          <w:sz w:val="21"/>
          <w:szCs w:val="21"/>
        </w:rPr>
        <w:t xml:space="preserve">扬州大学附属医院        </w:t>
      </w:r>
      <w:r>
        <w:rPr>
          <w:rFonts w:hint="eastAsia" w:ascii="宋体" w:hAnsi="宋体" w:cs="宋体"/>
          <w:b/>
          <w:color w:val="auto"/>
          <w:sz w:val="21"/>
          <w:szCs w:val="21"/>
          <w:lang w:val="en-US" w:eastAsia="zh-CN"/>
        </w:rPr>
        <w:t xml:space="preserve">  </w:t>
      </w:r>
      <w:r>
        <w:rPr>
          <w:rFonts w:hint="eastAsia" w:ascii="宋体" w:hAnsi="宋体" w:cs="宋体"/>
          <w:color w:val="auto"/>
          <w:sz w:val="21"/>
          <w:szCs w:val="21"/>
        </w:rPr>
        <w:t>承包人：（盖章）</w:t>
      </w:r>
    </w:p>
    <w:p w14:paraId="3E2CE910">
      <w:pPr>
        <w:snapToGrid w:val="0"/>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 xml:space="preserve">法定代表人：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法定代表人：</w:t>
      </w:r>
    </w:p>
    <w:p w14:paraId="4B1B8F33">
      <w:pPr>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 xml:space="preserve">（或授权签约人）：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（或授权签约人）：</w:t>
      </w:r>
    </w:p>
    <w:p w14:paraId="252F0017">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日期:</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年  月   日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日期:</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年  月   日</w:t>
      </w:r>
    </w:p>
    <w:p w14:paraId="2731110E">
      <w:pPr>
        <w:spacing w:line="360" w:lineRule="auto"/>
        <w:ind w:firstLine="420" w:firstLineChars="200"/>
        <w:contextualSpacing/>
        <w:rPr>
          <w:color w:val="auto"/>
          <w:sz w:val="21"/>
          <w:szCs w:val="21"/>
        </w:rPr>
      </w:pPr>
    </w:p>
    <w:p w14:paraId="03FAA085">
      <w:pPr>
        <w:spacing w:line="360" w:lineRule="auto"/>
        <w:ind w:firstLine="420" w:firstLineChars="200"/>
        <w:rPr>
          <w:rFonts w:ascii="宋体" w:hAnsi="宋体"/>
          <w:color w:val="auto"/>
          <w:sz w:val="21"/>
          <w:szCs w:val="21"/>
        </w:rPr>
      </w:pPr>
    </w:p>
    <w:p w14:paraId="4C44F196">
      <w:pPr>
        <w:spacing w:line="360" w:lineRule="auto"/>
        <w:ind w:firstLine="720" w:firstLineChars="200"/>
        <w:rPr>
          <w:rFonts w:ascii="宋体" w:hAnsi="宋体"/>
          <w:color w:val="auto"/>
          <w:sz w:val="36"/>
        </w:rPr>
      </w:pPr>
    </w:p>
    <w:p w14:paraId="724AD281">
      <w:pPr>
        <w:spacing w:line="360" w:lineRule="auto"/>
        <w:ind w:firstLine="413" w:firstLineChars="196"/>
        <w:rPr>
          <w:rFonts w:ascii="宋体" w:hAnsi="宋体"/>
          <w:b/>
          <w:bCs/>
          <w:color w:val="auto"/>
          <w:szCs w:val="21"/>
        </w:rPr>
      </w:pPr>
    </w:p>
    <w:p w14:paraId="37FA9EB4">
      <w:pPr>
        <w:rPr>
          <w:rFonts w:hint="eastAsia" w:ascii="宋体" w:hAnsi="宋体"/>
          <w:b/>
          <w:bCs/>
          <w:color w:val="auto"/>
          <w:szCs w:val="21"/>
        </w:rPr>
      </w:pPr>
    </w:p>
    <w:p w14:paraId="640B37F4">
      <w:pPr>
        <w:rPr>
          <w:rFonts w:hint="eastAsia" w:ascii="宋体" w:hAnsi="宋体"/>
          <w:b/>
          <w:bCs/>
          <w:color w:val="auto"/>
          <w:szCs w:val="21"/>
        </w:rPr>
      </w:pPr>
    </w:p>
    <w:p w14:paraId="79CBC798">
      <w:pPr>
        <w:rPr>
          <w:rFonts w:hint="eastAsia" w:ascii="宋体" w:hAnsi="宋体"/>
          <w:b/>
          <w:bCs/>
          <w:color w:val="auto"/>
          <w:szCs w:val="21"/>
        </w:rPr>
      </w:pPr>
    </w:p>
    <w:p w14:paraId="162CBC4F">
      <w:pPr>
        <w:rPr>
          <w:rFonts w:hint="eastAsia" w:ascii="宋体" w:hAnsi="宋体"/>
          <w:b/>
          <w:bCs/>
          <w:color w:val="auto"/>
          <w:szCs w:val="21"/>
        </w:rPr>
      </w:pPr>
    </w:p>
    <w:p w14:paraId="73ABA27C">
      <w:pPr>
        <w:jc w:val="center"/>
        <w:rPr>
          <w:rFonts w:ascii="宋体" w:hAnsi="宋体"/>
          <w:b/>
          <w:bCs/>
          <w:color w:val="auto"/>
          <w:sz w:val="36"/>
          <w:szCs w:val="36"/>
        </w:rPr>
      </w:pPr>
      <w:r>
        <w:rPr>
          <w:rFonts w:ascii="宋体" w:hAnsi="宋体"/>
          <w:b/>
          <w:bCs/>
          <w:color w:val="auto"/>
          <w:szCs w:val="21"/>
        </w:rPr>
        <w:br w:type="page"/>
      </w:r>
      <w:r>
        <w:rPr>
          <w:rFonts w:ascii="宋体" w:hAnsi="宋体"/>
          <w:b/>
          <w:bCs/>
          <w:color w:val="auto"/>
          <w:sz w:val="36"/>
          <w:szCs w:val="36"/>
        </w:rPr>
        <w:t>廉</w:t>
      </w:r>
      <w:r>
        <w:rPr>
          <w:rFonts w:hint="eastAsia" w:ascii="宋体" w:hAnsi="宋体"/>
          <w:b/>
          <w:bCs/>
          <w:color w:val="auto"/>
          <w:sz w:val="36"/>
          <w:szCs w:val="36"/>
        </w:rPr>
        <w:t>洁协议书</w:t>
      </w:r>
    </w:p>
    <w:p w14:paraId="7027D896">
      <w:pPr>
        <w:spacing w:line="360" w:lineRule="auto"/>
        <w:ind w:firstLine="420" w:firstLineChars="200"/>
        <w:rPr>
          <w:rFonts w:hint="eastAsia" w:ascii="宋体" w:hAnsi="宋体" w:cs="宋体"/>
          <w:color w:val="auto"/>
          <w:sz w:val="21"/>
          <w:szCs w:val="21"/>
        </w:rPr>
      </w:pPr>
    </w:p>
    <w:p w14:paraId="5E8EFB57">
      <w:pPr>
        <w:spacing w:line="360" w:lineRule="auto"/>
        <w:ind w:firstLine="420" w:firstLineChars="200"/>
        <w:rPr>
          <w:rFonts w:ascii="宋体" w:cs="宋体"/>
          <w:b/>
          <w:color w:val="auto"/>
          <w:sz w:val="21"/>
          <w:szCs w:val="21"/>
        </w:rPr>
      </w:pPr>
      <w:r>
        <w:rPr>
          <w:rFonts w:hint="eastAsia" w:ascii="宋体" w:hAnsi="宋体" w:cs="宋体"/>
          <w:color w:val="auto"/>
          <w:sz w:val="21"/>
          <w:szCs w:val="21"/>
        </w:rPr>
        <w:t>发包人名称:</w:t>
      </w:r>
      <w:r>
        <w:rPr>
          <w:rFonts w:hint="eastAsia" w:ascii="宋体" w:hAnsi="宋体" w:cs="宋体"/>
          <w:b/>
          <w:color w:val="auto"/>
          <w:sz w:val="21"/>
          <w:szCs w:val="21"/>
        </w:rPr>
        <w:t>扬州大学附属医院</w:t>
      </w:r>
    </w:p>
    <w:p w14:paraId="14230111">
      <w:pPr>
        <w:snapToGrid w:val="0"/>
        <w:spacing w:line="360" w:lineRule="auto"/>
        <w:ind w:firstLine="420" w:firstLineChars="200"/>
        <w:contextualSpacing/>
        <w:rPr>
          <w:rFonts w:ascii="宋体" w:hAnsi="宋体"/>
          <w:b/>
          <w:color w:val="auto"/>
          <w:sz w:val="21"/>
          <w:szCs w:val="21"/>
        </w:rPr>
      </w:pPr>
      <w:r>
        <w:rPr>
          <w:rFonts w:hint="eastAsia" w:ascii="宋体" w:hAnsi="宋体" w:cs="宋体"/>
          <w:color w:val="auto"/>
          <w:sz w:val="21"/>
          <w:szCs w:val="21"/>
        </w:rPr>
        <w:t>承包人名称:</w:t>
      </w:r>
    </w:p>
    <w:p w14:paraId="22C2643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在发包人承包人双方订立、履行合同过程中，为保持廉洁自律的工作作风，防止各种不正当行为的发生，发包人承包人双方订立协议如下：</w:t>
      </w:r>
    </w:p>
    <w:p w14:paraId="75B9D15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一、发包人承包人双方应当自觉遵守国家、地方法律法规以及本协议的约定，在合同的订立、履行过程中廉洁自律。</w:t>
      </w:r>
    </w:p>
    <w:p w14:paraId="533503D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二、发包人工作人员严禁进行商业目的的统方，不得以任何形式向承包人索要和收受个人回扣等好处费。</w:t>
      </w:r>
    </w:p>
    <w:p w14:paraId="181D5FC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三、发包人工作人员应当保持与承包人的正常业务交往，不得接受承包人的礼金、有价证券和贵重物品，不得在承包人报销任何应由其个人承担的费用。</w:t>
      </w:r>
    </w:p>
    <w:p w14:paraId="23B3655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四、发包人工作人员不得参加可能对公正开展业务有影响的宴请和娱乐活动。如发包人工作人员确因实际情况须参加宴请、进行娱乐活动的，须事先报上一级批准。</w:t>
      </w:r>
    </w:p>
    <w:p w14:paraId="1926680E">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五、发包人工作人员不得要求或者接受承包人为其住房装修、婚丧嫁娶、家属和子女的工作安排以及出国等提供方便。</w:t>
      </w:r>
    </w:p>
    <w:p w14:paraId="04CAAE48">
      <w:pPr>
        <w:spacing w:line="360" w:lineRule="auto"/>
        <w:ind w:firstLine="420" w:firstLineChars="200"/>
        <w:rPr>
          <w:rFonts w:ascii="宋体" w:cs="宋体"/>
          <w:color w:val="auto"/>
          <w:sz w:val="21"/>
          <w:szCs w:val="21"/>
        </w:rPr>
      </w:pPr>
      <w:r>
        <w:rPr>
          <w:rFonts w:hint="eastAsia" w:ascii="宋体" w:hAnsi="宋体" w:cs="宋体"/>
          <w:color w:val="auto"/>
          <w:sz w:val="21"/>
          <w:szCs w:val="21"/>
        </w:rPr>
        <w:t>六、承包人不得接受发包人工作人员介绍的家属或者亲友从事与合同相关的业务。</w:t>
      </w:r>
    </w:p>
    <w:p w14:paraId="0BBF548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七、承包人应当通过正常途径开展相关业务，不得为获取某些不正当利益而向发包人工作人员赠送礼金、有价证券和贵重物品等，或给发包人工作人员报销其个人费用，或邀请发包人工作人员外出旅游和进入营业性娱乐场所，或为发包人工作人员住房装修、婚丧嫁娶、家属和子女的工作安排以及出国等提供方便。</w:t>
      </w:r>
    </w:p>
    <w:p w14:paraId="5F84132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八、承包人如发现发包人工作人员有违反上述协议者，应向发包人举报（发包人举报接待部门：纪委办公室；举报电话：87907263）。发包人不得找任何借口对承包人进行报复。发包人对举报属实和严格遵守廉洁协议的承包人，在同等条件下优先考虑与承包人继续合作。</w:t>
      </w:r>
    </w:p>
    <w:p w14:paraId="2051CE24">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九、发包人发现承包人有违反本协议或者采用不正当的手段行贿发包人工作人员等不正当竞争行为的，发包人有权解除合同。</w:t>
      </w:r>
    </w:p>
    <w:p w14:paraId="215BBEB6">
      <w:pPr>
        <w:spacing w:line="360" w:lineRule="auto"/>
        <w:ind w:firstLine="420" w:firstLineChars="200"/>
        <w:rPr>
          <w:rFonts w:ascii="宋体" w:cs="宋体"/>
          <w:color w:val="auto"/>
          <w:sz w:val="21"/>
          <w:szCs w:val="21"/>
        </w:rPr>
      </w:pPr>
      <w:r>
        <w:rPr>
          <w:rFonts w:hint="eastAsia" w:ascii="宋体" w:hAnsi="宋体" w:cs="宋体"/>
          <w:color w:val="auto"/>
          <w:sz w:val="21"/>
          <w:szCs w:val="21"/>
        </w:rPr>
        <w:t>十、本廉洁协议作为合同的附件，与合同具有同等法律效力。经协议双方签署后立即生效。</w:t>
      </w:r>
    </w:p>
    <w:p w14:paraId="1CD86EBA">
      <w:pPr>
        <w:spacing w:line="360" w:lineRule="auto"/>
        <w:ind w:firstLine="420" w:firstLineChars="200"/>
        <w:rPr>
          <w:rFonts w:ascii="宋体" w:cs="宋体"/>
          <w:color w:val="auto"/>
          <w:sz w:val="21"/>
          <w:szCs w:val="21"/>
        </w:rPr>
      </w:pPr>
      <w:r>
        <w:rPr>
          <w:rFonts w:hint="eastAsia" w:ascii="宋体" w:hAnsi="宋体" w:cs="宋体"/>
          <w:color w:val="auto"/>
          <w:sz w:val="21"/>
          <w:szCs w:val="21"/>
        </w:rPr>
        <w:t>十一、本协议一式</w:t>
      </w:r>
      <w:r>
        <w:rPr>
          <w:rFonts w:hint="eastAsia" w:ascii="宋体" w:hAnsi="宋体" w:cs="宋体"/>
          <w:b/>
          <w:bCs/>
          <w:color w:val="auto"/>
          <w:sz w:val="21"/>
          <w:szCs w:val="21"/>
          <w:u w:val="single"/>
        </w:rPr>
        <w:t>伍</w:t>
      </w:r>
      <w:r>
        <w:rPr>
          <w:rFonts w:hint="eastAsia" w:ascii="宋体" w:hAnsi="宋体" w:cs="宋体"/>
          <w:color w:val="auto"/>
          <w:sz w:val="21"/>
          <w:szCs w:val="21"/>
        </w:rPr>
        <w:t>份，发包人方执</w:t>
      </w:r>
      <w:r>
        <w:rPr>
          <w:rFonts w:hint="eastAsia" w:ascii="宋体" w:hAnsi="宋体" w:cs="宋体"/>
          <w:b/>
          <w:bCs/>
          <w:color w:val="auto"/>
          <w:sz w:val="21"/>
          <w:szCs w:val="21"/>
          <w:u w:val="single"/>
        </w:rPr>
        <w:t>叁</w:t>
      </w:r>
      <w:r>
        <w:rPr>
          <w:rFonts w:hint="eastAsia" w:ascii="宋体" w:hAnsi="宋体" w:cs="宋体"/>
          <w:color w:val="auto"/>
          <w:sz w:val="21"/>
          <w:szCs w:val="21"/>
        </w:rPr>
        <w:t>份，承包人方执</w:t>
      </w:r>
      <w:r>
        <w:rPr>
          <w:rFonts w:hint="eastAsia" w:ascii="宋体" w:hAnsi="宋体" w:cs="宋体"/>
          <w:b/>
          <w:bCs/>
          <w:color w:val="auto"/>
          <w:sz w:val="21"/>
          <w:szCs w:val="21"/>
          <w:u w:val="single"/>
        </w:rPr>
        <w:t>贰</w:t>
      </w:r>
      <w:r>
        <w:rPr>
          <w:rFonts w:hint="eastAsia" w:ascii="宋体" w:hAnsi="宋体" w:cs="宋体"/>
          <w:color w:val="auto"/>
          <w:sz w:val="21"/>
          <w:szCs w:val="21"/>
        </w:rPr>
        <w:t>份，并从签订之日起生效。</w:t>
      </w:r>
    </w:p>
    <w:p w14:paraId="4BA1EF95">
      <w:pPr>
        <w:pStyle w:val="22"/>
        <w:snapToGrid w:val="0"/>
        <w:spacing w:before="0" w:after="0" w:line="360" w:lineRule="auto"/>
        <w:ind w:left="0" w:right="0" w:firstLine="420" w:firstLineChars="200"/>
        <w:contextualSpacing/>
        <w:rPr>
          <w:rFonts w:ascii="宋体" w:hAnsi="宋体" w:cs="宋体"/>
          <w:color w:val="auto"/>
          <w:sz w:val="21"/>
          <w:szCs w:val="21"/>
        </w:rPr>
      </w:pPr>
    </w:p>
    <w:p w14:paraId="2F7EA0C8">
      <w:pPr>
        <w:pStyle w:val="22"/>
        <w:snapToGrid w:val="0"/>
        <w:spacing w:before="0" w:after="0" w:line="360" w:lineRule="auto"/>
        <w:ind w:left="0" w:right="0" w:firstLine="420" w:firstLineChars="200"/>
        <w:contextualSpacing/>
        <w:rPr>
          <w:rFonts w:ascii="宋体" w:hAnsi="宋体"/>
          <w:b/>
          <w:color w:val="auto"/>
          <w:sz w:val="21"/>
          <w:szCs w:val="21"/>
        </w:rPr>
      </w:pPr>
      <w:r>
        <w:rPr>
          <w:rFonts w:hint="eastAsia" w:ascii="宋体" w:hAnsi="宋体" w:cs="宋体"/>
          <w:color w:val="auto"/>
          <w:sz w:val="21"/>
          <w:szCs w:val="21"/>
        </w:rPr>
        <w:t>发包人：（盖章）</w:t>
      </w:r>
      <w:r>
        <w:rPr>
          <w:rFonts w:hint="eastAsia" w:ascii="宋体" w:hAnsi="宋体" w:cs="宋体"/>
          <w:b/>
          <w:color w:val="auto"/>
          <w:sz w:val="21"/>
          <w:szCs w:val="21"/>
        </w:rPr>
        <w:t xml:space="preserve">扬州大学附属医院        </w:t>
      </w:r>
      <w:r>
        <w:rPr>
          <w:rFonts w:hint="eastAsia" w:ascii="宋体" w:hAnsi="宋体" w:cs="宋体"/>
          <w:b/>
          <w:color w:val="auto"/>
          <w:sz w:val="21"/>
          <w:szCs w:val="21"/>
          <w:lang w:val="en-US" w:eastAsia="zh-CN"/>
        </w:rPr>
        <w:t xml:space="preserve">  </w:t>
      </w:r>
      <w:r>
        <w:rPr>
          <w:rFonts w:hint="eastAsia" w:ascii="宋体" w:hAnsi="宋体" w:cs="宋体"/>
          <w:color w:val="auto"/>
          <w:sz w:val="21"/>
          <w:szCs w:val="21"/>
        </w:rPr>
        <w:t>承包人：（盖章）</w:t>
      </w:r>
    </w:p>
    <w:p w14:paraId="3DB96041">
      <w:pPr>
        <w:snapToGrid w:val="0"/>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 xml:space="preserve">法定代表人：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法定代表人：</w:t>
      </w:r>
    </w:p>
    <w:p w14:paraId="27717B20">
      <w:pPr>
        <w:spacing w:line="360" w:lineRule="auto"/>
        <w:ind w:firstLine="420" w:firstLineChars="200"/>
        <w:contextualSpacing/>
        <w:rPr>
          <w:rFonts w:ascii="宋体" w:hAnsi="宋体" w:cs="宋体"/>
          <w:bCs/>
          <w:color w:val="auto"/>
          <w:sz w:val="21"/>
          <w:szCs w:val="21"/>
        </w:rPr>
      </w:pPr>
      <w:r>
        <w:rPr>
          <w:rFonts w:hint="eastAsia" w:ascii="宋体" w:hAnsi="宋体" w:cs="宋体"/>
          <w:color w:val="auto"/>
          <w:sz w:val="21"/>
          <w:szCs w:val="21"/>
        </w:rPr>
        <w:t xml:space="preserve">（或授权签约人）：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（或授权签约人）：</w:t>
      </w:r>
    </w:p>
    <w:p w14:paraId="39FAEF32">
      <w:pPr>
        <w:spacing w:line="360" w:lineRule="auto"/>
        <w:ind w:firstLine="420" w:firstLineChars="200"/>
        <w:contextualSpacing/>
        <w:rPr>
          <w:rFonts w:hint="eastAsia" w:hAnsi="宋体" w:cs="宋体"/>
          <w:b/>
          <w:snapToGrid w:val="0"/>
          <w:color w:val="auto"/>
          <w:sz w:val="36"/>
          <w:szCs w:val="36"/>
        </w:rPr>
      </w:pPr>
      <w:r>
        <w:rPr>
          <w:rFonts w:hint="eastAsia" w:ascii="宋体" w:hAnsi="宋体" w:cs="宋体"/>
          <w:color w:val="auto"/>
          <w:sz w:val="21"/>
          <w:szCs w:val="21"/>
        </w:rPr>
        <w:t>日期:</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年  月   日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日期：</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年   月   日</w:t>
      </w:r>
    </w:p>
    <w:p w14:paraId="6D80F35D">
      <w:pPr>
        <w:pStyle w:val="7"/>
        <w:adjustRightInd w:val="0"/>
        <w:snapToGrid w:val="0"/>
        <w:spacing w:line="360" w:lineRule="auto"/>
        <w:ind w:firstLine="0"/>
        <w:contextualSpacing/>
        <w:rPr>
          <w:rFonts w:hint="eastAsia" w:hAnsi="宋体" w:cs="宋体"/>
          <w:b/>
          <w:snapToGrid w:val="0"/>
          <w:color w:val="auto"/>
          <w:sz w:val="36"/>
          <w:szCs w:val="36"/>
        </w:rPr>
      </w:pPr>
      <w:r>
        <w:rPr>
          <w:rFonts w:hint="eastAsia" w:hAnsi="宋体" w:cs="宋体"/>
          <w:b/>
          <w:snapToGrid w:val="0"/>
          <w:color w:val="auto"/>
          <w:sz w:val="36"/>
          <w:szCs w:val="36"/>
        </w:rPr>
        <w:br w:type="page"/>
      </w:r>
    </w:p>
    <w:p w14:paraId="173F5166">
      <w:pPr>
        <w:pStyle w:val="7"/>
        <w:adjustRightInd w:val="0"/>
        <w:snapToGrid w:val="0"/>
        <w:spacing w:line="360" w:lineRule="auto"/>
        <w:ind w:firstLine="0"/>
        <w:contextualSpacing/>
        <w:jc w:val="center"/>
        <w:outlineLvl w:val="0"/>
        <w:rPr>
          <w:rFonts w:hAnsi="宋体" w:cs="宋体"/>
          <w:b/>
          <w:snapToGrid w:val="0"/>
          <w:color w:val="auto"/>
          <w:sz w:val="36"/>
          <w:szCs w:val="36"/>
          <w:highlight w:val="none"/>
        </w:rPr>
      </w:pPr>
      <w:r>
        <w:rPr>
          <w:rFonts w:hint="eastAsia" w:hAnsi="宋体" w:cs="宋体"/>
          <w:b/>
          <w:snapToGrid w:val="0"/>
          <w:color w:val="auto"/>
          <w:sz w:val="36"/>
          <w:szCs w:val="36"/>
          <w:highlight w:val="none"/>
        </w:rPr>
        <w:t>第三章 技术规范及要求</w:t>
      </w:r>
    </w:p>
    <w:p w14:paraId="56C66F2F">
      <w:pPr>
        <w:rPr>
          <w:color w:val="auto"/>
        </w:rPr>
      </w:pPr>
    </w:p>
    <w:p w14:paraId="7B568922">
      <w:pPr>
        <w:pageBreakBefore w:val="0"/>
        <w:kinsoku/>
        <w:overflowPunct/>
        <w:bidi w:val="0"/>
        <w:adjustRightInd w:val="0"/>
        <w:snapToGrid w:val="0"/>
        <w:spacing w:line="360" w:lineRule="auto"/>
        <w:ind w:left="0" w:leftChars="0" w:right="0" w:rightChars="0" w:firstLine="422" w:firstLineChars="200"/>
        <w:textAlignment w:val="auto"/>
        <w:rPr>
          <w:rFonts w:ascii="宋体" w:hAnsi="宋体" w:eastAsia="宋体" w:cs="宋体"/>
          <w:b/>
          <w:bCs/>
          <w:spacing w:val="0"/>
          <w:kern w:val="0"/>
          <w:szCs w:val="21"/>
          <w:highlight w:val="none"/>
        </w:rPr>
      </w:pPr>
      <w:r>
        <w:rPr>
          <w:rFonts w:hint="eastAsia" w:ascii="宋体" w:hAnsi="宋体" w:eastAsia="宋体" w:cs="宋体"/>
          <w:b/>
          <w:bCs/>
          <w:spacing w:val="0"/>
          <w:kern w:val="0"/>
          <w:szCs w:val="21"/>
          <w:highlight w:val="none"/>
        </w:rPr>
        <w:t>一、工程概况：</w:t>
      </w:r>
    </w:p>
    <w:p w14:paraId="459F1DC3">
      <w:pPr>
        <w:pageBreakBefore w:val="0"/>
        <w:kinsoku/>
        <w:overflowPunct/>
        <w:bidi w:val="0"/>
        <w:adjustRightInd w:val="0"/>
        <w:snapToGrid w:val="0"/>
        <w:spacing w:line="360" w:lineRule="auto"/>
        <w:ind w:left="0" w:leftChars="0" w:right="0" w:rightChars="0" w:firstLine="420" w:firstLineChars="200"/>
        <w:textAlignment w:val="auto"/>
        <w:rPr>
          <w:rFonts w:ascii="宋体" w:hAnsi="宋体" w:eastAsia="宋体" w:cs="宋体"/>
          <w:spacing w:val="0"/>
          <w:kern w:val="0"/>
          <w:szCs w:val="21"/>
          <w:highlight w:val="none"/>
        </w:rPr>
      </w:pPr>
      <w:r>
        <w:rPr>
          <w:rFonts w:hint="eastAsia" w:ascii="宋体" w:hAnsi="宋体" w:eastAsia="宋体" w:cs="宋体"/>
          <w:spacing w:val="0"/>
          <w:kern w:val="0"/>
          <w:szCs w:val="21"/>
          <w:highlight w:val="none"/>
        </w:rPr>
        <w:t>1、项目名称：</w:t>
      </w:r>
      <w:r>
        <w:rPr>
          <w:rFonts w:hint="eastAsia" w:ascii="宋体" w:hAnsi="宋体" w:cs="宋体"/>
          <w:snapToGrid w:val="0"/>
          <w:color w:val="auto"/>
          <w:sz w:val="21"/>
          <w:szCs w:val="21"/>
          <w:lang w:eastAsia="zh-CN"/>
        </w:rPr>
        <w:t>扬州大学附属医院科教综合楼食堂售饭窗口建设</w:t>
      </w:r>
      <w:r>
        <w:rPr>
          <w:rFonts w:hint="eastAsia" w:ascii="宋体" w:hAnsi="宋体" w:eastAsia="宋体" w:cs="宋体"/>
          <w:spacing w:val="0"/>
          <w:kern w:val="0"/>
          <w:szCs w:val="21"/>
          <w:highlight w:val="none"/>
        </w:rPr>
        <w:t>。</w:t>
      </w:r>
    </w:p>
    <w:p w14:paraId="6E061775">
      <w:pPr>
        <w:pageBreakBefore w:val="0"/>
        <w:kinsoku/>
        <w:overflowPunct/>
        <w:bidi w:val="0"/>
        <w:adjustRightInd w:val="0"/>
        <w:snapToGrid w:val="0"/>
        <w:spacing w:line="360" w:lineRule="auto"/>
        <w:ind w:left="0" w:leftChars="0" w:right="0" w:rightChars="0" w:firstLine="420" w:firstLineChars="200"/>
        <w:textAlignment w:val="auto"/>
        <w:rPr>
          <w:rFonts w:ascii="宋体" w:hAnsi="宋体" w:eastAsia="宋体" w:cs="宋体"/>
          <w:spacing w:val="0"/>
          <w:kern w:val="0"/>
          <w:szCs w:val="21"/>
          <w:highlight w:val="none"/>
        </w:rPr>
      </w:pPr>
      <w:r>
        <w:rPr>
          <w:rFonts w:hint="eastAsia" w:ascii="宋体" w:hAnsi="宋体" w:eastAsia="宋体" w:cs="宋体"/>
          <w:spacing w:val="0"/>
          <w:kern w:val="0"/>
          <w:szCs w:val="21"/>
          <w:highlight w:val="none"/>
        </w:rPr>
        <w:t>2、建设规模：</w:t>
      </w:r>
      <w:r>
        <w:rPr>
          <w:rFonts w:hint="eastAsia" w:ascii="宋体" w:hAnsi="宋体" w:cs="宋体"/>
          <w:snapToGrid w:val="0"/>
          <w:color w:val="auto"/>
          <w:sz w:val="21"/>
          <w:szCs w:val="21"/>
          <w:lang w:eastAsia="zh-CN"/>
        </w:rPr>
        <w:t>扬州大学附属医院</w:t>
      </w:r>
      <w:r>
        <w:rPr>
          <w:rFonts w:hint="eastAsia" w:ascii="宋体" w:hAnsi="宋体" w:eastAsia="宋体" w:cs="宋体"/>
          <w:spacing w:val="0"/>
          <w:kern w:val="0"/>
          <w:szCs w:val="21"/>
          <w:highlight w:val="none"/>
        </w:rPr>
        <w:t>科教综合楼食堂售卖窗口建设项目，本次改造包括食堂一层、二层售菜窗口及食堂设备。</w:t>
      </w:r>
    </w:p>
    <w:p w14:paraId="7A9DEC10">
      <w:pPr>
        <w:pageBreakBefore w:val="0"/>
        <w:kinsoku/>
        <w:overflowPunct/>
        <w:bidi w:val="0"/>
        <w:adjustRightInd w:val="0"/>
        <w:snapToGrid w:val="0"/>
        <w:spacing w:line="360" w:lineRule="auto"/>
        <w:ind w:left="0" w:leftChars="0" w:right="0" w:rightChars="0" w:firstLine="420" w:firstLineChars="200"/>
        <w:textAlignment w:val="auto"/>
        <w:rPr>
          <w:rFonts w:hint="eastAsia" w:ascii="宋体" w:hAnsi="宋体" w:eastAsia="宋体" w:cs="宋体"/>
          <w:spacing w:val="0"/>
          <w:kern w:val="0"/>
          <w:szCs w:val="21"/>
          <w:highlight w:val="none"/>
          <w:lang w:eastAsia="zh-CN"/>
        </w:rPr>
      </w:pPr>
      <w:r>
        <w:rPr>
          <w:rFonts w:hint="eastAsia" w:ascii="宋体" w:hAnsi="宋体" w:eastAsia="宋体" w:cs="宋体"/>
          <w:spacing w:val="0"/>
          <w:kern w:val="0"/>
          <w:szCs w:val="21"/>
          <w:highlight w:val="none"/>
        </w:rPr>
        <w:t>3、最高限价：</w:t>
      </w:r>
      <w:r>
        <w:rPr>
          <w:rFonts w:hint="eastAsia" w:ascii="宋体" w:hAnsi="宋体" w:eastAsia="宋体" w:cs="宋体"/>
          <w:spacing w:val="0"/>
          <w:kern w:val="0"/>
          <w:szCs w:val="21"/>
          <w:highlight w:val="none"/>
          <w:lang w:val="en-US" w:eastAsia="zh-CN"/>
        </w:rPr>
        <w:t>43.43万</w:t>
      </w:r>
      <w:r>
        <w:rPr>
          <w:rFonts w:hint="eastAsia" w:ascii="宋体" w:hAnsi="宋体" w:cs="宋体"/>
          <w:snapToGrid w:val="0"/>
          <w:spacing w:val="0"/>
          <w:kern w:val="0"/>
          <w:szCs w:val="21"/>
          <w:highlight w:val="none"/>
          <w:lang w:val="en-US" w:eastAsia="zh-CN"/>
        </w:rPr>
        <w:t>元</w:t>
      </w:r>
      <w:r>
        <w:rPr>
          <w:rFonts w:hint="eastAsia" w:ascii="宋体" w:hAnsi="宋体" w:eastAsia="宋体" w:cs="宋体"/>
          <w:spacing w:val="0"/>
          <w:kern w:val="0"/>
          <w:szCs w:val="21"/>
          <w:highlight w:val="none"/>
          <w:lang w:eastAsia="zh-CN"/>
        </w:rPr>
        <w:t>，</w:t>
      </w:r>
      <w:r>
        <w:rPr>
          <w:rFonts w:hint="eastAsia" w:ascii="宋体" w:hAnsi="宋体" w:cs="宋体"/>
          <w:snapToGrid w:val="0"/>
          <w:spacing w:val="0"/>
          <w:kern w:val="0"/>
          <w:szCs w:val="21"/>
          <w:highlight w:val="none"/>
          <w:lang w:val="en-US" w:eastAsia="zh-CN"/>
        </w:rPr>
        <w:t>（含暂列金额：34477.39元），</w:t>
      </w:r>
      <w:r>
        <w:rPr>
          <w:rFonts w:hint="eastAsia" w:ascii="宋体" w:hAnsi="宋体" w:eastAsia="宋体" w:cs="宋体"/>
          <w:spacing w:val="0"/>
          <w:kern w:val="0"/>
          <w:szCs w:val="21"/>
          <w:highlight w:val="none"/>
        </w:rPr>
        <w:t>暂列金额及暂估价为不可竞争费用，报价超过最高限价的为无效报价，按照无效响应处理</w:t>
      </w:r>
      <w:r>
        <w:rPr>
          <w:rFonts w:hint="eastAsia" w:ascii="宋体" w:hAnsi="宋体" w:eastAsia="宋体" w:cs="宋体"/>
          <w:spacing w:val="0"/>
          <w:kern w:val="0"/>
          <w:szCs w:val="21"/>
          <w:highlight w:val="none"/>
          <w:lang w:eastAsia="zh-CN"/>
        </w:rPr>
        <w:t>。</w:t>
      </w:r>
    </w:p>
    <w:p w14:paraId="646685A2">
      <w:pPr>
        <w:pageBreakBefore w:val="0"/>
        <w:kinsoku/>
        <w:overflowPunct/>
        <w:bidi w:val="0"/>
        <w:adjustRightInd w:val="0"/>
        <w:snapToGrid w:val="0"/>
        <w:spacing w:line="360" w:lineRule="auto"/>
        <w:ind w:left="0" w:leftChars="0" w:right="0" w:rightChars="0" w:firstLine="420" w:firstLineChars="200"/>
        <w:textAlignment w:val="auto"/>
        <w:rPr>
          <w:rFonts w:hint="eastAsia" w:ascii="宋体" w:hAnsi="宋体" w:eastAsia="宋体" w:cs="宋体"/>
          <w:spacing w:val="0"/>
          <w:kern w:val="0"/>
          <w:szCs w:val="21"/>
          <w:highlight w:val="none"/>
        </w:rPr>
      </w:pPr>
      <w:r>
        <w:rPr>
          <w:rFonts w:hint="eastAsia" w:ascii="宋体" w:hAnsi="宋体" w:eastAsia="宋体" w:cs="宋体"/>
          <w:spacing w:val="0"/>
          <w:kern w:val="0"/>
          <w:szCs w:val="21"/>
          <w:highlight w:val="none"/>
        </w:rPr>
        <w:t>4、付款方式：中标价即为合同价。进场施工一周后付合同价（扣除暂列金额）10%，工程量施工过半付合同价（扣除暂列金额）30%，工程量全部结束付至合同价（扣除暂列金额）的60%，工程竣工验收合格并报送符合要求的工程结算审计资料、工程档案资料后付至合同价（扣除暂列金额）70％，工程决算经审计后付至审计价的97％，余款审计价的3%作为质量保证金待保修期满后且无违约行为扣除维修金后返还（以上均不计息）。（施工过程中严格控制变更，最终工程结算价不得超出合同价的10%，超出部分由施工单位自行承担）</w:t>
      </w:r>
    </w:p>
    <w:p w14:paraId="1C6C958F">
      <w:pPr>
        <w:pageBreakBefore w:val="0"/>
        <w:kinsoku/>
        <w:overflowPunct/>
        <w:bidi w:val="0"/>
        <w:adjustRightInd w:val="0"/>
        <w:snapToGrid w:val="0"/>
        <w:spacing w:line="360" w:lineRule="auto"/>
        <w:ind w:left="0" w:leftChars="0" w:right="0" w:rightChars="0" w:firstLine="420" w:firstLineChars="200"/>
        <w:textAlignment w:val="auto"/>
        <w:rPr>
          <w:rFonts w:ascii="宋体" w:hAnsi="宋体" w:eastAsia="宋体" w:cs="宋体"/>
          <w:spacing w:val="0"/>
          <w:kern w:val="0"/>
          <w:szCs w:val="21"/>
          <w:highlight w:val="none"/>
        </w:rPr>
      </w:pPr>
      <w:r>
        <w:rPr>
          <w:rFonts w:hint="eastAsia" w:ascii="宋体" w:hAnsi="宋体" w:eastAsia="宋体" w:cs="宋体"/>
          <w:spacing w:val="0"/>
          <w:kern w:val="0"/>
          <w:szCs w:val="21"/>
          <w:highlight w:val="none"/>
        </w:rPr>
        <w:t>5、计划工期：</w:t>
      </w:r>
      <w:r>
        <w:rPr>
          <w:rFonts w:hint="eastAsia" w:ascii="宋体" w:hAnsi="宋体" w:eastAsia="宋体" w:cs="宋体"/>
          <w:spacing w:val="0"/>
          <w:kern w:val="0"/>
          <w:szCs w:val="21"/>
          <w:highlight w:val="none"/>
          <w:lang w:val="en-US" w:eastAsia="zh-CN"/>
        </w:rPr>
        <w:t>30</w:t>
      </w:r>
      <w:r>
        <w:rPr>
          <w:rFonts w:hint="eastAsia" w:ascii="宋体" w:hAnsi="宋体" w:eastAsia="宋体" w:cs="宋体"/>
          <w:spacing w:val="0"/>
          <w:kern w:val="0"/>
          <w:szCs w:val="21"/>
          <w:highlight w:val="none"/>
        </w:rPr>
        <w:t>日历天。</w:t>
      </w:r>
    </w:p>
    <w:p w14:paraId="10A3C3F0">
      <w:pPr>
        <w:pageBreakBefore w:val="0"/>
        <w:kinsoku/>
        <w:overflowPunct/>
        <w:bidi w:val="0"/>
        <w:adjustRightInd w:val="0"/>
        <w:snapToGrid w:val="0"/>
        <w:spacing w:line="360" w:lineRule="auto"/>
        <w:ind w:left="0" w:leftChars="0" w:right="0" w:rightChars="0" w:firstLine="420" w:firstLineChars="200"/>
        <w:textAlignment w:val="auto"/>
        <w:rPr>
          <w:rFonts w:ascii="宋体" w:hAnsi="宋体" w:eastAsia="宋体" w:cs="宋体"/>
          <w:spacing w:val="0"/>
          <w:kern w:val="0"/>
          <w:szCs w:val="21"/>
          <w:highlight w:val="none"/>
        </w:rPr>
      </w:pPr>
      <w:r>
        <w:rPr>
          <w:rFonts w:hint="eastAsia" w:ascii="宋体" w:hAnsi="宋体" w:eastAsia="宋体" w:cs="宋体"/>
          <w:spacing w:val="0"/>
          <w:kern w:val="0"/>
          <w:szCs w:val="21"/>
          <w:highlight w:val="none"/>
        </w:rPr>
        <w:t>6、现场及交通运输情况：各投标人自行踏勘现场了解本工程周边环境及交通情况。</w:t>
      </w:r>
    </w:p>
    <w:p w14:paraId="23819546">
      <w:pPr>
        <w:pStyle w:val="17"/>
        <w:pageBreakBefore w:val="0"/>
        <w:kinsoku/>
        <w:overflowPunct/>
        <w:bidi w:val="0"/>
        <w:adjustRightInd w:val="0"/>
        <w:snapToGrid w:val="0"/>
        <w:ind w:left="0" w:leftChars="0" w:right="0" w:rightChars="0" w:firstLine="422" w:firstLineChars="200"/>
        <w:textAlignment w:val="auto"/>
        <w:rPr>
          <w:rFonts w:ascii="宋体" w:hAnsi="宋体" w:cs="宋体"/>
          <w:b/>
          <w:bCs/>
          <w:spacing w:val="0"/>
          <w:kern w:val="0"/>
          <w:sz w:val="21"/>
          <w:szCs w:val="21"/>
          <w:highlight w:val="none"/>
        </w:rPr>
      </w:pPr>
      <w:r>
        <w:rPr>
          <w:rFonts w:hint="eastAsia" w:ascii="宋体" w:hAnsi="宋体" w:cs="宋体"/>
          <w:b/>
          <w:bCs/>
          <w:spacing w:val="0"/>
          <w:kern w:val="0"/>
          <w:sz w:val="21"/>
          <w:szCs w:val="21"/>
          <w:highlight w:val="none"/>
          <w:lang w:val="en-US" w:eastAsia="zh-CN"/>
        </w:rPr>
        <w:t>二</w:t>
      </w:r>
      <w:r>
        <w:rPr>
          <w:rFonts w:hint="eastAsia" w:ascii="宋体" w:hAnsi="宋体" w:cs="宋体"/>
          <w:b/>
          <w:bCs/>
          <w:spacing w:val="0"/>
          <w:kern w:val="0"/>
          <w:sz w:val="21"/>
          <w:szCs w:val="21"/>
          <w:highlight w:val="none"/>
        </w:rPr>
        <w:t>、品牌要求</w:t>
      </w:r>
    </w:p>
    <w:p w14:paraId="1C991D1F">
      <w:pPr>
        <w:pageBreakBefore w:val="0"/>
        <w:kinsoku/>
        <w:overflowPunct/>
        <w:bidi w:val="0"/>
        <w:adjustRightInd w:val="0"/>
        <w:snapToGrid w:val="0"/>
        <w:spacing w:line="360" w:lineRule="auto"/>
        <w:ind w:left="0" w:leftChars="0" w:right="0" w:rightChars="0" w:firstLine="420" w:firstLineChars="200"/>
        <w:textAlignment w:val="auto"/>
        <w:rPr>
          <w:rFonts w:ascii="宋体" w:hAnsi="宋体" w:eastAsia="宋体" w:cs="宋体"/>
          <w:spacing w:val="0"/>
          <w:kern w:val="0"/>
          <w:szCs w:val="21"/>
          <w:highlight w:val="none"/>
        </w:rPr>
      </w:pPr>
      <w:r>
        <w:rPr>
          <w:rFonts w:hint="eastAsia" w:ascii="宋体" w:hAnsi="宋体" w:eastAsia="宋体" w:cs="宋体"/>
          <w:spacing w:val="0"/>
          <w:kern w:val="0"/>
          <w:szCs w:val="21"/>
          <w:highlight w:val="none"/>
        </w:rPr>
        <w:t>1.施工方采购的主要材料必须在以下甲方推荐的几个品牌中选择一个，未指明品牌的主材投标时须注明品牌、生产厂家及规格型号，在征得甲方确认后才能使用，重要主材进场前应送样确认，材料壁厚等重要技术指标不得小于甲方规定。</w:t>
      </w:r>
    </w:p>
    <w:p w14:paraId="15C034D1">
      <w:pPr>
        <w:pageBreakBefore w:val="0"/>
        <w:kinsoku/>
        <w:overflowPunct/>
        <w:bidi w:val="0"/>
        <w:adjustRightInd w:val="0"/>
        <w:snapToGrid w:val="0"/>
        <w:spacing w:line="360" w:lineRule="auto"/>
        <w:ind w:left="0" w:leftChars="0" w:right="0" w:rightChars="0" w:firstLine="420" w:firstLineChars="200"/>
        <w:textAlignment w:val="auto"/>
        <w:rPr>
          <w:rFonts w:ascii="宋体" w:hAnsi="宋体" w:eastAsia="宋体" w:cs="宋体"/>
          <w:spacing w:val="0"/>
          <w:kern w:val="0"/>
          <w:szCs w:val="21"/>
          <w:highlight w:val="none"/>
        </w:rPr>
      </w:pPr>
      <w:r>
        <w:rPr>
          <w:rFonts w:hint="eastAsia" w:ascii="宋体" w:hAnsi="宋体" w:eastAsia="宋体" w:cs="宋体"/>
          <w:spacing w:val="0"/>
          <w:kern w:val="0"/>
          <w:szCs w:val="21"/>
          <w:highlight w:val="none"/>
        </w:rPr>
        <w:t>2.所有产品均应符合国家标准与环保要求，并提供相关资料。</w:t>
      </w:r>
    </w:p>
    <w:p w14:paraId="464BFDA0">
      <w:pPr>
        <w:pageBreakBefore w:val="0"/>
        <w:kinsoku/>
        <w:overflowPunct/>
        <w:bidi w:val="0"/>
        <w:adjustRightInd w:val="0"/>
        <w:snapToGrid w:val="0"/>
        <w:spacing w:line="360" w:lineRule="auto"/>
        <w:ind w:left="0" w:leftChars="0" w:right="0" w:rightChars="0" w:firstLine="420" w:firstLineChars="200"/>
        <w:textAlignment w:val="auto"/>
        <w:rPr>
          <w:rFonts w:hint="default" w:ascii="仿宋_GB2312" w:eastAsia="仿宋_GB2312"/>
          <w:spacing w:val="0"/>
          <w:kern w:val="0"/>
          <w:sz w:val="21"/>
          <w:szCs w:val="21"/>
          <w:highlight w:val="none"/>
          <w:lang w:val="en-US" w:eastAsia="zh-CN"/>
        </w:rPr>
      </w:pPr>
      <w:r>
        <w:rPr>
          <w:rFonts w:hint="eastAsia" w:ascii="宋体" w:hAnsi="宋体" w:eastAsia="宋体" w:cs="宋体"/>
          <w:spacing w:val="0"/>
          <w:kern w:val="0"/>
          <w:szCs w:val="21"/>
          <w:highlight w:val="none"/>
        </w:rPr>
        <w:t>3.品牌按下表：</w:t>
      </w:r>
    </w:p>
    <w:tbl>
      <w:tblPr>
        <w:tblStyle w:val="12"/>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010"/>
        <w:gridCol w:w="4129"/>
        <w:gridCol w:w="2531"/>
      </w:tblGrid>
      <w:tr w14:paraId="6086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0006A11">
            <w:pPr>
              <w:adjustRightInd w:val="0"/>
              <w:snapToGrid w:val="0"/>
              <w:spacing w:line="440" w:lineRule="exact"/>
              <w:jc w:val="center"/>
              <w:rPr>
                <w:rFonts w:ascii="彩虹粗仿宋" w:hAnsi="彩虹粗仿宋"/>
                <w:b/>
                <w:sz w:val="21"/>
                <w:szCs w:val="21"/>
                <w:highlight w:val="none"/>
              </w:rPr>
            </w:pPr>
            <w:r>
              <w:rPr>
                <w:rFonts w:hint="eastAsia" w:ascii="彩虹粗仿宋" w:hAnsi="彩虹粗仿宋"/>
                <w:b/>
                <w:sz w:val="21"/>
                <w:szCs w:val="21"/>
                <w:highlight w:val="none"/>
              </w:rPr>
              <w:t>安装主要材料品牌要求一览表</w:t>
            </w:r>
          </w:p>
        </w:tc>
      </w:tr>
      <w:tr w14:paraId="68CB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632ECF9">
            <w:pPr>
              <w:adjustRightInd w:val="0"/>
              <w:snapToGrid w:val="0"/>
              <w:spacing w:line="440" w:lineRule="exact"/>
              <w:jc w:val="center"/>
              <w:rPr>
                <w:rFonts w:ascii="彩虹粗仿宋" w:hAnsi="彩虹粗仿宋"/>
                <w:b/>
                <w:sz w:val="21"/>
                <w:szCs w:val="21"/>
                <w:highlight w:val="none"/>
              </w:rPr>
            </w:pPr>
            <w:r>
              <w:rPr>
                <w:rFonts w:hint="eastAsia" w:ascii="彩虹粗仿宋" w:hAnsi="彩虹粗仿宋"/>
                <w:b/>
                <w:sz w:val="21"/>
                <w:szCs w:val="21"/>
                <w:highlight w:val="none"/>
              </w:rPr>
              <w:t>序号</w:t>
            </w:r>
          </w:p>
        </w:tc>
        <w:tc>
          <w:tcPr>
            <w:tcW w:w="1441" w:type="pct"/>
            <w:tcBorders>
              <w:top w:val="single" w:color="auto" w:sz="4" w:space="0"/>
              <w:left w:val="nil"/>
              <w:bottom w:val="single" w:color="auto" w:sz="4" w:space="0"/>
              <w:right w:val="single" w:color="auto" w:sz="4" w:space="0"/>
            </w:tcBorders>
            <w:vAlign w:val="center"/>
          </w:tcPr>
          <w:p w14:paraId="76315469">
            <w:pPr>
              <w:adjustRightInd w:val="0"/>
              <w:snapToGrid w:val="0"/>
              <w:spacing w:line="440" w:lineRule="exact"/>
              <w:jc w:val="center"/>
              <w:rPr>
                <w:rFonts w:ascii="彩虹粗仿宋" w:hAnsi="彩虹粗仿宋"/>
                <w:b/>
                <w:sz w:val="21"/>
                <w:szCs w:val="21"/>
                <w:highlight w:val="none"/>
              </w:rPr>
            </w:pPr>
            <w:r>
              <w:rPr>
                <w:rFonts w:hint="eastAsia" w:ascii="彩虹粗仿宋" w:hAnsi="彩虹粗仿宋"/>
                <w:b/>
                <w:sz w:val="21"/>
                <w:szCs w:val="21"/>
                <w:highlight w:val="none"/>
              </w:rPr>
              <w:t>主要材料名称</w:t>
            </w:r>
          </w:p>
        </w:tc>
        <w:tc>
          <w:tcPr>
            <w:tcW w:w="1977" w:type="pct"/>
            <w:tcBorders>
              <w:top w:val="single" w:color="auto" w:sz="4" w:space="0"/>
              <w:left w:val="nil"/>
              <w:bottom w:val="single" w:color="auto" w:sz="4" w:space="0"/>
              <w:right w:val="single" w:color="auto" w:sz="4" w:space="0"/>
            </w:tcBorders>
            <w:vAlign w:val="center"/>
          </w:tcPr>
          <w:p w14:paraId="64B37C1E">
            <w:pPr>
              <w:adjustRightInd w:val="0"/>
              <w:snapToGrid w:val="0"/>
              <w:spacing w:line="440" w:lineRule="exact"/>
              <w:jc w:val="center"/>
              <w:rPr>
                <w:rFonts w:ascii="彩虹粗仿宋" w:hAnsi="彩虹粗仿宋"/>
                <w:b/>
                <w:sz w:val="21"/>
                <w:szCs w:val="21"/>
                <w:highlight w:val="none"/>
              </w:rPr>
            </w:pPr>
            <w:r>
              <w:rPr>
                <w:rFonts w:hint="eastAsia" w:ascii="彩虹粗仿宋" w:hAnsi="彩虹粗仿宋"/>
                <w:b/>
                <w:sz w:val="21"/>
                <w:szCs w:val="21"/>
                <w:highlight w:val="none"/>
              </w:rPr>
              <w:t>品牌</w:t>
            </w:r>
          </w:p>
        </w:tc>
        <w:tc>
          <w:tcPr>
            <w:tcW w:w="1212" w:type="pct"/>
            <w:tcBorders>
              <w:top w:val="single" w:color="auto" w:sz="4" w:space="0"/>
              <w:left w:val="nil"/>
              <w:bottom w:val="single" w:color="auto" w:sz="4" w:space="0"/>
              <w:right w:val="single" w:color="auto" w:sz="4" w:space="0"/>
            </w:tcBorders>
            <w:vAlign w:val="center"/>
          </w:tcPr>
          <w:p w14:paraId="401D0F2C">
            <w:pPr>
              <w:adjustRightInd w:val="0"/>
              <w:snapToGrid w:val="0"/>
              <w:spacing w:line="440" w:lineRule="exact"/>
              <w:jc w:val="center"/>
              <w:rPr>
                <w:rFonts w:ascii="彩虹粗仿宋" w:hAnsi="彩虹粗仿宋"/>
                <w:b/>
                <w:sz w:val="21"/>
                <w:szCs w:val="21"/>
                <w:highlight w:val="none"/>
              </w:rPr>
            </w:pPr>
            <w:r>
              <w:rPr>
                <w:rFonts w:hint="eastAsia" w:ascii="彩虹粗仿宋" w:hAnsi="彩虹粗仿宋"/>
                <w:b/>
                <w:sz w:val="21"/>
                <w:szCs w:val="21"/>
                <w:highlight w:val="none"/>
              </w:rPr>
              <w:t>备注</w:t>
            </w:r>
          </w:p>
        </w:tc>
      </w:tr>
      <w:tr w14:paraId="27E8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30A9F7A">
            <w:pPr>
              <w:adjustRightInd w:val="0"/>
              <w:snapToGrid w:val="0"/>
              <w:spacing w:line="400" w:lineRule="exact"/>
              <w:jc w:val="center"/>
              <w:rPr>
                <w:rFonts w:ascii="宋体" w:hAnsi="宋体"/>
                <w:sz w:val="21"/>
                <w:szCs w:val="21"/>
              </w:rPr>
            </w:pPr>
            <w:r>
              <w:rPr>
                <w:rFonts w:hint="eastAsia" w:ascii="宋体" w:hAnsi="宋体"/>
                <w:sz w:val="21"/>
                <w:szCs w:val="21"/>
              </w:rPr>
              <w:t>1</w:t>
            </w:r>
          </w:p>
        </w:tc>
        <w:tc>
          <w:tcPr>
            <w:tcW w:w="1441" w:type="pct"/>
            <w:tcBorders>
              <w:top w:val="single" w:color="auto" w:sz="4" w:space="0"/>
              <w:left w:val="nil"/>
              <w:bottom w:val="single" w:color="auto" w:sz="4" w:space="0"/>
              <w:right w:val="single" w:color="auto" w:sz="4" w:space="0"/>
            </w:tcBorders>
            <w:vAlign w:val="center"/>
          </w:tcPr>
          <w:p w14:paraId="0E5C02A8">
            <w:pPr>
              <w:adjustRightInd w:val="0"/>
              <w:snapToGrid w:val="0"/>
              <w:spacing w:line="400" w:lineRule="exact"/>
              <w:jc w:val="center"/>
              <w:rPr>
                <w:rFonts w:ascii="宋体" w:hAnsi="宋体"/>
                <w:sz w:val="21"/>
                <w:szCs w:val="21"/>
              </w:rPr>
            </w:pPr>
            <w:r>
              <w:rPr>
                <w:rFonts w:hint="eastAsia" w:ascii="宋体" w:hAnsi="宋体"/>
                <w:sz w:val="21"/>
                <w:szCs w:val="21"/>
              </w:rPr>
              <w:t>线盒</w:t>
            </w:r>
          </w:p>
        </w:tc>
        <w:tc>
          <w:tcPr>
            <w:tcW w:w="1977" w:type="pct"/>
            <w:tcBorders>
              <w:top w:val="single" w:color="auto" w:sz="4" w:space="0"/>
              <w:left w:val="nil"/>
              <w:bottom w:val="single" w:color="auto" w:sz="4" w:space="0"/>
              <w:right w:val="single" w:color="auto" w:sz="4" w:space="0"/>
            </w:tcBorders>
            <w:vAlign w:val="center"/>
          </w:tcPr>
          <w:p w14:paraId="6E789FAD">
            <w:pPr>
              <w:adjustRightInd w:val="0"/>
              <w:snapToGrid w:val="0"/>
              <w:spacing w:line="400" w:lineRule="exact"/>
              <w:jc w:val="center"/>
              <w:rPr>
                <w:rFonts w:ascii="宋体" w:hAnsi="宋体"/>
                <w:sz w:val="21"/>
                <w:szCs w:val="21"/>
              </w:rPr>
            </w:pPr>
            <w:r>
              <w:rPr>
                <w:rFonts w:hint="eastAsia" w:ascii="宋体" w:hAnsi="宋体"/>
                <w:sz w:val="21"/>
                <w:szCs w:val="21"/>
              </w:rPr>
              <w:t>公元、鸿雁、松下</w:t>
            </w:r>
          </w:p>
        </w:tc>
        <w:tc>
          <w:tcPr>
            <w:tcW w:w="1212" w:type="pct"/>
            <w:tcBorders>
              <w:top w:val="single" w:color="auto" w:sz="4" w:space="0"/>
              <w:left w:val="nil"/>
              <w:bottom w:val="single" w:color="auto" w:sz="4" w:space="0"/>
              <w:right w:val="single" w:color="auto" w:sz="4" w:space="0"/>
            </w:tcBorders>
            <w:vAlign w:val="center"/>
          </w:tcPr>
          <w:p w14:paraId="3C632B7C">
            <w:pPr>
              <w:adjustRightInd w:val="0"/>
              <w:snapToGrid w:val="0"/>
              <w:spacing w:line="400" w:lineRule="exact"/>
              <w:jc w:val="center"/>
              <w:rPr>
                <w:rFonts w:ascii="宋体" w:hAnsi="宋体"/>
                <w:sz w:val="21"/>
                <w:szCs w:val="21"/>
              </w:rPr>
            </w:pPr>
          </w:p>
        </w:tc>
      </w:tr>
      <w:tr w14:paraId="0200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E0B50E7">
            <w:pPr>
              <w:adjustRightInd w:val="0"/>
              <w:snapToGrid w:val="0"/>
              <w:spacing w:line="400" w:lineRule="exact"/>
              <w:jc w:val="center"/>
              <w:rPr>
                <w:rFonts w:ascii="宋体" w:hAnsi="宋体"/>
                <w:sz w:val="21"/>
                <w:szCs w:val="21"/>
              </w:rPr>
            </w:pPr>
            <w:r>
              <w:rPr>
                <w:rFonts w:hint="eastAsia" w:ascii="宋体" w:hAnsi="宋体"/>
                <w:sz w:val="21"/>
                <w:szCs w:val="21"/>
              </w:rPr>
              <w:t>2</w:t>
            </w:r>
          </w:p>
        </w:tc>
        <w:tc>
          <w:tcPr>
            <w:tcW w:w="1441" w:type="pct"/>
            <w:tcBorders>
              <w:top w:val="single" w:color="auto" w:sz="4" w:space="0"/>
              <w:left w:val="nil"/>
              <w:bottom w:val="single" w:color="auto" w:sz="4" w:space="0"/>
              <w:right w:val="single" w:color="auto" w:sz="4" w:space="0"/>
            </w:tcBorders>
            <w:vAlign w:val="center"/>
          </w:tcPr>
          <w:p w14:paraId="4564E620">
            <w:pPr>
              <w:adjustRightInd w:val="0"/>
              <w:snapToGrid w:val="0"/>
              <w:spacing w:line="400" w:lineRule="exact"/>
              <w:jc w:val="center"/>
              <w:rPr>
                <w:rFonts w:ascii="宋体" w:hAnsi="宋体"/>
                <w:sz w:val="21"/>
                <w:szCs w:val="21"/>
              </w:rPr>
            </w:pPr>
            <w:r>
              <w:rPr>
                <w:rFonts w:hint="eastAsia" w:ascii="宋体" w:hAnsi="宋体"/>
                <w:sz w:val="21"/>
                <w:szCs w:val="21"/>
              </w:rPr>
              <w:t>感应开关</w:t>
            </w:r>
          </w:p>
        </w:tc>
        <w:tc>
          <w:tcPr>
            <w:tcW w:w="1977" w:type="pct"/>
            <w:tcBorders>
              <w:top w:val="single" w:color="auto" w:sz="4" w:space="0"/>
              <w:left w:val="nil"/>
              <w:bottom w:val="single" w:color="auto" w:sz="4" w:space="0"/>
              <w:right w:val="single" w:color="auto" w:sz="4" w:space="0"/>
            </w:tcBorders>
            <w:vAlign w:val="center"/>
          </w:tcPr>
          <w:p w14:paraId="12C44A44">
            <w:pPr>
              <w:adjustRightInd w:val="0"/>
              <w:snapToGrid w:val="0"/>
              <w:spacing w:line="400" w:lineRule="exact"/>
              <w:jc w:val="center"/>
              <w:rPr>
                <w:rFonts w:ascii="宋体" w:hAnsi="宋体"/>
                <w:sz w:val="21"/>
                <w:szCs w:val="21"/>
              </w:rPr>
            </w:pPr>
            <w:r>
              <w:rPr>
                <w:rFonts w:hint="eastAsia" w:ascii="宋体" w:hAnsi="宋体"/>
                <w:sz w:val="21"/>
                <w:szCs w:val="21"/>
              </w:rPr>
              <w:t>西门子、松本、松下</w:t>
            </w:r>
          </w:p>
        </w:tc>
        <w:tc>
          <w:tcPr>
            <w:tcW w:w="1212" w:type="pct"/>
            <w:tcBorders>
              <w:top w:val="single" w:color="auto" w:sz="4" w:space="0"/>
              <w:left w:val="nil"/>
              <w:bottom w:val="single" w:color="auto" w:sz="4" w:space="0"/>
              <w:right w:val="single" w:color="auto" w:sz="4" w:space="0"/>
            </w:tcBorders>
            <w:vAlign w:val="center"/>
          </w:tcPr>
          <w:p w14:paraId="3DE2FF64">
            <w:pPr>
              <w:adjustRightInd w:val="0"/>
              <w:snapToGrid w:val="0"/>
              <w:spacing w:line="400" w:lineRule="exact"/>
              <w:jc w:val="center"/>
              <w:rPr>
                <w:rFonts w:ascii="宋体" w:hAnsi="宋体"/>
                <w:sz w:val="21"/>
                <w:szCs w:val="21"/>
              </w:rPr>
            </w:pPr>
          </w:p>
        </w:tc>
      </w:tr>
      <w:tr w14:paraId="6AF6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CC5C71C">
            <w:pPr>
              <w:adjustRightInd w:val="0"/>
              <w:snapToGrid w:val="0"/>
              <w:spacing w:line="400" w:lineRule="exact"/>
              <w:jc w:val="center"/>
              <w:rPr>
                <w:rFonts w:ascii="宋体" w:hAnsi="宋体"/>
                <w:sz w:val="21"/>
                <w:szCs w:val="21"/>
              </w:rPr>
            </w:pPr>
            <w:r>
              <w:rPr>
                <w:rFonts w:ascii="宋体" w:hAnsi="宋体"/>
                <w:sz w:val="21"/>
                <w:szCs w:val="21"/>
              </w:rPr>
              <w:t>3</w:t>
            </w:r>
          </w:p>
        </w:tc>
        <w:tc>
          <w:tcPr>
            <w:tcW w:w="1441" w:type="pct"/>
            <w:tcBorders>
              <w:top w:val="single" w:color="auto" w:sz="4" w:space="0"/>
              <w:left w:val="nil"/>
              <w:bottom w:val="single" w:color="auto" w:sz="4" w:space="0"/>
              <w:right w:val="single" w:color="auto" w:sz="4" w:space="0"/>
            </w:tcBorders>
            <w:vAlign w:val="center"/>
          </w:tcPr>
          <w:p w14:paraId="5B056993">
            <w:pPr>
              <w:adjustRightInd w:val="0"/>
              <w:snapToGrid w:val="0"/>
              <w:spacing w:line="400" w:lineRule="exact"/>
              <w:jc w:val="center"/>
              <w:rPr>
                <w:rFonts w:ascii="宋体" w:hAnsi="宋体"/>
                <w:sz w:val="21"/>
                <w:szCs w:val="21"/>
              </w:rPr>
            </w:pPr>
            <w:r>
              <w:rPr>
                <w:rFonts w:hint="eastAsia" w:ascii="宋体" w:hAnsi="宋体"/>
                <w:sz w:val="21"/>
                <w:szCs w:val="21"/>
              </w:rPr>
              <w:t>灯具</w:t>
            </w:r>
          </w:p>
        </w:tc>
        <w:tc>
          <w:tcPr>
            <w:tcW w:w="1977" w:type="pct"/>
            <w:tcBorders>
              <w:top w:val="single" w:color="auto" w:sz="4" w:space="0"/>
              <w:left w:val="nil"/>
              <w:bottom w:val="single" w:color="auto" w:sz="4" w:space="0"/>
              <w:right w:val="single" w:color="auto" w:sz="4" w:space="0"/>
            </w:tcBorders>
            <w:vAlign w:val="center"/>
          </w:tcPr>
          <w:p w14:paraId="766362DF">
            <w:pPr>
              <w:adjustRightInd w:val="0"/>
              <w:snapToGrid w:val="0"/>
              <w:spacing w:line="400" w:lineRule="exact"/>
              <w:jc w:val="center"/>
              <w:rPr>
                <w:rFonts w:ascii="宋体" w:hAnsi="宋体"/>
                <w:sz w:val="21"/>
                <w:szCs w:val="21"/>
              </w:rPr>
            </w:pPr>
            <w:r>
              <w:rPr>
                <w:rFonts w:hint="eastAsia" w:ascii="宋体" w:hAnsi="宋体"/>
                <w:sz w:val="21"/>
                <w:szCs w:val="21"/>
              </w:rPr>
              <w:t>雷士、松下、飞利浦</w:t>
            </w:r>
          </w:p>
        </w:tc>
        <w:tc>
          <w:tcPr>
            <w:tcW w:w="1212" w:type="pct"/>
            <w:tcBorders>
              <w:top w:val="single" w:color="auto" w:sz="4" w:space="0"/>
              <w:left w:val="nil"/>
              <w:bottom w:val="single" w:color="auto" w:sz="4" w:space="0"/>
              <w:right w:val="single" w:color="auto" w:sz="4" w:space="0"/>
            </w:tcBorders>
            <w:vAlign w:val="center"/>
          </w:tcPr>
          <w:p w14:paraId="20724EC2">
            <w:pPr>
              <w:adjustRightInd w:val="0"/>
              <w:snapToGrid w:val="0"/>
              <w:spacing w:line="400" w:lineRule="exact"/>
              <w:jc w:val="both"/>
              <w:rPr>
                <w:rFonts w:hint="default" w:ascii="宋体" w:hAnsi="宋体" w:eastAsia="宋体"/>
                <w:sz w:val="21"/>
                <w:szCs w:val="21"/>
                <w:lang w:val="en-US" w:eastAsia="zh-CN"/>
              </w:rPr>
            </w:pPr>
            <w:r>
              <w:rPr>
                <w:rFonts w:hint="default" w:ascii="宋体" w:hAnsi="宋体" w:eastAsia="宋体"/>
                <w:sz w:val="21"/>
                <w:szCs w:val="21"/>
                <w:lang w:val="en-US" w:eastAsia="zh-CN"/>
              </w:rPr>
              <w:t>显色指数（CRI）≧90</w:t>
            </w:r>
          </w:p>
        </w:tc>
      </w:tr>
      <w:tr w14:paraId="336A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42BC967">
            <w:pPr>
              <w:adjustRightInd w:val="0"/>
              <w:snapToGrid w:val="0"/>
              <w:spacing w:line="400" w:lineRule="exact"/>
              <w:jc w:val="center"/>
              <w:rPr>
                <w:rFonts w:ascii="宋体" w:hAnsi="宋体"/>
                <w:sz w:val="21"/>
                <w:szCs w:val="21"/>
              </w:rPr>
            </w:pPr>
            <w:r>
              <w:rPr>
                <w:rFonts w:ascii="宋体" w:hAnsi="宋体"/>
                <w:sz w:val="21"/>
                <w:szCs w:val="21"/>
              </w:rPr>
              <w:t>4</w:t>
            </w:r>
          </w:p>
        </w:tc>
        <w:tc>
          <w:tcPr>
            <w:tcW w:w="1441" w:type="pct"/>
            <w:tcBorders>
              <w:top w:val="single" w:color="auto" w:sz="4" w:space="0"/>
              <w:left w:val="nil"/>
              <w:bottom w:val="single" w:color="auto" w:sz="4" w:space="0"/>
              <w:right w:val="single" w:color="auto" w:sz="4" w:space="0"/>
            </w:tcBorders>
            <w:vAlign w:val="center"/>
          </w:tcPr>
          <w:p w14:paraId="37BA2A47">
            <w:pPr>
              <w:adjustRightInd w:val="0"/>
              <w:snapToGrid w:val="0"/>
              <w:spacing w:line="400" w:lineRule="exact"/>
              <w:jc w:val="center"/>
              <w:rPr>
                <w:rFonts w:ascii="宋体" w:hAnsi="宋体"/>
                <w:sz w:val="21"/>
                <w:szCs w:val="21"/>
              </w:rPr>
            </w:pPr>
            <w:r>
              <w:rPr>
                <w:rFonts w:hint="eastAsia" w:ascii="宋体" w:hAnsi="宋体"/>
                <w:sz w:val="21"/>
                <w:szCs w:val="21"/>
                <w:lang w:val="en-US" w:eastAsia="zh-CN"/>
              </w:rPr>
              <w:t>电</w:t>
            </w:r>
            <w:r>
              <w:rPr>
                <w:rFonts w:hint="eastAsia" w:ascii="宋体" w:hAnsi="宋体"/>
                <w:sz w:val="21"/>
                <w:szCs w:val="21"/>
              </w:rPr>
              <w:t>线</w:t>
            </w:r>
            <w:r>
              <w:rPr>
                <w:rFonts w:hint="eastAsia" w:ascii="宋体" w:hAnsi="宋体"/>
                <w:sz w:val="21"/>
                <w:szCs w:val="21"/>
                <w:lang w:eastAsia="zh-CN"/>
              </w:rPr>
              <w:t>、</w:t>
            </w:r>
            <w:r>
              <w:rPr>
                <w:rFonts w:hint="eastAsia" w:ascii="宋体" w:hAnsi="宋体"/>
                <w:sz w:val="21"/>
                <w:szCs w:val="21"/>
                <w:lang w:val="en-US" w:eastAsia="zh-CN"/>
              </w:rPr>
              <w:t>电</w:t>
            </w:r>
            <w:r>
              <w:rPr>
                <w:rFonts w:hint="eastAsia" w:ascii="宋体" w:hAnsi="宋体"/>
                <w:sz w:val="21"/>
                <w:szCs w:val="21"/>
              </w:rPr>
              <w:t>缆</w:t>
            </w:r>
          </w:p>
        </w:tc>
        <w:tc>
          <w:tcPr>
            <w:tcW w:w="1977" w:type="pct"/>
            <w:tcBorders>
              <w:top w:val="single" w:color="auto" w:sz="4" w:space="0"/>
              <w:left w:val="nil"/>
              <w:bottom w:val="single" w:color="auto" w:sz="4" w:space="0"/>
              <w:right w:val="single" w:color="auto" w:sz="4" w:space="0"/>
            </w:tcBorders>
            <w:vAlign w:val="center"/>
          </w:tcPr>
          <w:p w14:paraId="6BF8D3DC">
            <w:pPr>
              <w:adjustRightInd w:val="0"/>
              <w:snapToGrid w:val="0"/>
              <w:spacing w:line="400" w:lineRule="exact"/>
              <w:jc w:val="center"/>
              <w:rPr>
                <w:rFonts w:ascii="宋体" w:hAnsi="宋体"/>
                <w:sz w:val="21"/>
                <w:szCs w:val="21"/>
              </w:rPr>
            </w:pPr>
            <w:r>
              <w:rPr>
                <w:rFonts w:hint="eastAsia" w:ascii="宋体" w:hAnsi="宋体"/>
                <w:sz w:val="21"/>
                <w:szCs w:val="21"/>
              </w:rPr>
              <w:t>江扬、新远程、宝胜</w:t>
            </w:r>
          </w:p>
        </w:tc>
        <w:tc>
          <w:tcPr>
            <w:tcW w:w="1212" w:type="pct"/>
            <w:tcBorders>
              <w:top w:val="single" w:color="auto" w:sz="4" w:space="0"/>
              <w:left w:val="nil"/>
              <w:bottom w:val="single" w:color="auto" w:sz="4" w:space="0"/>
              <w:right w:val="single" w:color="auto" w:sz="4" w:space="0"/>
            </w:tcBorders>
            <w:vAlign w:val="center"/>
          </w:tcPr>
          <w:p w14:paraId="555F1275">
            <w:pPr>
              <w:adjustRightInd w:val="0"/>
              <w:snapToGrid w:val="0"/>
              <w:spacing w:line="400" w:lineRule="exact"/>
              <w:jc w:val="center"/>
              <w:rPr>
                <w:rFonts w:ascii="宋体" w:hAnsi="宋体"/>
                <w:sz w:val="21"/>
                <w:szCs w:val="21"/>
              </w:rPr>
            </w:pPr>
          </w:p>
        </w:tc>
      </w:tr>
      <w:tr w14:paraId="0B31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0FF06C3">
            <w:pPr>
              <w:spacing w:line="360" w:lineRule="auto"/>
              <w:jc w:val="center"/>
              <w:rPr>
                <w:rFonts w:ascii="宋体" w:hAnsi="宋体"/>
                <w:sz w:val="21"/>
                <w:szCs w:val="21"/>
              </w:rPr>
            </w:pPr>
            <w:r>
              <w:rPr>
                <w:rFonts w:ascii="宋体" w:hAnsi="宋体"/>
                <w:sz w:val="21"/>
                <w:szCs w:val="21"/>
              </w:rPr>
              <w:t>5</w:t>
            </w:r>
          </w:p>
        </w:tc>
        <w:tc>
          <w:tcPr>
            <w:tcW w:w="1441" w:type="pct"/>
            <w:tcBorders>
              <w:top w:val="single" w:color="auto" w:sz="4" w:space="0"/>
              <w:left w:val="nil"/>
              <w:bottom w:val="single" w:color="auto" w:sz="4" w:space="0"/>
              <w:right w:val="single" w:color="auto" w:sz="4" w:space="0"/>
            </w:tcBorders>
            <w:vAlign w:val="center"/>
          </w:tcPr>
          <w:p w14:paraId="38A44BC3">
            <w:pPr>
              <w:adjustRightInd w:val="0"/>
              <w:snapToGrid w:val="0"/>
              <w:spacing w:line="440" w:lineRule="exact"/>
              <w:jc w:val="center"/>
              <w:rPr>
                <w:rFonts w:ascii="宋体" w:hAnsi="宋体"/>
                <w:sz w:val="21"/>
                <w:szCs w:val="21"/>
              </w:rPr>
            </w:pPr>
            <w:r>
              <w:rPr>
                <w:rFonts w:hint="eastAsia" w:ascii="宋体" w:hAnsi="宋体"/>
                <w:sz w:val="21"/>
                <w:szCs w:val="21"/>
              </w:rPr>
              <w:t>开关、插座</w:t>
            </w:r>
          </w:p>
        </w:tc>
        <w:tc>
          <w:tcPr>
            <w:tcW w:w="1977" w:type="pct"/>
            <w:tcBorders>
              <w:top w:val="single" w:color="auto" w:sz="4" w:space="0"/>
              <w:left w:val="nil"/>
              <w:bottom w:val="single" w:color="auto" w:sz="4" w:space="0"/>
              <w:right w:val="single" w:color="auto" w:sz="4" w:space="0"/>
            </w:tcBorders>
            <w:vAlign w:val="center"/>
          </w:tcPr>
          <w:p w14:paraId="7A7DBC61">
            <w:pPr>
              <w:adjustRightInd w:val="0"/>
              <w:snapToGrid w:val="0"/>
              <w:spacing w:line="320" w:lineRule="exact"/>
              <w:jc w:val="center"/>
              <w:rPr>
                <w:rFonts w:ascii="宋体" w:hAnsi="宋体"/>
                <w:sz w:val="21"/>
                <w:szCs w:val="21"/>
              </w:rPr>
            </w:pPr>
            <w:r>
              <w:rPr>
                <w:rFonts w:hint="eastAsia" w:ascii="宋体" w:hAnsi="宋体"/>
                <w:sz w:val="21"/>
                <w:szCs w:val="21"/>
              </w:rPr>
              <w:t>松本B6系列、松下佳典系列、鸿雁X</w:t>
            </w:r>
            <w:r>
              <w:rPr>
                <w:rFonts w:ascii="宋体" w:hAnsi="宋体"/>
                <w:sz w:val="21"/>
                <w:szCs w:val="21"/>
              </w:rPr>
              <w:t>3</w:t>
            </w:r>
            <w:r>
              <w:rPr>
                <w:rFonts w:hint="eastAsia" w:ascii="宋体" w:hAnsi="宋体"/>
                <w:sz w:val="21"/>
                <w:szCs w:val="21"/>
              </w:rPr>
              <w:t>系列</w:t>
            </w:r>
          </w:p>
        </w:tc>
        <w:tc>
          <w:tcPr>
            <w:tcW w:w="1212" w:type="pct"/>
            <w:tcBorders>
              <w:top w:val="single" w:color="auto" w:sz="4" w:space="0"/>
              <w:left w:val="nil"/>
              <w:bottom w:val="single" w:color="auto" w:sz="4" w:space="0"/>
              <w:right w:val="single" w:color="auto" w:sz="4" w:space="0"/>
            </w:tcBorders>
            <w:vAlign w:val="center"/>
          </w:tcPr>
          <w:p w14:paraId="13ED7E72">
            <w:pPr>
              <w:spacing w:line="360" w:lineRule="auto"/>
              <w:jc w:val="center"/>
              <w:rPr>
                <w:rFonts w:ascii="宋体" w:hAnsi="宋体"/>
                <w:sz w:val="21"/>
                <w:szCs w:val="21"/>
              </w:rPr>
            </w:pPr>
          </w:p>
        </w:tc>
      </w:tr>
      <w:tr w14:paraId="1A0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DDF40CE">
            <w:pPr>
              <w:adjustRightInd w:val="0"/>
              <w:snapToGrid w:val="0"/>
              <w:spacing w:line="440" w:lineRule="exact"/>
              <w:jc w:val="center"/>
              <w:rPr>
                <w:rFonts w:ascii="宋体" w:hAnsi="宋体"/>
                <w:sz w:val="21"/>
                <w:szCs w:val="21"/>
              </w:rPr>
            </w:pPr>
            <w:r>
              <w:rPr>
                <w:rFonts w:ascii="宋体" w:hAnsi="宋体"/>
                <w:sz w:val="21"/>
                <w:szCs w:val="21"/>
              </w:rPr>
              <w:t>6</w:t>
            </w:r>
          </w:p>
        </w:tc>
        <w:tc>
          <w:tcPr>
            <w:tcW w:w="1441" w:type="pct"/>
            <w:tcBorders>
              <w:top w:val="single" w:color="auto" w:sz="4" w:space="0"/>
              <w:left w:val="nil"/>
              <w:bottom w:val="single" w:color="auto" w:sz="4" w:space="0"/>
              <w:right w:val="single" w:color="auto" w:sz="4" w:space="0"/>
            </w:tcBorders>
            <w:vAlign w:val="center"/>
          </w:tcPr>
          <w:p w14:paraId="3ABF86C4">
            <w:pPr>
              <w:adjustRightInd w:val="0"/>
              <w:snapToGrid w:val="0"/>
              <w:spacing w:line="440" w:lineRule="exact"/>
              <w:jc w:val="center"/>
              <w:rPr>
                <w:rFonts w:ascii="宋体" w:hAnsi="宋体"/>
                <w:sz w:val="21"/>
                <w:szCs w:val="21"/>
              </w:rPr>
            </w:pPr>
            <w:r>
              <w:rPr>
                <w:rFonts w:hint="eastAsia" w:ascii="宋体" w:hAnsi="宋体"/>
                <w:sz w:val="21"/>
                <w:szCs w:val="21"/>
              </w:rPr>
              <w:t>给、排水管</w:t>
            </w:r>
          </w:p>
        </w:tc>
        <w:tc>
          <w:tcPr>
            <w:tcW w:w="1977" w:type="pct"/>
            <w:tcBorders>
              <w:top w:val="single" w:color="auto" w:sz="4" w:space="0"/>
              <w:left w:val="nil"/>
              <w:bottom w:val="single" w:color="auto" w:sz="4" w:space="0"/>
              <w:right w:val="single" w:color="auto" w:sz="4" w:space="0"/>
            </w:tcBorders>
            <w:vAlign w:val="center"/>
          </w:tcPr>
          <w:p w14:paraId="384A08F3">
            <w:pPr>
              <w:adjustRightInd w:val="0"/>
              <w:snapToGrid w:val="0"/>
              <w:spacing w:line="440" w:lineRule="exact"/>
              <w:jc w:val="center"/>
              <w:rPr>
                <w:rFonts w:ascii="宋体" w:hAnsi="宋体"/>
                <w:sz w:val="21"/>
                <w:szCs w:val="21"/>
              </w:rPr>
            </w:pPr>
            <w:r>
              <w:rPr>
                <w:rFonts w:hint="eastAsia" w:ascii="宋体" w:hAnsi="宋体"/>
                <w:sz w:val="21"/>
                <w:szCs w:val="21"/>
              </w:rPr>
              <w:t>中财、公元、日丰</w:t>
            </w:r>
          </w:p>
        </w:tc>
        <w:tc>
          <w:tcPr>
            <w:tcW w:w="1212" w:type="pct"/>
            <w:tcBorders>
              <w:top w:val="single" w:color="auto" w:sz="4" w:space="0"/>
              <w:left w:val="nil"/>
              <w:bottom w:val="single" w:color="auto" w:sz="4" w:space="0"/>
              <w:right w:val="single" w:color="auto" w:sz="4" w:space="0"/>
            </w:tcBorders>
            <w:vAlign w:val="center"/>
          </w:tcPr>
          <w:p w14:paraId="78A91AC4">
            <w:pPr>
              <w:adjustRightInd w:val="0"/>
              <w:snapToGrid w:val="0"/>
              <w:spacing w:line="440" w:lineRule="exact"/>
              <w:jc w:val="center"/>
              <w:rPr>
                <w:rFonts w:ascii="宋体" w:hAnsi="宋体"/>
                <w:sz w:val="21"/>
                <w:szCs w:val="21"/>
              </w:rPr>
            </w:pPr>
          </w:p>
        </w:tc>
      </w:tr>
      <w:tr w14:paraId="6C6C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2B12BB9">
            <w:pPr>
              <w:adjustRightInd w:val="0"/>
              <w:snapToGrid w:val="0"/>
              <w:spacing w:line="440" w:lineRule="exact"/>
              <w:jc w:val="center"/>
              <w:rPr>
                <w:rFonts w:ascii="宋体" w:hAnsi="宋体"/>
                <w:sz w:val="21"/>
                <w:szCs w:val="21"/>
              </w:rPr>
            </w:pPr>
            <w:r>
              <w:rPr>
                <w:rFonts w:hint="eastAsia" w:ascii="宋体" w:hAnsi="宋体"/>
                <w:sz w:val="21"/>
                <w:szCs w:val="21"/>
              </w:rPr>
              <w:t>7</w:t>
            </w:r>
          </w:p>
        </w:tc>
        <w:tc>
          <w:tcPr>
            <w:tcW w:w="1441" w:type="pct"/>
            <w:tcBorders>
              <w:top w:val="single" w:color="auto" w:sz="4" w:space="0"/>
              <w:left w:val="nil"/>
              <w:bottom w:val="single" w:color="auto" w:sz="4" w:space="0"/>
              <w:right w:val="single" w:color="auto" w:sz="4" w:space="0"/>
            </w:tcBorders>
            <w:vAlign w:val="center"/>
          </w:tcPr>
          <w:p w14:paraId="2D3D7762">
            <w:pPr>
              <w:adjustRightInd w:val="0"/>
              <w:snapToGrid w:val="0"/>
              <w:spacing w:line="440" w:lineRule="exact"/>
              <w:jc w:val="center"/>
              <w:rPr>
                <w:rFonts w:ascii="宋体" w:hAnsi="宋体"/>
                <w:sz w:val="21"/>
                <w:szCs w:val="21"/>
              </w:rPr>
            </w:pPr>
            <w:r>
              <w:rPr>
                <w:rFonts w:hint="eastAsia" w:ascii="宋体" w:hAnsi="宋体"/>
                <w:sz w:val="21"/>
                <w:szCs w:val="21"/>
              </w:rPr>
              <w:t>橡塑保温棉</w:t>
            </w:r>
          </w:p>
        </w:tc>
        <w:tc>
          <w:tcPr>
            <w:tcW w:w="1977" w:type="pct"/>
            <w:tcBorders>
              <w:top w:val="single" w:color="auto" w:sz="4" w:space="0"/>
              <w:left w:val="nil"/>
              <w:bottom w:val="single" w:color="auto" w:sz="4" w:space="0"/>
              <w:right w:val="single" w:color="auto" w:sz="4" w:space="0"/>
            </w:tcBorders>
            <w:vAlign w:val="center"/>
          </w:tcPr>
          <w:p w14:paraId="12DA5A03">
            <w:pPr>
              <w:adjustRightInd w:val="0"/>
              <w:snapToGrid w:val="0"/>
              <w:spacing w:line="440" w:lineRule="exact"/>
              <w:jc w:val="center"/>
              <w:rPr>
                <w:rFonts w:ascii="宋体" w:hAnsi="宋体"/>
                <w:sz w:val="21"/>
                <w:szCs w:val="21"/>
              </w:rPr>
            </w:pPr>
            <w:r>
              <w:rPr>
                <w:rFonts w:hint="eastAsia" w:ascii="宋体" w:hAnsi="宋体"/>
                <w:sz w:val="21"/>
                <w:szCs w:val="21"/>
              </w:rPr>
              <w:t>赢胜、福乐斯、华美</w:t>
            </w:r>
          </w:p>
        </w:tc>
        <w:tc>
          <w:tcPr>
            <w:tcW w:w="1212" w:type="pct"/>
            <w:tcBorders>
              <w:top w:val="single" w:color="auto" w:sz="4" w:space="0"/>
              <w:left w:val="nil"/>
              <w:bottom w:val="single" w:color="auto" w:sz="4" w:space="0"/>
              <w:right w:val="single" w:color="auto" w:sz="4" w:space="0"/>
            </w:tcBorders>
            <w:vAlign w:val="center"/>
          </w:tcPr>
          <w:p w14:paraId="43CC28F4">
            <w:pPr>
              <w:adjustRightInd w:val="0"/>
              <w:snapToGrid w:val="0"/>
              <w:spacing w:line="440" w:lineRule="exact"/>
              <w:jc w:val="center"/>
              <w:rPr>
                <w:rFonts w:ascii="宋体" w:hAnsi="宋体"/>
                <w:sz w:val="21"/>
                <w:szCs w:val="21"/>
              </w:rPr>
            </w:pPr>
            <w:r>
              <w:rPr>
                <w:rFonts w:hint="eastAsia" w:ascii="宋体" w:hAnsi="宋体"/>
                <w:sz w:val="21"/>
                <w:szCs w:val="21"/>
              </w:rPr>
              <w:t>B1级</w:t>
            </w:r>
          </w:p>
        </w:tc>
      </w:tr>
      <w:tr w14:paraId="538D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62BBE4D">
            <w:pPr>
              <w:adjustRightInd w:val="0"/>
              <w:snapToGrid w:val="0"/>
              <w:spacing w:line="440" w:lineRule="exact"/>
              <w:jc w:val="center"/>
              <w:rPr>
                <w:rFonts w:ascii="宋体" w:hAnsi="宋体"/>
                <w:sz w:val="21"/>
                <w:szCs w:val="21"/>
              </w:rPr>
            </w:pPr>
            <w:r>
              <w:rPr>
                <w:rFonts w:hint="eastAsia" w:ascii="宋体" w:hAnsi="宋体"/>
                <w:sz w:val="21"/>
                <w:szCs w:val="21"/>
              </w:rPr>
              <w:t>8</w:t>
            </w:r>
          </w:p>
        </w:tc>
        <w:tc>
          <w:tcPr>
            <w:tcW w:w="1441" w:type="pct"/>
            <w:tcBorders>
              <w:top w:val="single" w:color="auto" w:sz="4" w:space="0"/>
              <w:left w:val="nil"/>
              <w:bottom w:val="single" w:color="auto" w:sz="4" w:space="0"/>
              <w:right w:val="single" w:color="auto" w:sz="4" w:space="0"/>
            </w:tcBorders>
            <w:vAlign w:val="center"/>
          </w:tcPr>
          <w:p w14:paraId="7B04D944">
            <w:pPr>
              <w:adjustRightInd w:val="0"/>
              <w:snapToGrid w:val="0"/>
              <w:spacing w:line="440" w:lineRule="exact"/>
              <w:jc w:val="center"/>
              <w:rPr>
                <w:rFonts w:ascii="宋体" w:hAnsi="宋体"/>
                <w:sz w:val="21"/>
                <w:szCs w:val="21"/>
              </w:rPr>
            </w:pPr>
            <w:r>
              <w:rPr>
                <w:rFonts w:hint="eastAsia" w:ascii="宋体" w:hAnsi="宋体"/>
                <w:sz w:val="21"/>
                <w:szCs w:val="21"/>
              </w:rPr>
              <w:t>配电箱</w:t>
            </w:r>
          </w:p>
        </w:tc>
        <w:tc>
          <w:tcPr>
            <w:tcW w:w="1977" w:type="pct"/>
            <w:tcBorders>
              <w:top w:val="single" w:color="auto" w:sz="4" w:space="0"/>
              <w:left w:val="nil"/>
              <w:bottom w:val="single" w:color="auto" w:sz="4" w:space="0"/>
              <w:right w:val="single" w:color="auto" w:sz="4" w:space="0"/>
            </w:tcBorders>
            <w:vAlign w:val="center"/>
          </w:tcPr>
          <w:p w14:paraId="2CF0D79E">
            <w:pPr>
              <w:adjustRightInd w:val="0"/>
              <w:snapToGrid w:val="0"/>
              <w:spacing w:line="440" w:lineRule="exact"/>
              <w:jc w:val="center"/>
              <w:rPr>
                <w:rFonts w:ascii="宋体" w:hAnsi="宋体"/>
                <w:sz w:val="21"/>
                <w:szCs w:val="21"/>
              </w:rPr>
            </w:pPr>
            <w:r>
              <w:rPr>
                <w:rFonts w:hint="eastAsia" w:ascii="宋体" w:hAnsi="宋体"/>
                <w:sz w:val="21"/>
                <w:szCs w:val="21"/>
              </w:rPr>
              <w:t>西门子、施耐德、帝一</w:t>
            </w:r>
          </w:p>
        </w:tc>
        <w:tc>
          <w:tcPr>
            <w:tcW w:w="1212" w:type="pct"/>
            <w:tcBorders>
              <w:top w:val="single" w:color="auto" w:sz="4" w:space="0"/>
              <w:left w:val="nil"/>
              <w:bottom w:val="single" w:color="auto" w:sz="4" w:space="0"/>
              <w:right w:val="single" w:color="auto" w:sz="4" w:space="0"/>
            </w:tcBorders>
            <w:vAlign w:val="center"/>
          </w:tcPr>
          <w:p w14:paraId="15723939">
            <w:pPr>
              <w:adjustRightInd w:val="0"/>
              <w:snapToGrid w:val="0"/>
              <w:spacing w:line="440" w:lineRule="exact"/>
              <w:jc w:val="center"/>
              <w:rPr>
                <w:rFonts w:ascii="宋体" w:hAnsi="宋体"/>
                <w:sz w:val="21"/>
                <w:szCs w:val="21"/>
              </w:rPr>
            </w:pPr>
          </w:p>
        </w:tc>
      </w:tr>
      <w:tr w14:paraId="78EF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3CF81AD">
            <w:pPr>
              <w:adjustRightInd w:val="0"/>
              <w:snapToGrid w:val="0"/>
              <w:spacing w:line="440" w:lineRule="exact"/>
              <w:jc w:val="center"/>
              <w:rPr>
                <w:rFonts w:ascii="宋体" w:hAnsi="宋体"/>
                <w:sz w:val="21"/>
                <w:szCs w:val="21"/>
              </w:rPr>
            </w:pPr>
            <w:r>
              <w:rPr>
                <w:rFonts w:hint="eastAsia" w:ascii="宋体" w:hAnsi="宋体"/>
                <w:sz w:val="21"/>
                <w:szCs w:val="21"/>
              </w:rPr>
              <w:t>9</w:t>
            </w:r>
          </w:p>
        </w:tc>
        <w:tc>
          <w:tcPr>
            <w:tcW w:w="1441" w:type="pct"/>
            <w:tcBorders>
              <w:top w:val="single" w:color="auto" w:sz="4" w:space="0"/>
              <w:left w:val="nil"/>
              <w:bottom w:val="single" w:color="auto" w:sz="4" w:space="0"/>
              <w:right w:val="single" w:color="auto" w:sz="4" w:space="0"/>
            </w:tcBorders>
            <w:vAlign w:val="center"/>
          </w:tcPr>
          <w:p w14:paraId="3E69EB20">
            <w:pPr>
              <w:adjustRightInd w:val="0"/>
              <w:snapToGrid w:val="0"/>
              <w:spacing w:line="440" w:lineRule="exact"/>
              <w:jc w:val="center"/>
              <w:rPr>
                <w:rFonts w:ascii="宋体" w:hAnsi="宋体"/>
                <w:sz w:val="21"/>
                <w:szCs w:val="21"/>
              </w:rPr>
            </w:pPr>
            <w:r>
              <w:rPr>
                <w:rFonts w:hint="eastAsia" w:ascii="宋体" w:hAnsi="宋体"/>
                <w:sz w:val="21"/>
                <w:szCs w:val="21"/>
              </w:rPr>
              <w:t>断路器、接触器、隔离开关</w:t>
            </w:r>
          </w:p>
        </w:tc>
        <w:tc>
          <w:tcPr>
            <w:tcW w:w="1977" w:type="pct"/>
            <w:tcBorders>
              <w:top w:val="single" w:color="auto" w:sz="4" w:space="0"/>
              <w:left w:val="nil"/>
              <w:bottom w:val="single" w:color="auto" w:sz="4" w:space="0"/>
              <w:right w:val="single" w:color="auto" w:sz="4" w:space="0"/>
            </w:tcBorders>
            <w:vAlign w:val="center"/>
          </w:tcPr>
          <w:p w14:paraId="31381698">
            <w:pPr>
              <w:adjustRightInd w:val="0"/>
              <w:snapToGrid w:val="0"/>
              <w:spacing w:line="440" w:lineRule="exact"/>
              <w:jc w:val="center"/>
              <w:rPr>
                <w:rFonts w:ascii="宋体" w:hAnsi="宋体"/>
                <w:sz w:val="21"/>
                <w:szCs w:val="21"/>
              </w:rPr>
            </w:pPr>
            <w:r>
              <w:rPr>
                <w:rFonts w:hint="eastAsia" w:ascii="宋体" w:hAnsi="宋体"/>
                <w:sz w:val="21"/>
                <w:szCs w:val="21"/>
              </w:rPr>
              <w:t>西门子、ABB、施耐德</w:t>
            </w:r>
          </w:p>
        </w:tc>
        <w:tc>
          <w:tcPr>
            <w:tcW w:w="1212" w:type="pct"/>
            <w:tcBorders>
              <w:top w:val="single" w:color="auto" w:sz="4" w:space="0"/>
              <w:left w:val="nil"/>
              <w:bottom w:val="single" w:color="auto" w:sz="4" w:space="0"/>
              <w:right w:val="single" w:color="auto" w:sz="4" w:space="0"/>
            </w:tcBorders>
            <w:vAlign w:val="center"/>
          </w:tcPr>
          <w:p w14:paraId="1D66DFEE">
            <w:pPr>
              <w:adjustRightInd w:val="0"/>
              <w:snapToGrid w:val="0"/>
              <w:spacing w:line="440" w:lineRule="exact"/>
              <w:jc w:val="center"/>
              <w:rPr>
                <w:rFonts w:ascii="宋体" w:hAnsi="宋体"/>
                <w:sz w:val="21"/>
                <w:szCs w:val="21"/>
              </w:rPr>
            </w:pPr>
          </w:p>
        </w:tc>
      </w:tr>
      <w:tr w14:paraId="09A5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691AE4D">
            <w:pPr>
              <w:adjustRightInd w:val="0"/>
              <w:snapToGrid w:val="0"/>
              <w:spacing w:line="440" w:lineRule="exact"/>
              <w:jc w:val="center"/>
              <w:rPr>
                <w:rFonts w:ascii="宋体" w:hAnsi="宋体"/>
                <w:sz w:val="21"/>
                <w:szCs w:val="21"/>
              </w:rPr>
            </w:pPr>
            <w:r>
              <w:rPr>
                <w:rFonts w:ascii="宋体" w:hAnsi="宋体"/>
                <w:sz w:val="21"/>
                <w:szCs w:val="21"/>
              </w:rPr>
              <w:t>10</w:t>
            </w:r>
          </w:p>
        </w:tc>
        <w:tc>
          <w:tcPr>
            <w:tcW w:w="1441" w:type="pct"/>
            <w:tcBorders>
              <w:top w:val="single" w:color="auto" w:sz="4" w:space="0"/>
              <w:left w:val="nil"/>
              <w:bottom w:val="single" w:color="auto" w:sz="4" w:space="0"/>
              <w:right w:val="single" w:color="auto" w:sz="4" w:space="0"/>
            </w:tcBorders>
            <w:vAlign w:val="center"/>
          </w:tcPr>
          <w:p w14:paraId="78A6E1F8">
            <w:pPr>
              <w:adjustRightInd w:val="0"/>
              <w:snapToGrid w:val="0"/>
              <w:spacing w:line="440" w:lineRule="exact"/>
              <w:jc w:val="center"/>
              <w:rPr>
                <w:rFonts w:ascii="宋体" w:hAnsi="宋体"/>
                <w:sz w:val="21"/>
                <w:szCs w:val="21"/>
              </w:rPr>
            </w:pPr>
            <w:r>
              <w:rPr>
                <w:rFonts w:hint="eastAsia" w:ascii="宋体" w:hAnsi="宋体"/>
                <w:sz w:val="21"/>
                <w:szCs w:val="21"/>
              </w:rPr>
              <w:t>喷淋头</w:t>
            </w:r>
          </w:p>
        </w:tc>
        <w:tc>
          <w:tcPr>
            <w:tcW w:w="1977" w:type="pct"/>
            <w:tcBorders>
              <w:top w:val="single" w:color="auto" w:sz="4" w:space="0"/>
              <w:left w:val="nil"/>
              <w:bottom w:val="single" w:color="auto" w:sz="4" w:space="0"/>
              <w:right w:val="single" w:color="auto" w:sz="4" w:space="0"/>
            </w:tcBorders>
            <w:vAlign w:val="center"/>
          </w:tcPr>
          <w:p w14:paraId="73EF63B9">
            <w:pPr>
              <w:adjustRightInd w:val="0"/>
              <w:snapToGrid w:val="0"/>
              <w:spacing w:line="440" w:lineRule="exact"/>
              <w:jc w:val="center"/>
              <w:rPr>
                <w:rFonts w:ascii="宋体" w:hAnsi="宋体"/>
                <w:sz w:val="21"/>
                <w:szCs w:val="21"/>
              </w:rPr>
            </w:pPr>
            <w:r>
              <w:rPr>
                <w:rFonts w:hint="eastAsia" w:ascii="宋体" w:hAnsi="宋体"/>
                <w:sz w:val="21"/>
                <w:szCs w:val="21"/>
              </w:rPr>
              <w:t>金盾、南消、川消</w:t>
            </w:r>
          </w:p>
        </w:tc>
        <w:tc>
          <w:tcPr>
            <w:tcW w:w="1212" w:type="pct"/>
            <w:tcBorders>
              <w:top w:val="single" w:color="auto" w:sz="4" w:space="0"/>
              <w:left w:val="nil"/>
              <w:bottom w:val="single" w:color="auto" w:sz="4" w:space="0"/>
              <w:right w:val="single" w:color="auto" w:sz="4" w:space="0"/>
            </w:tcBorders>
            <w:vAlign w:val="center"/>
          </w:tcPr>
          <w:p w14:paraId="1E121B25">
            <w:pPr>
              <w:adjustRightInd w:val="0"/>
              <w:snapToGrid w:val="0"/>
              <w:spacing w:line="440" w:lineRule="exact"/>
              <w:jc w:val="center"/>
              <w:rPr>
                <w:rFonts w:ascii="宋体" w:hAnsi="宋体"/>
                <w:sz w:val="21"/>
                <w:szCs w:val="21"/>
              </w:rPr>
            </w:pPr>
          </w:p>
        </w:tc>
      </w:tr>
      <w:tr w14:paraId="562B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5A32D96">
            <w:pPr>
              <w:adjustRightInd w:val="0"/>
              <w:snapToGrid w:val="0"/>
              <w:spacing w:line="440" w:lineRule="exact"/>
              <w:jc w:val="center"/>
              <w:rPr>
                <w:rFonts w:ascii="宋体" w:hAnsi="宋体"/>
                <w:sz w:val="21"/>
                <w:szCs w:val="21"/>
              </w:rPr>
            </w:pPr>
            <w:r>
              <w:rPr>
                <w:rFonts w:hint="eastAsia" w:ascii="宋体" w:hAnsi="宋体"/>
                <w:sz w:val="21"/>
                <w:szCs w:val="21"/>
              </w:rPr>
              <w:t>11</w:t>
            </w:r>
          </w:p>
        </w:tc>
        <w:tc>
          <w:tcPr>
            <w:tcW w:w="1441" w:type="pct"/>
            <w:tcBorders>
              <w:top w:val="single" w:color="auto" w:sz="4" w:space="0"/>
              <w:left w:val="nil"/>
              <w:bottom w:val="single" w:color="auto" w:sz="4" w:space="0"/>
              <w:right w:val="single" w:color="auto" w:sz="4" w:space="0"/>
            </w:tcBorders>
            <w:vAlign w:val="center"/>
          </w:tcPr>
          <w:p w14:paraId="65E90938">
            <w:pPr>
              <w:adjustRightInd w:val="0"/>
              <w:snapToGrid w:val="0"/>
              <w:spacing w:line="440" w:lineRule="exact"/>
              <w:jc w:val="center"/>
              <w:rPr>
                <w:rFonts w:ascii="宋体" w:hAnsi="宋体"/>
                <w:sz w:val="21"/>
                <w:szCs w:val="21"/>
              </w:rPr>
            </w:pPr>
            <w:r>
              <w:rPr>
                <w:rFonts w:hint="eastAsia" w:ascii="宋体" w:hAnsi="宋体" w:cs="宋体"/>
                <w:sz w:val="21"/>
                <w:szCs w:val="21"/>
              </w:rPr>
              <w:t>马桶、蹲坑、小便斗、面盆、龙头、淋浴器</w:t>
            </w:r>
          </w:p>
        </w:tc>
        <w:tc>
          <w:tcPr>
            <w:tcW w:w="1977" w:type="pct"/>
            <w:tcBorders>
              <w:top w:val="single" w:color="auto" w:sz="4" w:space="0"/>
              <w:left w:val="nil"/>
              <w:bottom w:val="single" w:color="auto" w:sz="4" w:space="0"/>
              <w:right w:val="single" w:color="auto" w:sz="4" w:space="0"/>
            </w:tcBorders>
            <w:vAlign w:val="center"/>
          </w:tcPr>
          <w:p w14:paraId="2B7D606E">
            <w:pPr>
              <w:adjustRightInd w:val="0"/>
              <w:snapToGrid w:val="0"/>
              <w:spacing w:line="440" w:lineRule="exact"/>
              <w:jc w:val="center"/>
              <w:rPr>
                <w:rFonts w:ascii="宋体" w:hAnsi="宋体"/>
                <w:sz w:val="21"/>
                <w:szCs w:val="21"/>
              </w:rPr>
            </w:pPr>
            <w:r>
              <w:rPr>
                <w:rFonts w:hint="eastAsia" w:ascii="宋体" w:hAnsi="宋体" w:cs="宋体"/>
                <w:sz w:val="21"/>
                <w:szCs w:val="21"/>
              </w:rPr>
              <w:t>箭牌、TOTO、科勒</w:t>
            </w:r>
          </w:p>
        </w:tc>
        <w:tc>
          <w:tcPr>
            <w:tcW w:w="1212" w:type="pct"/>
            <w:tcBorders>
              <w:top w:val="single" w:color="auto" w:sz="4" w:space="0"/>
              <w:left w:val="nil"/>
              <w:bottom w:val="single" w:color="auto" w:sz="4" w:space="0"/>
              <w:right w:val="single" w:color="auto" w:sz="4" w:space="0"/>
            </w:tcBorders>
            <w:vAlign w:val="center"/>
          </w:tcPr>
          <w:p w14:paraId="1735DBFD">
            <w:pPr>
              <w:adjustRightInd w:val="0"/>
              <w:snapToGrid w:val="0"/>
              <w:spacing w:line="440" w:lineRule="exact"/>
              <w:jc w:val="center"/>
              <w:rPr>
                <w:rFonts w:ascii="宋体" w:hAnsi="宋体"/>
                <w:sz w:val="21"/>
                <w:szCs w:val="21"/>
              </w:rPr>
            </w:pPr>
          </w:p>
        </w:tc>
      </w:tr>
      <w:tr w14:paraId="4890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FBAE934">
            <w:pPr>
              <w:adjustRightInd w:val="0"/>
              <w:snapToGrid w:val="0"/>
              <w:spacing w:line="440" w:lineRule="exact"/>
              <w:jc w:val="center"/>
              <w:rPr>
                <w:rFonts w:ascii="宋体" w:hAnsi="宋体"/>
                <w:sz w:val="21"/>
                <w:szCs w:val="21"/>
              </w:rPr>
            </w:pPr>
            <w:r>
              <w:rPr>
                <w:rFonts w:ascii="宋体" w:hAnsi="宋体"/>
                <w:sz w:val="21"/>
                <w:szCs w:val="21"/>
              </w:rPr>
              <w:t>12</w:t>
            </w:r>
          </w:p>
        </w:tc>
        <w:tc>
          <w:tcPr>
            <w:tcW w:w="1441" w:type="pct"/>
            <w:tcBorders>
              <w:top w:val="single" w:color="auto" w:sz="4" w:space="0"/>
              <w:left w:val="nil"/>
              <w:bottom w:val="single" w:color="auto" w:sz="4" w:space="0"/>
              <w:right w:val="single" w:color="auto" w:sz="4" w:space="0"/>
            </w:tcBorders>
            <w:vAlign w:val="center"/>
          </w:tcPr>
          <w:p w14:paraId="4387F172">
            <w:pPr>
              <w:adjustRightInd w:val="0"/>
              <w:snapToGrid w:val="0"/>
              <w:spacing w:line="440" w:lineRule="exact"/>
              <w:jc w:val="center"/>
              <w:rPr>
                <w:rFonts w:ascii="宋体" w:hAnsi="宋体"/>
                <w:sz w:val="21"/>
                <w:szCs w:val="21"/>
              </w:rPr>
            </w:pPr>
            <w:r>
              <w:rPr>
                <w:rFonts w:hint="eastAsia" w:ascii="宋体" w:hAnsi="宋体" w:cs="宋体"/>
                <w:sz w:val="21"/>
                <w:szCs w:val="21"/>
              </w:rPr>
              <w:t>不锈钢地漏</w:t>
            </w:r>
          </w:p>
        </w:tc>
        <w:tc>
          <w:tcPr>
            <w:tcW w:w="1977" w:type="pct"/>
            <w:tcBorders>
              <w:top w:val="single" w:color="auto" w:sz="4" w:space="0"/>
              <w:left w:val="nil"/>
              <w:bottom w:val="single" w:color="auto" w:sz="4" w:space="0"/>
              <w:right w:val="single" w:color="auto" w:sz="4" w:space="0"/>
            </w:tcBorders>
            <w:vAlign w:val="center"/>
          </w:tcPr>
          <w:p w14:paraId="0A04A8DD">
            <w:pPr>
              <w:adjustRightInd w:val="0"/>
              <w:snapToGrid w:val="0"/>
              <w:spacing w:line="440" w:lineRule="exact"/>
              <w:jc w:val="center"/>
              <w:rPr>
                <w:rFonts w:ascii="宋体" w:hAnsi="宋体"/>
                <w:sz w:val="21"/>
                <w:szCs w:val="21"/>
              </w:rPr>
            </w:pPr>
            <w:r>
              <w:rPr>
                <w:rFonts w:hint="eastAsia" w:ascii="宋体" w:hAnsi="宋体" w:cs="宋体"/>
                <w:sz w:val="21"/>
                <w:szCs w:val="21"/>
              </w:rPr>
              <w:t>箭牌、潜水艇、TOTO</w:t>
            </w:r>
          </w:p>
        </w:tc>
        <w:tc>
          <w:tcPr>
            <w:tcW w:w="1212" w:type="pct"/>
            <w:tcBorders>
              <w:top w:val="single" w:color="auto" w:sz="4" w:space="0"/>
              <w:left w:val="nil"/>
              <w:bottom w:val="single" w:color="auto" w:sz="4" w:space="0"/>
              <w:right w:val="single" w:color="auto" w:sz="4" w:space="0"/>
            </w:tcBorders>
            <w:vAlign w:val="center"/>
          </w:tcPr>
          <w:p w14:paraId="37DE435F">
            <w:pPr>
              <w:adjustRightInd w:val="0"/>
              <w:snapToGrid w:val="0"/>
              <w:spacing w:line="440" w:lineRule="exact"/>
              <w:jc w:val="center"/>
              <w:rPr>
                <w:rFonts w:ascii="宋体" w:hAnsi="宋体"/>
                <w:sz w:val="21"/>
                <w:szCs w:val="21"/>
              </w:rPr>
            </w:pPr>
          </w:p>
        </w:tc>
      </w:tr>
      <w:tr w14:paraId="59D9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838F9BB">
            <w:pPr>
              <w:adjustRightInd w:val="0"/>
              <w:snapToGrid w:val="0"/>
              <w:spacing w:line="440" w:lineRule="exact"/>
              <w:jc w:val="center"/>
              <w:rPr>
                <w:rFonts w:ascii="宋体" w:hAnsi="宋体"/>
                <w:sz w:val="21"/>
                <w:szCs w:val="21"/>
              </w:rPr>
            </w:pPr>
            <w:r>
              <w:rPr>
                <w:rFonts w:ascii="宋体" w:hAnsi="宋体"/>
                <w:sz w:val="21"/>
                <w:szCs w:val="21"/>
              </w:rPr>
              <w:t>13</w:t>
            </w:r>
          </w:p>
        </w:tc>
        <w:tc>
          <w:tcPr>
            <w:tcW w:w="1441" w:type="pct"/>
            <w:tcBorders>
              <w:top w:val="single" w:color="auto" w:sz="4" w:space="0"/>
              <w:left w:val="nil"/>
              <w:bottom w:val="single" w:color="auto" w:sz="4" w:space="0"/>
              <w:right w:val="single" w:color="auto" w:sz="4" w:space="0"/>
            </w:tcBorders>
            <w:vAlign w:val="center"/>
          </w:tcPr>
          <w:p w14:paraId="3836BA45">
            <w:pPr>
              <w:adjustRightInd w:val="0"/>
              <w:snapToGrid w:val="0"/>
              <w:spacing w:line="440" w:lineRule="exact"/>
              <w:jc w:val="center"/>
              <w:rPr>
                <w:rFonts w:ascii="宋体" w:hAnsi="宋体"/>
                <w:sz w:val="21"/>
                <w:szCs w:val="21"/>
              </w:rPr>
            </w:pPr>
            <w:r>
              <w:rPr>
                <w:rFonts w:hint="eastAsia" w:ascii="宋体" w:hAnsi="宋体"/>
                <w:sz w:val="21"/>
                <w:szCs w:val="21"/>
              </w:rPr>
              <w:t>沟槽配件</w:t>
            </w:r>
          </w:p>
        </w:tc>
        <w:tc>
          <w:tcPr>
            <w:tcW w:w="1977" w:type="pct"/>
            <w:tcBorders>
              <w:top w:val="single" w:color="auto" w:sz="4" w:space="0"/>
              <w:left w:val="nil"/>
              <w:bottom w:val="single" w:color="auto" w:sz="4" w:space="0"/>
              <w:right w:val="single" w:color="auto" w:sz="4" w:space="0"/>
            </w:tcBorders>
            <w:vAlign w:val="center"/>
          </w:tcPr>
          <w:p w14:paraId="1AA9A9A3">
            <w:pPr>
              <w:adjustRightInd w:val="0"/>
              <w:snapToGrid w:val="0"/>
              <w:spacing w:line="440" w:lineRule="exact"/>
              <w:jc w:val="center"/>
              <w:rPr>
                <w:rFonts w:ascii="宋体" w:hAnsi="宋体"/>
                <w:sz w:val="21"/>
                <w:szCs w:val="21"/>
              </w:rPr>
            </w:pPr>
            <w:r>
              <w:rPr>
                <w:rFonts w:hint="eastAsia" w:ascii="宋体" w:hAnsi="宋体"/>
                <w:sz w:val="21"/>
                <w:szCs w:val="21"/>
              </w:rPr>
              <w:t>迈克、金枪鱼、管威</w:t>
            </w:r>
          </w:p>
        </w:tc>
        <w:tc>
          <w:tcPr>
            <w:tcW w:w="1212" w:type="pct"/>
            <w:tcBorders>
              <w:top w:val="single" w:color="auto" w:sz="4" w:space="0"/>
              <w:left w:val="nil"/>
              <w:bottom w:val="single" w:color="auto" w:sz="4" w:space="0"/>
              <w:right w:val="single" w:color="auto" w:sz="4" w:space="0"/>
            </w:tcBorders>
            <w:vAlign w:val="center"/>
          </w:tcPr>
          <w:p w14:paraId="2A713273">
            <w:pPr>
              <w:adjustRightInd w:val="0"/>
              <w:snapToGrid w:val="0"/>
              <w:spacing w:line="440" w:lineRule="exact"/>
              <w:jc w:val="center"/>
              <w:rPr>
                <w:rFonts w:ascii="宋体" w:hAnsi="宋体"/>
                <w:sz w:val="21"/>
                <w:szCs w:val="21"/>
              </w:rPr>
            </w:pPr>
          </w:p>
        </w:tc>
      </w:tr>
      <w:tr w14:paraId="1C3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E821781">
            <w:pPr>
              <w:adjustRightInd w:val="0"/>
              <w:snapToGrid w:val="0"/>
              <w:spacing w:line="440" w:lineRule="exact"/>
              <w:jc w:val="center"/>
              <w:rPr>
                <w:rFonts w:ascii="宋体" w:hAnsi="宋体"/>
                <w:sz w:val="21"/>
                <w:szCs w:val="21"/>
              </w:rPr>
            </w:pPr>
            <w:r>
              <w:rPr>
                <w:rFonts w:ascii="宋体" w:hAnsi="宋体"/>
                <w:sz w:val="21"/>
                <w:szCs w:val="21"/>
              </w:rPr>
              <w:t>14</w:t>
            </w:r>
          </w:p>
        </w:tc>
        <w:tc>
          <w:tcPr>
            <w:tcW w:w="1441" w:type="pct"/>
            <w:tcBorders>
              <w:top w:val="single" w:color="auto" w:sz="4" w:space="0"/>
              <w:left w:val="nil"/>
              <w:bottom w:val="single" w:color="auto" w:sz="4" w:space="0"/>
              <w:right w:val="single" w:color="auto" w:sz="4" w:space="0"/>
            </w:tcBorders>
            <w:vAlign w:val="center"/>
          </w:tcPr>
          <w:p w14:paraId="1B9E15D9">
            <w:pPr>
              <w:adjustRightInd w:val="0"/>
              <w:snapToGrid w:val="0"/>
              <w:spacing w:line="440" w:lineRule="exact"/>
              <w:jc w:val="center"/>
              <w:rPr>
                <w:rFonts w:ascii="宋体" w:hAnsi="宋体"/>
                <w:sz w:val="21"/>
                <w:szCs w:val="21"/>
              </w:rPr>
            </w:pPr>
            <w:r>
              <w:rPr>
                <w:rFonts w:hint="eastAsia" w:ascii="宋体" w:hAnsi="宋体"/>
                <w:sz w:val="21"/>
                <w:szCs w:val="21"/>
              </w:rPr>
              <w:t>湿式报警阀</w:t>
            </w:r>
          </w:p>
        </w:tc>
        <w:tc>
          <w:tcPr>
            <w:tcW w:w="1977" w:type="pct"/>
            <w:tcBorders>
              <w:top w:val="single" w:color="auto" w:sz="4" w:space="0"/>
              <w:left w:val="nil"/>
              <w:bottom w:val="single" w:color="auto" w:sz="4" w:space="0"/>
              <w:right w:val="single" w:color="auto" w:sz="4" w:space="0"/>
            </w:tcBorders>
            <w:vAlign w:val="center"/>
          </w:tcPr>
          <w:p w14:paraId="11EF57E0">
            <w:pPr>
              <w:adjustRightInd w:val="0"/>
              <w:snapToGrid w:val="0"/>
              <w:spacing w:line="440" w:lineRule="exact"/>
              <w:jc w:val="center"/>
              <w:rPr>
                <w:rFonts w:ascii="宋体" w:hAnsi="宋体"/>
                <w:sz w:val="21"/>
                <w:szCs w:val="21"/>
              </w:rPr>
            </w:pPr>
            <w:r>
              <w:rPr>
                <w:rFonts w:hint="eastAsia" w:ascii="宋体" w:hAnsi="宋体"/>
                <w:sz w:val="21"/>
                <w:szCs w:val="21"/>
              </w:rPr>
              <w:t>上海金盾、南消、冠龙</w:t>
            </w:r>
          </w:p>
        </w:tc>
        <w:tc>
          <w:tcPr>
            <w:tcW w:w="1212" w:type="pct"/>
            <w:tcBorders>
              <w:top w:val="single" w:color="auto" w:sz="4" w:space="0"/>
              <w:left w:val="nil"/>
              <w:bottom w:val="single" w:color="auto" w:sz="4" w:space="0"/>
              <w:right w:val="single" w:color="auto" w:sz="4" w:space="0"/>
            </w:tcBorders>
            <w:vAlign w:val="center"/>
          </w:tcPr>
          <w:p w14:paraId="0CA541D6">
            <w:pPr>
              <w:adjustRightInd w:val="0"/>
              <w:snapToGrid w:val="0"/>
              <w:spacing w:line="440" w:lineRule="exact"/>
              <w:jc w:val="center"/>
              <w:rPr>
                <w:rFonts w:ascii="宋体" w:hAnsi="宋体"/>
                <w:sz w:val="21"/>
                <w:szCs w:val="21"/>
              </w:rPr>
            </w:pPr>
          </w:p>
        </w:tc>
      </w:tr>
      <w:tr w14:paraId="7A56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18BBE21">
            <w:pPr>
              <w:adjustRightInd w:val="0"/>
              <w:snapToGrid w:val="0"/>
              <w:spacing w:line="440" w:lineRule="exact"/>
              <w:jc w:val="center"/>
              <w:rPr>
                <w:rFonts w:ascii="宋体" w:hAnsi="宋体"/>
                <w:sz w:val="21"/>
                <w:szCs w:val="21"/>
              </w:rPr>
            </w:pPr>
            <w:r>
              <w:rPr>
                <w:rFonts w:hint="eastAsia" w:ascii="宋体" w:hAnsi="宋体"/>
                <w:sz w:val="21"/>
                <w:szCs w:val="21"/>
              </w:rPr>
              <w:t>1</w:t>
            </w:r>
            <w:r>
              <w:rPr>
                <w:rFonts w:ascii="宋体" w:hAnsi="宋体"/>
                <w:sz w:val="21"/>
                <w:szCs w:val="21"/>
              </w:rPr>
              <w:t>5</w:t>
            </w:r>
          </w:p>
        </w:tc>
        <w:tc>
          <w:tcPr>
            <w:tcW w:w="1441" w:type="pct"/>
            <w:tcBorders>
              <w:top w:val="single" w:color="auto" w:sz="4" w:space="0"/>
              <w:left w:val="nil"/>
              <w:bottom w:val="single" w:color="auto" w:sz="4" w:space="0"/>
              <w:right w:val="single" w:color="auto" w:sz="4" w:space="0"/>
            </w:tcBorders>
            <w:vAlign w:val="center"/>
          </w:tcPr>
          <w:p w14:paraId="7451F07A">
            <w:pPr>
              <w:adjustRightInd w:val="0"/>
              <w:snapToGrid w:val="0"/>
              <w:spacing w:line="440" w:lineRule="exact"/>
              <w:jc w:val="center"/>
              <w:rPr>
                <w:rFonts w:ascii="宋体" w:hAnsi="宋体"/>
                <w:sz w:val="21"/>
                <w:szCs w:val="21"/>
              </w:rPr>
            </w:pPr>
            <w:r>
              <w:rPr>
                <w:rFonts w:hint="eastAsia" w:ascii="宋体" w:hAnsi="宋体"/>
                <w:sz w:val="21"/>
                <w:szCs w:val="21"/>
              </w:rPr>
              <w:t>火灾报警设备</w:t>
            </w:r>
          </w:p>
        </w:tc>
        <w:tc>
          <w:tcPr>
            <w:tcW w:w="1977" w:type="pct"/>
            <w:tcBorders>
              <w:top w:val="single" w:color="auto" w:sz="4" w:space="0"/>
              <w:left w:val="nil"/>
              <w:bottom w:val="single" w:color="auto" w:sz="4" w:space="0"/>
              <w:right w:val="single" w:color="auto" w:sz="4" w:space="0"/>
            </w:tcBorders>
            <w:vAlign w:val="center"/>
          </w:tcPr>
          <w:p w14:paraId="19428C2A">
            <w:pPr>
              <w:adjustRightInd w:val="0"/>
              <w:snapToGrid w:val="0"/>
              <w:spacing w:line="440" w:lineRule="exact"/>
              <w:jc w:val="center"/>
              <w:rPr>
                <w:rFonts w:ascii="宋体" w:hAnsi="宋体"/>
                <w:sz w:val="21"/>
                <w:szCs w:val="21"/>
              </w:rPr>
            </w:pPr>
            <w:r>
              <w:rPr>
                <w:rFonts w:hint="eastAsia" w:ascii="宋体" w:hAnsi="宋体"/>
                <w:sz w:val="21"/>
                <w:szCs w:val="21"/>
              </w:rPr>
              <w:t>上海能美、库柏、西门子</w:t>
            </w:r>
          </w:p>
        </w:tc>
        <w:tc>
          <w:tcPr>
            <w:tcW w:w="1212" w:type="pct"/>
            <w:tcBorders>
              <w:top w:val="single" w:color="auto" w:sz="4" w:space="0"/>
              <w:left w:val="nil"/>
              <w:bottom w:val="single" w:color="auto" w:sz="4" w:space="0"/>
              <w:right w:val="single" w:color="auto" w:sz="4" w:space="0"/>
            </w:tcBorders>
            <w:vAlign w:val="center"/>
          </w:tcPr>
          <w:p w14:paraId="1EBE2C8C">
            <w:pPr>
              <w:adjustRightInd w:val="0"/>
              <w:snapToGrid w:val="0"/>
              <w:spacing w:line="440" w:lineRule="exact"/>
              <w:jc w:val="center"/>
              <w:rPr>
                <w:rFonts w:ascii="宋体" w:hAnsi="宋体"/>
                <w:sz w:val="21"/>
                <w:szCs w:val="21"/>
              </w:rPr>
            </w:pPr>
          </w:p>
        </w:tc>
      </w:tr>
      <w:tr w14:paraId="1B77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CE959F4">
            <w:pPr>
              <w:adjustRightInd w:val="0"/>
              <w:snapToGrid w:val="0"/>
              <w:spacing w:line="440" w:lineRule="exact"/>
              <w:jc w:val="center"/>
              <w:rPr>
                <w:rFonts w:ascii="宋体" w:hAnsi="宋体"/>
                <w:sz w:val="21"/>
                <w:szCs w:val="21"/>
              </w:rPr>
            </w:pPr>
            <w:r>
              <w:rPr>
                <w:rFonts w:hint="eastAsia" w:ascii="宋体" w:hAnsi="宋体"/>
                <w:sz w:val="21"/>
                <w:szCs w:val="21"/>
              </w:rPr>
              <w:t>1</w:t>
            </w:r>
            <w:r>
              <w:rPr>
                <w:rFonts w:ascii="宋体" w:hAnsi="宋体"/>
                <w:sz w:val="21"/>
                <w:szCs w:val="21"/>
              </w:rPr>
              <w:t>6</w:t>
            </w:r>
          </w:p>
        </w:tc>
        <w:tc>
          <w:tcPr>
            <w:tcW w:w="1441" w:type="pct"/>
            <w:tcBorders>
              <w:top w:val="single" w:color="auto" w:sz="4" w:space="0"/>
              <w:left w:val="nil"/>
              <w:bottom w:val="single" w:color="auto" w:sz="4" w:space="0"/>
              <w:right w:val="single" w:color="auto" w:sz="4" w:space="0"/>
            </w:tcBorders>
            <w:vAlign w:val="center"/>
          </w:tcPr>
          <w:p w14:paraId="5A2C43E8">
            <w:pPr>
              <w:adjustRightInd w:val="0"/>
              <w:snapToGrid w:val="0"/>
              <w:spacing w:line="440" w:lineRule="exact"/>
              <w:jc w:val="center"/>
              <w:rPr>
                <w:rFonts w:ascii="宋体" w:hAnsi="宋体"/>
                <w:sz w:val="21"/>
                <w:szCs w:val="21"/>
              </w:rPr>
            </w:pPr>
            <w:r>
              <w:rPr>
                <w:rFonts w:hint="eastAsia" w:ascii="宋体" w:hAnsi="宋体"/>
                <w:sz w:val="21"/>
                <w:szCs w:val="21"/>
              </w:rPr>
              <w:t>上下水金属软管</w:t>
            </w:r>
          </w:p>
        </w:tc>
        <w:tc>
          <w:tcPr>
            <w:tcW w:w="1977" w:type="pct"/>
            <w:tcBorders>
              <w:top w:val="single" w:color="auto" w:sz="4" w:space="0"/>
              <w:left w:val="nil"/>
              <w:bottom w:val="single" w:color="auto" w:sz="4" w:space="0"/>
              <w:right w:val="single" w:color="auto" w:sz="4" w:space="0"/>
            </w:tcBorders>
            <w:vAlign w:val="center"/>
          </w:tcPr>
          <w:p w14:paraId="2D6F987E">
            <w:pPr>
              <w:adjustRightInd w:val="0"/>
              <w:snapToGrid w:val="0"/>
              <w:spacing w:line="440" w:lineRule="exact"/>
              <w:jc w:val="center"/>
              <w:rPr>
                <w:rFonts w:ascii="宋体" w:hAnsi="宋体"/>
                <w:sz w:val="21"/>
                <w:szCs w:val="21"/>
              </w:rPr>
            </w:pPr>
            <w:r>
              <w:rPr>
                <w:rFonts w:hint="eastAsia" w:ascii="宋体" w:hAnsi="宋体"/>
                <w:sz w:val="21"/>
                <w:szCs w:val="21"/>
              </w:rPr>
              <w:t>箭牌、埃美柯、外岗</w:t>
            </w:r>
          </w:p>
        </w:tc>
        <w:tc>
          <w:tcPr>
            <w:tcW w:w="1212" w:type="pct"/>
            <w:tcBorders>
              <w:top w:val="single" w:color="auto" w:sz="4" w:space="0"/>
              <w:left w:val="nil"/>
              <w:bottom w:val="single" w:color="auto" w:sz="4" w:space="0"/>
              <w:right w:val="single" w:color="auto" w:sz="4" w:space="0"/>
            </w:tcBorders>
            <w:vAlign w:val="center"/>
          </w:tcPr>
          <w:p w14:paraId="7A1E47D6">
            <w:pPr>
              <w:adjustRightInd w:val="0"/>
              <w:snapToGrid w:val="0"/>
              <w:spacing w:line="440" w:lineRule="exact"/>
              <w:jc w:val="center"/>
              <w:rPr>
                <w:rFonts w:ascii="宋体" w:hAnsi="宋体"/>
                <w:sz w:val="21"/>
                <w:szCs w:val="21"/>
              </w:rPr>
            </w:pPr>
            <w:r>
              <w:rPr>
                <w:rFonts w:ascii="宋体" w:hAnsi="宋体"/>
                <w:sz w:val="21"/>
                <w:szCs w:val="21"/>
              </w:rPr>
              <w:t>不锈钢</w:t>
            </w:r>
          </w:p>
        </w:tc>
      </w:tr>
      <w:tr w14:paraId="7C0F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B13A5BF">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val="en-US" w:eastAsia="zh-CN"/>
              </w:rPr>
              <w:t>7</w:t>
            </w:r>
          </w:p>
        </w:tc>
        <w:tc>
          <w:tcPr>
            <w:tcW w:w="1441" w:type="pct"/>
            <w:tcBorders>
              <w:top w:val="single" w:color="auto" w:sz="4" w:space="0"/>
              <w:left w:val="nil"/>
              <w:bottom w:val="single" w:color="auto" w:sz="4" w:space="0"/>
              <w:right w:val="single" w:color="auto" w:sz="4" w:space="0"/>
            </w:tcBorders>
            <w:vAlign w:val="center"/>
          </w:tcPr>
          <w:p w14:paraId="4DBDDFD4">
            <w:pPr>
              <w:adjustRightInd w:val="0"/>
              <w:snapToGrid w:val="0"/>
              <w:spacing w:line="440" w:lineRule="exact"/>
              <w:jc w:val="center"/>
              <w:rPr>
                <w:rFonts w:ascii="宋体" w:hAnsi="宋体"/>
                <w:sz w:val="21"/>
                <w:szCs w:val="21"/>
              </w:rPr>
            </w:pPr>
            <w:r>
              <w:rPr>
                <w:rFonts w:hint="eastAsia" w:ascii="宋体" w:hAnsi="宋体"/>
                <w:sz w:val="21"/>
                <w:szCs w:val="21"/>
              </w:rPr>
              <w:t>镀锌钢管及配件</w:t>
            </w:r>
          </w:p>
        </w:tc>
        <w:tc>
          <w:tcPr>
            <w:tcW w:w="1977" w:type="pct"/>
            <w:tcBorders>
              <w:top w:val="single" w:color="auto" w:sz="4" w:space="0"/>
              <w:left w:val="nil"/>
              <w:bottom w:val="single" w:color="auto" w:sz="4" w:space="0"/>
              <w:right w:val="single" w:color="auto" w:sz="4" w:space="0"/>
            </w:tcBorders>
            <w:vAlign w:val="center"/>
          </w:tcPr>
          <w:p w14:paraId="42863C17">
            <w:pPr>
              <w:adjustRightInd w:val="0"/>
              <w:snapToGrid w:val="0"/>
              <w:spacing w:line="440" w:lineRule="exact"/>
              <w:jc w:val="center"/>
              <w:rPr>
                <w:rFonts w:ascii="宋体" w:hAnsi="宋体"/>
                <w:sz w:val="21"/>
                <w:szCs w:val="21"/>
              </w:rPr>
            </w:pPr>
            <w:r>
              <w:rPr>
                <w:rFonts w:hint="eastAsia" w:ascii="宋体" w:hAnsi="宋体"/>
                <w:sz w:val="21"/>
                <w:szCs w:val="21"/>
              </w:rPr>
              <w:t>正大、国强、天虹</w:t>
            </w:r>
          </w:p>
        </w:tc>
        <w:tc>
          <w:tcPr>
            <w:tcW w:w="1212" w:type="pct"/>
            <w:tcBorders>
              <w:top w:val="single" w:color="auto" w:sz="4" w:space="0"/>
              <w:left w:val="nil"/>
              <w:bottom w:val="single" w:color="auto" w:sz="4" w:space="0"/>
              <w:right w:val="single" w:color="auto" w:sz="4" w:space="0"/>
            </w:tcBorders>
            <w:vAlign w:val="center"/>
          </w:tcPr>
          <w:p w14:paraId="190B66B4">
            <w:pPr>
              <w:adjustRightInd w:val="0"/>
              <w:snapToGrid w:val="0"/>
              <w:spacing w:line="440" w:lineRule="exact"/>
              <w:jc w:val="center"/>
              <w:rPr>
                <w:rFonts w:ascii="宋体" w:hAnsi="宋体"/>
                <w:sz w:val="21"/>
                <w:szCs w:val="21"/>
              </w:rPr>
            </w:pPr>
          </w:p>
        </w:tc>
      </w:tr>
      <w:tr w14:paraId="5EF0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3C89CDB">
            <w:pPr>
              <w:adjustRightInd w:val="0"/>
              <w:snapToGrid w:val="0"/>
              <w:spacing w:line="320" w:lineRule="exact"/>
              <w:jc w:val="center"/>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val="en-US" w:eastAsia="zh-CN"/>
              </w:rPr>
              <w:t>8</w:t>
            </w:r>
          </w:p>
        </w:tc>
        <w:tc>
          <w:tcPr>
            <w:tcW w:w="1441" w:type="pct"/>
            <w:tcBorders>
              <w:top w:val="single" w:color="auto" w:sz="4" w:space="0"/>
              <w:left w:val="nil"/>
              <w:bottom w:val="single" w:color="auto" w:sz="4" w:space="0"/>
              <w:right w:val="single" w:color="auto" w:sz="4" w:space="0"/>
            </w:tcBorders>
            <w:vAlign w:val="center"/>
          </w:tcPr>
          <w:p w14:paraId="51E40DA4">
            <w:pPr>
              <w:adjustRightInd w:val="0"/>
              <w:snapToGrid w:val="0"/>
              <w:spacing w:line="320" w:lineRule="exact"/>
              <w:jc w:val="center"/>
              <w:rPr>
                <w:rFonts w:ascii="宋体" w:hAnsi="宋体"/>
                <w:sz w:val="21"/>
                <w:szCs w:val="21"/>
              </w:rPr>
            </w:pPr>
            <w:r>
              <w:rPr>
                <w:rFonts w:hint="eastAsia" w:ascii="宋体" w:hAnsi="宋体"/>
                <w:sz w:val="21"/>
                <w:szCs w:val="21"/>
              </w:rPr>
              <w:t>≤DN50阀门</w:t>
            </w:r>
          </w:p>
        </w:tc>
        <w:tc>
          <w:tcPr>
            <w:tcW w:w="1977" w:type="pct"/>
            <w:tcBorders>
              <w:top w:val="single" w:color="auto" w:sz="4" w:space="0"/>
              <w:left w:val="nil"/>
              <w:bottom w:val="single" w:color="auto" w:sz="4" w:space="0"/>
              <w:right w:val="single" w:color="auto" w:sz="4" w:space="0"/>
            </w:tcBorders>
            <w:vAlign w:val="center"/>
          </w:tcPr>
          <w:p w14:paraId="003016C5">
            <w:pPr>
              <w:adjustRightInd w:val="0"/>
              <w:snapToGrid w:val="0"/>
              <w:spacing w:line="320" w:lineRule="exact"/>
              <w:jc w:val="center"/>
              <w:rPr>
                <w:rFonts w:ascii="宋体" w:hAnsi="宋体"/>
                <w:sz w:val="21"/>
                <w:szCs w:val="21"/>
              </w:rPr>
            </w:pPr>
            <w:r>
              <w:rPr>
                <w:rFonts w:hint="eastAsia" w:ascii="宋体" w:hAnsi="宋体"/>
                <w:sz w:val="21"/>
                <w:szCs w:val="21"/>
              </w:rPr>
              <w:t>埃美柯、杰克龙、上海冠龙</w:t>
            </w:r>
          </w:p>
        </w:tc>
        <w:tc>
          <w:tcPr>
            <w:tcW w:w="1212" w:type="pct"/>
            <w:tcBorders>
              <w:top w:val="single" w:color="auto" w:sz="4" w:space="0"/>
              <w:left w:val="nil"/>
              <w:bottom w:val="single" w:color="auto" w:sz="4" w:space="0"/>
              <w:right w:val="single" w:color="auto" w:sz="4" w:space="0"/>
            </w:tcBorders>
            <w:vAlign w:val="center"/>
          </w:tcPr>
          <w:p w14:paraId="08BBB54A">
            <w:pPr>
              <w:adjustRightInd w:val="0"/>
              <w:snapToGrid w:val="0"/>
              <w:spacing w:line="440" w:lineRule="exact"/>
              <w:jc w:val="center"/>
              <w:rPr>
                <w:rFonts w:ascii="宋体" w:hAnsi="宋体"/>
                <w:sz w:val="21"/>
                <w:szCs w:val="21"/>
              </w:rPr>
            </w:pPr>
            <w:r>
              <w:rPr>
                <w:rFonts w:hint="eastAsia" w:ascii="宋体" w:hAnsi="宋体"/>
                <w:sz w:val="21"/>
                <w:szCs w:val="21"/>
              </w:rPr>
              <w:t>铜阀芯</w:t>
            </w:r>
          </w:p>
        </w:tc>
      </w:tr>
      <w:tr w14:paraId="529C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B585614">
            <w:pPr>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19</w:t>
            </w:r>
          </w:p>
        </w:tc>
        <w:tc>
          <w:tcPr>
            <w:tcW w:w="1441" w:type="pct"/>
            <w:tcBorders>
              <w:top w:val="single" w:color="auto" w:sz="4" w:space="0"/>
              <w:left w:val="nil"/>
              <w:bottom w:val="single" w:color="auto" w:sz="4" w:space="0"/>
              <w:right w:val="single" w:color="auto" w:sz="4" w:space="0"/>
            </w:tcBorders>
            <w:vAlign w:val="center"/>
          </w:tcPr>
          <w:p w14:paraId="6B7F32F1">
            <w:pPr>
              <w:jc w:val="center"/>
              <w:rPr>
                <w:rFonts w:ascii="宋体" w:hAnsi="宋体"/>
                <w:sz w:val="21"/>
                <w:szCs w:val="21"/>
              </w:rPr>
            </w:pPr>
            <w:r>
              <w:rPr>
                <w:rFonts w:hint="eastAsia" w:ascii="宋体" w:hAnsi="宋体"/>
                <w:sz w:val="21"/>
                <w:szCs w:val="21"/>
              </w:rPr>
              <w:t>&gt;DN50阀门</w:t>
            </w:r>
          </w:p>
        </w:tc>
        <w:tc>
          <w:tcPr>
            <w:tcW w:w="1977" w:type="pct"/>
            <w:tcBorders>
              <w:top w:val="single" w:color="auto" w:sz="4" w:space="0"/>
              <w:left w:val="nil"/>
              <w:bottom w:val="single" w:color="auto" w:sz="4" w:space="0"/>
              <w:right w:val="single" w:color="auto" w:sz="4" w:space="0"/>
            </w:tcBorders>
            <w:vAlign w:val="center"/>
          </w:tcPr>
          <w:p w14:paraId="409B228E">
            <w:pPr>
              <w:adjustRightInd w:val="0"/>
              <w:snapToGrid w:val="0"/>
              <w:spacing w:line="320" w:lineRule="exact"/>
              <w:jc w:val="center"/>
              <w:rPr>
                <w:rFonts w:ascii="宋体" w:hAnsi="宋体"/>
                <w:sz w:val="21"/>
                <w:szCs w:val="21"/>
              </w:rPr>
            </w:pPr>
            <w:r>
              <w:rPr>
                <w:rFonts w:hint="eastAsia" w:ascii="宋体" w:hAnsi="宋体"/>
                <w:sz w:val="21"/>
                <w:szCs w:val="21"/>
              </w:rPr>
              <w:t>上海冠龙、富特、北泽</w:t>
            </w:r>
            <w:r>
              <w:rPr>
                <w:rFonts w:hint="eastAsia" w:ascii="宋体" w:hAnsi="宋体"/>
                <w:color w:val="000000"/>
                <w:sz w:val="21"/>
                <w:szCs w:val="21"/>
              </w:rPr>
              <w:t>（注：弹性底座）</w:t>
            </w:r>
          </w:p>
        </w:tc>
        <w:tc>
          <w:tcPr>
            <w:tcW w:w="1212" w:type="pct"/>
            <w:tcBorders>
              <w:top w:val="single" w:color="auto" w:sz="4" w:space="0"/>
              <w:left w:val="nil"/>
              <w:bottom w:val="single" w:color="auto" w:sz="4" w:space="0"/>
              <w:right w:val="single" w:color="auto" w:sz="4" w:space="0"/>
            </w:tcBorders>
            <w:vAlign w:val="center"/>
          </w:tcPr>
          <w:p w14:paraId="6A66DE36">
            <w:pPr>
              <w:adjustRightInd w:val="0"/>
              <w:snapToGrid w:val="0"/>
              <w:spacing w:line="440" w:lineRule="exact"/>
              <w:jc w:val="center"/>
              <w:rPr>
                <w:rFonts w:ascii="宋体" w:hAnsi="宋体"/>
                <w:sz w:val="21"/>
                <w:szCs w:val="21"/>
              </w:rPr>
            </w:pPr>
            <w:r>
              <w:rPr>
                <w:rFonts w:hint="eastAsia" w:ascii="宋体" w:hAnsi="宋体"/>
                <w:sz w:val="21"/>
                <w:szCs w:val="21"/>
              </w:rPr>
              <w:t>铜阀芯</w:t>
            </w:r>
          </w:p>
        </w:tc>
      </w:tr>
      <w:tr w14:paraId="6DD1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A1C0979">
            <w:pPr>
              <w:spacing w:line="360" w:lineRule="auto"/>
              <w:jc w:val="center"/>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lang w:val="en-US" w:eastAsia="zh-CN"/>
              </w:rPr>
              <w:t>0</w:t>
            </w:r>
          </w:p>
        </w:tc>
        <w:tc>
          <w:tcPr>
            <w:tcW w:w="1441" w:type="pct"/>
            <w:tcBorders>
              <w:top w:val="single" w:color="auto" w:sz="4" w:space="0"/>
              <w:left w:val="nil"/>
              <w:bottom w:val="single" w:color="auto" w:sz="4" w:space="0"/>
              <w:right w:val="single" w:color="auto" w:sz="4" w:space="0"/>
            </w:tcBorders>
            <w:vAlign w:val="center"/>
          </w:tcPr>
          <w:p w14:paraId="76A4F5BF">
            <w:pPr>
              <w:jc w:val="center"/>
              <w:rPr>
                <w:rFonts w:ascii="宋体" w:hAnsi="宋体"/>
                <w:sz w:val="21"/>
                <w:szCs w:val="21"/>
              </w:rPr>
            </w:pPr>
            <w:r>
              <w:rPr>
                <w:rFonts w:hint="eastAsia" w:ascii="宋体" w:hAnsi="宋体"/>
                <w:sz w:val="21"/>
                <w:szCs w:val="21"/>
              </w:rPr>
              <w:t xml:space="preserve">双头应急灯 </w:t>
            </w:r>
          </w:p>
        </w:tc>
        <w:tc>
          <w:tcPr>
            <w:tcW w:w="1977" w:type="pct"/>
            <w:tcBorders>
              <w:top w:val="single" w:color="auto" w:sz="4" w:space="0"/>
              <w:left w:val="nil"/>
              <w:bottom w:val="single" w:color="auto" w:sz="4" w:space="0"/>
              <w:right w:val="single" w:color="auto" w:sz="4" w:space="0"/>
            </w:tcBorders>
            <w:vAlign w:val="center"/>
          </w:tcPr>
          <w:p w14:paraId="25941126">
            <w:pPr>
              <w:adjustRightInd w:val="0"/>
              <w:snapToGrid w:val="0"/>
              <w:spacing w:line="320" w:lineRule="exact"/>
              <w:jc w:val="center"/>
              <w:rPr>
                <w:rFonts w:ascii="宋体" w:hAnsi="宋体"/>
                <w:sz w:val="21"/>
                <w:szCs w:val="21"/>
              </w:rPr>
            </w:pPr>
            <w:r>
              <w:rPr>
                <w:rFonts w:hint="eastAsia" w:ascii="宋体" w:hAnsi="宋体"/>
                <w:sz w:val="21"/>
                <w:szCs w:val="21"/>
              </w:rPr>
              <w:t>三雄极光ZF-ZFZD-E2W-202、振辉ZF-ZFZD-E2W-203、劳士N-ZFZD-E5W1389</w:t>
            </w:r>
          </w:p>
        </w:tc>
        <w:tc>
          <w:tcPr>
            <w:tcW w:w="1212" w:type="pct"/>
            <w:tcBorders>
              <w:top w:val="single" w:color="auto" w:sz="4" w:space="0"/>
              <w:left w:val="nil"/>
              <w:bottom w:val="single" w:color="auto" w:sz="4" w:space="0"/>
              <w:right w:val="single" w:color="auto" w:sz="4" w:space="0"/>
            </w:tcBorders>
            <w:vAlign w:val="center"/>
          </w:tcPr>
          <w:p w14:paraId="048F111C">
            <w:pPr>
              <w:spacing w:line="360" w:lineRule="auto"/>
              <w:jc w:val="center"/>
              <w:rPr>
                <w:rFonts w:ascii="宋体" w:hAnsi="宋体"/>
                <w:sz w:val="21"/>
                <w:szCs w:val="21"/>
              </w:rPr>
            </w:pPr>
          </w:p>
        </w:tc>
      </w:tr>
      <w:tr w14:paraId="24AB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D86B1A1">
            <w:pPr>
              <w:spacing w:line="360" w:lineRule="auto"/>
              <w:jc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1</w:t>
            </w:r>
          </w:p>
        </w:tc>
        <w:tc>
          <w:tcPr>
            <w:tcW w:w="1441" w:type="pct"/>
            <w:tcBorders>
              <w:top w:val="single" w:color="auto" w:sz="4" w:space="0"/>
              <w:left w:val="nil"/>
              <w:bottom w:val="single" w:color="auto" w:sz="4" w:space="0"/>
              <w:right w:val="single" w:color="auto" w:sz="4" w:space="0"/>
            </w:tcBorders>
            <w:vAlign w:val="center"/>
          </w:tcPr>
          <w:p w14:paraId="4DBA2D0E">
            <w:pPr>
              <w:jc w:val="center"/>
              <w:rPr>
                <w:rFonts w:ascii="宋体" w:hAnsi="宋体"/>
                <w:sz w:val="21"/>
                <w:szCs w:val="21"/>
              </w:rPr>
            </w:pPr>
            <w:r>
              <w:rPr>
                <w:rFonts w:hint="eastAsia" w:ascii="宋体" w:hAnsi="宋体"/>
                <w:sz w:val="21"/>
                <w:szCs w:val="21"/>
              </w:rPr>
              <w:t>304不锈钢面安全出口指示灯、疏散指示灯</w:t>
            </w:r>
          </w:p>
        </w:tc>
        <w:tc>
          <w:tcPr>
            <w:tcW w:w="1977" w:type="pct"/>
            <w:tcBorders>
              <w:top w:val="single" w:color="auto" w:sz="4" w:space="0"/>
              <w:left w:val="nil"/>
              <w:bottom w:val="single" w:color="auto" w:sz="4" w:space="0"/>
              <w:right w:val="single" w:color="auto" w:sz="4" w:space="0"/>
            </w:tcBorders>
            <w:vAlign w:val="center"/>
          </w:tcPr>
          <w:p w14:paraId="7654E7B1">
            <w:pPr>
              <w:adjustRightInd w:val="0"/>
              <w:snapToGrid w:val="0"/>
              <w:spacing w:line="440" w:lineRule="exact"/>
              <w:jc w:val="center"/>
              <w:rPr>
                <w:rFonts w:ascii="宋体" w:hAnsi="宋体"/>
                <w:sz w:val="21"/>
                <w:szCs w:val="21"/>
              </w:rPr>
            </w:pPr>
            <w:r>
              <w:rPr>
                <w:rFonts w:hint="eastAsia" w:ascii="宋体" w:hAnsi="宋体"/>
                <w:sz w:val="21"/>
                <w:szCs w:val="21"/>
              </w:rPr>
              <w:t>三雄极光、振辉、劳士</w:t>
            </w:r>
          </w:p>
        </w:tc>
        <w:tc>
          <w:tcPr>
            <w:tcW w:w="1212" w:type="pct"/>
            <w:tcBorders>
              <w:top w:val="single" w:color="auto" w:sz="4" w:space="0"/>
              <w:left w:val="nil"/>
              <w:bottom w:val="single" w:color="auto" w:sz="4" w:space="0"/>
              <w:right w:val="single" w:color="auto" w:sz="4" w:space="0"/>
            </w:tcBorders>
            <w:vAlign w:val="center"/>
          </w:tcPr>
          <w:p w14:paraId="4F096893">
            <w:pPr>
              <w:adjustRightInd w:val="0"/>
              <w:snapToGrid w:val="0"/>
              <w:spacing w:line="440" w:lineRule="exact"/>
              <w:jc w:val="center"/>
              <w:rPr>
                <w:rFonts w:ascii="宋体" w:hAnsi="宋体"/>
                <w:sz w:val="21"/>
                <w:szCs w:val="21"/>
              </w:rPr>
            </w:pPr>
          </w:p>
        </w:tc>
      </w:tr>
      <w:tr w14:paraId="1E46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9136DE8">
            <w:pPr>
              <w:adjustRightInd w:val="0"/>
              <w:snapToGrid w:val="0"/>
              <w:spacing w:line="440" w:lineRule="exact"/>
              <w:jc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2</w:t>
            </w:r>
          </w:p>
        </w:tc>
        <w:tc>
          <w:tcPr>
            <w:tcW w:w="1441" w:type="pct"/>
            <w:tcBorders>
              <w:top w:val="single" w:color="auto" w:sz="4" w:space="0"/>
              <w:left w:val="nil"/>
              <w:bottom w:val="single" w:color="auto" w:sz="4" w:space="0"/>
              <w:right w:val="single" w:color="auto" w:sz="4" w:space="0"/>
            </w:tcBorders>
            <w:vAlign w:val="center"/>
          </w:tcPr>
          <w:p w14:paraId="11A475D7">
            <w:pPr>
              <w:adjustRightInd w:val="0"/>
              <w:snapToGrid w:val="0"/>
              <w:spacing w:line="440" w:lineRule="exact"/>
              <w:jc w:val="center"/>
              <w:rPr>
                <w:rFonts w:ascii="宋体" w:hAnsi="宋体"/>
                <w:sz w:val="21"/>
                <w:szCs w:val="21"/>
              </w:rPr>
            </w:pPr>
            <w:r>
              <w:rPr>
                <w:rFonts w:hint="eastAsia" w:ascii="宋体" w:hAnsi="宋体"/>
                <w:sz w:val="21"/>
                <w:szCs w:val="21"/>
              </w:rPr>
              <w:t>可视对讲设施</w:t>
            </w:r>
          </w:p>
        </w:tc>
        <w:tc>
          <w:tcPr>
            <w:tcW w:w="1977" w:type="pct"/>
            <w:tcBorders>
              <w:top w:val="single" w:color="auto" w:sz="4" w:space="0"/>
              <w:left w:val="nil"/>
              <w:bottom w:val="single" w:color="auto" w:sz="4" w:space="0"/>
              <w:right w:val="single" w:color="auto" w:sz="4" w:space="0"/>
            </w:tcBorders>
            <w:vAlign w:val="center"/>
          </w:tcPr>
          <w:p w14:paraId="3561F32F">
            <w:pPr>
              <w:adjustRightInd w:val="0"/>
              <w:snapToGrid w:val="0"/>
              <w:spacing w:line="440" w:lineRule="exact"/>
              <w:jc w:val="center"/>
              <w:rPr>
                <w:rFonts w:ascii="宋体" w:hAnsi="宋体"/>
                <w:sz w:val="21"/>
                <w:szCs w:val="21"/>
              </w:rPr>
            </w:pPr>
            <w:r>
              <w:rPr>
                <w:rFonts w:hint="eastAsia" w:ascii="宋体" w:hAnsi="宋体"/>
                <w:sz w:val="21"/>
                <w:szCs w:val="21"/>
              </w:rPr>
              <w:t>海康、大华、立林</w:t>
            </w:r>
          </w:p>
        </w:tc>
        <w:tc>
          <w:tcPr>
            <w:tcW w:w="1212" w:type="pct"/>
            <w:tcBorders>
              <w:top w:val="single" w:color="auto" w:sz="4" w:space="0"/>
              <w:left w:val="nil"/>
              <w:bottom w:val="single" w:color="auto" w:sz="4" w:space="0"/>
              <w:right w:val="single" w:color="auto" w:sz="4" w:space="0"/>
            </w:tcBorders>
            <w:vAlign w:val="center"/>
          </w:tcPr>
          <w:p w14:paraId="5CB37DA0">
            <w:pPr>
              <w:adjustRightInd w:val="0"/>
              <w:snapToGrid w:val="0"/>
              <w:spacing w:line="320" w:lineRule="exact"/>
              <w:jc w:val="center"/>
              <w:rPr>
                <w:rFonts w:ascii="宋体" w:hAnsi="宋体"/>
                <w:sz w:val="21"/>
                <w:szCs w:val="21"/>
              </w:rPr>
            </w:pPr>
            <w:r>
              <w:rPr>
                <w:rFonts w:hint="eastAsia" w:ascii="宋体" w:hAnsi="宋体"/>
                <w:sz w:val="21"/>
                <w:szCs w:val="21"/>
              </w:rPr>
              <w:t>与原系统兼容调试到位</w:t>
            </w:r>
          </w:p>
        </w:tc>
      </w:tr>
      <w:tr w14:paraId="460E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728A91F">
            <w:pPr>
              <w:adjustRightInd w:val="0"/>
              <w:snapToGrid w:val="0"/>
              <w:spacing w:line="440" w:lineRule="exact"/>
              <w:jc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3</w:t>
            </w:r>
          </w:p>
        </w:tc>
        <w:tc>
          <w:tcPr>
            <w:tcW w:w="1441" w:type="pct"/>
            <w:tcBorders>
              <w:top w:val="single" w:color="auto" w:sz="4" w:space="0"/>
              <w:left w:val="nil"/>
              <w:bottom w:val="single" w:color="auto" w:sz="4" w:space="0"/>
              <w:right w:val="single" w:color="auto" w:sz="4" w:space="0"/>
            </w:tcBorders>
            <w:vAlign w:val="center"/>
          </w:tcPr>
          <w:p w14:paraId="1E166C6B">
            <w:pPr>
              <w:adjustRightInd w:val="0"/>
              <w:snapToGrid w:val="0"/>
              <w:spacing w:line="440" w:lineRule="exact"/>
              <w:jc w:val="center"/>
              <w:rPr>
                <w:rFonts w:ascii="宋体" w:hAnsi="宋体"/>
                <w:sz w:val="21"/>
                <w:szCs w:val="21"/>
              </w:rPr>
            </w:pPr>
            <w:r>
              <w:rPr>
                <w:rFonts w:hint="eastAsia" w:ascii="宋体" w:hAnsi="宋体"/>
                <w:sz w:val="21"/>
                <w:szCs w:val="21"/>
              </w:rPr>
              <w:t>门禁设施</w:t>
            </w:r>
          </w:p>
        </w:tc>
        <w:tc>
          <w:tcPr>
            <w:tcW w:w="1977" w:type="pct"/>
            <w:tcBorders>
              <w:top w:val="single" w:color="auto" w:sz="4" w:space="0"/>
              <w:left w:val="nil"/>
              <w:bottom w:val="single" w:color="auto" w:sz="4" w:space="0"/>
              <w:right w:val="single" w:color="auto" w:sz="4" w:space="0"/>
            </w:tcBorders>
            <w:vAlign w:val="center"/>
          </w:tcPr>
          <w:p w14:paraId="4BE7CEA8">
            <w:pPr>
              <w:adjustRightInd w:val="0"/>
              <w:snapToGrid w:val="0"/>
              <w:spacing w:line="440" w:lineRule="exact"/>
              <w:jc w:val="center"/>
              <w:rPr>
                <w:rFonts w:ascii="宋体" w:hAnsi="宋体"/>
                <w:sz w:val="21"/>
                <w:szCs w:val="21"/>
              </w:rPr>
            </w:pPr>
            <w:r>
              <w:rPr>
                <w:rFonts w:hint="eastAsia" w:ascii="宋体" w:hAnsi="宋体"/>
                <w:sz w:val="21"/>
                <w:szCs w:val="21"/>
              </w:rPr>
              <w:t>捷顺、大华、海康</w:t>
            </w:r>
          </w:p>
        </w:tc>
        <w:tc>
          <w:tcPr>
            <w:tcW w:w="1212" w:type="pct"/>
            <w:tcBorders>
              <w:top w:val="single" w:color="auto" w:sz="4" w:space="0"/>
              <w:left w:val="nil"/>
              <w:bottom w:val="single" w:color="auto" w:sz="4" w:space="0"/>
              <w:right w:val="single" w:color="auto" w:sz="4" w:space="0"/>
            </w:tcBorders>
            <w:vAlign w:val="center"/>
          </w:tcPr>
          <w:p w14:paraId="04162AD3">
            <w:pPr>
              <w:adjustRightInd w:val="0"/>
              <w:snapToGrid w:val="0"/>
              <w:spacing w:line="320" w:lineRule="exact"/>
              <w:jc w:val="center"/>
              <w:rPr>
                <w:rFonts w:ascii="宋体" w:hAnsi="宋体"/>
                <w:sz w:val="21"/>
                <w:szCs w:val="21"/>
              </w:rPr>
            </w:pPr>
            <w:r>
              <w:rPr>
                <w:rFonts w:hint="eastAsia" w:ascii="宋体" w:hAnsi="宋体"/>
                <w:sz w:val="21"/>
                <w:szCs w:val="21"/>
              </w:rPr>
              <w:t>与原系统兼容调试到位</w:t>
            </w:r>
          </w:p>
        </w:tc>
      </w:tr>
      <w:tr w14:paraId="0F2B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635734E">
            <w:pPr>
              <w:adjustRightInd w:val="0"/>
              <w:snapToGrid w:val="0"/>
              <w:spacing w:line="440" w:lineRule="exact"/>
              <w:jc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4</w:t>
            </w:r>
          </w:p>
        </w:tc>
        <w:tc>
          <w:tcPr>
            <w:tcW w:w="1441" w:type="pct"/>
            <w:tcBorders>
              <w:top w:val="single" w:color="auto" w:sz="4" w:space="0"/>
              <w:left w:val="nil"/>
              <w:bottom w:val="single" w:color="auto" w:sz="4" w:space="0"/>
              <w:right w:val="single" w:color="auto" w:sz="4" w:space="0"/>
            </w:tcBorders>
            <w:vAlign w:val="center"/>
          </w:tcPr>
          <w:p w14:paraId="2343DE4A">
            <w:pPr>
              <w:adjustRightInd w:val="0"/>
              <w:snapToGrid w:val="0"/>
              <w:spacing w:line="440" w:lineRule="exact"/>
              <w:jc w:val="center"/>
              <w:rPr>
                <w:rFonts w:ascii="宋体" w:hAnsi="宋体"/>
                <w:sz w:val="21"/>
                <w:szCs w:val="21"/>
              </w:rPr>
            </w:pPr>
            <w:r>
              <w:rPr>
                <w:rFonts w:hint="eastAsia" w:ascii="宋体" w:hAnsi="宋体"/>
                <w:sz w:val="21"/>
                <w:szCs w:val="21"/>
              </w:rPr>
              <w:t>摄像头</w:t>
            </w:r>
          </w:p>
        </w:tc>
        <w:tc>
          <w:tcPr>
            <w:tcW w:w="1977" w:type="pct"/>
            <w:tcBorders>
              <w:top w:val="single" w:color="auto" w:sz="4" w:space="0"/>
              <w:left w:val="nil"/>
              <w:bottom w:val="single" w:color="auto" w:sz="4" w:space="0"/>
              <w:right w:val="single" w:color="auto" w:sz="4" w:space="0"/>
            </w:tcBorders>
            <w:vAlign w:val="center"/>
          </w:tcPr>
          <w:p w14:paraId="6030D556">
            <w:pPr>
              <w:adjustRightInd w:val="0"/>
              <w:snapToGrid w:val="0"/>
              <w:spacing w:line="440" w:lineRule="exact"/>
              <w:jc w:val="center"/>
              <w:rPr>
                <w:rFonts w:ascii="宋体" w:hAnsi="宋体"/>
                <w:sz w:val="21"/>
                <w:szCs w:val="21"/>
              </w:rPr>
            </w:pPr>
            <w:r>
              <w:rPr>
                <w:rFonts w:hint="eastAsia" w:ascii="宋体" w:hAnsi="宋体"/>
                <w:sz w:val="21"/>
                <w:szCs w:val="21"/>
              </w:rPr>
              <w:t>大华、海康、宇视</w:t>
            </w:r>
          </w:p>
        </w:tc>
        <w:tc>
          <w:tcPr>
            <w:tcW w:w="1212" w:type="pct"/>
            <w:tcBorders>
              <w:top w:val="single" w:color="auto" w:sz="4" w:space="0"/>
              <w:left w:val="nil"/>
              <w:bottom w:val="single" w:color="auto" w:sz="4" w:space="0"/>
              <w:right w:val="single" w:color="auto" w:sz="4" w:space="0"/>
            </w:tcBorders>
            <w:vAlign w:val="center"/>
          </w:tcPr>
          <w:p w14:paraId="28C530B0">
            <w:pPr>
              <w:adjustRightInd w:val="0"/>
              <w:snapToGrid w:val="0"/>
              <w:spacing w:line="320" w:lineRule="exact"/>
              <w:jc w:val="center"/>
              <w:rPr>
                <w:rFonts w:ascii="宋体" w:hAnsi="宋体"/>
                <w:sz w:val="21"/>
                <w:szCs w:val="21"/>
              </w:rPr>
            </w:pPr>
            <w:r>
              <w:rPr>
                <w:rFonts w:hint="eastAsia" w:ascii="宋体" w:hAnsi="宋体"/>
                <w:sz w:val="21"/>
                <w:szCs w:val="21"/>
              </w:rPr>
              <w:t>与原系统兼容调试到位</w:t>
            </w:r>
          </w:p>
        </w:tc>
      </w:tr>
      <w:tr w14:paraId="3B4D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2F9055D">
            <w:pPr>
              <w:snapToGrid w:val="0"/>
              <w:spacing w:line="440" w:lineRule="exact"/>
              <w:jc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5</w:t>
            </w:r>
          </w:p>
        </w:tc>
        <w:tc>
          <w:tcPr>
            <w:tcW w:w="1441" w:type="pct"/>
            <w:tcBorders>
              <w:top w:val="single" w:color="auto" w:sz="4" w:space="0"/>
              <w:left w:val="nil"/>
              <w:bottom w:val="single" w:color="auto" w:sz="4" w:space="0"/>
              <w:right w:val="single" w:color="auto" w:sz="4" w:space="0"/>
            </w:tcBorders>
            <w:vAlign w:val="center"/>
          </w:tcPr>
          <w:p w14:paraId="69A86DD2">
            <w:pPr>
              <w:snapToGrid w:val="0"/>
              <w:spacing w:line="440" w:lineRule="exact"/>
              <w:jc w:val="center"/>
              <w:rPr>
                <w:rFonts w:ascii="宋体" w:hAnsi="宋体"/>
                <w:sz w:val="21"/>
                <w:szCs w:val="21"/>
              </w:rPr>
            </w:pPr>
            <w:r>
              <w:rPr>
                <w:rFonts w:hint="eastAsia" w:ascii="宋体" w:hAnsi="宋体"/>
                <w:sz w:val="21"/>
                <w:szCs w:val="21"/>
              </w:rPr>
              <w:t>交换机</w:t>
            </w:r>
          </w:p>
        </w:tc>
        <w:tc>
          <w:tcPr>
            <w:tcW w:w="1977" w:type="pct"/>
            <w:tcBorders>
              <w:top w:val="single" w:color="auto" w:sz="4" w:space="0"/>
              <w:left w:val="nil"/>
              <w:bottom w:val="single" w:color="auto" w:sz="4" w:space="0"/>
              <w:right w:val="single" w:color="auto" w:sz="4" w:space="0"/>
            </w:tcBorders>
            <w:vAlign w:val="center"/>
          </w:tcPr>
          <w:p w14:paraId="71398BA2">
            <w:pPr>
              <w:snapToGrid w:val="0"/>
              <w:spacing w:line="440" w:lineRule="exact"/>
              <w:jc w:val="center"/>
              <w:rPr>
                <w:rFonts w:ascii="宋体" w:hAnsi="宋体"/>
                <w:sz w:val="21"/>
                <w:szCs w:val="21"/>
              </w:rPr>
            </w:pPr>
            <w:r>
              <w:rPr>
                <w:rFonts w:hint="eastAsia" w:ascii="宋体" w:hAnsi="宋体"/>
                <w:sz w:val="21"/>
                <w:szCs w:val="21"/>
              </w:rPr>
              <w:t>华为、华三、锐捷</w:t>
            </w:r>
          </w:p>
        </w:tc>
        <w:tc>
          <w:tcPr>
            <w:tcW w:w="1212" w:type="pct"/>
            <w:tcBorders>
              <w:top w:val="single" w:color="auto" w:sz="4" w:space="0"/>
              <w:left w:val="nil"/>
              <w:bottom w:val="single" w:color="auto" w:sz="4" w:space="0"/>
              <w:right w:val="single" w:color="auto" w:sz="4" w:space="0"/>
            </w:tcBorders>
            <w:vAlign w:val="center"/>
          </w:tcPr>
          <w:p w14:paraId="481B276E">
            <w:pPr>
              <w:jc w:val="center"/>
              <w:rPr>
                <w:rFonts w:ascii="宋体" w:hAnsi="宋体"/>
                <w:sz w:val="21"/>
                <w:szCs w:val="21"/>
              </w:rPr>
            </w:pPr>
            <w:r>
              <w:rPr>
                <w:rFonts w:hint="eastAsia" w:ascii="宋体" w:hAnsi="宋体"/>
                <w:sz w:val="21"/>
                <w:szCs w:val="21"/>
              </w:rPr>
              <w:t>与原系统兼容调试到位</w:t>
            </w:r>
          </w:p>
        </w:tc>
      </w:tr>
      <w:tr w14:paraId="2F27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D75002D">
            <w:pPr>
              <w:adjustRightInd w:val="0"/>
              <w:snapToGrid w:val="0"/>
              <w:spacing w:line="440" w:lineRule="exact"/>
              <w:jc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6</w:t>
            </w:r>
          </w:p>
        </w:tc>
        <w:tc>
          <w:tcPr>
            <w:tcW w:w="1441" w:type="pct"/>
            <w:tcBorders>
              <w:top w:val="single" w:color="auto" w:sz="4" w:space="0"/>
              <w:left w:val="nil"/>
              <w:bottom w:val="single" w:color="auto" w:sz="4" w:space="0"/>
              <w:right w:val="single" w:color="auto" w:sz="4" w:space="0"/>
            </w:tcBorders>
            <w:vAlign w:val="center"/>
          </w:tcPr>
          <w:p w14:paraId="3349548C">
            <w:pPr>
              <w:adjustRightInd w:val="0"/>
              <w:snapToGrid w:val="0"/>
              <w:spacing w:line="440" w:lineRule="exact"/>
              <w:jc w:val="center"/>
              <w:rPr>
                <w:rFonts w:ascii="宋体" w:hAnsi="宋体"/>
                <w:sz w:val="21"/>
                <w:szCs w:val="21"/>
              </w:rPr>
            </w:pPr>
            <w:r>
              <w:rPr>
                <w:rFonts w:hint="eastAsia" w:ascii="宋体" w:hAnsi="宋体"/>
                <w:sz w:val="21"/>
                <w:szCs w:val="21"/>
              </w:rPr>
              <w:t>模块</w:t>
            </w:r>
          </w:p>
        </w:tc>
        <w:tc>
          <w:tcPr>
            <w:tcW w:w="1977" w:type="pct"/>
            <w:tcBorders>
              <w:top w:val="single" w:color="auto" w:sz="4" w:space="0"/>
              <w:left w:val="nil"/>
              <w:bottom w:val="single" w:color="auto" w:sz="4" w:space="0"/>
              <w:right w:val="single" w:color="auto" w:sz="4" w:space="0"/>
            </w:tcBorders>
            <w:vAlign w:val="center"/>
          </w:tcPr>
          <w:p w14:paraId="52945EEA">
            <w:pPr>
              <w:adjustRightInd w:val="0"/>
              <w:snapToGrid w:val="0"/>
              <w:spacing w:line="440" w:lineRule="exact"/>
              <w:jc w:val="center"/>
              <w:rPr>
                <w:rFonts w:ascii="宋体" w:hAnsi="宋体"/>
                <w:sz w:val="21"/>
                <w:szCs w:val="21"/>
              </w:rPr>
            </w:pPr>
            <w:r>
              <w:rPr>
                <w:rFonts w:hint="eastAsia" w:ascii="宋体" w:hAnsi="宋体"/>
                <w:sz w:val="21"/>
                <w:szCs w:val="21"/>
              </w:rPr>
              <w:t>华为、华三、锐捷</w:t>
            </w:r>
          </w:p>
        </w:tc>
        <w:tc>
          <w:tcPr>
            <w:tcW w:w="1212" w:type="pct"/>
            <w:tcBorders>
              <w:top w:val="single" w:color="auto" w:sz="4" w:space="0"/>
              <w:left w:val="nil"/>
              <w:bottom w:val="single" w:color="auto" w:sz="4" w:space="0"/>
              <w:right w:val="single" w:color="auto" w:sz="4" w:space="0"/>
            </w:tcBorders>
            <w:vAlign w:val="center"/>
          </w:tcPr>
          <w:p w14:paraId="243F72AC">
            <w:pPr>
              <w:jc w:val="center"/>
              <w:rPr>
                <w:rFonts w:ascii="宋体" w:hAnsi="宋体"/>
                <w:sz w:val="21"/>
                <w:szCs w:val="21"/>
              </w:rPr>
            </w:pPr>
            <w:r>
              <w:rPr>
                <w:rFonts w:hint="eastAsia" w:ascii="宋体" w:hAnsi="宋体"/>
                <w:sz w:val="21"/>
                <w:szCs w:val="21"/>
              </w:rPr>
              <w:t>与原系统兼容调试到位</w:t>
            </w:r>
          </w:p>
        </w:tc>
      </w:tr>
      <w:tr w14:paraId="0DE8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9043859">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lang w:val="en-US" w:eastAsia="zh-CN"/>
              </w:rPr>
              <w:t>7</w:t>
            </w:r>
          </w:p>
        </w:tc>
        <w:tc>
          <w:tcPr>
            <w:tcW w:w="1441" w:type="pct"/>
            <w:tcBorders>
              <w:top w:val="single" w:color="auto" w:sz="4" w:space="0"/>
              <w:left w:val="nil"/>
              <w:bottom w:val="single" w:color="auto" w:sz="4" w:space="0"/>
              <w:right w:val="single" w:color="auto" w:sz="4" w:space="0"/>
            </w:tcBorders>
            <w:vAlign w:val="center"/>
          </w:tcPr>
          <w:p w14:paraId="0067E7B4">
            <w:pPr>
              <w:adjustRightInd w:val="0"/>
              <w:snapToGrid w:val="0"/>
              <w:spacing w:line="440" w:lineRule="exact"/>
              <w:jc w:val="center"/>
              <w:rPr>
                <w:rFonts w:ascii="宋体" w:hAnsi="宋体"/>
                <w:sz w:val="21"/>
                <w:szCs w:val="21"/>
              </w:rPr>
            </w:pPr>
            <w:r>
              <w:rPr>
                <w:rFonts w:hint="eastAsia" w:ascii="宋体" w:hAnsi="宋体"/>
                <w:sz w:val="21"/>
                <w:szCs w:val="21"/>
              </w:rPr>
              <w:t>风机盘管</w:t>
            </w:r>
          </w:p>
        </w:tc>
        <w:tc>
          <w:tcPr>
            <w:tcW w:w="1977" w:type="pct"/>
            <w:tcBorders>
              <w:top w:val="single" w:color="auto" w:sz="4" w:space="0"/>
              <w:left w:val="nil"/>
              <w:bottom w:val="single" w:color="auto" w:sz="4" w:space="0"/>
              <w:right w:val="single" w:color="auto" w:sz="4" w:space="0"/>
            </w:tcBorders>
            <w:vAlign w:val="center"/>
          </w:tcPr>
          <w:p w14:paraId="1DF69A28">
            <w:pPr>
              <w:adjustRightInd w:val="0"/>
              <w:snapToGrid w:val="0"/>
              <w:spacing w:line="440" w:lineRule="exact"/>
              <w:jc w:val="center"/>
              <w:rPr>
                <w:rFonts w:ascii="宋体" w:hAnsi="宋体"/>
                <w:sz w:val="21"/>
                <w:szCs w:val="21"/>
              </w:rPr>
            </w:pPr>
            <w:r>
              <w:rPr>
                <w:rFonts w:hint="eastAsia" w:ascii="宋体" w:hAnsi="宋体"/>
                <w:sz w:val="21"/>
                <w:szCs w:val="21"/>
              </w:rPr>
              <w:t>维克、天加、麦克维尔</w:t>
            </w:r>
          </w:p>
        </w:tc>
        <w:tc>
          <w:tcPr>
            <w:tcW w:w="1212" w:type="pct"/>
            <w:tcBorders>
              <w:top w:val="single" w:color="auto" w:sz="4" w:space="0"/>
              <w:left w:val="nil"/>
              <w:bottom w:val="single" w:color="auto" w:sz="4" w:space="0"/>
              <w:right w:val="single" w:color="auto" w:sz="4" w:space="0"/>
            </w:tcBorders>
            <w:vAlign w:val="center"/>
          </w:tcPr>
          <w:p w14:paraId="5DA79691">
            <w:pPr>
              <w:jc w:val="center"/>
              <w:rPr>
                <w:rFonts w:ascii="宋体" w:hAnsi="宋体"/>
                <w:sz w:val="21"/>
                <w:szCs w:val="21"/>
              </w:rPr>
            </w:pPr>
            <w:r>
              <w:rPr>
                <w:rFonts w:hint="eastAsia" w:ascii="宋体" w:hAnsi="宋体"/>
                <w:sz w:val="21"/>
                <w:szCs w:val="21"/>
              </w:rPr>
              <w:t>自带提升泵，自配液晶控制面板</w:t>
            </w:r>
          </w:p>
        </w:tc>
      </w:tr>
      <w:tr w14:paraId="57DC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EB5B851">
            <w:pPr>
              <w:adjustRightInd w:val="0"/>
              <w:snapToGrid w:val="0"/>
              <w:spacing w:line="440" w:lineRule="exact"/>
              <w:jc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8</w:t>
            </w:r>
          </w:p>
        </w:tc>
        <w:tc>
          <w:tcPr>
            <w:tcW w:w="1441" w:type="pct"/>
            <w:tcBorders>
              <w:top w:val="single" w:color="auto" w:sz="4" w:space="0"/>
              <w:left w:val="nil"/>
              <w:bottom w:val="single" w:color="auto" w:sz="4" w:space="0"/>
              <w:right w:val="single" w:color="auto" w:sz="4" w:space="0"/>
            </w:tcBorders>
            <w:vAlign w:val="center"/>
          </w:tcPr>
          <w:p w14:paraId="15E84395">
            <w:pPr>
              <w:adjustRightInd w:val="0"/>
              <w:snapToGrid w:val="0"/>
              <w:spacing w:line="440" w:lineRule="exact"/>
              <w:jc w:val="center"/>
              <w:rPr>
                <w:rFonts w:ascii="宋体" w:hAnsi="宋体"/>
                <w:sz w:val="21"/>
                <w:szCs w:val="21"/>
              </w:rPr>
            </w:pPr>
            <w:r>
              <w:rPr>
                <w:rFonts w:hint="eastAsia" w:ascii="宋体" w:hAnsi="宋体"/>
                <w:sz w:val="21"/>
                <w:szCs w:val="21"/>
              </w:rPr>
              <w:t>空调</w:t>
            </w:r>
          </w:p>
        </w:tc>
        <w:tc>
          <w:tcPr>
            <w:tcW w:w="1977" w:type="pct"/>
            <w:tcBorders>
              <w:top w:val="single" w:color="auto" w:sz="4" w:space="0"/>
              <w:left w:val="nil"/>
              <w:bottom w:val="single" w:color="auto" w:sz="4" w:space="0"/>
              <w:right w:val="single" w:color="auto" w:sz="4" w:space="0"/>
            </w:tcBorders>
            <w:vAlign w:val="center"/>
          </w:tcPr>
          <w:p w14:paraId="142708A5">
            <w:pPr>
              <w:adjustRightInd w:val="0"/>
              <w:snapToGrid w:val="0"/>
              <w:spacing w:line="440" w:lineRule="exact"/>
              <w:jc w:val="center"/>
              <w:rPr>
                <w:rFonts w:hint="eastAsia" w:ascii="宋体" w:hAnsi="宋体" w:eastAsiaTheme="minorEastAsia"/>
                <w:sz w:val="21"/>
                <w:szCs w:val="21"/>
                <w:lang w:eastAsia="zh-CN"/>
              </w:rPr>
            </w:pPr>
            <w:r>
              <w:rPr>
                <w:rFonts w:hint="eastAsia" w:ascii="宋体" w:hAnsi="宋体"/>
                <w:sz w:val="21"/>
                <w:szCs w:val="21"/>
              </w:rPr>
              <w:t>大金、三菱机电、</w:t>
            </w:r>
            <w:r>
              <w:rPr>
                <w:rFonts w:hint="eastAsia" w:ascii="宋体" w:hAnsi="宋体"/>
                <w:sz w:val="21"/>
                <w:szCs w:val="21"/>
                <w:lang w:val="en-US" w:eastAsia="zh-CN"/>
              </w:rPr>
              <w:t>格力</w:t>
            </w:r>
          </w:p>
        </w:tc>
        <w:tc>
          <w:tcPr>
            <w:tcW w:w="1212" w:type="pct"/>
            <w:tcBorders>
              <w:top w:val="single" w:color="auto" w:sz="4" w:space="0"/>
              <w:left w:val="nil"/>
              <w:bottom w:val="single" w:color="auto" w:sz="4" w:space="0"/>
              <w:right w:val="single" w:color="auto" w:sz="4" w:space="0"/>
            </w:tcBorders>
            <w:vAlign w:val="center"/>
          </w:tcPr>
          <w:p w14:paraId="353126E4">
            <w:pPr>
              <w:jc w:val="center"/>
              <w:rPr>
                <w:rFonts w:ascii="宋体" w:hAnsi="宋体"/>
                <w:sz w:val="21"/>
                <w:szCs w:val="21"/>
              </w:rPr>
            </w:pPr>
          </w:p>
        </w:tc>
      </w:tr>
      <w:tr w14:paraId="2C2A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F75DA26">
            <w:pPr>
              <w:adjustRightInd w:val="0"/>
              <w:snapToGrid w:val="0"/>
              <w:spacing w:line="440" w:lineRule="exact"/>
              <w:jc w:val="center"/>
              <w:rPr>
                <w:rFonts w:hint="default" w:ascii="宋体" w:hAnsi="宋体" w:eastAsia="宋体"/>
                <w:sz w:val="21"/>
                <w:szCs w:val="21"/>
                <w:lang w:val="en-US" w:eastAsia="zh-CN"/>
              </w:rPr>
            </w:pPr>
            <w:r>
              <w:rPr>
                <w:rFonts w:hint="eastAsia" w:ascii="宋体" w:hAnsi="宋体"/>
                <w:sz w:val="21"/>
                <w:szCs w:val="21"/>
                <w:lang w:val="en-US" w:eastAsia="zh-CN"/>
              </w:rPr>
              <w:t>29</w:t>
            </w:r>
          </w:p>
        </w:tc>
        <w:tc>
          <w:tcPr>
            <w:tcW w:w="1441" w:type="pct"/>
            <w:tcBorders>
              <w:top w:val="single" w:color="auto" w:sz="4" w:space="0"/>
              <w:left w:val="nil"/>
              <w:bottom w:val="single" w:color="auto" w:sz="4" w:space="0"/>
              <w:right w:val="single" w:color="auto" w:sz="4" w:space="0"/>
            </w:tcBorders>
            <w:vAlign w:val="center"/>
          </w:tcPr>
          <w:p w14:paraId="4A0C3CCD">
            <w:pPr>
              <w:adjustRightInd w:val="0"/>
              <w:snapToGrid w:val="0"/>
              <w:spacing w:line="440" w:lineRule="exact"/>
              <w:jc w:val="center"/>
              <w:rPr>
                <w:rFonts w:ascii="宋体" w:hAnsi="宋体"/>
                <w:sz w:val="21"/>
                <w:szCs w:val="21"/>
              </w:rPr>
            </w:pPr>
            <w:r>
              <w:rPr>
                <w:rFonts w:hint="eastAsia" w:ascii="宋体" w:hAnsi="宋体"/>
                <w:sz w:val="21"/>
                <w:szCs w:val="21"/>
              </w:rPr>
              <w:t>排气扇</w:t>
            </w:r>
          </w:p>
        </w:tc>
        <w:tc>
          <w:tcPr>
            <w:tcW w:w="1977" w:type="pct"/>
            <w:tcBorders>
              <w:top w:val="single" w:color="auto" w:sz="4" w:space="0"/>
              <w:left w:val="nil"/>
              <w:bottom w:val="single" w:color="auto" w:sz="4" w:space="0"/>
              <w:right w:val="single" w:color="auto" w:sz="4" w:space="0"/>
            </w:tcBorders>
            <w:vAlign w:val="center"/>
          </w:tcPr>
          <w:p w14:paraId="0F4C2894">
            <w:pPr>
              <w:adjustRightInd w:val="0"/>
              <w:snapToGrid w:val="0"/>
              <w:spacing w:line="440" w:lineRule="exact"/>
              <w:jc w:val="center"/>
              <w:rPr>
                <w:rFonts w:ascii="宋体" w:hAnsi="宋体"/>
                <w:sz w:val="21"/>
                <w:szCs w:val="21"/>
              </w:rPr>
            </w:pPr>
            <w:r>
              <w:rPr>
                <w:rFonts w:hint="eastAsia" w:ascii="宋体" w:hAnsi="宋体"/>
                <w:sz w:val="21"/>
                <w:szCs w:val="21"/>
              </w:rPr>
              <w:t>松下、三菱、台达</w:t>
            </w:r>
          </w:p>
        </w:tc>
        <w:tc>
          <w:tcPr>
            <w:tcW w:w="1212" w:type="pct"/>
            <w:tcBorders>
              <w:top w:val="single" w:color="auto" w:sz="4" w:space="0"/>
              <w:left w:val="nil"/>
              <w:bottom w:val="single" w:color="auto" w:sz="4" w:space="0"/>
              <w:right w:val="single" w:color="auto" w:sz="4" w:space="0"/>
            </w:tcBorders>
            <w:vAlign w:val="center"/>
          </w:tcPr>
          <w:p w14:paraId="13C69DC9">
            <w:pPr>
              <w:rPr>
                <w:rFonts w:ascii="宋体" w:hAnsi="宋体"/>
                <w:sz w:val="21"/>
                <w:szCs w:val="21"/>
              </w:rPr>
            </w:pPr>
          </w:p>
        </w:tc>
      </w:tr>
      <w:tr w14:paraId="60E4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E987C45">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0</w:t>
            </w:r>
          </w:p>
        </w:tc>
        <w:tc>
          <w:tcPr>
            <w:tcW w:w="1441" w:type="pct"/>
            <w:tcBorders>
              <w:top w:val="single" w:color="auto" w:sz="4" w:space="0"/>
              <w:left w:val="nil"/>
              <w:bottom w:val="single" w:color="auto" w:sz="4" w:space="0"/>
              <w:right w:val="single" w:color="auto" w:sz="4" w:space="0"/>
            </w:tcBorders>
            <w:vAlign w:val="center"/>
          </w:tcPr>
          <w:p w14:paraId="30A2B369">
            <w:pPr>
              <w:adjustRightInd w:val="0"/>
              <w:snapToGrid w:val="0"/>
              <w:spacing w:line="440" w:lineRule="exact"/>
              <w:jc w:val="center"/>
              <w:rPr>
                <w:rFonts w:ascii="宋体" w:hAnsi="宋体"/>
                <w:sz w:val="21"/>
                <w:szCs w:val="21"/>
              </w:rPr>
            </w:pPr>
            <w:r>
              <w:rPr>
                <w:rFonts w:hint="eastAsia" w:ascii="宋体" w:hAnsi="宋体"/>
                <w:sz w:val="21"/>
                <w:szCs w:val="21"/>
              </w:rPr>
              <w:t>新风机</w:t>
            </w:r>
          </w:p>
        </w:tc>
        <w:tc>
          <w:tcPr>
            <w:tcW w:w="1977" w:type="pct"/>
            <w:tcBorders>
              <w:top w:val="single" w:color="auto" w:sz="4" w:space="0"/>
              <w:left w:val="nil"/>
              <w:bottom w:val="single" w:color="auto" w:sz="4" w:space="0"/>
              <w:right w:val="single" w:color="auto" w:sz="4" w:space="0"/>
            </w:tcBorders>
            <w:vAlign w:val="center"/>
          </w:tcPr>
          <w:p w14:paraId="4A135EFB">
            <w:pPr>
              <w:adjustRightInd w:val="0"/>
              <w:snapToGrid w:val="0"/>
              <w:spacing w:line="440" w:lineRule="exact"/>
              <w:jc w:val="center"/>
              <w:rPr>
                <w:rFonts w:ascii="宋体" w:hAnsi="宋体"/>
                <w:sz w:val="21"/>
                <w:szCs w:val="21"/>
              </w:rPr>
            </w:pPr>
            <w:r>
              <w:rPr>
                <w:rFonts w:hint="eastAsia" w:ascii="宋体" w:hAnsi="宋体"/>
                <w:sz w:val="21"/>
                <w:szCs w:val="21"/>
              </w:rPr>
              <w:t>特灵、开利、麦克维尔</w:t>
            </w:r>
          </w:p>
        </w:tc>
        <w:tc>
          <w:tcPr>
            <w:tcW w:w="1212" w:type="pct"/>
            <w:tcBorders>
              <w:top w:val="single" w:color="auto" w:sz="4" w:space="0"/>
              <w:left w:val="nil"/>
              <w:bottom w:val="single" w:color="auto" w:sz="4" w:space="0"/>
              <w:right w:val="single" w:color="auto" w:sz="4" w:space="0"/>
            </w:tcBorders>
            <w:vAlign w:val="center"/>
          </w:tcPr>
          <w:p w14:paraId="0D960A5C">
            <w:pPr>
              <w:rPr>
                <w:rFonts w:ascii="宋体" w:hAnsi="宋体"/>
                <w:sz w:val="21"/>
                <w:szCs w:val="21"/>
              </w:rPr>
            </w:pPr>
          </w:p>
        </w:tc>
      </w:tr>
      <w:tr w14:paraId="2099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F9B30DC">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1</w:t>
            </w:r>
          </w:p>
        </w:tc>
        <w:tc>
          <w:tcPr>
            <w:tcW w:w="1441" w:type="pct"/>
            <w:tcBorders>
              <w:top w:val="single" w:color="auto" w:sz="4" w:space="0"/>
              <w:left w:val="nil"/>
              <w:bottom w:val="single" w:color="auto" w:sz="4" w:space="0"/>
              <w:right w:val="single" w:color="auto" w:sz="4" w:space="0"/>
            </w:tcBorders>
            <w:vAlign w:val="center"/>
          </w:tcPr>
          <w:p w14:paraId="2B2F1534">
            <w:pPr>
              <w:adjustRightInd w:val="0"/>
              <w:snapToGrid w:val="0"/>
              <w:spacing w:line="440" w:lineRule="exact"/>
              <w:jc w:val="center"/>
              <w:rPr>
                <w:rFonts w:ascii="宋体" w:hAnsi="宋体"/>
                <w:sz w:val="21"/>
                <w:szCs w:val="21"/>
              </w:rPr>
            </w:pPr>
            <w:r>
              <w:rPr>
                <w:rFonts w:hint="eastAsia" w:ascii="宋体" w:hAnsi="宋体"/>
                <w:sz w:val="21"/>
                <w:szCs w:val="21"/>
              </w:rPr>
              <w:t>排风机</w:t>
            </w:r>
          </w:p>
        </w:tc>
        <w:tc>
          <w:tcPr>
            <w:tcW w:w="1977" w:type="pct"/>
            <w:tcBorders>
              <w:top w:val="single" w:color="auto" w:sz="4" w:space="0"/>
              <w:left w:val="nil"/>
              <w:bottom w:val="single" w:color="auto" w:sz="4" w:space="0"/>
              <w:right w:val="single" w:color="auto" w:sz="4" w:space="0"/>
            </w:tcBorders>
            <w:vAlign w:val="center"/>
          </w:tcPr>
          <w:p w14:paraId="07CF39C9">
            <w:pPr>
              <w:adjustRightInd w:val="0"/>
              <w:snapToGrid w:val="0"/>
              <w:spacing w:line="440" w:lineRule="exact"/>
              <w:jc w:val="center"/>
              <w:rPr>
                <w:rFonts w:ascii="宋体" w:hAnsi="宋体"/>
                <w:sz w:val="21"/>
                <w:szCs w:val="21"/>
              </w:rPr>
            </w:pPr>
            <w:r>
              <w:rPr>
                <w:rFonts w:hint="eastAsia" w:ascii="宋体" w:hAnsi="宋体"/>
                <w:sz w:val="21"/>
                <w:szCs w:val="21"/>
              </w:rPr>
              <w:t>亿利达、格林翰克、双城</w:t>
            </w:r>
          </w:p>
        </w:tc>
        <w:tc>
          <w:tcPr>
            <w:tcW w:w="1212" w:type="pct"/>
            <w:tcBorders>
              <w:top w:val="single" w:color="auto" w:sz="4" w:space="0"/>
              <w:left w:val="nil"/>
              <w:bottom w:val="single" w:color="auto" w:sz="4" w:space="0"/>
              <w:right w:val="single" w:color="auto" w:sz="4" w:space="0"/>
            </w:tcBorders>
            <w:vAlign w:val="center"/>
          </w:tcPr>
          <w:p w14:paraId="13D7E9E8">
            <w:pPr>
              <w:rPr>
                <w:rFonts w:ascii="宋体" w:hAnsi="宋体"/>
                <w:sz w:val="21"/>
                <w:szCs w:val="21"/>
              </w:rPr>
            </w:pPr>
          </w:p>
        </w:tc>
      </w:tr>
      <w:tr w14:paraId="1AA9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3147FA0">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2</w:t>
            </w:r>
          </w:p>
        </w:tc>
        <w:tc>
          <w:tcPr>
            <w:tcW w:w="1441" w:type="pct"/>
            <w:tcBorders>
              <w:top w:val="single" w:color="auto" w:sz="4" w:space="0"/>
              <w:left w:val="nil"/>
              <w:bottom w:val="single" w:color="auto" w:sz="4" w:space="0"/>
              <w:right w:val="single" w:color="auto" w:sz="4" w:space="0"/>
            </w:tcBorders>
            <w:vAlign w:val="center"/>
          </w:tcPr>
          <w:p w14:paraId="2D2E9B34">
            <w:pPr>
              <w:adjustRightInd w:val="0"/>
              <w:snapToGrid w:val="0"/>
              <w:spacing w:line="440" w:lineRule="exact"/>
              <w:jc w:val="center"/>
              <w:rPr>
                <w:rFonts w:ascii="宋体" w:hAnsi="宋体"/>
                <w:sz w:val="21"/>
                <w:szCs w:val="21"/>
              </w:rPr>
            </w:pPr>
            <w:r>
              <w:rPr>
                <w:rFonts w:hint="eastAsia" w:ascii="宋体" w:hAnsi="宋体"/>
                <w:sz w:val="21"/>
                <w:szCs w:val="21"/>
              </w:rPr>
              <w:t>消火栓箱（箱门为钢质门）及配套</w:t>
            </w:r>
          </w:p>
        </w:tc>
        <w:tc>
          <w:tcPr>
            <w:tcW w:w="1977" w:type="pct"/>
            <w:tcBorders>
              <w:top w:val="single" w:color="auto" w:sz="4" w:space="0"/>
              <w:left w:val="nil"/>
              <w:bottom w:val="single" w:color="auto" w:sz="4" w:space="0"/>
              <w:right w:val="single" w:color="auto" w:sz="4" w:space="0"/>
            </w:tcBorders>
            <w:vAlign w:val="center"/>
          </w:tcPr>
          <w:p w14:paraId="30947968">
            <w:pPr>
              <w:adjustRightInd w:val="0"/>
              <w:snapToGrid w:val="0"/>
              <w:spacing w:line="440" w:lineRule="exact"/>
              <w:jc w:val="center"/>
              <w:rPr>
                <w:rFonts w:ascii="宋体" w:hAnsi="宋体"/>
                <w:sz w:val="21"/>
                <w:szCs w:val="21"/>
              </w:rPr>
            </w:pPr>
            <w:r>
              <w:rPr>
                <w:rFonts w:hint="eastAsia" w:ascii="宋体" w:hAnsi="宋体"/>
                <w:sz w:val="21"/>
                <w:szCs w:val="21"/>
              </w:rPr>
              <w:t>国泰、展拓、雨神铜阀芯、铜杆、铜阀座</w:t>
            </w:r>
          </w:p>
        </w:tc>
        <w:tc>
          <w:tcPr>
            <w:tcW w:w="1212" w:type="pct"/>
            <w:tcBorders>
              <w:top w:val="single" w:color="auto" w:sz="4" w:space="0"/>
              <w:left w:val="nil"/>
              <w:bottom w:val="single" w:color="auto" w:sz="4" w:space="0"/>
              <w:right w:val="single" w:color="auto" w:sz="4" w:space="0"/>
            </w:tcBorders>
            <w:vAlign w:val="center"/>
          </w:tcPr>
          <w:p w14:paraId="50BB9700">
            <w:pPr>
              <w:rPr>
                <w:rFonts w:ascii="宋体" w:hAnsi="宋体"/>
                <w:sz w:val="21"/>
                <w:szCs w:val="21"/>
              </w:rPr>
            </w:pPr>
          </w:p>
        </w:tc>
      </w:tr>
      <w:tr w14:paraId="0B88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EAF44FC">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3</w:t>
            </w:r>
          </w:p>
        </w:tc>
        <w:tc>
          <w:tcPr>
            <w:tcW w:w="1441" w:type="pct"/>
            <w:tcBorders>
              <w:top w:val="single" w:color="auto" w:sz="4" w:space="0"/>
              <w:left w:val="nil"/>
              <w:bottom w:val="single" w:color="auto" w:sz="4" w:space="0"/>
              <w:right w:val="single" w:color="auto" w:sz="4" w:space="0"/>
            </w:tcBorders>
            <w:vAlign w:val="center"/>
          </w:tcPr>
          <w:p w14:paraId="6DAC06B9">
            <w:pPr>
              <w:adjustRightInd w:val="0"/>
              <w:snapToGrid w:val="0"/>
              <w:spacing w:line="440" w:lineRule="exact"/>
              <w:jc w:val="center"/>
              <w:rPr>
                <w:rFonts w:ascii="宋体" w:hAnsi="宋体"/>
                <w:sz w:val="21"/>
                <w:szCs w:val="21"/>
              </w:rPr>
            </w:pPr>
            <w:r>
              <w:rPr>
                <w:rFonts w:hint="eastAsia" w:ascii="宋体" w:hAnsi="宋体"/>
                <w:sz w:val="21"/>
                <w:szCs w:val="21"/>
              </w:rPr>
              <w:t>空调电动阀/液晶控制面板</w:t>
            </w:r>
          </w:p>
        </w:tc>
        <w:tc>
          <w:tcPr>
            <w:tcW w:w="1977" w:type="pct"/>
            <w:tcBorders>
              <w:top w:val="single" w:color="auto" w:sz="4" w:space="0"/>
              <w:left w:val="nil"/>
              <w:bottom w:val="single" w:color="auto" w:sz="4" w:space="0"/>
              <w:right w:val="single" w:color="auto" w:sz="4" w:space="0"/>
            </w:tcBorders>
            <w:vAlign w:val="center"/>
          </w:tcPr>
          <w:p w14:paraId="55477EC1">
            <w:pPr>
              <w:adjustRightInd w:val="0"/>
              <w:snapToGrid w:val="0"/>
              <w:spacing w:line="440" w:lineRule="exact"/>
              <w:jc w:val="center"/>
              <w:rPr>
                <w:rFonts w:ascii="宋体" w:hAnsi="宋体"/>
                <w:sz w:val="21"/>
                <w:szCs w:val="21"/>
              </w:rPr>
            </w:pPr>
            <w:r>
              <w:rPr>
                <w:rFonts w:hint="eastAsia" w:ascii="宋体" w:hAnsi="宋体"/>
                <w:sz w:val="21"/>
                <w:szCs w:val="21"/>
              </w:rPr>
              <w:t>西门子、霍尼韦尔、阿自倍尔</w:t>
            </w:r>
          </w:p>
        </w:tc>
        <w:tc>
          <w:tcPr>
            <w:tcW w:w="1212" w:type="pct"/>
            <w:tcBorders>
              <w:top w:val="single" w:color="auto" w:sz="4" w:space="0"/>
              <w:left w:val="nil"/>
              <w:bottom w:val="single" w:color="auto" w:sz="4" w:space="0"/>
              <w:right w:val="single" w:color="auto" w:sz="4" w:space="0"/>
            </w:tcBorders>
            <w:vAlign w:val="center"/>
          </w:tcPr>
          <w:p w14:paraId="1586896A">
            <w:pPr>
              <w:rPr>
                <w:rFonts w:ascii="宋体" w:hAnsi="宋体"/>
                <w:sz w:val="21"/>
                <w:szCs w:val="21"/>
              </w:rPr>
            </w:pPr>
          </w:p>
        </w:tc>
      </w:tr>
      <w:tr w14:paraId="7EFE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C9C0B0C">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4</w:t>
            </w:r>
          </w:p>
        </w:tc>
        <w:tc>
          <w:tcPr>
            <w:tcW w:w="1441" w:type="pct"/>
            <w:tcBorders>
              <w:top w:val="single" w:color="auto" w:sz="4" w:space="0"/>
              <w:left w:val="nil"/>
              <w:bottom w:val="single" w:color="auto" w:sz="4" w:space="0"/>
              <w:right w:val="single" w:color="auto" w:sz="4" w:space="0"/>
            </w:tcBorders>
            <w:vAlign w:val="center"/>
          </w:tcPr>
          <w:p w14:paraId="6A10D201">
            <w:pPr>
              <w:adjustRightInd w:val="0"/>
              <w:snapToGrid w:val="0"/>
              <w:spacing w:line="440" w:lineRule="exact"/>
              <w:jc w:val="center"/>
              <w:rPr>
                <w:rFonts w:ascii="宋体" w:hAnsi="宋体"/>
                <w:sz w:val="21"/>
                <w:szCs w:val="21"/>
              </w:rPr>
            </w:pPr>
            <w:r>
              <w:rPr>
                <w:rFonts w:hint="eastAsia" w:ascii="宋体" w:hAnsi="宋体"/>
                <w:sz w:val="21"/>
                <w:szCs w:val="21"/>
              </w:rPr>
              <w:t>空调金属软接</w:t>
            </w:r>
          </w:p>
        </w:tc>
        <w:tc>
          <w:tcPr>
            <w:tcW w:w="1977" w:type="pct"/>
            <w:tcBorders>
              <w:top w:val="single" w:color="auto" w:sz="4" w:space="0"/>
              <w:left w:val="nil"/>
              <w:bottom w:val="single" w:color="auto" w:sz="4" w:space="0"/>
              <w:right w:val="single" w:color="auto" w:sz="4" w:space="0"/>
            </w:tcBorders>
            <w:vAlign w:val="center"/>
          </w:tcPr>
          <w:p w14:paraId="402F2674">
            <w:pPr>
              <w:adjustRightInd w:val="0"/>
              <w:snapToGrid w:val="0"/>
              <w:spacing w:line="440" w:lineRule="exact"/>
              <w:jc w:val="center"/>
              <w:rPr>
                <w:rFonts w:ascii="宋体" w:hAnsi="宋体"/>
                <w:sz w:val="21"/>
                <w:szCs w:val="21"/>
              </w:rPr>
            </w:pPr>
            <w:r>
              <w:rPr>
                <w:rFonts w:hint="eastAsia" w:ascii="宋体" w:hAnsi="宋体"/>
                <w:sz w:val="21"/>
                <w:szCs w:val="21"/>
              </w:rPr>
              <w:t>埃美柯、上海淞江、九峰</w:t>
            </w:r>
          </w:p>
        </w:tc>
        <w:tc>
          <w:tcPr>
            <w:tcW w:w="1212" w:type="pct"/>
            <w:tcBorders>
              <w:top w:val="single" w:color="auto" w:sz="4" w:space="0"/>
              <w:left w:val="nil"/>
              <w:bottom w:val="single" w:color="auto" w:sz="4" w:space="0"/>
              <w:right w:val="single" w:color="auto" w:sz="4" w:space="0"/>
            </w:tcBorders>
            <w:vAlign w:val="center"/>
          </w:tcPr>
          <w:p w14:paraId="045CE65D">
            <w:pPr>
              <w:rPr>
                <w:rFonts w:ascii="宋体" w:hAnsi="宋体"/>
                <w:sz w:val="21"/>
                <w:szCs w:val="21"/>
              </w:rPr>
            </w:pPr>
          </w:p>
        </w:tc>
      </w:tr>
      <w:tr w14:paraId="19F0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A5D5795">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5</w:t>
            </w:r>
          </w:p>
        </w:tc>
        <w:tc>
          <w:tcPr>
            <w:tcW w:w="1441" w:type="pct"/>
            <w:tcBorders>
              <w:top w:val="single" w:color="auto" w:sz="4" w:space="0"/>
              <w:left w:val="nil"/>
              <w:bottom w:val="single" w:color="auto" w:sz="4" w:space="0"/>
              <w:right w:val="single" w:color="auto" w:sz="4" w:space="0"/>
            </w:tcBorders>
            <w:vAlign w:val="center"/>
          </w:tcPr>
          <w:p w14:paraId="4BBB7D28">
            <w:pPr>
              <w:adjustRightInd w:val="0"/>
              <w:snapToGrid w:val="0"/>
              <w:spacing w:line="440" w:lineRule="exact"/>
              <w:jc w:val="center"/>
              <w:rPr>
                <w:rFonts w:ascii="宋体" w:hAnsi="宋体"/>
                <w:sz w:val="21"/>
                <w:szCs w:val="21"/>
              </w:rPr>
            </w:pPr>
            <w:r>
              <w:rPr>
                <w:rFonts w:hint="eastAsia" w:ascii="宋体" w:hAnsi="宋体"/>
                <w:sz w:val="21"/>
                <w:szCs w:val="21"/>
              </w:rPr>
              <w:t>网线</w:t>
            </w:r>
          </w:p>
        </w:tc>
        <w:tc>
          <w:tcPr>
            <w:tcW w:w="1977" w:type="pct"/>
            <w:tcBorders>
              <w:top w:val="single" w:color="auto" w:sz="4" w:space="0"/>
              <w:left w:val="nil"/>
              <w:bottom w:val="single" w:color="auto" w:sz="4" w:space="0"/>
              <w:right w:val="single" w:color="auto" w:sz="4" w:space="0"/>
            </w:tcBorders>
            <w:vAlign w:val="center"/>
          </w:tcPr>
          <w:p w14:paraId="0C9BB658">
            <w:pPr>
              <w:adjustRightInd w:val="0"/>
              <w:snapToGrid w:val="0"/>
              <w:spacing w:line="440" w:lineRule="exact"/>
              <w:jc w:val="center"/>
              <w:rPr>
                <w:rFonts w:ascii="宋体" w:hAnsi="宋体"/>
                <w:b/>
                <w:bCs/>
                <w:sz w:val="21"/>
                <w:szCs w:val="21"/>
              </w:rPr>
            </w:pPr>
            <w:r>
              <w:rPr>
                <w:rFonts w:hint="eastAsia" w:ascii="宋体" w:hAnsi="宋体"/>
                <w:sz w:val="21"/>
                <w:szCs w:val="21"/>
              </w:rPr>
              <w:t>帝一、安普、天诚</w:t>
            </w:r>
          </w:p>
        </w:tc>
        <w:tc>
          <w:tcPr>
            <w:tcW w:w="1212" w:type="pct"/>
            <w:tcBorders>
              <w:top w:val="single" w:color="auto" w:sz="4" w:space="0"/>
              <w:left w:val="nil"/>
              <w:bottom w:val="single" w:color="auto" w:sz="4" w:space="0"/>
              <w:right w:val="single" w:color="auto" w:sz="4" w:space="0"/>
            </w:tcBorders>
            <w:vAlign w:val="center"/>
          </w:tcPr>
          <w:p w14:paraId="47FF9C54">
            <w:pPr>
              <w:rPr>
                <w:rFonts w:ascii="宋体" w:hAnsi="宋体"/>
                <w:sz w:val="21"/>
                <w:szCs w:val="21"/>
              </w:rPr>
            </w:pPr>
          </w:p>
        </w:tc>
      </w:tr>
      <w:tr w14:paraId="4C1C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59030BA">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6</w:t>
            </w:r>
          </w:p>
        </w:tc>
        <w:tc>
          <w:tcPr>
            <w:tcW w:w="1441" w:type="pct"/>
            <w:tcBorders>
              <w:top w:val="single" w:color="auto" w:sz="4" w:space="0"/>
              <w:left w:val="nil"/>
              <w:bottom w:val="single" w:color="auto" w:sz="4" w:space="0"/>
              <w:right w:val="single" w:color="auto" w:sz="4" w:space="0"/>
            </w:tcBorders>
            <w:vAlign w:val="center"/>
          </w:tcPr>
          <w:p w14:paraId="5F200316">
            <w:pPr>
              <w:adjustRightInd w:val="0"/>
              <w:snapToGrid w:val="0"/>
              <w:spacing w:line="440" w:lineRule="exact"/>
              <w:jc w:val="center"/>
              <w:rPr>
                <w:rFonts w:ascii="宋体" w:hAnsi="宋体"/>
                <w:sz w:val="21"/>
                <w:szCs w:val="21"/>
              </w:rPr>
            </w:pPr>
            <w:r>
              <w:rPr>
                <w:rFonts w:hint="eastAsia" w:ascii="宋体" w:hAnsi="宋体"/>
                <w:sz w:val="21"/>
                <w:szCs w:val="21"/>
              </w:rPr>
              <w:t>直膨式新风机</w:t>
            </w:r>
          </w:p>
        </w:tc>
        <w:tc>
          <w:tcPr>
            <w:tcW w:w="1977" w:type="pct"/>
            <w:tcBorders>
              <w:top w:val="single" w:color="auto" w:sz="4" w:space="0"/>
              <w:left w:val="nil"/>
              <w:bottom w:val="single" w:color="auto" w:sz="4" w:space="0"/>
              <w:right w:val="single" w:color="auto" w:sz="4" w:space="0"/>
            </w:tcBorders>
            <w:vAlign w:val="center"/>
          </w:tcPr>
          <w:p w14:paraId="18D38A5C">
            <w:pPr>
              <w:adjustRightInd w:val="0"/>
              <w:snapToGrid w:val="0"/>
              <w:spacing w:line="440" w:lineRule="exact"/>
              <w:jc w:val="center"/>
              <w:rPr>
                <w:rFonts w:ascii="宋体" w:hAnsi="宋体"/>
                <w:sz w:val="21"/>
                <w:szCs w:val="21"/>
              </w:rPr>
            </w:pPr>
            <w:r>
              <w:rPr>
                <w:rFonts w:hint="eastAsia" w:ascii="宋体" w:hAnsi="宋体"/>
                <w:sz w:val="21"/>
                <w:szCs w:val="21"/>
              </w:rPr>
              <w:t>天加、雅士、麦克维尔</w:t>
            </w:r>
          </w:p>
        </w:tc>
        <w:tc>
          <w:tcPr>
            <w:tcW w:w="1212" w:type="pct"/>
            <w:tcBorders>
              <w:top w:val="single" w:color="auto" w:sz="4" w:space="0"/>
              <w:left w:val="nil"/>
              <w:bottom w:val="single" w:color="auto" w:sz="4" w:space="0"/>
              <w:right w:val="single" w:color="auto" w:sz="4" w:space="0"/>
            </w:tcBorders>
            <w:vAlign w:val="center"/>
          </w:tcPr>
          <w:p w14:paraId="6C6BD7EA">
            <w:pPr>
              <w:rPr>
                <w:rFonts w:ascii="宋体" w:hAnsi="宋体"/>
                <w:sz w:val="21"/>
                <w:szCs w:val="21"/>
              </w:rPr>
            </w:pPr>
          </w:p>
        </w:tc>
      </w:tr>
      <w:tr w14:paraId="0A47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D10B207">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7</w:t>
            </w:r>
          </w:p>
        </w:tc>
        <w:tc>
          <w:tcPr>
            <w:tcW w:w="1441" w:type="pct"/>
            <w:tcBorders>
              <w:top w:val="single" w:color="auto" w:sz="4" w:space="0"/>
              <w:left w:val="nil"/>
              <w:bottom w:val="single" w:color="auto" w:sz="4" w:space="0"/>
              <w:right w:val="single" w:color="auto" w:sz="4" w:space="0"/>
            </w:tcBorders>
            <w:vAlign w:val="center"/>
          </w:tcPr>
          <w:p w14:paraId="21E0FDFA">
            <w:pPr>
              <w:adjustRightInd w:val="0"/>
              <w:snapToGrid w:val="0"/>
              <w:spacing w:line="440" w:lineRule="exact"/>
              <w:jc w:val="center"/>
              <w:rPr>
                <w:rFonts w:hint="eastAsia" w:ascii="宋体" w:hAnsi="宋体"/>
                <w:sz w:val="21"/>
                <w:szCs w:val="21"/>
              </w:rPr>
            </w:pPr>
            <w:r>
              <w:rPr>
                <w:rFonts w:hint="eastAsia" w:ascii="宋体" w:hAnsi="宋体"/>
                <w:sz w:val="21"/>
                <w:szCs w:val="21"/>
              </w:rPr>
              <w:t>消防报警设备</w:t>
            </w:r>
          </w:p>
        </w:tc>
        <w:tc>
          <w:tcPr>
            <w:tcW w:w="1977" w:type="pct"/>
            <w:tcBorders>
              <w:top w:val="single" w:color="auto" w:sz="4" w:space="0"/>
              <w:left w:val="nil"/>
              <w:bottom w:val="single" w:color="auto" w:sz="4" w:space="0"/>
              <w:right w:val="single" w:color="auto" w:sz="4" w:space="0"/>
            </w:tcBorders>
            <w:vAlign w:val="center"/>
          </w:tcPr>
          <w:p w14:paraId="20C3A762">
            <w:pPr>
              <w:adjustRightInd w:val="0"/>
              <w:snapToGrid w:val="0"/>
              <w:spacing w:line="440" w:lineRule="exact"/>
              <w:jc w:val="center"/>
              <w:rPr>
                <w:rFonts w:hint="eastAsia" w:ascii="宋体" w:hAnsi="宋体"/>
                <w:sz w:val="21"/>
                <w:szCs w:val="21"/>
              </w:rPr>
            </w:pPr>
            <w:r>
              <w:rPr>
                <w:rFonts w:hint="eastAsia" w:ascii="宋体" w:hAnsi="宋体"/>
                <w:sz w:val="21"/>
                <w:szCs w:val="21"/>
              </w:rPr>
              <w:t>海湾，西门子，能美</w:t>
            </w:r>
          </w:p>
        </w:tc>
        <w:tc>
          <w:tcPr>
            <w:tcW w:w="1212" w:type="pct"/>
            <w:tcBorders>
              <w:top w:val="single" w:color="auto" w:sz="4" w:space="0"/>
              <w:left w:val="nil"/>
              <w:bottom w:val="single" w:color="auto" w:sz="4" w:space="0"/>
              <w:right w:val="single" w:color="auto" w:sz="4" w:space="0"/>
            </w:tcBorders>
            <w:vAlign w:val="center"/>
          </w:tcPr>
          <w:p w14:paraId="1E55D1C0">
            <w:pPr>
              <w:rPr>
                <w:rFonts w:ascii="宋体" w:hAnsi="宋体"/>
                <w:sz w:val="21"/>
                <w:szCs w:val="21"/>
              </w:rPr>
            </w:pPr>
          </w:p>
        </w:tc>
      </w:tr>
      <w:tr w14:paraId="0C8D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9142EE3">
            <w:pPr>
              <w:adjustRightInd w:val="0"/>
              <w:snapToGrid w:val="0"/>
              <w:spacing w:line="440" w:lineRule="exact"/>
              <w:jc w:val="cente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8</w:t>
            </w:r>
          </w:p>
        </w:tc>
        <w:tc>
          <w:tcPr>
            <w:tcW w:w="1441" w:type="pct"/>
            <w:tcBorders>
              <w:top w:val="single" w:color="auto" w:sz="4" w:space="0"/>
              <w:left w:val="nil"/>
              <w:bottom w:val="single" w:color="auto" w:sz="4" w:space="0"/>
              <w:right w:val="single" w:color="auto" w:sz="4" w:space="0"/>
            </w:tcBorders>
            <w:vAlign w:val="center"/>
          </w:tcPr>
          <w:p w14:paraId="15A756C8">
            <w:pPr>
              <w:adjustRightInd w:val="0"/>
              <w:snapToGrid w:val="0"/>
              <w:spacing w:line="440" w:lineRule="exact"/>
              <w:jc w:val="center"/>
              <w:rPr>
                <w:rFonts w:hint="eastAsia" w:ascii="宋体" w:hAnsi="宋体"/>
                <w:sz w:val="21"/>
                <w:szCs w:val="21"/>
              </w:rPr>
            </w:pPr>
            <w:r>
              <w:rPr>
                <w:rFonts w:hint="eastAsia" w:ascii="宋体" w:hAnsi="宋体"/>
                <w:sz w:val="21"/>
                <w:szCs w:val="21"/>
              </w:rPr>
              <w:t>超细干粉灭火设备</w:t>
            </w:r>
          </w:p>
        </w:tc>
        <w:tc>
          <w:tcPr>
            <w:tcW w:w="1977" w:type="pct"/>
            <w:tcBorders>
              <w:top w:val="single" w:color="auto" w:sz="4" w:space="0"/>
              <w:left w:val="nil"/>
              <w:bottom w:val="single" w:color="auto" w:sz="4" w:space="0"/>
              <w:right w:val="single" w:color="auto" w:sz="4" w:space="0"/>
            </w:tcBorders>
            <w:vAlign w:val="center"/>
          </w:tcPr>
          <w:p w14:paraId="16D6D25A">
            <w:pPr>
              <w:adjustRightInd w:val="0"/>
              <w:snapToGrid w:val="0"/>
              <w:spacing w:line="440" w:lineRule="exact"/>
              <w:jc w:val="center"/>
              <w:rPr>
                <w:rFonts w:hint="eastAsia" w:ascii="宋体" w:hAnsi="宋体"/>
                <w:sz w:val="21"/>
                <w:szCs w:val="21"/>
              </w:rPr>
            </w:pPr>
            <w:r>
              <w:rPr>
                <w:rFonts w:hint="eastAsia" w:ascii="宋体" w:hAnsi="宋体"/>
                <w:sz w:val="21"/>
                <w:szCs w:val="21"/>
              </w:rPr>
              <w:t>海湾、海捷、布朗</w:t>
            </w:r>
          </w:p>
        </w:tc>
        <w:tc>
          <w:tcPr>
            <w:tcW w:w="1212" w:type="pct"/>
            <w:tcBorders>
              <w:top w:val="single" w:color="auto" w:sz="4" w:space="0"/>
              <w:left w:val="nil"/>
              <w:bottom w:val="single" w:color="auto" w:sz="4" w:space="0"/>
              <w:right w:val="single" w:color="auto" w:sz="4" w:space="0"/>
            </w:tcBorders>
            <w:vAlign w:val="center"/>
          </w:tcPr>
          <w:p w14:paraId="78EA30F1">
            <w:pPr>
              <w:rPr>
                <w:rFonts w:ascii="宋体" w:hAnsi="宋体"/>
                <w:sz w:val="21"/>
                <w:szCs w:val="21"/>
              </w:rPr>
            </w:pPr>
          </w:p>
        </w:tc>
      </w:tr>
    </w:tbl>
    <w:p w14:paraId="27EBE859">
      <w:pPr>
        <w:widowControl/>
        <w:spacing w:line="460" w:lineRule="exact"/>
        <w:jc w:val="left"/>
        <w:rPr>
          <w:rFonts w:ascii="仿宋_GB2312" w:eastAsia="仿宋_GB2312"/>
          <w:sz w:val="21"/>
          <w:szCs w:val="21"/>
        </w:rPr>
      </w:pPr>
    </w:p>
    <w:tbl>
      <w:tblPr>
        <w:tblStyle w:val="12"/>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006"/>
        <w:gridCol w:w="4020"/>
        <w:gridCol w:w="1195"/>
        <w:gridCol w:w="1456"/>
      </w:tblGrid>
      <w:tr w14:paraId="4E95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75E2F88">
            <w:pPr>
              <w:adjustRightInd w:val="0"/>
              <w:snapToGrid w:val="0"/>
              <w:spacing w:line="440" w:lineRule="exact"/>
              <w:jc w:val="center"/>
              <w:rPr>
                <w:rFonts w:ascii="宋体" w:hAnsi="宋体"/>
                <w:b/>
                <w:sz w:val="21"/>
                <w:szCs w:val="21"/>
              </w:rPr>
            </w:pPr>
            <w:r>
              <w:rPr>
                <w:rFonts w:hint="eastAsia" w:ascii="彩虹粗仿宋" w:hAnsi="彩虹粗仿宋"/>
                <w:b/>
                <w:sz w:val="21"/>
                <w:szCs w:val="21"/>
              </w:rPr>
              <w:t>装饰主要材料品牌要求一览表</w:t>
            </w:r>
          </w:p>
        </w:tc>
      </w:tr>
      <w:tr w14:paraId="277B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D7DCB74">
            <w:pPr>
              <w:adjustRightInd w:val="0"/>
              <w:snapToGrid w:val="0"/>
              <w:spacing w:line="440" w:lineRule="exact"/>
              <w:jc w:val="center"/>
              <w:rPr>
                <w:rFonts w:ascii="宋体" w:hAnsi="宋体"/>
                <w:b/>
                <w:sz w:val="21"/>
                <w:szCs w:val="21"/>
              </w:rPr>
            </w:pPr>
            <w:r>
              <w:rPr>
                <w:rFonts w:hint="eastAsia" w:ascii="宋体" w:hAnsi="宋体"/>
                <w:b/>
                <w:sz w:val="21"/>
                <w:szCs w:val="21"/>
              </w:rPr>
              <w:t>序号</w:t>
            </w:r>
          </w:p>
        </w:tc>
        <w:tc>
          <w:tcPr>
            <w:tcW w:w="1439" w:type="pct"/>
            <w:tcBorders>
              <w:top w:val="single" w:color="auto" w:sz="4" w:space="0"/>
              <w:left w:val="nil"/>
              <w:bottom w:val="single" w:color="auto" w:sz="4" w:space="0"/>
              <w:right w:val="single" w:color="auto" w:sz="4" w:space="0"/>
            </w:tcBorders>
            <w:vAlign w:val="center"/>
          </w:tcPr>
          <w:p w14:paraId="6EFF49F2">
            <w:pPr>
              <w:adjustRightInd w:val="0"/>
              <w:snapToGrid w:val="0"/>
              <w:spacing w:line="440" w:lineRule="exact"/>
              <w:jc w:val="center"/>
              <w:rPr>
                <w:rFonts w:ascii="宋体" w:hAnsi="宋体"/>
                <w:b/>
                <w:sz w:val="21"/>
                <w:szCs w:val="21"/>
              </w:rPr>
            </w:pPr>
            <w:r>
              <w:rPr>
                <w:rFonts w:hint="eastAsia" w:ascii="宋体" w:hAnsi="宋体"/>
                <w:b/>
                <w:sz w:val="21"/>
                <w:szCs w:val="21"/>
              </w:rPr>
              <w:t>主要材料名称</w:t>
            </w:r>
          </w:p>
        </w:tc>
        <w:tc>
          <w:tcPr>
            <w:tcW w:w="1924" w:type="pct"/>
            <w:tcBorders>
              <w:top w:val="single" w:color="auto" w:sz="4" w:space="0"/>
              <w:left w:val="nil"/>
              <w:bottom w:val="single" w:color="auto" w:sz="4" w:space="0"/>
              <w:right w:val="single" w:color="auto" w:sz="4" w:space="0"/>
            </w:tcBorders>
            <w:vAlign w:val="center"/>
          </w:tcPr>
          <w:p w14:paraId="5EAEC478">
            <w:pPr>
              <w:adjustRightInd w:val="0"/>
              <w:snapToGrid w:val="0"/>
              <w:spacing w:line="440" w:lineRule="exact"/>
              <w:jc w:val="center"/>
              <w:rPr>
                <w:rFonts w:ascii="宋体" w:hAnsi="宋体"/>
                <w:b/>
                <w:sz w:val="21"/>
                <w:szCs w:val="21"/>
              </w:rPr>
            </w:pPr>
            <w:r>
              <w:rPr>
                <w:rFonts w:hint="eastAsia" w:ascii="宋体" w:hAnsi="宋体"/>
                <w:b/>
                <w:sz w:val="21"/>
                <w:szCs w:val="21"/>
              </w:rPr>
              <w:t>品牌</w:t>
            </w:r>
          </w:p>
        </w:tc>
        <w:tc>
          <w:tcPr>
            <w:tcW w:w="572" w:type="pct"/>
            <w:tcBorders>
              <w:top w:val="single" w:color="auto" w:sz="4" w:space="0"/>
              <w:left w:val="nil"/>
              <w:bottom w:val="single" w:color="auto" w:sz="4" w:space="0"/>
              <w:right w:val="single" w:color="auto" w:sz="4" w:space="0"/>
            </w:tcBorders>
            <w:vAlign w:val="center"/>
          </w:tcPr>
          <w:p w14:paraId="270D7882">
            <w:pPr>
              <w:adjustRightInd w:val="0"/>
              <w:snapToGrid w:val="0"/>
              <w:spacing w:line="440" w:lineRule="exact"/>
              <w:jc w:val="center"/>
              <w:rPr>
                <w:rFonts w:ascii="宋体" w:hAnsi="宋体"/>
                <w:b/>
                <w:sz w:val="21"/>
                <w:szCs w:val="21"/>
              </w:rPr>
            </w:pPr>
            <w:r>
              <w:rPr>
                <w:rFonts w:hint="eastAsia" w:ascii="宋体" w:hAnsi="宋体"/>
                <w:b/>
                <w:sz w:val="21"/>
                <w:szCs w:val="21"/>
              </w:rPr>
              <w:t>规格型号</w:t>
            </w:r>
          </w:p>
        </w:tc>
        <w:tc>
          <w:tcPr>
            <w:tcW w:w="695" w:type="pct"/>
            <w:tcBorders>
              <w:top w:val="single" w:color="auto" w:sz="4" w:space="0"/>
              <w:left w:val="nil"/>
              <w:bottom w:val="single" w:color="auto" w:sz="4" w:space="0"/>
              <w:right w:val="single" w:color="auto" w:sz="4" w:space="0"/>
            </w:tcBorders>
            <w:vAlign w:val="center"/>
          </w:tcPr>
          <w:p w14:paraId="1FD74F7B">
            <w:pPr>
              <w:adjustRightInd w:val="0"/>
              <w:snapToGrid w:val="0"/>
              <w:spacing w:line="440" w:lineRule="exact"/>
              <w:jc w:val="center"/>
              <w:rPr>
                <w:rFonts w:ascii="宋体" w:hAnsi="宋体"/>
                <w:b/>
                <w:sz w:val="21"/>
                <w:szCs w:val="21"/>
              </w:rPr>
            </w:pPr>
            <w:r>
              <w:rPr>
                <w:rFonts w:hint="eastAsia" w:ascii="宋体" w:hAnsi="宋体"/>
                <w:b/>
                <w:sz w:val="21"/>
                <w:szCs w:val="21"/>
              </w:rPr>
              <w:t>备注</w:t>
            </w:r>
          </w:p>
        </w:tc>
      </w:tr>
      <w:tr w14:paraId="705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CB953AF">
            <w:pPr>
              <w:adjustRightInd w:val="0"/>
              <w:snapToGrid w:val="0"/>
              <w:spacing w:line="320" w:lineRule="exact"/>
              <w:jc w:val="center"/>
              <w:rPr>
                <w:rFonts w:ascii="宋体" w:hAnsi="宋体"/>
                <w:sz w:val="21"/>
                <w:szCs w:val="21"/>
              </w:rPr>
            </w:pPr>
            <w:r>
              <w:rPr>
                <w:rFonts w:hint="eastAsia" w:ascii="宋体" w:hAnsi="宋体"/>
                <w:sz w:val="21"/>
                <w:szCs w:val="21"/>
              </w:rPr>
              <w:t>1</w:t>
            </w:r>
          </w:p>
        </w:tc>
        <w:tc>
          <w:tcPr>
            <w:tcW w:w="1439" w:type="pct"/>
            <w:tcBorders>
              <w:top w:val="single" w:color="auto" w:sz="4" w:space="0"/>
              <w:left w:val="nil"/>
              <w:bottom w:val="single" w:color="auto" w:sz="4" w:space="0"/>
              <w:right w:val="single" w:color="auto" w:sz="4" w:space="0"/>
            </w:tcBorders>
            <w:vAlign w:val="center"/>
          </w:tcPr>
          <w:p w14:paraId="20F41230">
            <w:pPr>
              <w:adjustRightInd w:val="0"/>
              <w:snapToGrid w:val="0"/>
              <w:spacing w:line="320" w:lineRule="exact"/>
              <w:jc w:val="center"/>
              <w:rPr>
                <w:rFonts w:ascii="宋体" w:hAnsi="宋体"/>
                <w:sz w:val="21"/>
                <w:szCs w:val="21"/>
              </w:rPr>
            </w:pPr>
            <w:r>
              <w:rPr>
                <w:rFonts w:hint="eastAsia" w:ascii="宋体" w:hAnsi="宋体"/>
                <w:sz w:val="21"/>
                <w:szCs w:val="21"/>
              </w:rPr>
              <w:t>内墙乳胶漆</w:t>
            </w:r>
          </w:p>
        </w:tc>
        <w:tc>
          <w:tcPr>
            <w:tcW w:w="1924" w:type="pct"/>
            <w:tcBorders>
              <w:top w:val="single" w:color="auto" w:sz="4" w:space="0"/>
              <w:left w:val="nil"/>
              <w:bottom w:val="single" w:color="auto" w:sz="4" w:space="0"/>
              <w:right w:val="single" w:color="auto" w:sz="4" w:space="0"/>
            </w:tcBorders>
            <w:vAlign w:val="center"/>
          </w:tcPr>
          <w:p w14:paraId="54A4E914">
            <w:pPr>
              <w:adjustRightInd w:val="0"/>
              <w:snapToGrid w:val="0"/>
              <w:spacing w:line="320" w:lineRule="exact"/>
              <w:jc w:val="center"/>
              <w:rPr>
                <w:rFonts w:ascii="宋体" w:hAnsi="宋体"/>
                <w:sz w:val="21"/>
                <w:szCs w:val="21"/>
              </w:rPr>
            </w:pPr>
            <w:r>
              <w:rPr>
                <w:rFonts w:hint="eastAsia" w:ascii="宋体" w:hAnsi="宋体"/>
                <w:sz w:val="21"/>
                <w:szCs w:val="21"/>
              </w:rPr>
              <w:t>SKK(白帆系列)、立邦(净味120)、佐敦(金佰士)</w:t>
            </w:r>
          </w:p>
        </w:tc>
        <w:tc>
          <w:tcPr>
            <w:tcW w:w="572" w:type="pct"/>
            <w:tcBorders>
              <w:top w:val="single" w:color="auto" w:sz="4" w:space="0"/>
              <w:left w:val="nil"/>
              <w:bottom w:val="single" w:color="auto" w:sz="4" w:space="0"/>
              <w:right w:val="single" w:color="auto" w:sz="4" w:space="0"/>
            </w:tcBorders>
            <w:vAlign w:val="center"/>
          </w:tcPr>
          <w:p w14:paraId="23E33843">
            <w:pPr>
              <w:adjustRightInd w:val="0"/>
              <w:snapToGrid w:val="0"/>
              <w:spacing w:line="32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46972BC3">
            <w:pPr>
              <w:adjustRightInd w:val="0"/>
              <w:snapToGrid w:val="0"/>
              <w:spacing w:line="320" w:lineRule="exact"/>
              <w:jc w:val="center"/>
              <w:rPr>
                <w:rFonts w:ascii="宋体" w:hAnsi="宋体"/>
                <w:sz w:val="21"/>
                <w:szCs w:val="21"/>
              </w:rPr>
            </w:pPr>
            <w:r>
              <w:rPr>
                <w:rFonts w:hint="eastAsia" w:ascii="宋体" w:hAnsi="宋体"/>
                <w:sz w:val="21"/>
                <w:szCs w:val="21"/>
              </w:rPr>
              <w:t>符合室内环保要求</w:t>
            </w:r>
          </w:p>
        </w:tc>
      </w:tr>
      <w:tr w14:paraId="58C1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5E30A1F">
            <w:pPr>
              <w:adjustRightInd w:val="0"/>
              <w:snapToGrid w:val="0"/>
              <w:spacing w:line="320" w:lineRule="exact"/>
              <w:jc w:val="center"/>
              <w:rPr>
                <w:rFonts w:ascii="宋体" w:hAnsi="宋体"/>
                <w:sz w:val="21"/>
                <w:szCs w:val="21"/>
              </w:rPr>
            </w:pPr>
            <w:r>
              <w:rPr>
                <w:rFonts w:hint="eastAsia" w:ascii="宋体" w:hAnsi="宋体"/>
                <w:sz w:val="21"/>
                <w:szCs w:val="21"/>
              </w:rPr>
              <w:t>2</w:t>
            </w:r>
          </w:p>
        </w:tc>
        <w:tc>
          <w:tcPr>
            <w:tcW w:w="1439" w:type="pct"/>
            <w:tcBorders>
              <w:top w:val="single" w:color="auto" w:sz="4" w:space="0"/>
              <w:left w:val="nil"/>
              <w:bottom w:val="single" w:color="auto" w:sz="4" w:space="0"/>
              <w:right w:val="single" w:color="auto" w:sz="4" w:space="0"/>
            </w:tcBorders>
            <w:vAlign w:val="center"/>
          </w:tcPr>
          <w:p w14:paraId="70629FF4">
            <w:pPr>
              <w:adjustRightInd w:val="0"/>
              <w:snapToGrid w:val="0"/>
              <w:spacing w:line="320" w:lineRule="exact"/>
              <w:jc w:val="center"/>
              <w:rPr>
                <w:rFonts w:ascii="宋体" w:hAnsi="宋体"/>
                <w:sz w:val="21"/>
                <w:szCs w:val="21"/>
              </w:rPr>
            </w:pPr>
            <w:r>
              <w:rPr>
                <w:rFonts w:hint="eastAsia" w:ascii="宋体" w:hAnsi="宋体"/>
                <w:sz w:val="21"/>
                <w:szCs w:val="21"/>
              </w:rPr>
              <w:t>外墙乳胶漆</w:t>
            </w:r>
          </w:p>
        </w:tc>
        <w:tc>
          <w:tcPr>
            <w:tcW w:w="1924" w:type="pct"/>
            <w:tcBorders>
              <w:top w:val="single" w:color="auto" w:sz="4" w:space="0"/>
              <w:left w:val="nil"/>
              <w:bottom w:val="single" w:color="auto" w:sz="4" w:space="0"/>
              <w:right w:val="single" w:color="auto" w:sz="4" w:space="0"/>
            </w:tcBorders>
            <w:vAlign w:val="center"/>
          </w:tcPr>
          <w:p w14:paraId="795EB429">
            <w:pPr>
              <w:adjustRightInd w:val="0"/>
              <w:snapToGrid w:val="0"/>
              <w:spacing w:line="320" w:lineRule="exact"/>
              <w:jc w:val="center"/>
              <w:rPr>
                <w:rFonts w:ascii="宋体" w:hAnsi="宋体"/>
                <w:sz w:val="21"/>
                <w:szCs w:val="21"/>
              </w:rPr>
            </w:pPr>
            <w:r>
              <w:rPr>
                <w:rFonts w:hint="eastAsia" w:ascii="宋体" w:hAnsi="宋体"/>
                <w:sz w:val="21"/>
                <w:szCs w:val="21"/>
              </w:rPr>
              <w:t>立邦、佐敦、SKK</w:t>
            </w:r>
          </w:p>
        </w:tc>
        <w:tc>
          <w:tcPr>
            <w:tcW w:w="572" w:type="pct"/>
            <w:tcBorders>
              <w:top w:val="single" w:color="auto" w:sz="4" w:space="0"/>
              <w:left w:val="nil"/>
              <w:bottom w:val="single" w:color="auto" w:sz="4" w:space="0"/>
              <w:right w:val="single" w:color="auto" w:sz="4" w:space="0"/>
            </w:tcBorders>
            <w:vAlign w:val="center"/>
          </w:tcPr>
          <w:p w14:paraId="4F6CB410">
            <w:pPr>
              <w:adjustRightInd w:val="0"/>
              <w:snapToGrid w:val="0"/>
              <w:spacing w:line="32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291D35A0">
            <w:pPr>
              <w:adjustRightInd w:val="0"/>
              <w:snapToGrid w:val="0"/>
              <w:spacing w:line="320" w:lineRule="exact"/>
              <w:jc w:val="center"/>
              <w:rPr>
                <w:rFonts w:ascii="宋体" w:hAnsi="宋体"/>
                <w:sz w:val="21"/>
                <w:szCs w:val="21"/>
              </w:rPr>
            </w:pPr>
          </w:p>
        </w:tc>
      </w:tr>
      <w:tr w14:paraId="403E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28B0DDB">
            <w:pPr>
              <w:adjustRightInd w:val="0"/>
              <w:snapToGrid w:val="0"/>
              <w:spacing w:line="320" w:lineRule="exact"/>
              <w:jc w:val="center"/>
              <w:rPr>
                <w:rFonts w:ascii="宋体" w:hAnsi="宋体"/>
                <w:sz w:val="21"/>
                <w:szCs w:val="21"/>
              </w:rPr>
            </w:pPr>
            <w:r>
              <w:rPr>
                <w:rFonts w:hint="eastAsia" w:ascii="宋体" w:hAnsi="宋体"/>
                <w:sz w:val="21"/>
                <w:szCs w:val="21"/>
              </w:rPr>
              <w:t>3</w:t>
            </w:r>
          </w:p>
        </w:tc>
        <w:tc>
          <w:tcPr>
            <w:tcW w:w="1439" w:type="pct"/>
            <w:tcBorders>
              <w:top w:val="single" w:color="auto" w:sz="4" w:space="0"/>
              <w:left w:val="nil"/>
              <w:bottom w:val="single" w:color="auto" w:sz="4" w:space="0"/>
              <w:right w:val="single" w:color="auto" w:sz="4" w:space="0"/>
            </w:tcBorders>
            <w:vAlign w:val="center"/>
          </w:tcPr>
          <w:p w14:paraId="1490EA8A">
            <w:pPr>
              <w:adjustRightInd w:val="0"/>
              <w:snapToGrid w:val="0"/>
              <w:spacing w:line="320" w:lineRule="exact"/>
              <w:jc w:val="center"/>
              <w:rPr>
                <w:rFonts w:ascii="宋体" w:hAnsi="宋体"/>
                <w:sz w:val="21"/>
                <w:szCs w:val="21"/>
              </w:rPr>
            </w:pPr>
            <w:r>
              <w:rPr>
                <w:rFonts w:hint="eastAsia" w:ascii="宋体" w:hAnsi="宋体" w:cs="宋体"/>
                <w:sz w:val="21"/>
                <w:szCs w:val="21"/>
              </w:rPr>
              <w:t>墙地面砖</w:t>
            </w:r>
          </w:p>
        </w:tc>
        <w:tc>
          <w:tcPr>
            <w:tcW w:w="1924" w:type="pct"/>
            <w:tcBorders>
              <w:top w:val="single" w:color="auto" w:sz="4" w:space="0"/>
              <w:left w:val="nil"/>
              <w:bottom w:val="single" w:color="auto" w:sz="4" w:space="0"/>
              <w:right w:val="single" w:color="auto" w:sz="4" w:space="0"/>
            </w:tcBorders>
            <w:vAlign w:val="center"/>
          </w:tcPr>
          <w:p w14:paraId="2794D748">
            <w:pPr>
              <w:adjustRightInd w:val="0"/>
              <w:snapToGrid w:val="0"/>
              <w:spacing w:line="320" w:lineRule="exact"/>
              <w:jc w:val="center"/>
              <w:rPr>
                <w:rFonts w:ascii="宋体" w:hAnsi="宋体"/>
                <w:sz w:val="21"/>
                <w:szCs w:val="21"/>
              </w:rPr>
            </w:pPr>
            <w:r>
              <w:rPr>
                <w:rFonts w:hint="eastAsia" w:ascii="宋体" w:hAnsi="宋体" w:cs="宋体"/>
                <w:sz w:val="21"/>
                <w:szCs w:val="21"/>
              </w:rPr>
              <w:t>箭牌、格莱斯、神韵</w:t>
            </w:r>
          </w:p>
        </w:tc>
        <w:tc>
          <w:tcPr>
            <w:tcW w:w="572" w:type="pct"/>
            <w:tcBorders>
              <w:top w:val="single" w:color="auto" w:sz="4" w:space="0"/>
              <w:left w:val="nil"/>
              <w:bottom w:val="single" w:color="auto" w:sz="4" w:space="0"/>
              <w:right w:val="single" w:color="auto" w:sz="4" w:space="0"/>
            </w:tcBorders>
            <w:vAlign w:val="center"/>
          </w:tcPr>
          <w:p w14:paraId="571B4CB0">
            <w:pPr>
              <w:adjustRightInd w:val="0"/>
              <w:snapToGrid w:val="0"/>
              <w:spacing w:line="32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470A04A0">
            <w:pPr>
              <w:adjustRightInd w:val="0"/>
              <w:snapToGrid w:val="0"/>
              <w:spacing w:line="320" w:lineRule="exact"/>
              <w:jc w:val="center"/>
              <w:rPr>
                <w:rFonts w:ascii="宋体" w:hAnsi="宋体"/>
                <w:sz w:val="21"/>
                <w:szCs w:val="21"/>
              </w:rPr>
            </w:pPr>
          </w:p>
        </w:tc>
      </w:tr>
      <w:tr w14:paraId="4318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8A4A0F4">
            <w:pPr>
              <w:adjustRightInd w:val="0"/>
              <w:snapToGrid w:val="0"/>
              <w:spacing w:line="440" w:lineRule="exact"/>
              <w:jc w:val="center"/>
              <w:rPr>
                <w:rFonts w:ascii="宋体" w:hAnsi="宋体"/>
                <w:sz w:val="21"/>
                <w:szCs w:val="21"/>
              </w:rPr>
            </w:pPr>
            <w:r>
              <w:rPr>
                <w:rFonts w:hint="eastAsia" w:ascii="宋体" w:hAnsi="宋体"/>
                <w:sz w:val="21"/>
                <w:szCs w:val="21"/>
              </w:rPr>
              <w:t>4</w:t>
            </w:r>
          </w:p>
        </w:tc>
        <w:tc>
          <w:tcPr>
            <w:tcW w:w="1439" w:type="pct"/>
            <w:tcBorders>
              <w:top w:val="single" w:color="auto" w:sz="4" w:space="0"/>
              <w:left w:val="nil"/>
              <w:bottom w:val="single" w:color="auto" w:sz="4" w:space="0"/>
              <w:right w:val="single" w:color="auto" w:sz="4" w:space="0"/>
            </w:tcBorders>
            <w:vAlign w:val="center"/>
          </w:tcPr>
          <w:p w14:paraId="3850B7B5">
            <w:pPr>
              <w:adjustRightInd w:val="0"/>
              <w:snapToGrid w:val="0"/>
              <w:spacing w:line="440" w:lineRule="exact"/>
              <w:jc w:val="center"/>
              <w:rPr>
                <w:rFonts w:ascii="宋体" w:hAnsi="宋体"/>
                <w:sz w:val="21"/>
                <w:szCs w:val="21"/>
              </w:rPr>
            </w:pPr>
            <w:r>
              <w:rPr>
                <w:rFonts w:hint="eastAsia" w:ascii="宋体" w:hAnsi="宋体"/>
                <w:sz w:val="21"/>
                <w:szCs w:val="21"/>
              </w:rPr>
              <w:t>墙地砖粘结剂</w:t>
            </w:r>
          </w:p>
        </w:tc>
        <w:tc>
          <w:tcPr>
            <w:tcW w:w="1924" w:type="pct"/>
            <w:tcBorders>
              <w:top w:val="single" w:color="auto" w:sz="4" w:space="0"/>
              <w:left w:val="nil"/>
              <w:bottom w:val="single" w:color="auto" w:sz="4" w:space="0"/>
              <w:right w:val="single" w:color="auto" w:sz="4" w:space="0"/>
            </w:tcBorders>
            <w:vAlign w:val="center"/>
          </w:tcPr>
          <w:p w14:paraId="436A46F1">
            <w:pPr>
              <w:adjustRightInd w:val="0"/>
              <w:snapToGrid w:val="0"/>
              <w:spacing w:line="440" w:lineRule="exact"/>
              <w:jc w:val="center"/>
              <w:rPr>
                <w:rFonts w:ascii="宋体" w:hAnsi="宋体"/>
                <w:sz w:val="21"/>
                <w:szCs w:val="21"/>
              </w:rPr>
            </w:pPr>
            <w:r>
              <w:rPr>
                <w:rFonts w:hint="eastAsia" w:ascii="宋体" w:hAnsi="宋体"/>
                <w:sz w:val="21"/>
                <w:szCs w:val="21"/>
              </w:rPr>
              <w:t>汉高、陶熙、德高</w:t>
            </w:r>
          </w:p>
        </w:tc>
        <w:tc>
          <w:tcPr>
            <w:tcW w:w="572" w:type="pct"/>
            <w:tcBorders>
              <w:top w:val="single" w:color="auto" w:sz="4" w:space="0"/>
              <w:left w:val="nil"/>
              <w:bottom w:val="single" w:color="auto" w:sz="4" w:space="0"/>
              <w:right w:val="single" w:color="auto" w:sz="4" w:space="0"/>
            </w:tcBorders>
            <w:vAlign w:val="center"/>
          </w:tcPr>
          <w:p w14:paraId="554D0D39">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4E6074B5">
            <w:pPr>
              <w:adjustRightInd w:val="0"/>
              <w:snapToGrid w:val="0"/>
              <w:spacing w:line="440" w:lineRule="exact"/>
              <w:jc w:val="center"/>
              <w:rPr>
                <w:rFonts w:ascii="宋体" w:hAnsi="宋体"/>
                <w:sz w:val="21"/>
                <w:szCs w:val="21"/>
              </w:rPr>
            </w:pPr>
          </w:p>
        </w:tc>
      </w:tr>
      <w:tr w14:paraId="5520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FBC8089">
            <w:pPr>
              <w:adjustRightInd w:val="0"/>
              <w:snapToGrid w:val="0"/>
              <w:spacing w:line="440" w:lineRule="exact"/>
              <w:jc w:val="center"/>
              <w:rPr>
                <w:rFonts w:ascii="宋体" w:hAnsi="宋体"/>
                <w:sz w:val="21"/>
                <w:szCs w:val="21"/>
              </w:rPr>
            </w:pPr>
            <w:r>
              <w:rPr>
                <w:rFonts w:hint="eastAsia" w:ascii="宋体" w:hAnsi="宋体"/>
                <w:sz w:val="21"/>
                <w:szCs w:val="21"/>
              </w:rPr>
              <w:t>5</w:t>
            </w:r>
          </w:p>
        </w:tc>
        <w:tc>
          <w:tcPr>
            <w:tcW w:w="1439" w:type="pct"/>
            <w:tcBorders>
              <w:top w:val="single" w:color="auto" w:sz="4" w:space="0"/>
              <w:left w:val="nil"/>
              <w:bottom w:val="single" w:color="auto" w:sz="4" w:space="0"/>
              <w:right w:val="single" w:color="auto" w:sz="4" w:space="0"/>
            </w:tcBorders>
            <w:vAlign w:val="center"/>
          </w:tcPr>
          <w:p w14:paraId="31660BE4">
            <w:pPr>
              <w:adjustRightInd w:val="0"/>
              <w:snapToGrid w:val="0"/>
              <w:spacing w:line="440" w:lineRule="exact"/>
              <w:jc w:val="center"/>
              <w:rPr>
                <w:rFonts w:ascii="宋体" w:hAnsi="宋体"/>
                <w:sz w:val="21"/>
                <w:szCs w:val="21"/>
              </w:rPr>
            </w:pPr>
            <w:r>
              <w:rPr>
                <w:rFonts w:hint="eastAsia" w:ascii="宋体" w:hAnsi="宋体"/>
                <w:sz w:val="21"/>
                <w:szCs w:val="21"/>
              </w:rPr>
              <w:t>天花铝板</w:t>
            </w:r>
          </w:p>
        </w:tc>
        <w:tc>
          <w:tcPr>
            <w:tcW w:w="1924" w:type="pct"/>
            <w:tcBorders>
              <w:top w:val="single" w:color="auto" w:sz="4" w:space="0"/>
              <w:left w:val="nil"/>
              <w:bottom w:val="single" w:color="auto" w:sz="4" w:space="0"/>
              <w:right w:val="single" w:color="auto" w:sz="4" w:space="0"/>
            </w:tcBorders>
            <w:vAlign w:val="center"/>
          </w:tcPr>
          <w:p w14:paraId="3F74E8C4">
            <w:pPr>
              <w:adjustRightInd w:val="0"/>
              <w:snapToGrid w:val="0"/>
              <w:spacing w:line="440" w:lineRule="exact"/>
              <w:jc w:val="center"/>
              <w:rPr>
                <w:rFonts w:ascii="宋体" w:hAnsi="宋体"/>
                <w:sz w:val="21"/>
                <w:szCs w:val="21"/>
              </w:rPr>
            </w:pPr>
            <w:r>
              <w:rPr>
                <w:rFonts w:hint="eastAsia" w:ascii="宋体" w:hAnsi="宋体"/>
                <w:sz w:val="21"/>
                <w:szCs w:val="21"/>
              </w:rPr>
              <w:t>浦飞尔、雍科、史泰博</w:t>
            </w:r>
          </w:p>
        </w:tc>
        <w:tc>
          <w:tcPr>
            <w:tcW w:w="572" w:type="pct"/>
            <w:tcBorders>
              <w:top w:val="single" w:color="auto" w:sz="4" w:space="0"/>
              <w:left w:val="nil"/>
              <w:bottom w:val="single" w:color="auto" w:sz="4" w:space="0"/>
              <w:right w:val="single" w:color="auto" w:sz="4" w:space="0"/>
            </w:tcBorders>
            <w:vAlign w:val="center"/>
          </w:tcPr>
          <w:p w14:paraId="484F8190">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040FD7A0">
            <w:pPr>
              <w:adjustRightInd w:val="0"/>
              <w:snapToGrid w:val="0"/>
              <w:spacing w:line="440" w:lineRule="exact"/>
              <w:jc w:val="center"/>
              <w:rPr>
                <w:rFonts w:ascii="宋体" w:hAnsi="宋体"/>
                <w:sz w:val="21"/>
                <w:szCs w:val="21"/>
              </w:rPr>
            </w:pPr>
          </w:p>
        </w:tc>
      </w:tr>
      <w:tr w14:paraId="2BB2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6FAAA2F">
            <w:pPr>
              <w:adjustRightInd w:val="0"/>
              <w:snapToGrid w:val="0"/>
              <w:spacing w:line="440" w:lineRule="exact"/>
              <w:jc w:val="center"/>
              <w:rPr>
                <w:rFonts w:ascii="宋体" w:hAnsi="宋体"/>
                <w:sz w:val="21"/>
                <w:szCs w:val="21"/>
              </w:rPr>
            </w:pPr>
            <w:r>
              <w:rPr>
                <w:rFonts w:hint="eastAsia" w:ascii="宋体" w:hAnsi="宋体"/>
                <w:sz w:val="21"/>
                <w:szCs w:val="21"/>
              </w:rPr>
              <w:t>6</w:t>
            </w:r>
          </w:p>
        </w:tc>
        <w:tc>
          <w:tcPr>
            <w:tcW w:w="1439" w:type="pct"/>
            <w:tcBorders>
              <w:top w:val="single" w:color="auto" w:sz="4" w:space="0"/>
              <w:left w:val="nil"/>
              <w:bottom w:val="single" w:color="auto" w:sz="4" w:space="0"/>
              <w:right w:val="single" w:color="auto" w:sz="4" w:space="0"/>
            </w:tcBorders>
            <w:vAlign w:val="center"/>
          </w:tcPr>
          <w:p w14:paraId="5AAED08C">
            <w:pPr>
              <w:adjustRightInd w:val="0"/>
              <w:snapToGrid w:val="0"/>
              <w:spacing w:line="440" w:lineRule="exact"/>
              <w:jc w:val="center"/>
              <w:rPr>
                <w:rFonts w:ascii="宋体" w:hAnsi="宋体"/>
                <w:sz w:val="21"/>
                <w:szCs w:val="21"/>
              </w:rPr>
            </w:pPr>
            <w:r>
              <w:rPr>
                <w:rFonts w:hint="eastAsia" w:ascii="宋体" w:hAnsi="宋体"/>
                <w:sz w:val="21"/>
                <w:szCs w:val="21"/>
              </w:rPr>
              <w:t>硅酸钙板天花</w:t>
            </w:r>
          </w:p>
        </w:tc>
        <w:tc>
          <w:tcPr>
            <w:tcW w:w="1924" w:type="pct"/>
            <w:tcBorders>
              <w:top w:val="single" w:color="auto" w:sz="4" w:space="0"/>
              <w:left w:val="nil"/>
              <w:bottom w:val="single" w:color="auto" w:sz="4" w:space="0"/>
              <w:right w:val="single" w:color="auto" w:sz="4" w:space="0"/>
            </w:tcBorders>
            <w:vAlign w:val="center"/>
          </w:tcPr>
          <w:p w14:paraId="7F2540B8">
            <w:pPr>
              <w:adjustRightInd w:val="0"/>
              <w:snapToGrid w:val="0"/>
              <w:spacing w:line="440" w:lineRule="exact"/>
              <w:jc w:val="center"/>
              <w:rPr>
                <w:rFonts w:ascii="宋体" w:hAnsi="宋体"/>
                <w:sz w:val="21"/>
                <w:szCs w:val="21"/>
              </w:rPr>
            </w:pPr>
            <w:r>
              <w:rPr>
                <w:rFonts w:hint="eastAsia" w:ascii="宋体" w:hAnsi="宋体"/>
                <w:sz w:val="21"/>
                <w:szCs w:val="21"/>
              </w:rPr>
              <w:t>台荣、汉德邦、拉法基</w:t>
            </w:r>
          </w:p>
        </w:tc>
        <w:tc>
          <w:tcPr>
            <w:tcW w:w="572" w:type="pct"/>
            <w:tcBorders>
              <w:top w:val="single" w:color="auto" w:sz="4" w:space="0"/>
              <w:left w:val="nil"/>
              <w:bottom w:val="single" w:color="auto" w:sz="4" w:space="0"/>
              <w:right w:val="single" w:color="auto" w:sz="4" w:space="0"/>
            </w:tcBorders>
            <w:vAlign w:val="center"/>
          </w:tcPr>
          <w:p w14:paraId="569573ED">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68DC74A1">
            <w:pPr>
              <w:adjustRightInd w:val="0"/>
              <w:snapToGrid w:val="0"/>
              <w:spacing w:line="440" w:lineRule="exact"/>
              <w:jc w:val="center"/>
              <w:rPr>
                <w:rFonts w:ascii="宋体" w:hAnsi="宋体"/>
                <w:sz w:val="21"/>
                <w:szCs w:val="21"/>
              </w:rPr>
            </w:pPr>
          </w:p>
        </w:tc>
      </w:tr>
      <w:tr w14:paraId="378A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3A2CAD6">
            <w:pPr>
              <w:adjustRightInd w:val="0"/>
              <w:snapToGrid w:val="0"/>
              <w:spacing w:line="440" w:lineRule="exact"/>
              <w:jc w:val="center"/>
              <w:rPr>
                <w:rFonts w:ascii="宋体" w:hAnsi="宋体"/>
                <w:sz w:val="21"/>
                <w:szCs w:val="21"/>
              </w:rPr>
            </w:pPr>
            <w:r>
              <w:rPr>
                <w:rFonts w:hint="eastAsia" w:ascii="宋体" w:hAnsi="宋体"/>
                <w:sz w:val="21"/>
                <w:szCs w:val="21"/>
              </w:rPr>
              <w:t>7</w:t>
            </w:r>
          </w:p>
        </w:tc>
        <w:tc>
          <w:tcPr>
            <w:tcW w:w="1439" w:type="pct"/>
            <w:tcBorders>
              <w:top w:val="single" w:color="auto" w:sz="4" w:space="0"/>
              <w:left w:val="nil"/>
              <w:bottom w:val="single" w:color="auto" w:sz="4" w:space="0"/>
              <w:right w:val="single" w:color="auto" w:sz="4" w:space="0"/>
            </w:tcBorders>
            <w:vAlign w:val="center"/>
          </w:tcPr>
          <w:p w14:paraId="32D264BF">
            <w:pPr>
              <w:adjustRightInd w:val="0"/>
              <w:spacing w:line="320" w:lineRule="exact"/>
              <w:contextualSpacing/>
              <w:jc w:val="center"/>
              <w:rPr>
                <w:rFonts w:ascii="宋体" w:hAnsi="宋体" w:cs="宋体"/>
                <w:sz w:val="21"/>
                <w:szCs w:val="21"/>
              </w:rPr>
            </w:pPr>
            <w:r>
              <w:rPr>
                <w:rFonts w:hint="eastAsia" w:ascii="宋体" w:hAnsi="宋体" w:cs="宋体"/>
                <w:sz w:val="21"/>
                <w:szCs w:val="21"/>
              </w:rPr>
              <w:t>抗倍特板</w:t>
            </w:r>
          </w:p>
          <w:p w14:paraId="6186B032">
            <w:pPr>
              <w:adjustRightInd w:val="0"/>
              <w:snapToGrid w:val="0"/>
              <w:spacing w:line="440" w:lineRule="exact"/>
              <w:jc w:val="center"/>
              <w:rPr>
                <w:rFonts w:ascii="宋体" w:hAnsi="宋体"/>
                <w:sz w:val="21"/>
                <w:szCs w:val="21"/>
              </w:rPr>
            </w:pPr>
            <w:r>
              <w:rPr>
                <w:rFonts w:hint="eastAsia" w:ascii="宋体" w:hAnsi="宋体" w:cs="宋体"/>
                <w:sz w:val="21"/>
                <w:szCs w:val="21"/>
              </w:rPr>
              <w:t>卫生间隔断</w:t>
            </w:r>
          </w:p>
        </w:tc>
        <w:tc>
          <w:tcPr>
            <w:tcW w:w="1924" w:type="pct"/>
            <w:tcBorders>
              <w:top w:val="single" w:color="auto" w:sz="4" w:space="0"/>
              <w:left w:val="nil"/>
              <w:bottom w:val="single" w:color="auto" w:sz="4" w:space="0"/>
              <w:right w:val="single" w:color="auto" w:sz="4" w:space="0"/>
            </w:tcBorders>
            <w:vAlign w:val="center"/>
          </w:tcPr>
          <w:p w14:paraId="261972B7">
            <w:pPr>
              <w:adjustRightInd w:val="0"/>
              <w:snapToGrid w:val="0"/>
              <w:spacing w:line="440" w:lineRule="exact"/>
              <w:jc w:val="center"/>
              <w:rPr>
                <w:rFonts w:ascii="宋体" w:hAnsi="宋体"/>
                <w:sz w:val="21"/>
                <w:szCs w:val="21"/>
              </w:rPr>
            </w:pPr>
            <w:r>
              <w:rPr>
                <w:rFonts w:hint="eastAsia" w:ascii="宋体" w:hAnsi="宋体" w:cs="宋体"/>
                <w:sz w:val="21"/>
                <w:szCs w:val="21"/>
              </w:rPr>
              <w:t>富美家、威盛亚、普丽</w:t>
            </w:r>
          </w:p>
        </w:tc>
        <w:tc>
          <w:tcPr>
            <w:tcW w:w="572" w:type="pct"/>
            <w:tcBorders>
              <w:top w:val="single" w:color="auto" w:sz="4" w:space="0"/>
              <w:left w:val="nil"/>
              <w:bottom w:val="single" w:color="auto" w:sz="4" w:space="0"/>
              <w:right w:val="single" w:color="auto" w:sz="4" w:space="0"/>
            </w:tcBorders>
            <w:vAlign w:val="center"/>
          </w:tcPr>
          <w:p w14:paraId="19067742">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2CFE2260">
            <w:pPr>
              <w:adjustRightInd w:val="0"/>
              <w:snapToGrid w:val="0"/>
              <w:spacing w:line="440" w:lineRule="exact"/>
              <w:jc w:val="center"/>
              <w:rPr>
                <w:rFonts w:ascii="宋体" w:hAnsi="宋体"/>
                <w:sz w:val="21"/>
                <w:szCs w:val="21"/>
              </w:rPr>
            </w:pPr>
          </w:p>
        </w:tc>
      </w:tr>
      <w:tr w14:paraId="4764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7E6B256">
            <w:pPr>
              <w:spacing w:line="360" w:lineRule="auto"/>
              <w:jc w:val="center"/>
              <w:rPr>
                <w:rFonts w:ascii="宋体" w:hAnsi="宋体"/>
                <w:sz w:val="21"/>
                <w:szCs w:val="21"/>
              </w:rPr>
            </w:pPr>
            <w:r>
              <w:rPr>
                <w:rFonts w:hint="eastAsia" w:ascii="宋体" w:hAnsi="宋体"/>
                <w:sz w:val="21"/>
                <w:szCs w:val="21"/>
              </w:rPr>
              <w:t>8</w:t>
            </w:r>
          </w:p>
        </w:tc>
        <w:tc>
          <w:tcPr>
            <w:tcW w:w="1439" w:type="pct"/>
            <w:tcBorders>
              <w:top w:val="single" w:color="auto" w:sz="4" w:space="0"/>
              <w:left w:val="nil"/>
              <w:bottom w:val="single" w:color="auto" w:sz="4" w:space="0"/>
              <w:right w:val="single" w:color="auto" w:sz="4" w:space="0"/>
            </w:tcBorders>
            <w:vAlign w:val="center"/>
          </w:tcPr>
          <w:p w14:paraId="387FACC1">
            <w:pPr>
              <w:jc w:val="center"/>
              <w:rPr>
                <w:rFonts w:ascii="宋体" w:hAnsi="宋体"/>
                <w:sz w:val="21"/>
                <w:szCs w:val="21"/>
              </w:rPr>
            </w:pPr>
            <w:r>
              <w:rPr>
                <w:rFonts w:hint="eastAsia" w:ascii="宋体" w:hAnsi="宋体"/>
                <w:sz w:val="21"/>
                <w:szCs w:val="21"/>
              </w:rPr>
              <w:t>成品钢制门、</w:t>
            </w:r>
          </w:p>
          <w:p w14:paraId="72D015DF">
            <w:pPr>
              <w:jc w:val="center"/>
              <w:rPr>
                <w:rFonts w:ascii="宋体" w:hAnsi="宋体"/>
                <w:sz w:val="21"/>
                <w:szCs w:val="21"/>
              </w:rPr>
            </w:pPr>
            <w:r>
              <w:rPr>
                <w:rFonts w:hint="eastAsia" w:ascii="宋体" w:hAnsi="宋体"/>
                <w:sz w:val="21"/>
                <w:szCs w:val="21"/>
              </w:rPr>
              <w:t>防火门、</w:t>
            </w:r>
          </w:p>
          <w:p w14:paraId="38D110B8">
            <w:pPr>
              <w:jc w:val="center"/>
              <w:rPr>
                <w:rFonts w:ascii="宋体" w:hAnsi="宋体"/>
                <w:sz w:val="21"/>
                <w:szCs w:val="21"/>
              </w:rPr>
            </w:pPr>
            <w:r>
              <w:rPr>
                <w:rFonts w:hint="eastAsia" w:ascii="宋体" w:hAnsi="宋体"/>
                <w:sz w:val="21"/>
                <w:szCs w:val="21"/>
              </w:rPr>
              <w:t>成品钢制隔断、</w:t>
            </w:r>
          </w:p>
          <w:p w14:paraId="5CB3FEDF">
            <w:pPr>
              <w:jc w:val="center"/>
              <w:rPr>
                <w:rFonts w:ascii="宋体" w:hAnsi="宋体"/>
                <w:sz w:val="21"/>
                <w:szCs w:val="21"/>
              </w:rPr>
            </w:pPr>
            <w:r>
              <w:rPr>
                <w:rFonts w:hint="eastAsia" w:ascii="宋体" w:hAnsi="宋体"/>
                <w:sz w:val="21"/>
                <w:szCs w:val="21"/>
              </w:rPr>
              <w:t>成品钢制玻璃隔断</w:t>
            </w:r>
          </w:p>
        </w:tc>
        <w:tc>
          <w:tcPr>
            <w:tcW w:w="1924" w:type="pct"/>
            <w:tcBorders>
              <w:top w:val="single" w:color="auto" w:sz="4" w:space="0"/>
              <w:left w:val="nil"/>
              <w:bottom w:val="single" w:color="auto" w:sz="4" w:space="0"/>
              <w:right w:val="single" w:color="auto" w:sz="4" w:space="0"/>
            </w:tcBorders>
            <w:vAlign w:val="center"/>
          </w:tcPr>
          <w:p w14:paraId="229E80B3">
            <w:pPr>
              <w:jc w:val="center"/>
              <w:rPr>
                <w:rFonts w:ascii="宋体" w:hAnsi="宋体"/>
                <w:sz w:val="21"/>
                <w:szCs w:val="21"/>
              </w:rPr>
            </w:pPr>
            <w:r>
              <w:rPr>
                <w:rFonts w:hint="eastAsia" w:ascii="宋体" w:hAnsi="宋体"/>
                <w:sz w:val="21"/>
                <w:szCs w:val="21"/>
              </w:rPr>
              <w:t>霍曼、诺沃芬、格满林</w:t>
            </w:r>
          </w:p>
        </w:tc>
        <w:tc>
          <w:tcPr>
            <w:tcW w:w="572" w:type="pct"/>
            <w:tcBorders>
              <w:top w:val="single" w:color="auto" w:sz="4" w:space="0"/>
              <w:left w:val="nil"/>
              <w:bottom w:val="single" w:color="auto" w:sz="4" w:space="0"/>
              <w:right w:val="single" w:color="auto" w:sz="4" w:space="0"/>
            </w:tcBorders>
            <w:vAlign w:val="center"/>
          </w:tcPr>
          <w:p w14:paraId="22A0EAA0">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0D8C883E">
            <w:pPr>
              <w:spacing w:line="271" w:lineRule="auto"/>
              <w:rPr>
                <w:rFonts w:ascii="宋体" w:hAnsi="宋体"/>
                <w:sz w:val="21"/>
                <w:szCs w:val="21"/>
              </w:rPr>
            </w:pPr>
            <w:r>
              <w:rPr>
                <w:rFonts w:hint="eastAsia" w:ascii="宋体" w:hAnsi="宋体"/>
                <w:sz w:val="21"/>
                <w:szCs w:val="21"/>
              </w:rPr>
              <w:t>钢制门、锁具为不锈钢、含闭门器、门吸等五金</w:t>
            </w:r>
          </w:p>
        </w:tc>
      </w:tr>
      <w:tr w14:paraId="6174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221BA99">
            <w:pPr>
              <w:spacing w:line="360" w:lineRule="auto"/>
              <w:jc w:val="center"/>
              <w:rPr>
                <w:rFonts w:ascii="宋体" w:hAnsi="宋体"/>
                <w:sz w:val="21"/>
                <w:szCs w:val="21"/>
              </w:rPr>
            </w:pPr>
            <w:r>
              <w:rPr>
                <w:rFonts w:hint="eastAsia" w:ascii="宋体" w:hAnsi="宋体"/>
                <w:sz w:val="21"/>
                <w:szCs w:val="21"/>
              </w:rPr>
              <w:t>9</w:t>
            </w:r>
          </w:p>
        </w:tc>
        <w:tc>
          <w:tcPr>
            <w:tcW w:w="1439" w:type="pct"/>
            <w:tcBorders>
              <w:top w:val="single" w:color="auto" w:sz="4" w:space="0"/>
              <w:left w:val="nil"/>
              <w:bottom w:val="single" w:color="auto" w:sz="4" w:space="0"/>
              <w:right w:val="single" w:color="auto" w:sz="4" w:space="0"/>
            </w:tcBorders>
            <w:vAlign w:val="center"/>
          </w:tcPr>
          <w:p w14:paraId="19BFC343">
            <w:pPr>
              <w:jc w:val="center"/>
              <w:rPr>
                <w:rFonts w:ascii="宋体" w:hAnsi="宋体"/>
                <w:sz w:val="21"/>
                <w:szCs w:val="21"/>
              </w:rPr>
            </w:pPr>
            <w:r>
              <w:rPr>
                <w:rFonts w:hint="eastAsia" w:ascii="宋体" w:hAnsi="宋体"/>
                <w:sz w:val="21"/>
                <w:szCs w:val="21"/>
              </w:rPr>
              <w:t>锁具</w:t>
            </w:r>
          </w:p>
        </w:tc>
        <w:tc>
          <w:tcPr>
            <w:tcW w:w="1924" w:type="pct"/>
            <w:tcBorders>
              <w:top w:val="single" w:color="auto" w:sz="4" w:space="0"/>
              <w:left w:val="nil"/>
              <w:bottom w:val="single" w:color="auto" w:sz="4" w:space="0"/>
              <w:right w:val="single" w:color="auto" w:sz="4" w:space="0"/>
            </w:tcBorders>
            <w:vAlign w:val="center"/>
          </w:tcPr>
          <w:p w14:paraId="0A364081">
            <w:pPr>
              <w:jc w:val="center"/>
              <w:rPr>
                <w:rFonts w:ascii="宋体" w:hAnsi="宋体"/>
                <w:sz w:val="21"/>
                <w:szCs w:val="21"/>
              </w:rPr>
            </w:pPr>
            <w:r>
              <w:rPr>
                <w:rFonts w:hint="eastAsia" w:ascii="宋体" w:hAnsi="宋体"/>
                <w:sz w:val="21"/>
                <w:szCs w:val="21"/>
              </w:rPr>
              <w:t>英国ROCK、德国DORMA、德国ECO、美和</w:t>
            </w:r>
          </w:p>
        </w:tc>
        <w:tc>
          <w:tcPr>
            <w:tcW w:w="572" w:type="pct"/>
            <w:tcBorders>
              <w:top w:val="single" w:color="auto" w:sz="4" w:space="0"/>
              <w:left w:val="nil"/>
              <w:bottom w:val="single" w:color="auto" w:sz="4" w:space="0"/>
              <w:right w:val="single" w:color="auto" w:sz="4" w:space="0"/>
            </w:tcBorders>
            <w:vAlign w:val="center"/>
          </w:tcPr>
          <w:p w14:paraId="45F5AE85">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6717EE0A">
            <w:pPr>
              <w:spacing w:line="271" w:lineRule="auto"/>
              <w:rPr>
                <w:rFonts w:ascii="宋体" w:hAnsi="宋体"/>
                <w:sz w:val="21"/>
                <w:szCs w:val="21"/>
              </w:rPr>
            </w:pPr>
          </w:p>
        </w:tc>
      </w:tr>
      <w:tr w14:paraId="2691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B2F1C2A">
            <w:pPr>
              <w:adjustRightInd w:val="0"/>
              <w:snapToGrid w:val="0"/>
              <w:spacing w:line="440" w:lineRule="exact"/>
              <w:jc w:val="center"/>
              <w:rPr>
                <w:rFonts w:ascii="宋体" w:hAnsi="宋体"/>
                <w:sz w:val="21"/>
                <w:szCs w:val="21"/>
              </w:rPr>
            </w:pPr>
            <w:r>
              <w:rPr>
                <w:rFonts w:hint="eastAsia" w:ascii="宋体" w:hAnsi="宋体"/>
                <w:sz w:val="21"/>
                <w:szCs w:val="21"/>
              </w:rPr>
              <w:t>10</w:t>
            </w:r>
          </w:p>
        </w:tc>
        <w:tc>
          <w:tcPr>
            <w:tcW w:w="1439" w:type="pct"/>
            <w:tcBorders>
              <w:top w:val="single" w:color="auto" w:sz="4" w:space="0"/>
              <w:left w:val="nil"/>
              <w:bottom w:val="single" w:color="auto" w:sz="4" w:space="0"/>
              <w:right w:val="single" w:color="auto" w:sz="4" w:space="0"/>
            </w:tcBorders>
            <w:vAlign w:val="center"/>
          </w:tcPr>
          <w:p w14:paraId="0333D5FA">
            <w:pPr>
              <w:adjustRightInd w:val="0"/>
              <w:snapToGrid w:val="0"/>
              <w:spacing w:line="440" w:lineRule="exact"/>
              <w:jc w:val="center"/>
              <w:rPr>
                <w:rFonts w:ascii="宋体" w:hAnsi="宋体"/>
                <w:sz w:val="21"/>
                <w:szCs w:val="21"/>
              </w:rPr>
            </w:pPr>
            <w:r>
              <w:rPr>
                <w:rFonts w:hint="eastAsia" w:ascii="宋体" w:hAnsi="宋体"/>
                <w:sz w:val="21"/>
                <w:szCs w:val="21"/>
              </w:rPr>
              <w:t>水泥</w:t>
            </w:r>
          </w:p>
        </w:tc>
        <w:tc>
          <w:tcPr>
            <w:tcW w:w="1924" w:type="pct"/>
            <w:tcBorders>
              <w:top w:val="single" w:color="auto" w:sz="4" w:space="0"/>
              <w:left w:val="nil"/>
              <w:bottom w:val="single" w:color="auto" w:sz="4" w:space="0"/>
              <w:right w:val="single" w:color="auto" w:sz="4" w:space="0"/>
            </w:tcBorders>
            <w:vAlign w:val="center"/>
          </w:tcPr>
          <w:p w14:paraId="75117DBF">
            <w:pPr>
              <w:adjustRightInd w:val="0"/>
              <w:snapToGrid w:val="0"/>
              <w:spacing w:line="440" w:lineRule="exact"/>
              <w:jc w:val="center"/>
              <w:rPr>
                <w:rFonts w:ascii="宋体" w:hAnsi="宋体"/>
                <w:sz w:val="21"/>
                <w:szCs w:val="21"/>
              </w:rPr>
            </w:pPr>
            <w:r>
              <w:rPr>
                <w:rFonts w:hint="eastAsia" w:ascii="宋体" w:hAnsi="宋体"/>
                <w:sz w:val="21"/>
                <w:szCs w:val="21"/>
              </w:rPr>
              <w:t>绿扬牌、海螺、施桥</w:t>
            </w:r>
          </w:p>
        </w:tc>
        <w:tc>
          <w:tcPr>
            <w:tcW w:w="572" w:type="pct"/>
            <w:tcBorders>
              <w:top w:val="single" w:color="auto" w:sz="4" w:space="0"/>
              <w:left w:val="nil"/>
              <w:bottom w:val="single" w:color="auto" w:sz="4" w:space="0"/>
              <w:right w:val="single" w:color="auto" w:sz="4" w:space="0"/>
            </w:tcBorders>
            <w:vAlign w:val="center"/>
          </w:tcPr>
          <w:p w14:paraId="74013107">
            <w:pPr>
              <w:adjustRightInd w:val="0"/>
              <w:snapToGrid w:val="0"/>
              <w:spacing w:line="440" w:lineRule="exact"/>
              <w:jc w:val="center"/>
              <w:rPr>
                <w:rFonts w:ascii="宋体" w:hAnsi="宋体"/>
                <w:sz w:val="21"/>
                <w:szCs w:val="21"/>
              </w:rPr>
            </w:pPr>
            <w:r>
              <w:rPr>
                <w:rFonts w:hint="eastAsia" w:ascii="宋体" w:hAnsi="宋体"/>
                <w:sz w:val="21"/>
                <w:szCs w:val="21"/>
              </w:rPr>
              <w:t>425</w:t>
            </w:r>
          </w:p>
        </w:tc>
        <w:tc>
          <w:tcPr>
            <w:tcW w:w="695" w:type="pct"/>
            <w:tcBorders>
              <w:top w:val="single" w:color="auto" w:sz="4" w:space="0"/>
              <w:left w:val="nil"/>
              <w:bottom w:val="single" w:color="auto" w:sz="4" w:space="0"/>
              <w:right w:val="single" w:color="auto" w:sz="4" w:space="0"/>
            </w:tcBorders>
            <w:vAlign w:val="center"/>
          </w:tcPr>
          <w:p w14:paraId="3745EF45">
            <w:pPr>
              <w:adjustRightInd w:val="0"/>
              <w:snapToGrid w:val="0"/>
              <w:spacing w:line="440" w:lineRule="exact"/>
              <w:jc w:val="center"/>
              <w:rPr>
                <w:rFonts w:ascii="宋体" w:hAnsi="宋体"/>
                <w:sz w:val="21"/>
                <w:szCs w:val="21"/>
              </w:rPr>
            </w:pPr>
          </w:p>
        </w:tc>
      </w:tr>
      <w:tr w14:paraId="6A92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3A5D632">
            <w:pPr>
              <w:adjustRightInd w:val="0"/>
              <w:snapToGrid w:val="0"/>
              <w:spacing w:line="440" w:lineRule="exact"/>
              <w:jc w:val="center"/>
              <w:rPr>
                <w:rFonts w:ascii="宋体" w:hAnsi="宋体"/>
                <w:sz w:val="21"/>
                <w:szCs w:val="21"/>
              </w:rPr>
            </w:pPr>
            <w:r>
              <w:rPr>
                <w:rFonts w:hint="eastAsia" w:ascii="宋体" w:hAnsi="宋体"/>
                <w:sz w:val="21"/>
                <w:szCs w:val="21"/>
              </w:rPr>
              <w:t>11</w:t>
            </w:r>
          </w:p>
        </w:tc>
        <w:tc>
          <w:tcPr>
            <w:tcW w:w="1439" w:type="pct"/>
            <w:tcBorders>
              <w:top w:val="single" w:color="auto" w:sz="4" w:space="0"/>
              <w:left w:val="nil"/>
              <w:bottom w:val="single" w:color="auto" w:sz="4" w:space="0"/>
              <w:right w:val="single" w:color="auto" w:sz="4" w:space="0"/>
            </w:tcBorders>
            <w:vAlign w:val="center"/>
          </w:tcPr>
          <w:p w14:paraId="5F8A45C8">
            <w:pPr>
              <w:adjustRightInd w:val="0"/>
              <w:snapToGrid w:val="0"/>
              <w:spacing w:line="440" w:lineRule="exact"/>
              <w:jc w:val="center"/>
              <w:rPr>
                <w:rFonts w:ascii="宋体" w:hAnsi="宋体"/>
                <w:sz w:val="21"/>
                <w:szCs w:val="21"/>
              </w:rPr>
            </w:pPr>
            <w:r>
              <w:rPr>
                <w:rFonts w:hint="eastAsia" w:ascii="宋体" w:hAnsi="宋体"/>
                <w:sz w:val="21"/>
                <w:szCs w:val="21"/>
              </w:rPr>
              <w:t>结构胶、密封胶</w:t>
            </w:r>
          </w:p>
        </w:tc>
        <w:tc>
          <w:tcPr>
            <w:tcW w:w="1924" w:type="pct"/>
            <w:tcBorders>
              <w:top w:val="single" w:color="auto" w:sz="4" w:space="0"/>
              <w:left w:val="nil"/>
              <w:bottom w:val="single" w:color="auto" w:sz="4" w:space="0"/>
              <w:right w:val="single" w:color="auto" w:sz="4" w:space="0"/>
            </w:tcBorders>
            <w:vAlign w:val="center"/>
          </w:tcPr>
          <w:p w14:paraId="56AF2C94">
            <w:pPr>
              <w:adjustRightInd w:val="0"/>
              <w:snapToGrid w:val="0"/>
              <w:spacing w:line="440" w:lineRule="exact"/>
              <w:jc w:val="center"/>
              <w:rPr>
                <w:rFonts w:ascii="宋体" w:hAnsi="宋体"/>
                <w:sz w:val="21"/>
                <w:szCs w:val="21"/>
              </w:rPr>
            </w:pPr>
            <w:r>
              <w:rPr>
                <w:rFonts w:hint="eastAsia" w:ascii="宋体" w:hAnsi="宋体"/>
                <w:sz w:val="21"/>
                <w:szCs w:val="21"/>
              </w:rPr>
              <w:t>汉高、陶熙、德高</w:t>
            </w:r>
          </w:p>
        </w:tc>
        <w:tc>
          <w:tcPr>
            <w:tcW w:w="572" w:type="pct"/>
            <w:tcBorders>
              <w:top w:val="single" w:color="auto" w:sz="4" w:space="0"/>
              <w:left w:val="nil"/>
              <w:bottom w:val="single" w:color="auto" w:sz="4" w:space="0"/>
              <w:right w:val="single" w:color="auto" w:sz="4" w:space="0"/>
            </w:tcBorders>
            <w:vAlign w:val="center"/>
          </w:tcPr>
          <w:p w14:paraId="450C8D48">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5727C7EA">
            <w:pPr>
              <w:adjustRightInd w:val="0"/>
              <w:snapToGrid w:val="0"/>
              <w:spacing w:line="440" w:lineRule="exact"/>
              <w:jc w:val="center"/>
              <w:rPr>
                <w:rFonts w:ascii="宋体" w:hAnsi="宋体"/>
                <w:sz w:val="21"/>
                <w:szCs w:val="21"/>
              </w:rPr>
            </w:pPr>
          </w:p>
        </w:tc>
      </w:tr>
      <w:tr w14:paraId="72C5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17EDDCE">
            <w:pPr>
              <w:adjustRightInd w:val="0"/>
              <w:snapToGrid w:val="0"/>
              <w:spacing w:line="440" w:lineRule="exact"/>
              <w:jc w:val="center"/>
              <w:rPr>
                <w:rFonts w:ascii="宋体" w:hAnsi="宋体"/>
                <w:sz w:val="21"/>
                <w:szCs w:val="21"/>
              </w:rPr>
            </w:pPr>
            <w:r>
              <w:rPr>
                <w:rFonts w:hint="eastAsia" w:ascii="宋体" w:hAnsi="宋体"/>
                <w:sz w:val="21"/>
                <w:szCs w:val="21"/>
              </w:rPr>
              <w:t>12</w:t>
            </w:r>
          </w:p>
        </w:tc>
        <w:tc>
          <w:tcPr>
            <w:tcW w:w="1439" w:type="pct"/>
            <w:tcBorders>
              <w:top w:val="single" w:color="auto" w:sz="4" w:space="0"/>
              <w:left w:val="nil"/>
              <w:bottom w:val="single" w:color="auto" w:sz="4" w:space="0"/>
              <w:right w:val="single" w:color="auto" w:sz="4" w:space="0"/>
            </w:tcBorders>
            <w:vAlign w:val="center"/>
          </w:tcPr>
          <w:p w14:paraId="6ECE68AC">
            <w:pPr>
              <w:adjustRightInd w:val="0"/>
              <w:snapToGrid w:val="0"/>
              <w:spacing w:line="440" w:lineRule="exact"/>
              <w:jc w:val="center"/>
              <w:rPr>
                <w:rFonts w:ascii="宋体" w:hAnsi="宋体"/>
                <w:sz w:val="21"/>
                <w:szCs w:val="21"/>
              </w:rPr>
            </w:pPr>
            <w:r>
              <w:rPr>
                <w:rFonts w:hint="eastAsia" w:ascii="宋体" w:hAnsi="宋体"/>
                <w:sz w:val="21"/>
                <w:szCs w:val="21"/>
              </w:rPr>
              <w:t>石膏板及轻钢龙骨</w:t>
            </w:r>
          </w:p>
        </w:tc>
        <w:tc>
          <w:tcPr>
            <w:tcW w:w="1924" w:type="pct"/>
            <w:tcBorders>
              <w:top w:val="single" w:color="auto" w:sz="4" w:space="0"/>
              <w:left w:val="nil"/>
              <w:bottom w:val="single" w:color="auto" w:sz="4" w:space="0"/>
              <w:right w:val="single" w:color="auto" w:sz="4" w:space="0"/>
            </w:tcBorders>
            <w:vAlign w:val="center"/>
          </w:tcPr>
          <w:p w14:paraId="5B6F2B1F">
            <w:pPr>
              <w:adjustRightInd w:val="0"/>
              <w:snapToGrid w:val="0"/>
              <w:spacing w:line="440" w:lineRule="exact"/>
              <w:jc w:val="center"/>
              <w:rPr>
                <w:rFonts w:ascii="宋体" w:hAnsi="宋体"/>
                <w:sz w:val="21"/>
                <w:szCs w:val="21"/>
              </w:rPr>
            </w:pPr>
            <w:r>
              <w:rPr>
                <w:rFonts w:hint="eastAsia" w:ascii="宋体" w:hAnsi="宋体"/>
                <w:sz w:val="21"/>
                <w:szCs w:val="21"/>
              </w:rPr>
              <w:t>优时吉博罗、可耐福、龙牌</w:t>
            </w:r>
          </w:p>
        </w:tc>
        <w:tc>
          <w:tcPr>
            <w:tcW w:w="572" w:type="pct"/>
            <w:tcBorders>
              <w:top w:val="single" w:color="auto" w:sz="4" w:space="0"/>
              <w:left w:val="nil"/>
              <w:bottom w:val="single" w:color="auto" w:sz="4" w:space="0"/>
              <w:right w:val="single" w:color="auto" w:sz="4" w:space="0"/>
            </w:tcBorders>
            <w:vAlign w:val="center"/>
          </w:tcPr>
          <w:p w14:paraId="41046698">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45642479">
            <w:pPr>
              <w:adjustRightInd w:val="0"/>
              <w:snapToGrid w:val="0"/>
              <w:spacing w:line="440" w:lineRule="exact"/>
              <w:jc w:val="center"/>
              <w:rPr>
                <w:rFonts w:ascii="宋体" w:hAnsi="宋体"/>
                <w:sz w:val="21"/>
                <w:szCs w:val="21"/>
              </w:rPr>
            </w:pPr>
          </w:p>
        </w:tc>
      </w:tr>
      <w:tr w14:paraId="280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F1D593A">
            <w:pPr>
              <w:jc w:val="center"/>
              <w:rPr>
                <w:rFonts w:ascii="宋体" w:hAnsi="宋体"/>
                <w:sz w:val="21"/>
                <w:szCs w:val="21"/>
              </w:rPr>
            </w:pPr>
            <w:r>
              <w:rPr>
                <w:rFonts w:hint="eastAsia" w:ascii="宋体" w:hAnsi="宋体"/>
                <w:sz w:val="21"/>
                <w:szCs w:val="21"/>
              </w:rPr>
              <w:t>13</w:t>
            </w:r>
          </w:p>
        </w:tc>
        <w:tc>
          <w:tcPr>
            <w:tcW w:w="1439" w:type="pct"/>
            <w:tcBorders>
              <w:top w:val="single" w:color="auto" w:sz="4" w:space="0"/>
              <w:left w:val="nil"/>
              <w:bottom w:val="single" w:color="auto" w:sz="4" w:space="0"/>
              <w:right w:val="single" w:color="auto" w:sz="4" w:space="0"/>
            </w:tcBorders>
            <w:vAlign w:val="center"/>
          </w:tcPr>
          <w:p w14:paraId="5842F966">
            <w:pPr>
              <w:jc w:val="center"/>
              <w:rPr>
                <w:rFonts w:ascii="宋体" w:hAnsi="宋体"/>
                <w:sz w:val="21"/>
                <w:szCs w:val="21"/>
              </w:rPr>
            </w:pPr>
            <w:r>
              <w:rPr>
                <w:rFonts w:hint="eastAsia" w:ascii="宋体" w:hAnsi="宋体"/>
                <w:sz w:val="21"/>
                <w:szCs w:val="21"/>
              </w:rPr>
              <w:t>防水涂料</w:t>
            </w:r>
          </w:p>
        </w:tc>
        <w:tc>
          <w:tcPr>
            <w:tcW w:w="1924" w:type="pct"/>
            <w:tcBorders>
              <w:top w:val="single" w:color="auto" w:sz="4" w:space="0"/>
              <w:left w:val="nil"/>
              <w:bottom w:val="single" w:color="auto" w:sz="4" w:space="0"/>
              <w:right w:val="single" w:color="auto" w:sz="4" w:space="0"/>
            </w:tcBorders>
            <w:vAlign w:val="center"/>
          </w:tcPr>
          <w:p w14:paraId="14F43E1C">
            <w:pPr>
              <w:jc w:val="center"/>
              <w:rPr>
                <w:rFonts w:ascii="宋体" w:hAnsi="宋体"/>
                <w:sz w:val="21"/>
                <w:szCs w:val="21"/>
              </w:rPr>
            </w:pPr>
            <w:r>
              <w:rPr>
                <w:rFonts w:hint="eastAsia" w:ascii="宋体" w:hAnsi="宋体"/>
                <w:sz w:val="21"/>
                <w:szCs w:val="21"/>
              </w:rPr>
              <w:t>东方雨虹、德高、立邦</w:t>
            </w:r>
          </w:p>
        </w:tc>
        <w:tc>
          <w:tcPr>
            <w:tcW w:w="572" w:type="pct"/>
            <w:tcBorders>
              <w:top w:val="single" w:color="auto" w:sz="4" w:space="0"/>
              <w:left w:val="nil"/>
              <w:bottom w:val="single" w:color="auto" w:sz="4" w:space="0"/>
              <w:right w:val="single" w:color="auto" w:sz="4" w:space="0"/>
            </w:tcBorders>
            <w:vAlign w:val="center"/>
          </w:tcPr>
          <w:p w14:paraId="09FF5EFA">
            <w:pPr>
              <w:jc w:val="center"/>
              <w:rPr>
                <w:rFonts w:ascii="宋体" w:hAnsi="宋体"/>
                <w:sz w:val="21"/>
                <w:szCs w:val="21"/>
              </w:rPr>
            </w:pPr>
            <w:r>
              <w:rPr>
                <w:rFonts w:hint="eastAsia" w:ascii="宋体" w:hAnsi="宋体"/>
                <w:sz w:val="21"/>
                <w:szCs w:val="21"/>
              </w:rPr>
              <w:t>柔韧型</w:t>
            </w:r>
          </w:p>
        </w:tc>
        <w:tc>
          <w:tcPr>
            <w:tcW w:w="695" w:type="pct"/>
            <w:tcBorders>
              <w:top w:val="single" w:color="auto" w:sz="4" w:space="0"/>
              <w:left w:val="nil"/>
              <w:bottom w:val="single" w:color="auto" w:sz="4" w:space="0"/>
              <w:right w:val="single" w:color="auto" w:sz="4" w:space="0"/>
            </w:tcBorders>
            <w:vAlign w:val="center"/>
          </w:tcPr>
          <w:p w14:paraId="7CADDF84">
            <w:pPr>
              <w:adjustRightInd w:val="0"/>
              <w:snapToGrid w:val="0"/>
              <w:spacing w:line="320" w:lineRule="exact"/>
              <w:rPr>
                <w:rFonts w:ascii="宋体" w:hAnsi="宋体"/>
                <w:sz w:val="21"/>
                <w:szCs w:val="21"/>
              </w:rPr>
            </w:pPr>
            <w:r>
              <w:rPr>
                <w:rFonts w:hint="eastAsia" w:ascii="宋体" w:hAnsi="宋体"/>
                <w:sz w:val="21"/>
                <w:szCs w:val="21"/>
              </w:rPr>
              <w:t>彩色柔韧型防水涂料</w:t>
            </w:r>
          </w:p>
        </w:tc>
      </w:tr>
      <w:tr w14:paraId="74DC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DDB7936">
            <w:pPr>
              <w:adjustRightInd w:val="0"/>
              <w:snapToGrid w:val="0"/>
              <w:spacing w:line="440" w:lineRule="exact"/>
              <w:jc w:val="center"/>
              <w:rPr>
                <w:rFonts w:ascii="宋体" w:hAnsi="宋体"/>
                <w:sz w:val="21"/>
                <w:szCs w:val="21"/>
              </w:rPr>
            </w:pPr>
            <w:r>
              <w:rPr>
                <w:rFonts w:hint="eastAsia" w:ascii="宋体" w:hAnsi="宋体"/>
                <w:sz w:val="21"/>
                <w:szCs w:val="21"/>
              </w:rPr>
              <w:t>14</w:t>
            </w:r>
          </w:p>
        </w:tc>
        <w:tc>
          <w:tcPr>
            <w:tcW w:w="1439" w:type="pct"/>
            <w:tcBorders>
              <w:top w:val="single" w:color="auto" w:sz="4" w:space="0"/>
              <w:left w:val="nil"/>
              <w:bottom w:val="single" w:color="auto" w:sz="4" w:space="0"/>
              <w:right w:val="single" w:color="auto" w:sz="4" w:space="0"/>
            </w:tcBorders>
            <w:vAlign w:val="center"/>
          </w:tcPr>
          <w:p w14:paraId="000E93C1">
            <w:pPr>
              <w:adjustRightInd w:val="0"/>
              <w:snapToGrid w:val="0"/>
              <w:spacing w:line="440" w:lineRule="exact"/>
              <w:jc w:val="center"/>
              <w:rPr>
                <w:rFonts w:ascii="宋体" w:hAnsi="宋体"/>
                <w:sz w:val="21"/>
                <w:szCs w:val="21"/>
              </w:rPr>
            </w:pPr>
            <w:r>
              <w:rPr>
                <w:rFonts w:hint="eastAsia" w:ascii="宋体" w:hAnsi="宋体"/>
                <w:sz w:val="21"/>
                <w:szCs w:val="21"/>
              </w:rPr>
              <w:t>不锈钢</w:t>
            </w:r>
          </w:p>
        </w:tc>
        <w:tc>
          <w:tcPr>
            <w:tcW w:w="1924" w:type="pct"/>
            <w:tcBorders>
              <w:top w:val="single" w:color="auto" w:sz="4" w:space="0"/>
              <w:left w:val="nil"/>
              <w:bottom w:val="single" w:color="auto" w:sz="4" w:space="0"/>
              <w:right w:val="single" w:color="auto" w:sz="4" w:space="0"/>
            </w:tcBorders>
            <w:vAlign w:val="center"/>
          </w:tcPr>
          <w:p w14:paraId="21B3A2DB">
            <w:pPr>
              <w:adjustRightInd w:val="0"/>
              <w:snapToGrid w:val="0"/>
              <w:spacing w:line="440" w:lineRule="exact"/>
              <w:jc w:val="center"/>
              <w:rPr>
                <w:rFonts w:ascii="宋体" w:hAnsi="宋体"/>
                <w:sz w:val="21"/>
                <w:szCs w:val="21"/>
              </w:rPr>
            </w:pPr>
          </w:p>
        </w:tc>
        <w:tc>
          <w:tcPr>
            <w:tcW w:w="572" w:type="pct"/>
            <w:tcBorders>
              <w:top w:val="single" w:color="auto" w:sz="4" w:space="0"/>
              <w:left w:val="nil"/>
              <w:bottom w:val="single" w:color="auto" w:sz="4" w:space="0"/>
              <w:right w:val="single" w:color="auto" w:sz="4" w:space="0"/>
            </w:tcBorders>
            <w:vAlign w:val="center"/>
          </w:tcPr>
          <w:p w14:paraId="6A3030D6">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647AF1AA">
            <w:pPr>
              <w:adjustRightInd w:val="0"/>
              <w:snapToGrid w:val="0"/>
              <w:spacing w:line="440" w:lineRule="exact"/>
              <w:jc w:val="center"/>
              <w:rPr>
                <w:rFonts w:ascii="宋体" w:hAnsi="宋体"/>
                <w:sz w:val="21"/>
                <w:szCs w:val="21"/>
              </w:rPr>
            </w:pPr>
            <w:r>
              <w:rPr>
                <w:rFonts w:hint="eastAsia" w:ascii="宋体" w:hAnsi="宋体"/>
                <w:sz w:val="21"/>
                <w:szCs w:val="21"/>
              </w:rPr>
              <w:t>材质304</w:t>
            </w:r>
          </w:p>
        </w:tc>
      </w:tr>
      <w:tr w14:paraId="3714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9061AB5">
            <w:pPr>
              <w:adjustRightInd w:val="0"/>
              <w:snapToGrid w:val="0"/>
              <w:spacing w:line="440" w:lineRule="exact"/>
              <w:jc w:val="center"/>
              <w:rPr>
                <w:rFonts w:ascii="宋体" w:hAnsi="宋体"/>
                <w:sz w:val="21"/>
                <w:szCs w:val="21"/>
              </w:rPr>
            </w:pPr>
            <w:r>
              <w:rPr>
                <w:rFonts w:hint="eastAsia" w:ascii="宋体" w:hAnsi="宋体"/>
                <w:sz w:val="21"/>
                <w:szCs w:val="21"/>
              </w:rPr>
              <w:t>15</w:t>
            </w:r>
          </w:p>
        </w:tc>
        <w:tc>
          <w:tcPr>
            <w:tcW w:w="1439" w:type="pct"/>
            <w:tcBorders>
              <w:top w:val="single" w:color="auto" w:sz="4" w:space="0"/>
              <w:left w:val="nil"/>
              <w:bottom w:val="single" w:color="auto" w:sz="4" w:space="0"/>
              <w:right w:val="single" w:color="auto" w:sz="4" w:space="0"/>
            </w:tcBorders>
            <w:vAlign w:val="center"/>
          </w:tcPr>
          <w:p w14:paraId="1F998E9F">
            <w:pPr>
              <w:adjustRightInd w:val="0"/>
              <w:snapToGrid w:val="0"/>
              <w:spacing w:line="440" w:lineRule="exact"/>
              <w:jc w:val="center"/>
              <w:rPr>
                <w:rFonts w:ascii="宋体" w:hAnsi="宋体"/>
                <w:sz w:val="21"/>
                <w:szCs w:val="21"/>
              </w:rPr>
            </w:pPr>
            <w:r>
              <w:rPr>
                <w:rFonts w:hint="eastAsia" w:ascii="宋体" w:hAnsi="宋体"/>
                <w:sz w:val="21"/>
                <w:szCs w:val="21"/>
              </w:rPr>
              <w:t>界面剂</w:t>
            </w:r>
          </w:p>
        </w:tc>
        <w:tc>
          <w:tcPr>
            <w:tcW w:w="1924" w:type="pct"/>
            <w:tcBorders>
              <w:top w:val="single" w:color="auto" w:sz="4" w:space="0"/>
              <w:left w:val="nil"/>
              <w:bottom w:val="single" w:color="auto" w:sz="4" w:space="0"/>
              <w:right w:val="single" w:color="auto" w:sz="4" w:space="0"/>
            </w:tcBorders>
            <w:vAlign w:val="center"/>
          </w:tcPr>
          <w:p w14:paraId="5D686B18">
            <w:pPr>
              <w:adjustRightInd w:val="0"/>
              <w:snapToGrid w:val="0"/>
              <w:spacing w:line="440" w:lineRule="exact"/>
              <w:jc w:val="center"/>
              <w:rPr>
                <w:rFonts w:ascii="宋体" w:hAnsi="宋体"/>
                <w:sz w:val="21"/>
                <w:szCs w:val="21"/>
              </w:rPr>
            </w:pPr>
            <w:r>
              <w:rPr>
                <w:rFonts w:hint="eastAsia" w:ascii="宋体" w:hAnsi="宋体"/>
                <w:sz w:val="21"/>
                <w:szCs w:val="21"/>
              </w:rPr>
              <w:t>德高、立邦、汉高</w:t>
            </w:r>
          </w:p>
        </w:tc>
        <w:tc>
          <w:tcPr>
            <w:tcW w:w="572" w:type="pct"/>
            <w:tcBorders>
              <w:top w:val="single" w:color="auto" w:sz="4" w:space="0"/>
              <w:left w:val="nil"/>
              <w:bottom w:val="single" w:color="auto" w:sz="4" w:space="0"/>
              <w:right w:val="single" w:color="auto" w:sz="4" w:space="0"/>
            </w:tcBorders>
            <w:vAlign w:val="center"/>
          </w:tcPr>
          <w:p w14:paraId="373FCCA7">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1BCED0F5">
            <w:pPr>
              <w:adjustRightInd w:val="0"/>
              <w:snapToGrid w:val="0"/>
              <w:spacing w:line="440" w:lineRule="exact"/>
              <w:jc w:val="center"/>
              <w:rPr>
                <w:rFonts w:ascii="宋体" w:hAnsi="宋体"/>
                <w:sz w:val="21"/>
                <w:szCs w:val="21"/>
              </w:rPr>
            </w:pPr>
          </w:p>
        </w:tc>
      </w:tr>
      <w:tr w14:paraId="0B4B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0EFCA93">
            <w:pPr>
              <w:jc w:val="center"/>
              <w:rPr>
                <w:rFonts w:ascii="宋体" w:hAnsi="宋体"/>
                <w:sz w:val="21"/>
                <w:szCs w:val="21"/>
              </w:rPr>
            </w:pPr>
            <w:r>
              <w:rPr>
                <w:rFonts w:hint="eastAsia" w:ascii="宋体" w:hAnsi="宋体"/>
                <w:sz w:val="21"/>
                <w:szCs w:val="21"/>
              </w:rPr>
              <w:t>16</w:t>
            </w:r>
          </w:p>
        </w:tc>
        <w:tc>
          <w:tcPr>
            <w:tcW w:w="1439" w:type="pct"/>
            <w:tcBorders>
              <w:top w:val="single" w:color="auto" w:sz="4" w:space="0"/>
              <w:left w:val="nil"/>
              <w:bottom w:val="single" w:color="auto" w:sz="4" w:space="0"/>
              <w:right w:val="single" w:color="auto" w:sz="4" w:space="0"/>
            </w:tcBorders>
            <w:vAlign w:val="center"/>
          </w:tcPr>
          <w:p w14:paraId="28F9FE0C">
            <w:pPr>
              <w:jc w:val="center"/>
              <w:rPr>
                <w:rFonts w:ascii="宋体" w:hAnsi="宋体"/>
                <w:sz w:val="21"/>
                <w:szCs w:val="21"/>
              </w:rPr>
            </w:pPr>
            <w:r>
              <w:rPr>
                <w:rFonts w:hint="eastAsia" w:ascii="宋体" w:hAnsi="宋体"/>
                <w:sz w:val="21"/>
                <w:szCs w:val="21"/>
              </w:rPr>
              <w:t>外墙铝板</w:t>
            </w:r>
          </w:p>
        </w:tc>
        <w:tc>
          <w:tcPr>
            <w:tcW w:w="1924" w:type="pct"/>
            <w:tcBorders>
              <w:top w:val="single" w:color="auto" w:sz="4" w:space="0"/>
              <w:left w:val="nil"/>
              <w:bottom w:val="single" w:color="auto" w:sz="4" w:space="0"/>
              <w:right w:val="single" w:color="auto" w:sz="4" w:space="0"/>
            </w:tcBorders>
            <w:vAlign w:val="center"/>
          </w:tcPr>
          <w:p w14:paraId="5D9FC71F">
            <w:pPr>
              <w:jc w:val="center"/>
              <w:rPr>
                <w:rFonts w:ascii="宋体" w:hAnsi="宋体"/>
                <w:sz w:val="21"/>
                <w:szCs w:val="21"/>
              </w:rPr>
            </w:pPr>
            <w:r>
              <w:rPr>
                <w:rFonts w:hint="eastAsia" w:ascii="宋体" w:hAnsi="宋体"/>
                <w:sz w:val="21"/>
                <w:szCs w:val="21"/>
              </w:rPr>
              <w:t>普飞尔、美太、史泰博</w:t>
            </w:r>
          </w:p>
        </w:tc>
        <w:tc>
          <w:tcPr>
            <w:tcW w:w="572" w:type="pct"/>
            <w:tcBorders>
              <w:top w:val="single" w:color="auto" w:sz="4" w:space="0"/>
              <w:left w:val="nil"/>
              <w:bottom w:val="single" w:color="auto" w:sz="4" w:space="0"/>
              <w:right w:val="single" w:color="auto" w:sz="4" w:space="0"/>
            </w:tcBorders>
            <w:vAlign w:val="center"/>
          </w:tcPr>
          <w:p w14:paraId="44C6D5FD">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2CADD4DF">
            <w:pPr>
              <w:jc w:val="center"/>
              <w:rPr>
                <w:rFonts w:ascii="宋体" w:hAnsi="宋体"/>
                <w:sz w:val="21"/>
                <w:szCs w:val="21"/>
              </w:rPr>
            </w:pPr>
            <w:r>
              <w:rPr>
                <w:rFonts w:hint="eastAsia" w:ascii="宋体" w:hAnsi="宋体"/>
                <w:sz w:val="21"/>
                <w:szCs w:val="21"/>
              </w:rPr>
              <w:t>三遍阿克苏氟碳喷涂</w:t>
            </w:r>
          </w:p>
        </w:tc>
      </w:tr>
      <w:tr w14:paraId="45E5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6F4A687">
            <w:pPr>
              <w:adjustRightInd w:val="0"/>
              <w:snapToGrid w:val="0"/>
              <w:spacing w:line="440" w:lineRule="exact"/>
              <w:jc w:val="center"/>
              <w:rPr>
                <w:rFonts w:ascii="宋体" w:hAnsi="宋体"/>
                <w:sz w:val="21"/>
                <w:szCs w:val="21"/>
              </w:rPr>
            </w:pPr>
            <w:r>
              <w:rPr>
                <w:rFonts w:hint="eastAsia" w:ascii="宋体" w:hAnsi="宋体"/>
                <w:sz w:val="21"/>
                <w:szCs w:val="21"/>
              </w:rPr>
              <w:t>17</w:t>
            </w:r>
          </w:p>
        </w:tc>
        <w:tc>
          <w:tcPr>
            <w:tcW w:w="1439" w:type="pct"/>
            <w:tcBorders>
              <w:top w:val="single" w:color="auto" w:sz="4" w:space="0"/>
              <w:left w:val="nil"/>
              <w:bottom w:val="single" w:color="auto" w:sz="4" w:space="0"/>
              <w:right w:val="single" w:color="auto" w:sz="4" w:space="0"/>
            </w:tcBorders>
            <w:vAlign w:val="center"/>
          </w:tcPr>
          <w:p w14:paraId="74770A56">
            <w:pPr>
              <w:adjustRightInd w:val="0"/>
              <w:snapToGrid w:val="0"/>
              <w:spacing w:line="440" w:lineRule="exact"/>
              <w:jc w:val="center"/>
              <w:rPr>
                <w:rFonts w:ascii="宋体" w:hAnsi="宋体"/>
                <w:sz w:val="21"/>
                <w:szCs w:val="21"/>
              </w:rPr>
            </w:pPr>
            <w:r>
              <w:rPr>
                <w:rFonts w:hint="eastAsia" w:ascii="宋体" w:hAnsi="宋体"/>
                <w:sz w:val="21"/>
                <w:szCs w:val="21"/>
              </w:rPr>
              <w:t>铝合金门窗型材</w:t>
            </w:r>
          </w:p>
        </w:tc>
        <w:tc>
          <w:tcPr>
            <w:tcW w:w="1924" w:type="pct"/>
            <w:tcBorders>
              <w:top w:val="single" w:color="auto" w:sz="4" w:space="0"/>
              <w:left w:val="nil"/>
              <w:bottom w:val="single" w:color="auto" w:sz="4" w:space="0"/>
              <w:right w:val="single" w:color="auto" w:sz="4" w:space="0"/>
            </w:tcBorders>
            <w:vAlign w:val="center"/>
          </w:tcPr>
          <w:p w14:paraId="1EC9E1FA">
            <w:pPr>
              <w:adjustRightInd w:val="0"/>
              <w:snapToGrid w:val="0"/>
              <w:spacing w:line="440" w:lineRule="exact"/>
              <w:jc w:val="center"/>
              <w:rPr>
                <w:rFonts w:ascii="宋体" w:hAnsi="宋体"/>
                <w:sz w:val="21"/>
                <w:szCs w:val="21"/>
              </w:rPr>
            </w:pPr>
            <w:r>
              <w:rPr>
                <w:rFonts w:hint="eastAsia" w:ascii="宋体" w:hAnsi="宋体"/>
                <w:sz w:val="21"/>
                <w:szCs w:val="21"/>
              </w:rPr>
              <w:t>凤铝、栋梁、龙鼎</w:t>
            </w:r>
          </w:p>
        </w:tc>
        <w:tc>
          <w:tcPr>
            <w:tcW w:w="572" w:type="pct"/>
            <w:tcBorders>
              <w:top w:val="single" w:color="auto" w:sz="4" w:space="0"/>
              <w:left w:val="nil"/>
              <w:bottom w:val="single" w:color="auto" w:sz="4" w:space="0"/>
              <w:right w:val="single" w:color="auto" w:sz="4" w:space="0"/>
            </w:tcBorders>
            <w:vAlign w:val="center"/>
          </w:tcPr>
          <w:p w14:paraId="046F1EBD">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24BEC6E3">
            <w:pPr>
              <w:adjustRightInd w:val="0"/>
              <w:snapToGrid w:val="0"/>
              <w:spacing w:line="440" w:lineRule="exact"/>
              <w:jc w:val="center"/>
              <w:rPr>
                <w:rFonts w:ascii="宋体" w:hAnsi="宋体"/>
                <w:sz w:val="21"/>
                <w:szCs w:val="21"/>
              </w:rPr>
            </w:pPr>
          </w:p>
        </w:tc>
      </w:tr>
      <w:tr w14:paraId="2537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D174144">
            <w:pPr>
              <w:adjustRightInd w:val="0"/>
              <w:snapToGrid w:val="0"/>
              <w:spacing w:line="440" w:lineRule="exact"/>
              <w:jc w:val="center"/>
              <w:rPr>
                <w:rFonts w:ascii="宋体" w:hAnsi="宋体"/>
                <w:sz w:val="21"/>
                <w:szCs w:val="21"/>
              </w:rPr>
            </w:pPr>
            <w:r>
              <w:rPr>
                <w:rFonts w:hint="eastAsia" w:ascii="宋体" w:hAnsi="宋体"/>
                <w:sz w:val="21"/>
                <w:szCs w:val="21"/>
              </w:rPr>
              <w:t>18</w:t>
            </w:r>
          </w:p>
        </w:tc>
        <w:tc>
          <w:tcPr>
            <w:tcW w:w="1439" w:type="pct"/>
            <w:tcBorders>
              <w:top w:val="single" w:color="auto" w:sz="4" w:space="0"/>
              <w:left w:val="nil"/>
              <w:bottom w:val="single" w:color="auto" w:sz="4" w:space="0"/>
              <w:right w:val="single" w:color="auto" w:sz="4" w:space="0"/>
            </w:tcBorders>
            <w:vAlign w:val="center"/>
          </w:tcPr>
          <w:p w14:paraId="4346C162">
            <w:pPr>
              <w:adjustRightInd w:val="0"/>
              <w:snapToGrid w:val="0"/>
              <w:spacing w:line="440" w:lineRule="exact"/>
              <w:jc w:val="center"/>
              <w:rPr>
                <w:rFonts w:ascii="宋体" w:hAnsi="宋体"/>
                <w:sz w:val="21"/>
                <w:szCs w:val="21"/>
              </w:rPr>
            </w:pPr>
            <w:r>
              <w:rPr>
                <w:rFonts w:hint="eastAsia" w:ascii="宋体" w:hAnsi="宋体"/>
                <w:sz w:val="21"/>
                <w:szCs w:val="21"/>
              </w:rPr>
              <w:t>铝合金门窗五金件</w:t>
            </w:r>
          </w:p>
        </w:tc>
        <w:tc>
          <w:tcPr>
            <w:tcW w:w="1924" w:type="pct"/>
            <w:tcBorders>
              <w:top w:val="single" w:color="auto" w:sz="4" w:space="0"/>
              <w:left w:val="nil"/>
              <w:bottom w:val="single" w:color="auto" w:sz="4" w:space="0"/>
              <w:right w:val="single" w:color="auto" w:sz="4" w:space="0"/>
            </w:tcBorders>
            <w:vAlign w:val="center"/>
          </w:tcPr>
          <w:p w14:paraId="19285454">
            <w:pPr>
              <w:adjustRightInd w:val="0"/>
              <w:snapToGrid w:val="0"/>
              <w:spacing w:line="440" w:lineRule="exact"/>
              <w:jc w:val="center"/>
              <w:rPr>
                <w:rFonts w:ascii="宋体" w:hAnsi="宋体"/>
                <w:sz w:val="21"/>
                <w:szCs w:val="21"/>
              </w:rPr>
            </w:pPr>
            <w:r>
              <w:rPr>
                <w:rFonts w:hint="eastAsia" w:ascii="宋体" w:hAnsi="宋体"/>
                <w:sz w:val="21"/>
                <w:szCs w:val="21"/>
              </w:rPr>
              <w:t>坚朗、杨氏立兴、GMT</w:t>
            </w:r>
          </w:p>
        </w:tc>
        <w:tc>
          <w:tcPr>
            <w:tcW w:w="572" w:type="pct"/>
            <w:tcBorders>
              <w:top w:val="single" w:color="auto" w:sz="4" w:space="0"/>
              <w:left w:val="nil"/>
              <w:bottom w:val="single" w:color="auto" w:sz="4" w:space="0"/>
              <w:right w:val="single" w:color="auto" w:sz="4" w:space="0"/>
            </w:tcBorders>
            <w:vAlign w:val="center"/>
          </w:tcPr>
          <w:p w14:paraId="6426B732">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56BD14BD">
            <w:pPr>
              <w:adjustRightInd w:val="0"/>
              <w:snapToGrid w:val="0"/>
              <w:spacing w:line="440" w:lineRule="exact"/>
              <w:jc w:val="center"/>
              <w:rPr>
                <w:rFonts w:ascii="宋体" w:hAnsi="宋体"/>
                <w:sz w:val="21"/>
                <w:szCs w:val="21"/>
              </w:rPr>
            </w:pPr>
          </w:p>
        </w:tc>
      </w:tr>
      <w:tr w14:paraId="3B3D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B3DF2A3">
            <w:pPr>
              <w:adjustRightInd w:val="0"/>
              <w:snapToGrid w:val="0"/>
              <w:spacing w:line="440" w:lineRule="exact"/>
              <w:jc w:val="center"/>
              <w:rPr>
                <w:rFonts w:ascii="宋体" w:hAnsi="宋体"/>
                <w:sz w:val="21"/>
                <w:szCs w:val="21"/>
              </w:rPr>
            </w:pPr>
            <w:r>
              <w:rPr>
                <w:rFonts w:hint="eastAsia" w:ascii="宋体" w:hAnsi="宋体"/>
                <w:sz w:val="21"/>
                <w:szCs w:val="21"/>
              </w:rPr>
              <w:t>19</w:t>
            </w:r>
          </w:p>
        </w:tc>
        <w:tc>
          <w:tcPr>
            <w:tcW w:w="1439" w:type="pct"/>
            <w:tcBorders>
              <w:top w:val="single" w:color="auto" w:sz="4" w:space="0"/>
              <w:left w:val="nil"/>
              <w:bottom w:val="single" w:color="auto" w:sz="4" w:space="0"/>
              <w:right w:val="single" w:color="auto" w:sz="4" w:space="0"/>
            </w:tcBorders>
            <w:vAlign w:val="center"/>
          </w:tcPr>
          <w:p w14:paraId="713C3AAA">
            <w:pPr>
              <w:adjustRightInd w:val="0"/>
              <w:snapToGrid w:val="0"/>
              <w:spacing w:line="440" w:lineRule="exact"/>
              <w:jc w:val="center"/>
              <w:rPr>
                <w:rFonts w:ascii="宋体" w:hAnsi="宋体"/>
                <w:sz w:val="21"/>
                <w:szCs w:val="21"/>
              </w:rPr>
            </w:pPr>
            <w:r>
              <w:rPr>
                <w:rFonts w:hint="eastAsia" w:ascii="宋体" w:hAnsi="宋体"/>
                <w:sz w:val="21"/>
                <w:szCs w:val="21"/>
              </w:rPr>
              <w:t>玻璃</w:t>
            </w:r>
          </w:p>
        </w:tc>
        <w:tc>
          <w:tcPr>
            <w:tcW w:w="1924" w:type="pct"/>
            <w:tcBorders>
              <w:top w:val="single" w:color="auto" w:sz="4" w:space="0"/>
              <w:left w:val="nil"/>
              <w:bottom w:val="single" w:color="auto" w:sz="4" w:space="0"/>
              <w:right w:val="single" w:color="auto" w:sz="4" w:space="0"/>
            </w:tcBorders>
            <w:vAlign w:val="center"/>
          </w:tcPr>
          <w:p w14:paraId="53297A93">
            <w:pPr>
              <w:adjustRightInd w:val="0"/>
              <w:snapToGrid w:val="0"/>
              <w:spacing w:line="440" w:lineRule="exact"/>
              <w:jc w:val="center"/>
              <w:rPr>
                <w:rFonts w:ascii="宋体" w:hAnsi="宋体"/>
                <w:sz w:val="21"/>
                <w:szCs w:val="21"/>
              </w:rPr>
            </w:pPr>
            <w:r>
              <w:rPr>
                <w:rFonts w:hint="eastAsia" w:ascii="宋体" w:hAnsi="宋体"/>
                <w:sz w:val="21"/>
                <w:szCs w:val="21"/>
              </w:rPr>
              <w:t>南玻、耀皮、肖子旭</w:t>
            </w:r>
          </w:p>
        </w:tc>
        <w:tc>
          <w:tcPr>
            <w:tcW w:w="572" w:type="pct"/>
            <w:tcBorders>
              <w:top w:val="single" w:color="auto" w:sz="4" w:space="0"/>
              <w:left w:val="nil"/>
              <w:bottom w:val="single" w:color="auto" w:sz="4" w:space="0"/>
              <w:right w:val="single" w:color="auto" w:sz="4" w:space="0"/>
            </w:tcBorders>
            <w:vAlign w:val="center"/>
          </w:tcPr>
          <w:p w14:paraId="6E7C1A00">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6962E1DA">
            <w:pPr>
              <w:adjustRightInd w:val="0"/>
              <w:snapToGrid w:val="0"/>
              <w:spacing w:line="440" w:lineRule="exact"/>
              <w:jc w:val="center"/>
              <w:rPr>
                <w:rFonts w:ascii="宋体" w:hAnsi="宋体"/>
                <w:sz w:val="21"/>
                <w:szCs w:val="21"/>
              </w:rPr>
            </w:pPr>
          </w:p>
        </w:tc>
      </w:tr>
      <w:tr w14:paraId="75E2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9DFD806">
            <w:pPr>
              <w:adjustRightInd w:val="0"/>
              <w:snapToGrid w:val="0"/>
              <w:spacing w:line="440" w:lineRule="exact"/>
              <w:jc w:val="center"/>
              <w:rPr>
                <w:rFonts w:ascii="宋体" w:hAnsi="宋体"/>
                <w:sz w:val="21"/>
                <w:szCs w:val="21"/>
              </w:rPr>
            </w:pPr>
            <w:r>
              <w:rPr>
                <w:rFonts w:hint="eastAsia" w:ascii="宋体" w:hAnsi="宋体"/>
                <w:sz w:val="21"/>
                <w:szCs w:val="21"/>
              </w:rPr>
              <w:t>20</w:t>
            </w:r>
          </w:p>
        </w:tc>
        <w:tc>
          <w:tcPr>
            <w:tcW w:w="1439" w:type="pct"/>
            <w:tcBorders>
              <w:top w:val="single" w:color="auto" w:sz="4" w:space="0"/>
              <w:left w:val="nil"/>
              <w:bottom w:val="single" w:color="auto" w:sz="4" w:space="0"/>
              <w:right w:val="single" w:color="auto" w:sz="4" w:space="0"/>
            </w:tcBorders>
            <w:vAlign w:val="center"/>
          </w:tcPr>
          <w:p w14:paraId="301B78D1">
            <w:pPr>
              <w:adjustRightInd w:val="0"/>
              <w:snapToGrid w:val="0"/>
              <w:spacing w:line="440" w:lineRule="exact"/>
              <w:jc w:val="center"/>
              <w:rPr>
                <w:rFonts w:ascii="宋体" w:hAnsi="宋体"/>
                <w:sz w:val="21"/>
                <w:szCs w:val="21"/>
              </w:rPr>
            </w:pPr>
            <w:r>
              <w:rPr>
                <w:rFonts w:hint="eastAsia" w:ascii="宋体" w:hAnsi="宋体"/>
                <w:sz w:val="21"/>
                <w:szCs w:val="21"/>
              </w:rPr>
              <w:t>钢材</w:t>
            </w:r>
          </w:p>
        </w:tc>
        <w:tc>
          <w:tcPr>
            <w:tcW w:w="1924" w:type="pct"/>
            <w:tcBorders>
              <w:top w:val="single" w:color="auto" w:sz="4" w:space="0"/>
              <w:left w:val="nil"/>
              <w:bottom w:val="single" w:color="auto" w:sz="4" w:space="0"/>
              <w:right w:val="single" w:color="auto" w:sz="4" w:space="0"/>
            </w:tcBorders>
            <w:vAlign w:val="center"/>
          </w:tcPr>
          <w:p w14:paraId="5787109F">
            <w:pPr>
              <w:adjustRightInd w:val="0"/>
              <w:snapToGrid w:val="0"/>
              <w:spacing w:line="440" w:lineRule="exact"/>
              <w:jc w:val="center"/>
              <w:rPr>
                <w:rFonts w:ascii="宋体" w:hAnsi="宋体"/>
                <w:sz w:val="21"/>
                <w:szCs w:val="21"/>
              </w:rPr>
            </w:pPr>
            <w:r>
              <w:rPr>
                <w:rFonts w:hint="eastAsia" w:ascii="宋体" w:hAnsi="宋体"/>
                <w:sz w:val="21"/>
                <w:szCs w:val="21"/>
              </w:rPr>
              <w:t>永钢、马钢、沙钢</w:t>
            </w:r>
          </w:p>
        </w:tc>
        <w:tc>
          <w:tcPr>
            <w:tcW w:w="572" w:type="pct"/>
            <w:tcBorders>
              <w:top w:val="single" w:color="auto" w:sz="4" w:space="0"/>
              <w:left w:val="nil"/>
              <w:bottom w:val="single" w:color="auto" w:sz="4" w:space="0"/>
              <w:right w:val="single" w:color="auto" w:sz="4" w:space="0"/>
            </w:tcBorders>
            <w:vAlign w:val="center"/>
          </w:tcPr>
          <w:p w14:paraId="70C2A253">
            <w:pPr>
              <w:adjustRightInd w:val="0"/>
              <w:snapToGrid w:val="0"/>
              <w:spacing w:line="440" w:lineRule="exact"/>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7D419851">
            <w:pPr>
              <w:adjustRightInd w:val="0"/>
              <w:snapToGrid w:val="0"/>
              <w:spacing w:line="440" w:lineRule="exact"/>
              <w:jc w:val="center"/>
              <w:rPr>
                <w:rFonts w:ascii="宋体" w:hAnsi="宋体"/>
                <w:sz w:val="21"/>
                <w:szCs w:val="21"/>
              </w:rPr>
            </w:pPr>
          </w:p>
        </w:tc>
      </w:tr>
      <w:tr w14:paraId="0C37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6A9C3EF">
            <w:pPr>
              <w:jc w:val="center"/>
              <w:rPr>
                <w:rFonts w:ascii="宋体" w:hAnsi="宋体"/>
                <w:sz w:val="21"/>
                <w:szCs w:val="21"/>
              </w:rPr>
            </w:pPr>
            <w:r>
              <w:rPr>
                <w:rFonts w:hint="eastAsia" w:ascii="宋体" w:hAnsi="宋体"/>
                <w:sz w:val="21"/>
                <w:szCs w:val="21"/>
              </w:rPr>
              <w:t>21</w:t>
            </w:r>
          </w:p>
        </w:tc>
        <w:tc>
          <w:tcPr>
            <w:tcW w:w="1439" w:type="pct"/>
            <w:tcBorders>
              <w:top w:val="single" w:color="auto" w:sz="4" w:space="0"/>
              <w:left w:val="nil"/>
              <w:bottom w:val="single" w:color="auto" w:sz="4" w:space="0"/>
              <w:right w:val="single" w:color="auto" w:sz="4" w:space="0"/>
            </w:tcBorders>
            <w:vAlign w:val="center"/>
          </w:tcPr>
          <w:p w14:paraId="03711EE5">
            <w:pPr>
              <w:jc w:val="center"/>
              <w:rPr>
                <w:rFonts w:ascii="宋体" w:hAnsi="宋体"/>
                <w:sz w:val="21"/>
                <w:szCs w:val="21"/>
              </w:rPr>
            </w:pPr>
            <w:r>
              <w:rPr>
                <w:rFonts w:hint="eastAsia" w:ascii="宋体" w:hAnsi="宋体"/>
                <w:sz w:val="21"/>
                <w:szCs w:val="21"/>
              </w:rPr>
              <w:t>屋面防水卷材、非固化防水</w:t>
            </w:r>
          </w:p>
        </w:tc>
        <w:tc>
          <w:tcPr>
            <w:tcW w:w="1924" w:type="pct"/>
            <w:tcBorders>
              <w:top w:val="single" w:color="auto" w:sz="4" w:space="0"/>
              <w:left w:val="nil"/>
              <w:bottom w:val="single" w:color="auto" w:sz="4" w:space="0"/>
              <w:right w:val="single" w:color="auto" w:sz="4" w:space="0"/>
            </w:tcBorders>
            <w:vAlign w:val="center"/>
          </w:tcPr>
          <w:p w14:paraId="6B54E9F5">
            <w:pPr>
              <w:jc w:val="center"/>
              <w:rPr>
                <w:rFonts w:ascii="宋体" w:hAnsi="宋体"/>
                <w:sz w:val="21"/>
                <w:szCs w:val="21"/>
              </w:rPr>
            </w:pPr>
            <w:r>
              <w:rPr>
                <w:rFonts w:hint="eastAsia" w:ascii="宋体" w:hAnsi="宋体"/>
                <w:sz w:val="21"/>
                <w:szCs w:val="21"/>
              </w:rPr>
              <w:t>雨虹、汉高、德高</w:t>
            </w:r>
          </w:p>
        </w:tc>
        <w:tc>
          <w:tcPr>
            <w:tcW w:w="572" w:type="pct"/>
            <w:tcBorders>
              <w:top w:val="single" w:color="auto" w:sz="4" w:space="0"/>
              <w:left w:val="nil"/>
              <w:bottom w:val="single" w:color="auto" w:sz="4" w:space="0"/>
              <w:right w:val="single" w:color="auto" w:sz="4" w:space="0"/>
            </w:tcBorders>
            <w:vAlign w:val="center"/>
          </w:tcPr>
          <w:p w14:paraId="539F0152">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294FBA18">
            <w:pPr>
              <w:jc w:val="center"/>
              <w:rPr>
                <w:rFonts w:ascii="宋体" w:hAnsi="宋体"/>
                <w:sz w:val="21"/>
                <w:szCs w:val="21"/>
              </w:rPr>
            </w:pPr>
          </w:p>
        </w:tc>
      </w:tr>
      <w:tr w14:paraId="2DA9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68066C2">
            <w:pPr>
              <w:jc w:val="center"/>
              <w:rPr>
                <w:rFonts w:ascii="宋体" w:hAnsi="宋体"/>
                <w:sz w:val="21"/>
                <w:szCs w:val="21"/>
              </w:rPr>
            </w:pPr>
            <w:r>
              <w:rPr>
                <w:rFonts w:hint="eastAsia" w:ascii="宋体" w:hAnsi="宋体"/>
                <w:sz w:val="21"/>
                <w:szCs w:val="21"/>
              </w:rPr>
              <w:t>22</w:t>
            </w:r>
          </w:p>
        </w:tc>
        <w:tc>
          <w:tcPr>
            <w:tcW w:w="1439" w:type="pct"/>
            <w:tcBorders>
              <w:top w:val="single" w:color="auto" w:sz="4" w:space="0"/>
              <w:left w:val="nil"/>
              <w:bottom w:val="single" w:color="auto" w:sz="4" w:space="0"/>
              <w:right w:val="single" w:color="auto" w:sz="4" w:space="0"/>
            </w:tcBorders>
            <w:vAlign w:val="center"/>
          </w:tcPr>
          <w:p w14:paraId="1E0C0400">
            <w:pPr>
              <w:jc w:val="center"/>
              <w:rPr>
                <w:rFonts w:ascii="宋体" w:hAnsi="宋体"/>
                <w:sz w:val="21"/>
                <w:szCs w:val="21"/>
              </w:rPr>
            </w:pPr>
            <w:r>
              <w:rPr>
                <w:rFonts w:hint="eastAsia" w:ascii="宋体" w:hAnsi="宋体"/>
                <w:sz w:val="21"/>
                <w:szCs w:val="21"/>
              </w:rPr>
              <w:t>防火板</w:t>
            </w:r>
          </w:p>
        </w:tc>
        <w:tc>
          <w:tcPr>
            <w:tcW w:w="1924" w:type="pct"/>
            <w:tcBorders>
              <w:top w:val="single" w:color="auto" w:sz="4" w:space="0"/>
              <w:left w:val="nil"/>
              <w:bottom w:val="single" w:color="auto" w:sz="4" w:space="0"/>
              <w:right w:val="single" w:color="auto" w:sz="4" w:space="0"/>
            </w:tcBorders>
            <w:vAlign w:val="center"/>
          </w:tcPr>
          <w:p w14:paraId="625F52D6">
            <w:pPr>
              <w:jc w:val="center"/>
              <w:rPr>
                <w:rFonts w:ascii="宋体" w:hAnsi="宋体"/>
                <w:sz w:val="21"/>
                <w:szCs w:val="21"/>
              </w:rPr>
            </w:pPr>
            <w:r>
              <w:rPr>
                <w:rFonts w:hint="eastAsia" w:ascii="宋体" w:hAnsi="宋体"/>
                <w:sz w:val="21"/>
                <w:szCs w:val="21"/>
              </w:rPr>
              <w:t>富美家、威盛亚、永威</w:t>
            </w:r>
          </w:p>
        </w:tc>
        <w:tc>
          <w:tcPr>
            <w:tcW w:w="572" w:type="pct"/>
            <w:tcBorders>
              <w:top w:val="single" w:color="auto" w:sz="4" w:space="0"/>
              <w:left w:val="nil"/>
              <w:bottom w:val="single" w:color="auto" w:sz="4" w:space="0"/>
              <w:right w:val="single" w:color="auto" w:sz="4" w:space="0"/>
            </w:tcBorders>
            <w:vAlign w:val="center"/>
          </w:tcPr>
          <w:p w14:paraId="53EBB1C5">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4D0A45C2">
            <w:pPr>
              <w:jc w:val="center"/>
              <w:rPr>
                <w:rFonts w:ascii="宋体" w:hAnsi="宋体"/>
                <w:sz w:val="21"/>
                <w:szCs w:val="21"/>
              </w:rPr>
            </w:pPr>
          </w:p>
        </w:tc>
      </w:tr>
      <w:tr w14:paraId="6213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1B2EAB7">
            <w:pPr>
              <w:jc w:val="center"/>
              <w:rPr>
                <w:rFonts w:ascii="宋体" w:hAnsi="宋体"/>
                <w:sz w:val="21"/>
                <w:szCs w:val="21"/>
              </w:rPr>
            </w:pPr>
            <w:r>
              <w:rPr>
                <w:rFonts w:hint="eastAsia" w:ascii="宋体" w:hAnsi="宋体"/>
                <w:sz w:val="21"/>
                <w:szCs w:val="21"/>
              </w:rPr>
              <w:t>23</w:t>
            </w:r>
          </w:p>
        </w:tc>
        <w:tc>
          <w:tcPr>
            <w:tcW w:w="1439" w:type="pct"/>
            <w:tcBorders>
              <w:top w:val="single" w:color="auto" w:sz="4" w:space="0"/>
              <w:left w:val="nil"/>
              <w:bottom w:val="single" w:color="auto" w:sz="4" w:space="0"/>
              <w:right w:val="single" w:color="auto" w:sz="4" w:space="0"/>
            </w:tcBorders>
            <w:vAlign w:val="center"/>
          </w:tcPr>
          <w:p w14:paraId="3A1AF907">
            <w:pPr>
              <w:jc w:val="center"/>
              <w:rPr>
                <w:rFonts w:ascii="宋体" w:hAnsi="宋体"/>
                <w:sz w:val="21"/>
                <w:szCs w:val="21"/>
              </w:rPr>
            </w:pPr>
            <w:r>
              <w:rPr>
                <w:rFonts w:hint="eastAsia" w:ascii="宋体" w:hAnsi="宋体"/>
                <w:sz w:val="21"/>
                <w:szCs w:val="21"/>
              </w:rPr>
              <w:t>塑铝板</w:t>
            </w:r>
          </w:p>
        </w:tc>
        <w:tc>
          <w:tcPr>
            <w:tcW w:w="1924" w:type="pct"/>
            <w:tcBorders>
              <w:top w:val="single" w:color="auto" w:sz="4" w:space="0"/>
              <w:left w:val="nil"/>
              <w:bottom w:val="single" w:color="auto" w:sz="4" w:space="0"/>
              <w:right w:val="single" w:color="auto" w:sz="4" w:space="0"/>
            </w:tcBorders>
            <w:vAlign w:val="center"/>
          </w:tcPr>
          <w:p w14:paraId="0B64F44A">
            <w:pPr>
              <w:jc w:val="center"/>
              <w:rPr>
                <w:rFonts w:ascii="宋体" w:hAnsi="宋体"/>
                <w:sz w:val="21"/>
                <w:szCs w:val="21"/>
              </w:rPr>
            </w:pPr>
            <w:r>
              <w:rPr>
                <w:rFonts w:hint="eastAsia" w:ascii="宋体" w:hAnsi="宋体"/>
                <w:kern w:val="0"/>
                <w:sz w:val="21"/>
                <w:szCs w:val="21"/>
              </w:rPr>
              <w:t>海达、上海吉祥、雅丽泰</w:t>
            </w:r>
          </w:p>
        </w:tc>
        <w:tc>
          <w:tcPr>
            <w:tcW w:w="572" w:type="pct"/>
            <w:tcBorders>
              <w:top w:val="single" w:color="auto" w:sz="4" w:space="0"/>
              <w:left w:val="nil"/>
              <w:bottom w:val="single" w:color="auto" w:sz="4" w:space="0"/>
              <w:right w:val="single" w:color="auto" w:sz="4" w:space="0"/>
            </w:tcBorders>
            <w:vAlign w:val="center"/>
          </w:tcPr>
          <w:p w14:paraId="6A052C3E">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156C0322">
            <w:pPr>
              <w:jc w:val="center"/>
              <w:rPr>
                <w:rFonts w:ascii="宋体" w:hAnsi="宋体"/>
                <w:sz w:val="21"/>
                <w:szCs w:val="21"/>
              </w:rPr>
            </w:pPr>
          </w:p>
        </w:tc>
      </w:tr>
      <w:tr w14:paraId="793E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A758B76">
            <w:pPr>
              <w:jc w:val="center"/>
              <w:rPr>
                <w:rFonts w:ascii="宋体" w:hAnsi="宋体"/>
                <w:sz w:val="21"/>
                <w:szCs w:val="21"/>
              </w:rPr>
            </w:pPr>
            <w:r>
              <w:rPr>
                <w:rFonts w:hint="eastAsia" w:ascii="宋体" w:hAnsi="宋体"/>
                <w:sz w:val="21"/>
                <w:szCs w:val="21"/>
              </w:rPr>
              <w:t>24</w:t>
            </w:r>
          </w:p>
        </w:tc>
        <w:tc>
          <w:tcPr>
            <w:tcW w:w="1439" w:type="pct"/>
            <w:tcBorders>
              <w:top w:val="single" w:color="auto" w:sz="4" w:space="0"/>
              <w:left w:val="nil"/>
              <w:bottom w:val="single" w:color="auto" w:sz="4" w:space="0"/>
              <w:right w:val="single" w:color="auto" w:sz="4" w:space="0"/>
            </w:tcBorders>
            <w:vAlign w:val="center"/>
          </w:tcPr>
          <w:p w14:paraId="6FDBCB75">
            <w:pPr>
              <w:jc w:val="center"/>
              <w:rPr>
                <w:rFonts w:ascii="宋体" w:hAnsi="宋体"/>
                <w:sz w:val="21"/>
                <w:szCs w:val="21"/>
              </w:rPr>
            </w:pPr>
            <w:r>
              <w:rPr>
                <w:rFonts w:hint="eastAsia" w:ascii="宋体" w:hAnsi="宋体"/>
                <w:sz w:val="21"/>
                <w:szCs w:val="21"/>
              </w:rPr>
              <w:t>墙面成品装饰板和护墙板</w:t>
            </w:r>
          </w:p>
        </w:tc>
        <w:tc>
          <w:tcPr>
            <w:tcW w:w="1924" w:type="pct"/>
            <w:tcBorders>
              <w:top w:val="single" w:color="auto" w:sz="4" w:space="0"/>
              <w:left w:val="nil"/>
              <w:bottom w:val="single" w:color="auto" w:sz="4" w:space="0"/>
              <w:right w:val="single" w:color="auto" w:sz="4" w:space="0"/>
            </w:tcBorders>
            <w:vAlign w:val="center"/>
          </w:tcPr>
          <w:p w14:paraId="6ADDE243">
            <w:pPr>
              <w:jc w:val="center"/>
              <w:rPr>
                <w:rFonts w:ascii="宋体" w:hAnsi="宋体"/>
                <w:sz w:val="21"/>
                <w:szCs w:val="21"/>
              </w:rPr>
            </w:pPr>
            <w:r>
              <w:rPr>
                <w:rFonts w:hint="eastAsia" w:ascii="宋体" w:hAnsi="宋体"/>
                <w:sz w:val="21"/>
                <w:szCs w:val="21"/>
              </w:rPr>
              <w:t>帝龙、威盛亚、富美家</w:t>
            </w:r>
          </w:p>
        </w:tc>
        <w:tc>
          <w:tcPr>
            <w:tcW w:w="572" w:type="pct"/>
            <w:tcBorders>
              <w:top w:val="single" w:color="auto" w:sz="4" w:space="0"/>
              <w:left w:val="nil"/>
              <w:bottom w:val="single" w:color="auto" w:sz="4" w:space="0"/>
              <w:right w:val="single" w:color="auto" w:sz="4" w:space="0"/>
            </w:tcBorders>
            <w:vAlign w:val="center"/>
          </w:tcPr>
          <w:p w14:paraId="40204251">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604B26FF">
            <w:pPr>
              <w:jc w:val="center"/>
              <w:rPr>
                <w:rFonts w:ascii="宋体" w:hAnsi="宋体"/>
                <w:sz w:val="21"/>
                <w:szCs w:val="21"/>
              </w:rPr>
            </w:pPr>
          </w:p>
        </w:tc>
      </w:tr>
      <w:tr w14:paraId="09EB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3960655">
            <w:pPr>
              <w:jc w:val="center"/>
              <w:rPr>
                <w:rFonts w:ascii="宋体" w:hAnsi="宋体"/>
                <w:sz w:val="21"/>
                <w:szCs w:val="21"/>
              </w:rPr>
            </w:pPr>
            <w:r>
              <w:rPr>
                <w:rFonts w:hint="eastAsia" w:ascii="宋体" w:hAnsi="宋体"/>
                <w:sz w:val="21"/>
                <w:szCs w:val="21"/>
              </w:rPr>
              <w:t>25</w:t>
            </w:r>
          </w:p>
        </w:tc>
        <w:tc>
          <w:tcPr>
            <w:tcW w:w="1439" w:type="pct"/>
            <w:tcBorders>
              <w:top w:val="single" w:color="auto" w:sz="4" w:space="0"/>
              <w:left w:val="nil"/>
              <w:bottom w:val="single" w:color="auto" w:sz="4" w:space="0"/>
              <w:right w:val="single" w:color="auto" w:sz="4" w:space="0"/>
            </w:tcBorders>
            <w:vAlign w:val="center"/>
          </w:tcPr>
          <w:p w14:paraId="60544596">
            <w:pPr>
              <w:jc w:val="center"/>
              <w:rPr>
                <w:rFonts w:ascii="宋体" w:hAnsi="宋体"/>
                <w:sz w:val="21"/>
                <w:szCs w:val="21"/>
              </w:rPr>
            </w:pPr>
            <w:r>
              <w:rPr>
                <w:rFonts w:hint="eastAsia" w:ascii="宋体" w:hAnsi="宋体"/>
                <w:sz w:val="21"/>
                <w:szCs w:val="21"/>
              </w:rPr>
              <w:t>三聚氰胺板</w:t>
            </w:r>
          </w:p>
        </w:tc>
        <w:tc>
          <w:tcPr>
            <w:tcW w:w="1924" w:type="pct"/>
            <w:tcBorders>
              <w:top w:val="single" w:color="auto" w:sz="4" w:space="0"/>
              <w:left w:val="nil"/>
              <w:bottom w:val="single" w:color="auto" w:sz="4" w:space="0"/>
              <w:right w:val="single" w:color="auto" w:sz="4" w:space="0"/>
            </w:tcBorders>
            <w:vAlign w:val="center"/>
          </w:tcPr>
          <w:p w14:paraId="3E6FC4F2">
            <w:pPr>
              <w:jc w:val="center"/>
              <w:rPr>
                <w:rFonts w:ascii="宋体" w:hAnsi="宋体"/>
                <w:sz w:val="21"/>
                <w:szCs w:val="21"/>
              </w:rPr>
            </w:pPr>
            <w:r>
              <w:rPr>
                <w:rFonts w:hint="eastAsia" w:ascii="宋体" w:hAnsi="宋体"/>
                <w:sz w:val="21"/>
                <w:szCs w:val="21"/>
              </w:rPr>
              <w:t>江苏汇丰、大亚、福人</w:t>
            </w:r>
          </w:p>
        </w:tc>
        <w:tc>
          <w:tcPr>
            <w:tcW w:w="572" w:type="pct"/>
            <w:tcBorders>
              <w:top w:val="single" w:color="auto" w:sz="4" w:space="0"/>
              <w:left w:val="nil"/>
              <w:bottom w:val="single" w:color="auto" w:sz="4" w:space="0"/>
              <w:right w:val="single" w:color="auto" w:sz="4" w:space="0"/>
            </w:tcBorders>
            <w:vAlign w:val="center"/>
          </w:tcPr>
          <w:p w14:paraId="2F4DA6D6">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5C628943">
            <w:pPr>
              <w:jc w:val="center"/>
              <w:rPr>
                <w:rFonts w:ascii="宋体" w:hAnsi="宋体"/>
                <w:sz w:val="21"/>
                <w:szCs w:val="21"/>
              </w:rPr>
            </w:pPr>
          </w:p>
        </w:tc>
      </w:tr>
      <w:tr w14:paraId="245D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D2E9EE7">
            <w:pPr>
              <w:jc w:val="center"/>
              <w:rPr>
                <w:rFonts w:ascii="宋体" w:hAnsi="宋体"/>
                <w:sz w:val="21"/>
                <w:szCs w:val="21"/>
              </w:rPr>
            </w:pPr>
            <w:r>
              <w:rPr>
                <w:rFonts w:hint="eastAsia" w:ascii="宋体" w:hAnsi="宋体"/>
                <w:sz w:val="21"/>
                <w:szCs w:val="21"/>
              </w:rPr>
              <w:t>26</w:t>
            </w:r>
          </w:p>
        </w:tc>
        <w:tc>
          <w:tcPr>
            <w:tcW w:w="1439" w:type="pct"/>
            <w:tcBorders>
              <w:top w:val="single" w:color="auto" w:sz="4" w:space="0"/>
              <w:left w:val="nil"/>
              <w:bottom w:val="single" w:color="auto" w:sz="4" w:space="0"/>
              <w:right w:val="single" w:color="auto" w:sz="4" w:space="0"/>
            </w:tcBorders>
            <w:vAlign w:val="center"/>
          </w:tcPr>
          <w:p w14:paraId="0B591FF3">
            <w:pPr>
              <w:jc w:val="center"/>
              <w:rPr>
                <w:rFonts w:ascii="宋体" w:hAnsi="宋体"/>
                <w:sz w:val="21"/>
                <w:szCs w:val="21"/>
              </w:rPr>
            </w:pPr>
            <w:r>
              <w:rPr>
                <w:rFonts w:hint="eastAsia" w:ascii="宋体" w:hAnsi="宋体"/>
                <w:sz w:val="21"/>
                <w:szCs w:val="21"/>
              </w:rPr>
              <w:t>PVC地板</w:t>
            </w:r>
          </w:p>
        </w:tc>
        <w:tc>
          <w:tcPr>
            <w:tcW w:w="1924" w:type="pct"/>
            <w:tcBorders>
              <w:top w:val="single" w:color="auto" w:sz="4" w:space="0"/>
              <w:left w:val="nil"/>
              <w:bottom w:val="single" w:color="auto" w:sz="4" w:space="0"/>
              <w:right w:val="single" w:color="auto" w:sz="4" w:space="0"/>
            </w:tcBorders>
            <w:vAlign w:val="center"/>
          </w:tcPr>
          <w:p w14:paraId="0428E09D">
            <w:pPr>
              <w:jc w:val="center"/>
              <w:rPr>
                <w:rFonts w:ascii="宋体" w:hAnsi="宋体"/>
                <w:sz w:val="21"/>
                <w:szCs w:val="21"/>
              </w:rPr>
            </w:pPr>
            <w:r>
              <w:rPr>
                <w:rFonts w:hint="eastAsia" w:ascii="宋体" w:hAnsi="宋体"/>
                <w:sz w:val="21"/>
                <w:szCs w:val="21"/>
                <w:lang w:val="en-US" w:eastAsia="zh-CN"/>
              </w:rPr>
              <w:t>TarKett</w:t>
            </w:r>
            <w:r>
              <w:rPr>
                <w:rFonts w:hint="eastAsia" w:ascii="宋体" w:hAnsi="宋体"/>
                <w:sz w:val="21"/>
                <w:szCs w:val="21"/>
              </w:rPr>
              <w:t>（PP系列）、诺拉（ECO系列）、玛丽（新雅彩系列）</w:t>
            </w:r>
          </w:p>
        </w:tc>
        <w:tc>
          <w:tcPr>
            <w:tcW w:w="572" w:type="pct"/>
            <w:tcBorders>
              <w:top w:val="single" w:color="auto" w:sz="4" w:space="0"/>
              <w:left w:val="nil"/>
              <w:bottom w:val="single" w:color="auto" w:sz="4" w:space="0"/>
              <w:right w:val="single" w:color="auto" w:sz="4" w:space="0"/>
            </w:tcBorders>
            <w:vAlign w:val="center"/>
          </w:tcPr>
          <w:p w14:paraId="24E349F6">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vAlign w:val="center"/>
          </w:tcPr>
          <w:p w14:paraId="67B81089">
            <w:pPr>
              <w:jc w:val="center"/>
              <w:rPr>
                <w:rFonts w:hint="eastAsia" w:ascii="宋体" w:hAnsi="宋体"/>
                <w:sz w:val="21"/>
                <w:szCs w:val="21"/>
              </w:rPr>
            </w:pPr>
            <w:r>
              <w:rPr>
                <w:rFonts w:hint="eastAsia" w:ascii="宋体" w:hAnsi="宋体"/>
                <w:sz w:val="21"/>
                <w:szCs w:val="21"/>
              </w:rPr>
              <w:t>2mm同质透心，具有防腐蚀，耐化学物质特性</w:t>
            </w:r>
          </w:p>
          <w:p w14:paraId="060459BC">
            <w:pPr>
              <w:jc w:val="center"/>
              <w:rPr>
                <w:rFonts w:hint="default" w:ascii="宋体" w:hAnsi="宋体" w:eastAsia="宋体"/>
                <w:sz w:val="21"/>
                <w:szCs w:val="21"/>
                <w:lang w:val="en-US" w:eastAsia="zh-CN"/>
              </w:rPr>
            </w:pPr>
            <w:r>
              <w:rPr>
                <w:rFonts w:hint="eastAsia" w:ascii="宋体" w:hAnsi="宋体"/>
                <w:sz w:val="21"/>
                <w:szCs w:val="21"/>
                <w:lang w:val="en-US" w:eastAsia="zh-CN"/>
              </w:rPr>
              <w:t>生产厂家：得嘉亚太（上海）管理有限公司</w:t>
            </w:r>
          </w:p>
        </w:tc>
      </w:tr>
      <w:tr w14:paraId="4603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6D03DC1">
            <w:pPr>
              <w:jc w:val="center"/>
              <w:rPr>
                <w:rFonts w:ascii="宋体" w:hAnsi="宋体"/>
                <w:sz w:val="21"/>
                <w:szCs w:val="21"/>
              </w:rPr>
            </w:pPr>
            <w:r>
              <w:rPr>
                <w:rFonts w:hint="eastAsia" w:ascii="宋体" w:hAnsi="宋体"/>
                <w:sz w:val="21"/>
                <w:szCs w:val="21"/>
              </w:rPr>
              <w:t>27</w:t>
            </w:r>
          </w:p>
        </w:tc>
        <w:tc>
          <w:tcPr>
            <w:tcW w:w="1439" w:type="pct"/>
            <w:tcBorders>
              <w:top w:val="single" w:color="auto" w:sz="4" w:space="0"/>
              <w:left w:val="nil"/>
              <w:bottom w:val="single" w:color="auto" w:sz="4" w:space="0"/>
              <w:right w:val="single" w:color="auto" w:sz="4" w:space="0"/>
            </w:tcBorders>
            <w:vAlign w:val="center"/>
          </w:tcPr>
          <w:p w14:paraId="0E910E9E">
            <w:pPr>
              <w:jc w:val="center"/>
              <w:rPr>
                <w:rFonts w:ascii="宋体" w:hAnsi="宋体"/>
                <w:sz w:val="21"/>
                <w:szCs w:val="21"/>
              </w:rPr>
            </w:pPr>
            <w:r>
              <w:rPr>
                <w:rFonts w:hint="eastAsia" w:ascii="宋体" w:hAnsi="宋体"/>
                <w:sz w:val="21"/>
                <w:szCs w:val="21"/>
              </w:rPr>
              <w:t>阻燃木工板</w:t>
            </w:r>
          </w:p>
        </w:tc>
        <w:tc>
          <w:tcPr>
            <w:tcW w:w="1924" w:type="pct"/>
            <w:tcBorders>
              <w:top w:val="single" w:color="auto" w:sz="4" w:space="0"/>
              <w:left w:val="nil"/>
              <w:bottom w:val="single" w:color="auto" w:sz="4" w:space="0"/>
              <w:right w:val="single" w:color="auto" w:sz="4" w:space="0"/>
            </w:tcBorders>
            <w:vAlign w:val="center"/>
          </w:tcPr>
          <w:p w14:paraId="3F30FFB5">
            <w:pPr>
              <w:jc w:val="center"/>
              <w:rPr>
                <w:rFonts w:ascii="宋体" w:hAnsi="宋体"/>
                <w:sz w:val="21"/>
                <w:szCs w:val="21"/>
              </w:rPr>
            </w:pPr>
            <w:r>
              <w:rPr>
                <w:rFonts w:hint="eastAsia" w:ascii="宋体" w:hAnsi="宋体"/>
                <w:sz w:val="21"/>
                <w:szCs w:val="21"/>
              </w:rPr>
              <w:t>莫干山、兔宝宝、快乐</w:t>
            </w:r>
          </w:p>
        </w:tc>
        <w:tc>
          <w:tcPr>
            <w:tcW w:w="572" w:type="pct"/>
            <w:tcBorders>
              <w:top w:val="single" w:color="auto" w:sz="4" w:space="0"/>
              <w:left w:val="nil"/>
              <w:bottom w:val="single" w:color="auto" w:sz="4" w:space="0"/>
              <w:right w:val="single" w:color="auto" w:sz="4" w:space="0"/>
            </w:tcBorders>
            <w:vAlign w:val="center"/>
          </w:tcPr>
          <w:p w14:paraId="275C735D">
            <w:pPr>
              <w:jc w:val="center"/>
              <w:rPr>
                <w:rFonts w:ascii="宋体" w:hAnsi="宋体"/>
                <w:sz w:val="21"/>
                <w:szCs w:val="21"/>
              </w:rPr>
            </w:pPr>
            <w:r>
              <w:rPr>
                <w:rFonts w:hint="eastAsia" w:ascii="宋体" w:hAnsi="宋体"/>
                <w:sz w:val="21"/>
                <w:szCs w:val="21"/>
              </w:rPr>
              <w:t>E</w:t>
            </w:r>
            <w:r>
              <w:rPr>
                <w:rFonts w:ascii="宋体" w:hAnsi="宋体"/>
                <w:sz w:val="21"/>
                <w:szCs w:val="21"/>
              </w:rPr>
              <w:t>0</w:t>
            </w:r>
            <w:r>
              <w:rPr>
                <w:rFonts w:hint="eastAsia" w:ascii="宋体" w:hAnsi="宋体"/>
                <w:sz w:val="21"/>
                <w:szCs w:val="21"/>
              </w:rPr>
              <w:t>级</w:t>
            </w:r>
          </w:p>
          <w:p w14:paraId="7A9787E1">
            <w:pPr>
              <w:jc w:val="center"/>
              <w:rPr>
                <w:rFonts w:ascii="宋体" w:hAnsi="宋体"/>
                <w:sz w:val="21"/>
                <w:szCs w:val="21"/>
              </w:rPr>
            </w:pPr>
            <w:r>
              <w:rPr>
                <w:rFonts w:hint="eastAsia" w:ascii="宋体" w:hAnsi="宋体"/>
                <w:sz w:val="21"/>
                <w:szCs w:val="21"/>
              </w:rPr>
              <w:t>B</w:t>
            </w:r>
            <w:r>
              <w:rPr>
                <w:rFonts w:ascii="宋体" w:hAnsi="宋体"/>
                <w:sz w:val="21"/>
                <w:szCs w:val="21"/>
              </w:rPr>
              <w:t>1</w:t>
            </w:r>
            <w:r>
              <w:rPr>
                <w:rFonts w:hint="eastAsia" w:ascii="宋体" w:hAnsi="宋体"/>
                <w:sz w:val="21"/>
                <w:szCs w:val="21"/>
              </w:rPr>
              <w:t>级</w:t>
            </w:r>
          </w:p>
          <w:p w14:paraId="20DDE07C">
            <w:pPr>
              <w:jc w:val="center"/>
              <w:rPr>
                <w:rFonts w:ascii="宋体" w:hAnsi="宋体"/>
                <w:sz w:val="21"/>
                <w:szCs w:val="21"/>
              </w:rPr>
            </w:pPr>
            <w:r>
              <w:rPr>
                <w:rFonts w:hint="eastAsia" w:ascii="宋体" w:hAnsi="宋体"/>
                <w:sz w:val="21"/>
                <w:szCs w:val="21"/>
              </w:rPr>
              <w:t>须有AAA标志</w:t>
            </w:r>
          </w:p>
        </w:tc>
        <w:tc>
          <w:tcPr>
            <w:tcW w:w="695" w:type="pct"/>
            <w:tcBorders>
              <w:top w:val="single" w:color="auto" w:sz="4" w:space="0"/>
              <w:left w:val="nil"/>
              <w:bottom w:val="single" w:color="auto" w:sz="4" w:space="0"/>
              <w:right w:val="single" w:color="auto" w:sz="4" w:space="0"/>
            </w:tcBorders>
          </w:tcPr>
          <w:p w14:paraId="0FD78515">
            <w:pPr>
              <w:spacing w:line="273" w:lineRule="auto"/>
              <w:jc w:val="center"/>
              <w:rPr>
                <w:rFonts w:ascii="宋体" w:hAnsi="宋体"/>
                <w:sz w:val="21"/>
                <w:szCs w:val="21"/>
              </w:rPr>
            </w:pPr>
            <w:r>
              <w:rPr>
                <w:rFonts w:hint="eastAsia" w:ascii="宋体" w:hAnsi="宋体"/>
                <w:sz w:val="21"/>
                <w:szCs w:val="21"/>
              </w:rPr>
              <w:t>杉木芯或柳安芯</w:t>
            </w:r>
          </w:p>
          <w:p w14:paraId="42B37BD3">
            <w:pPr>
              <w:jc w:val="center"/>
              <w:rPr>
                <w:rFonts w:ascii="宋体" w:hAnsi="宋体"/>
                <w:sz w:val="21"/>
                <w:szCs w:val="21"/>
              </w:rPr>
            </w:pPr>
            <w:r>
              <w:rPr>
                <w:rFonts w:hint="eastAsia" w:ascii="宋体" w:hAnsi="宋体"/>
                <w:sz w:val="21"/>
                <w:szCs w:val="21"/>
              </w:rPr>
              <w:t>板材打电脑编码</w:t>
            </w:r>
          </w:p>
        </w:tc>
      </w:tr>
      <w:tr w14:paraId="220E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0D56EBE">
            <w:pPr>
              <w:jc w:val="center"/>
              <w:rPr>
                <w:rFonts w:ascii="宋体" w:hAnsi="宋体"/>
                <w:sz w:val="21"/>
                <w:szCs w:val="21"/>
              </w:rPr>
            </w:pPr>
            <w:r>
              <w:rPr>
                <w:rFonts w:hint="eastAsia" w:ascii="宋体" w:hAnsi="宋体"/>
                <w:sz w:val="21"/>
                <w:szCs w:val="21"/>
              </w:rPr>
              <w:t>28</w:t>
            </w:r>
          </w:p>
        </w:tc>
        <w:tc>
          <w:tcPr>
            <w:tcW w:w="1439" w:type="pct"/>
            <w:tcBorders>
              <w:top w:val="single" w:color="auto" w:sz="4" w:space="0"/>
              <w:left w:val="nil"/>
              <w:bottom w:val="single" w:color="auto" w:sz="4" w:space="0"/>
              <w:right w:val="single" w:color="auto" w:sz="4" w:space="0"/>
            </w:tcBorders>
            <w:vAlign w:val="center"/>
          </w:tcPr>
          <w:p w14:paraId="67471565">
            <w:pPr>
              <w:jc w:val="center"/>
              <w:rPr>
                <w:rFonts w:ascii="宋体" w:hAnsi="宋体"/>
                <w:sz w:val="21"/>
                <w:szCs w:val="21"/>
              </w:rPr>
            </w:pPr>
            <w:r>
              <w:rPr>
                <w:rFonts w:hint="eastAsia" w:ascii="宋体" w:hAnsi="宋体"/>
                <w:sz w:val="21"/>
                <w:szCs w:val="21"/>
              </w:rPr>
              <w:t>钢筋</w:t>
            </w:r>
          </w:p>
        </w:tc>
        <w:tc>
          <w:tcPr>
            <w:tcW w:w="1924" w:type="pct"/>
            <w:tcBorders>
              <w:top w:val="single" w:color="auto" w:sz="4" w:space="0"/>
              <w:left w:val="nil"/>
              <w:bottom w:val="single" w:color="auto" w:sz="4" w:space="0"/>
              <w:right w:val="single" w:color="auto" w:sz="4" w:space="0"/>
            </w:tcBorders>
            <w:vAlign w:val="center"/>
          </w:tcPr>
          <w:p w14:paraId="6B1CE343">
            <w:pPr>
              <w:jc w:val="center"/>
              <w:rPr>
                <w:rFonts w:ascii="宋体" w:hAnsi="宋体"/>
                <w:sz w:val="21"/>
                <w:szCs w:val="21"/>
              </w:rPr>
            </w:pPr>
            <w:r>
              <w:rPr>
                <w:rFonts w:hint="eastAsia" w:ascii="宋体" w:hAnsi="宋体"/>
                <w:sz w:val="21"/>
                <w:szCs w:val="21"/>
              </w:rPr>
              <w:t>沙钢，马钢，宝钢</w:t>
            </w:r>
          </w:p>
        </w:tc>
        <w:tc>
          <w:tcPr>
            <w:tcW w:w="572" w:type="pct"/>
            <w:tcBorders>
              <w:top w:val="single" w:color="auto" w:sz="4" w:space="0"/>
              <w:left w:val="nil"/>
              <w:bottom w:val="single" w:color="auto" w:sz="4" w:space="0"/>
              <w:right w:val="single" w:color="auto" w:sz="4" w:space="0"/>
            </w:tcBorders>
            <w:vAlign w:val="center"/>
          </w:tcPr>
          <w:p w14:paraId="7C1F190C">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7252757E">
            <w:pPr>
              <w:spacing w:line="273" w:lineRule="auto"/>
              <w:jc w:val="center"/>
              <w:rPr>
                <w:rFonts w:ascii="宋体" w:hAnsi="宋体"/>
                <w:sz w:val="21"/>
                <w:szCs w:val="21"/>
              </w:rPr>
            </w:pPr>
          </w:p>
        </w:tc>
      </w:tr>
      <w:tr w14:paraId="70DC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F22BA48">
            <w:pPr>
              <w:jc w:val="center"/>
              <w:rPr>
                <w:rFonts w:ascii="宋体" w:hAnsi="宋体"/>
                <w:sz w:val="21"/>
                <w:szCs w:val="21"/>
              </w:rPr>
            </w:pPr>
            <w:r>
              <w:rPr>
                <w:rFonts w:hint="eastAsia" w:ascii="宋体" w:hAnsi="宋体"/>
                <w:sz w:val="21"/>
                <w:szCs w:val="21"/>
              </w:rPr>
              <w:t>29</w:t>
            </w:r>
          </w:p>
        </w:tc>
        <w:tc>
          <w:tcPr>
            <w:tcW w:w="1439" w:type="pct"/>
            <w:tcBorders>
              <w:top w:val="single" w:color="auto" w:sz="4" w:space="0"/>
              <w:left w:val="nil"/>
              <w:bottom w:val="single" w:color="auto" w:sz="4" w:space="0"/>
              <w:right w:val="single" w:color="auto" w:sz="4" w:space="0"/>
            </w:tcBorders>
            <w:vAlign w:val="center"/>
          </w:tcPr>
          <w:p w14:paraId="51E783F4">
            <w:pPr>
              <w:jc w:val="center"/>
              <w:rPr>
                <w:rFonts w:ascii="宋体" w:hAnsi="宋体"/>
                <w:sz w:val="21"/>
                <w:szCs w:val="21"/>
              </w:rPr>
            </w:pPr>
            <w:r>
              <w:rPr>
                <w:rFonts w:hint="eastAsia" w:ascii="宋体" w:hAnsi="宋体"/>
                <w:sz w:val="21"/>
                <w:szCs w:val="21"/>
              </w:rPr>
              <w:t>植筋胶</w:t>
            </w:r>
          </w:p>
        </w:tc>
        <w:tc>
          <w:tcPr>
            <w:tcW w:w="1924" w:type="pct"/>
            <w:tcBorders>
              <w:top w:val="single" w:color="auto" w:sz="4" w:space="0"/>
              <w:left w:val="nil"/>
              <w:bottom w:val="single" w:color="auto" w:sz="4" w:space="0"/>
              <w:right w:val="single" w:color="auto" w:sz="4" w:space="0"/>
            </w:tcBorders>
            <w:vAlign w:val="center"/>
          </w:tcPr>
          <w:p w14:paraId="6D05E6E5">
            <w:pPr>
              <w:jc w:val="center"/>
              <w:rPr>
                <w:rFonts w:ascii="宋体" w:hAnsi="宋体"/>
                <w:sz w:val="21"/>
                <w:szCs w:val="21"/>
              </w:rPr>
            </w:pPr>
            <w:r>
              <w:rPr>
                <w:rFonts w:hint="eastAsia" w:ascii="宋体" w:hAnsi="宋体"/>
                <w:sz w:val="21"/>
                <w:szCs w:val="21"/>
              </w:rPr>
              <w:t>喜利得、东丽、慧鱼</w:t>
            </w:r>
          </w:p>
        </w:tc>
        <w:tc>
          <w:tcPr>
            <w:tcW w:w="572" w:type="pct"/>
            <w:tcBorders>
              <w:top w:val="single" w:color="auto" w:sz="4" w:space="0"/>
              <w:left w:val="nil"/>
              <w:bottom w:val="single" w:color="auto" w:sz="4" w:space="0"/>
              <w:right w:val="single" w:color="auto" w:sz="4" w:space="0"/>
            </w:tcBorders>
            <w:vAlign w:val="center"/>
          </w:tcPr>
          <w:p w14:paraId="26126D1D">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5914E197">
            <w:pPr>
              <w:spacing w:line="273" w:lineRule="auto"/>
              <w:jc w:val="center"/>
              <w:rPr>
                <w:rFonts w:ascii="宋体" w:hAnsi="宋体"/>
                <w:sz w:val="21"/>
                <w:szCs w:val="21"/>
              </w:rPr>
            </w:pPr>
          </w:p>
        </w:tc>
      </w:tr>
      <w:tr w14:paraId="001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585841F">
            <w:pPr>
              <w:jc w:val="center"/>
              <w:rPr>
                <w:rFonts w:ascii="宋体" w:hAnsi="宋体"/>
                <w:sz w:val="21"/>
                <w:szCs w:val="21"/>
              </w:rPr>
            </w:pPr>
            <w:r>
              <w:rPr>
                <w:rFonts w:hint="eastAsia" w:ascii="宋体" w:hAnsi="宋体"/>
                <w:sz w:val="21"/>
                <w:szCs w:val="21"/>
              </w:rPr>
              <w:t>30</w:t>
            </w:r>
          </w:p>
        </w:tc>
        <w:tc>
          <w:tcPr>
            <w:tcW w:w="1439" w:type="pct"/>
            <w:tcBorders>
              <w:top w:val="single" w:color="auto" w:sz="4" w:space="0"/>
              <w:left w:val="nil"/>
              <w:bottom w:val="single" w:color="auto" w:sz="4" w:space="0"/>
              <w:right w:val="single" w:color="auto" w:sz="4" w:space="0"/>
            </w:tcBorders>
            <w:vAlign w:val="center"/>
          </w:tcPr>
          <w:p w14:paraId="48A99625">
            <w:pPr>
              <w:jc w:val="center"/>
              <w:rPr>
                <w:rFonts w:ascii="宋体" w:hAnsi="宋体"/>
                <w:sz w:val="21"/>
                <w:szCs w:val="21"/>
              </w:rPr>
            </w:pPr>
            <w:r>
              <w:rPr>
                <w:rFonts w:hint="eastAsia" w:ascii="宋体" w:hAnsi="宋体"/>
                <w:sz w:val="21"/>
                <w:szCs w:val="21"/>
              </w:rPr>
              <w:t>碳纤维布、碳纤维布胶粘剂</w:t>
            </w:r>
          </w:p>
        </w:tc>
        <w:tc>
          <w:tcPr>
            <w:tcW w:w="1924" w:type="pct"/>
            <w:tcBorders>
              <w:top w:val="single" w:color="auto" w:sz="4" w:space="0"/>
              <w:left w:val="nil"/>
              <w:bottom w:val="single" w:color="auto" w:sz="4" w:space="0"/>
              <w:right w:val="single" w:color="auto" w:sz="4" w:space="0"/>
            </w:tcBorders>
            <w:vAlign w:val="center"/>
          </w:tcPr>
          <w:p w14:paraId="13AFBE6A">
            <w:pPr>
              <w:jc w:val="center"/>
              <w:rPr>
                <w:rFonts w:ascii="宋体" w:hAnsi="宋体"/>
                <w:sz w:val="21"/>
                <w:szCs w:val="21"/>
              </w:rPr>
            </w:pPr>
            <w:r>
              <w:rPr>
                <w:rFonts w:hint="eastAsia" w:ascii="宋体" w:hAnsi="宋体"/>
                <w:sz w:val="21"/>
                <w:szCs w:val="21"/>
              </w:rPr>
              <w:t>巴斯夫、东丽、东邦</w:t>
            </w:r>
          </w:p>
        </w:tc>
        <w:tc>
          <w:tcPr>
            <w:tcW w:w="572" w:type="pct"/>
            <w:tcBorders>
              <w:top w:val="single" w:color="auto" w:sz="4" w:space="0"/>
              <w:left w:val="nil"/>
              <w:bottom w:val="single" w:color="auto" w:sz="4" w:space="0"/>
              <w:right w:val="single" w:color="auto" w:sz="4" w:space="0"/>
            </w:tcBorders>
            <w:vAlign w:val="center"/>
          </w:tcPr>
          <w:p w14:paraId="2B2476B6">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7BB8880A">
            <w:pPr>
              <w:spacing w:line="273" w:lineRule="auto"/>
              <w:jc w:val="center"/>
              <w:rPr>
                <w:rFonts w:ascii="宋体" w:hAnsi="宋体"/>
                <w:sz w:val="21"/>
                <w:szCs w:val="21"/>
              </w:rPr>
            </w:pPr>
          </w:p>
        </w:tc>
      </w:tr>
      <w:tr w14:paraId="2A6E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4DD8ECD">
            <w:pPr>
              <w:jc w:val="center"/>
              <w:rPr>
                <w:rFonts w:ascii="宋体" w:hAnsi="宋体"/>
                <w:sz w:val="21"/>
                <w:szCs w:val="21"/>
              </w:rPr>
            </w:pPr>
            <w:r>
              <w:rPr>
                <w:rFonts w:hint="eastAsia" w:ascii="宋体" w:hAnsi="宋体"/>
                <w:sz w:val="21"/>
                <w:szCs w:val="21"/>
              </w:rPr>
              <w:t>31</w:t>
            </w:r>
          </w:p>
        </w:tc>
        <w:tc>
          <w:tcPr>
            <w:tcW w:w="1439" w:type="pct"/>
            <w:tcBorders>
              <w:top w:val="single" w:color="auto" w:sz="4" w:space="0"/>
              <w:left w:val="nil"/>
              <w:bottom w:val="single" w:color="auto" w:sz="4" w:space="0"/>
              <w:right w:val="single" w:color="auto" w:sz="4" w:space="0"/>
            </w:tcBorders>
            <w:vAlign w:val="center"/>
          </w:tcPr>
          <w:p w14:paraId="35D5003F">
            <w:pPr>
              <w:jc w:val="center"/>
              <w:rPr>
                <w:rFonts w:ascii="宋体" w:hAnsi="宋体"/>
                <w:sz w:val="21"/>
                <w:szCs w:val="21"/>
              </w:rPr>
            </w:pPr>
            <w:r>
              <w:rPr>
                <w:rFonts w:hint="eastAsia" w:ascii="宋体" w:hAnsi="宋体"/>
                <w:sz w:val="21"/>
                <w:szCs w:val="21"/>
              </w:rPr>
              <w:t>成品钢板</w:t>
            </w:r>
          </w:p>
        </w:tc>
        <w:tc>
          <w:tcPr>
            <w:tcW w:w="1924" w:type="pct"/>
            <w:tcBorders>
              <w:top w:val="single" w:color="auto" w:sz="4" w:space="0"/>
              <w:left w:val="nil"/>
              <w:bottom w:val="single" w:color="auto" w:sz="4" w:space="0"/>
              <w:right w:val="single" w:color="auto" w:sz="4" w:space="0"/>
            </w:tcBorders>
            <w:vAlign w:val="center"/>
          </w:tcPr>
          <w:p w14:paraId="5EE1BBD0">
            <w:pPr>
              <w:jc w:val="center"/>
              <w:rPr>
                <w:rFonts w:ascii="宋体" w:hAnsi="宋体"/>
                <w:sz w:val="21"/>
                <w:szCs w:val="21"/>
              </w:rPr>
            </w:pPr>
            <w:r>
              <w:rPr>
                <w:rFonts w:hint="eastAsia" w:ascii="宋体" w:hAnsi="宋体"/>
                <w:sz w:val="21"/>
                <w:szCs w:val="21"/>
              </w:rPr>
              <w:t>霍曼、诺沃芬、格满林</w:t>
            </w:r>
          </w:p>
        </w:tc>
        <w:tc>
          <w:tcPr>
            <w:tcW w:w="572" w:type="pct"/>
            <w:tcBorders>
              <w:top w:val="single" w:color="auto" w:sz="4" w:space="0"/>
              <w:left w:val="nil"/>
              <w:bottom w:val="single" w:color="auto" w:sz="4" w:space="0"/>
              <w:right w:val="single" w:color="auto" w:sz="4" w:space="0"/>
            </w:tcBorders>
            <w:vAlign w:val="center"/>
          </w:tcPr>
          <w:p w14:paraId="577E1E01">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7787A427">
            <w:pPr>
              <w:spacing w:line="273" w:lineRule="auto"/>
              <w:jc w:val="center"/>
              <w:rPr>
                <w:rFonts w:ascii="宋体" w:hAnsi="宋体"/>
                <w:sz w:val="21"/>
                <w:szCs w:val="21"/>
              </w:rPr>
            </w:pPr>
          </w:p>
        </w:tc>
      </w:tr>
      <w:tr w14:paraId="771B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467D9D0">
            <w:pPr>
              <w:jc w:val="center"/>
              <w:rPr>
                <w:rFonts w:ascii="宋体" w:hAnsi="宋体"/>
                <w:sz w:val="21"/>
                <w:szCs w:val="21"/>
              </w:rPr>
            </w:pPr>
            <w:r>
              <w:rPr>
                <w:rFonts w:hint="eastAsia" w:ascii="宋体" w:hAnsi="宋体"/>
                <w:sz w:val="21"/>
                <w:szCs w:val="21"/>
              </w:rPr>
              <w:t>32</w:t>
            </w:r>
          </w:p>
        </w:tc>
        <w:tc>
          <w:tcPr>
            <w:tcW w:w="1439" w:type="pct"/>
            <w:tcBorders>
              <w:top w:val="single" w:color="auto" w:sz="4" w:space="0"/>
              <w:left w:val="nil"/>
              <w:bottom w:val="single" w:color="auto" w:sz="4" w:space="0"/>
              <w:right w:val="single" w:color="auto" w:sz="4" w:space="0"/>
            </w:tcBorders>
            <w:vAlign w:val="center"/>
          </w:tcPr>
          <w:p w14:paraId="017F9CD0">
            <w:pPr>
              <w:jc w:val="center"/>
              <w:rPr>
                <w:rFonts w:ascii="宋体" w:hAnsi="宋体"/>
                <w:sz w:val="21"/>
                <w:szCs w:val="21"/>
              </w:rPr>
            </w:pPr>
            <w:r>
              <w:rPr>
                <w:rFonts w:hint="eastAsia" w:ascii="宋体" w:hAnsi="宋体"/>
                <w:sz w:val="21"/>
                <w:szCs w:val="21"/>
              </w:rPr>
              <w:t>地簧门</w:t>
            </w:r>
          </w:p>
        </w:tc>
        <w:tc>
          <w:tcPr>
            <w:tcW w:w="1924" w:type="pct"/>
            <w:tcBorders>
              <w:top w:val="single" w:color="auto" w:sz="4" w:space="0"/>
              <w:left w:val="nil"/>
              <w:bottom w:val="single" w:color="auto" w:sz="4" w:space="0"/>
              <w:right w:val="single" w:color="auto" w:sz="4" w:space="0"/>
            </w:tcBorders>
            <w:vAlign w:val="center"/>
          </w:tcPr>
          <w:p w14:paraId="35D7424D">
            <w:pPr>
              <w:jc w:val="center"/>
              <w:rPr>
                <w:rFonts w:ascii="宋体" w:hAnsi="宋体"/>
                <w:sz w:val="21"/>
                <w:szCs w:val="21"/>
              </w:rPr>
            </w:pPr>
            <w:r>
              <w:rPr>
                <w:rFonts w:hint="eastAsia" w:ascii="宋体" w:hAnsi="宋体"/>
                <w:sz w:val="21"/>
                <w:szCs w:val="21"/>
              </w:rPr>
              <w:t>GMT、多玛、史丹利</w:t>
            </w:r>
          </w:p>
        </w:tc>
        <w:tc>
          <w:tcPr>
            <w:tcW w:w="572" w:type="pct"/>
            <w:tcBorders>
              <w:top w:val="single" w:color="auto" w:sz="4" w:space="0"/>
              <w:left w:val="nil"/>
              <w:bottom w:val="single" w:color="auto" w:sz="4" w:space="0"/>
              <w:right w:val="single" w:color="auto" w:sz="4" w:space="0"/>
            </w:tcBorders>
            <w:vAlign w:val="center"/>
          </w:tcPr>
          <w:p w14:paraId="39DE9806">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3534CC84">
            <w:pPr>
              <w:spacing w:line="273" w:lineRule="auto"/>
              <w:jc w:val="center"/>
              <w:rPr>
                <w:rFonts w:ascii="宋体" w:hAnsi="宋体"/>
                <w:sz w:val="21"/>
                <w:szCs w:val="21"/>
              </w:rPr>
            </w:pPr>
          </w:p>
        </w:tc>
      </w:tr>
      <w:tr w14:paraId="2B20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E928E9E">
            <w:pPr>
              <w:jc w:val="center"/>
              <w:rPr>
                <w:rFonts w:ascii="宋体" w:hAnsi="宋体"/>
                <w:sz w:val="21"/>
                <w:szCs w:val="21"/>
              </w:rPr>
            </w:pPr>
            <w:r>
              <w:rPr>
                <w:rFonts w:hint="eastAsia" w:ascii="宋体" w:hAnsi="宋体"/>
                <w:sz w:val="21"/>
                <w:szCs w:val="21"/>
              </w:rPr>
              <w:t>33</w:t>
            </w:r>
          </w:p>
        </w:tc>
        <w:tc>
          <w:tcPr>
            <w:tcW w:w="1439" w:type="pct"/>
            <w:tcBorders>
              <w:top w:val="single" w:color="auto" w:sz="4" w:space="0"/>
              <w:left w:val="nil"/>
              <w:bottom w:val="single" w:color="auto" w:sz="4" w:space="0"/>
              <w:right w:val="single" w:color="auto" w:sz="4" w:space="0"/>
            </w:tcBorders>
            <w:vAlign w:val="center"/>
          </w:tcPr>
          <w:p w14:paraId="6BF67918">
            <w:pPr>
              <w:jc w:val="center"/>
              <w:rPr>
                <w:rFonts w:ascii="宋体" w:hAnsi="宋体"/>
                <w:sz w:val="21"/>
                <w:szCs w:val="21"/>
              </w:rPr>
            </w:pPr>
            <w:r>
              <w:rPr>
                <w:rFonts w:hint="eastAsia" w:ascii="宋体" w:hAnsi="宋体"/>
                <w:sz w:val="21"/>
                <w:szCs w:val="21"/>
              </w:rPr>
              <w:t>闭门器</w:t>
            </w:r>
          </w:p>
        </w:tc>
        <w:tc>
          <w:tcPr>
            <w:tcW w:w="1924" w:type="pct"/>
            <w:tcBorders>
              <w:top w:val="single" w:color="auto" w:sz="4" w:space="0"/>
              <w:left w:val="nil"/>
              <w:bottom w:val="single" w:color="auto" w:sz="4" w:space="0"/>
              <w:right w:val="single" w:color="auto" w:sz="4" w:space="0"/>
            </w:tcBorders>
            <w:vAlign w:val="center"/>
          </w:tcPr>
          <w:p w14:paraId="59B4C0E7">
            <w:pPr>
              <w:jc w:val="center"/>
              <w:rPr>
                <w:rFonts w:ascii="宋体" w:hAnsi="宋体"/>
                <w:sz w:val="21"/>
                <w:szCs w:val="21"/>
              </w:rPr>
            </w:pPr>
            <w:r>
              <w:rPr>
                <w:rFonts w:hint="eastAsia" w:ascii="宋体" w:hAnsi="宋体"/>
                <w:sz w:val="21"/>
                <w:szCs w:val="21"/>
              </w:rPr>
              <w:t>盖泽、多玛、GMT</w:t>
            </w:r>
          </w:p>
        </w:tc>
        <w:tc>
          <w:tcPr>
            <w:tcW w:w="572" w:type="pct"/>
            <w:tcBorders>
              <w:top w:val="single" w:color="auto" w:sz="4" w:space="0"/>
              <w:left w:val="nil"/>
              <w:bottom w:val="single" w:color="auto" w:sz="4" w:space="0"/>
              <w:right w:val="single" w:color="auto" w:sz="4" w:space="0"/>
            </w:tcBorders>
            <w:vAlign w:val="center"/>
          </w:tcPr>
          <w:p w14:paraId="700CD825">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3415CA37">
            <w:pPr>
              <w:spacing w:line="273" w:lineRule="auto"/>
              <w:jc w:val="center"/>
              <w:rPr>
                <w:rFonts w:ascii="宋体" w:hAnsi="宋体"/>
                <w:sz w:val="21"/>
                <w:szCs w:val="21"/>
              </w:rPr>
            </w:pPr>
          </w:p>
        </w:tc>
      </w:tr>
      <w:tr w14:paraId="1C29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4558386">
            <w:pPr>
              <w:jc w:val="center"/>
              <w:rPr>
                <w:rFonts w:ascii="宋体" w:hAnsi="宋体"/>
                <w:sz w:val="21"/>
                <w:szCs w:val="21"/>
              </w:rPr>
            </w:pPr>
            <w:r>
              <w:rPr>
                <w:rFonts w:hint="eastAsia" w:ascii="宋体" w:hAnsi="宋体"/>
                <w:sz w:val="21"/>
                <w:szCs w:val="21"/>
              </w:rPr>
              <w:t>34</w:t>
            </w:r>
          </w:p>
        </w:tc>
        <w:tc>
          <w:tcPr>
            <w:tcW w:w="1439" w:type="pct"/>
            <w:tcBorders>
              <w:top w:val="single" w:color="auto" w:sz="4" w:space="0"/>
              <w:left w:val="nil"/>
              <w:bottom w:val="single" w:color="auto" w:sz="4" w:space="0"/>
              <w:right w:val="single" w:color="auto" w:sz="4" w:space="0"/>
            </w:tcBorders>
            <w:vAlign w:val="center"/>
          </w:tcPr>
          <w:p w14:paraId="6BE7F21C">
            <w:pPr>
              <w:jc w:val="center"/>
              <w:rPr>
                <w:rFonts w:ascii="宋体" w:hAnsi="宋体"/>
                <w:sz w:val="21"/>
                <w:szCs w:val="21"/>
              </w:rPr>
            </w:pPr>
            <w:r>
              <w:rPr>
                <w:rFonts w:hint="eastAsia" w:ascii="宋体" w:hAnsi="宋体"/>
                <w:sz w:val="21"/>
                <w:szCs w:val="21"/>
              </w:rPr>
              <w:t>断桥铝合金窗户</w:t>
            </w:r>
          </w:p>
        </w:tc>
        <w:tc>
          <w:tcPr>
            <w:tcW w:w="1924" w:type="pct"/>
            <w:tcBorders>
              <w:top w:val="single" w:color="auto" w:sz="4" w:space="0"/>
              <w:left w:val="nil"/>
              <w:bottom w:val="single" w:color="auto" w:sz="4" w:space="0"/>
              <w:right w:val="single" w:color="auto" w:sz="4" w:space="0"/>
            </w:tcBorders>
            <w:vAlign w:val="center"/>
          </w:tcPr>
          <w:p w14:paraId="6895856C">
            <w:pPr>
              <w:jc w:val="center"/>
              <w:rPr>
                <w:rFonts w:ascii="宋体" w:hAnsi="宋体"/>
                <w:sz w:val="21"/>
                <w:szCs w:val="21"/>
              </w:rPr>
            </w:pPr>
            <w:r>
              <w:rPr>
                <w:rFonts w:hint="eastAsia" w:ascii="宋体" w:hAnsi="宋体"/>
                <w:sz w:val="21"/>
                <w:szCs w:val="21"/>
              </w:rPr>
              <w:t>凤铝、福腾、栋梁</w:t>
            </w:r>
          </w:p>
        </w:tc>
        <w:tc>
          <w:tcPr>
            <w:tcW w:w="572" w:type="pct"/>
            <w:tcBorders>
              <w:top w:val="single" w:color="auto" w:sz="4" w:space="0"/>
              <w:left w:val="nil"/>
              <w:bottom w:val="single" w:color="auto" w:sz="4" w:space="0"/>
              <w:right w:val="single" w:color="auto" w:sz="4" w:space="0"/>
            </w:tcBorders>
            <w:vAlign w:val="center"/>
          </w:tcPr>
          <w:p w14:paraId="4BE3C065">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522C1004">
            <w:pPr>
              <w:spacing w:line="273" w:lineRule="auto"/>
              <w:jc w:val="center"/>
              <w:rPr>
                <w:rFonts w:ascii="宋体" w:hAnsi="宋体"/>
                <w:sz w:val="21"/>
                <w:szCs w:val="21"/>
              </w:rPr>
            </w:pPr>
          </w:p>
        </w:tc>
      </w:tr>
      <w:tr w14:paraId="6282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0C82F4E">
            <w:pPr>
              <w:jc w:val="center"/>
              <w:rPr>
                <w:rFonts w:ascii="宋体" w:hAnsi="宋体"/>
                <w:sz w:val="21"/>
                <w:szCs w:val="21"/>
              </w:rPr>
            </w:pPr>
            <w:r>
              <w:rPr>
                <w:rFonts w:hint="eastAsia" w:ascii="宋体" w:hAnsi="宋体"/>
                <w:sz w:val="21"/>
                <w:szCs w:val="21"/>
              </w:rPr>
              <w:t>35</w:t>
            </w:r>
          </w:p>
        </w:tc>
        <w:tc>
          <w:tcPr>
            <w:tcW w:w="1439" w:type="pct"/>
            <w:tcBorders>
              <w:top w:val="single" w:color="auto" w:sz="4" w:space="0"/>
              <w:left w:val="nil"/>
              <w:bottom w:val="single" w:color="auto" w:sz="4" w:space="0"/>
              <w:right w:val="single" w:color="auto" w:sz="4" w:space="0"/>
            </w:tcBorders>
            <w:vAlign w:val="center"/>
          </w:tcPr>
          <w:p w14:paraId="635F7554">
            <w:pPr>
              <w:jc w:val="center"/>
              <w:rPr>
                <w:rFonts w:ascii="宋体" w:hAnsi="宋体"/>
                <w:sz w:val="21"/>
                <w:szCs w:val="21"/>
              </w:rPr>
            </w:pPr>
            <w:r>
              <w:rPr>
                <w:rFonts w:hint="eastAsia" w:ascii="宋体" w:hAnsi="宋体"/>
                <w:sz w:val="21"/>
                <w:szCs w:val="21"/>
              </w:rPr>
              <w:t>铝合金门窗五金件</w:t>
            </w:r>
          </w:p>
        </w:tc>
        <w:tc>
          <w:tcPr>
            <w:tcW w:w="1924" w:type="pct"/>
            <w:tcBorders>
              <w:top w:val="single" w:color="auto" w:sz="4" w:space="0"/>
              <w:left w:val="nil"/>
              <w:bottom w:val="single" w:color="auto" w:sz="4" w:space="0"/>
              <w:right w:val="single" w:color="auto" w:sz="4" w:space="0"/>
            </w:tcBorders>
            <w:vAlign w:val="center"/>
          </w:tcPr>
          <w:p w14:paraId="7E8318CE">
            <w:pPr>
              <w:jc w:val="center"/>
              <w:rPr>
                <w:rFonts w:ascii="宋体" w:hAnsi="宋体"/>
                <w:sz w:val="21"/>
                <w:szCs w:val="21"/>
              </w:rPr>
            </w:pPr>
            <w:r>
              <w:rPr>
                <w:rFonts w:hint="eastAsia" w:ascii="宋体" w:hAnsi="宋体"/>
                <w:sz w:val="21"/>
                <w:szCs w:val="21"/>
              </w:rPr>
              <w:t>坚朗、杨氏立兴、GMT</w:t>
            </w:r>
          </w:p>
        </w:tc>
        <w:tc>
          <w:tcPr>
            <w:tcW w:w="572" w:type="pct"/>
            <w:tcBorders>
              <w:top w:val="single" w:color="auto" w:sz="4" w:space="0"/>
              <w:left w:val="nil"/>
              <w:bottom w:val="single" w:color="auto" w:sz="4" w:space="0"/>
              <w:right w:val="single" w:color="auto" w:sz="4" w:space="0"/>
            </w:tcBorders>
            <w:vAlign w:val="center"/>
          </w:tcPr>
          <w:p w14:paraId="5E9D51DC">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4BC3F4C0">
            <w:pPr>
              <w:spacing w:line="273" w:lineRule="auto"/>
              <w:jc w:val="center"/>
              <w:rPr>
                <w:rFonts w:ascii="宋体" w:hAnsi="宋体"/>
                <w:sz w:val="21"/>
                <w:szCs w:val="21"/>
              </w:rPr>
            </w:pPr>
          </w:p>
        </w:tc>
      </w:tr>
      <w:tr w14:paraId="3F54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F17A20B">
            <w:pPr>
              <w:jc w:val="center"/>
              <w:rPr>
                <w:rFonts w:ascii="宋体" w:hAnsi="宋体"/>
                <w:sz w:val="21"/>
                <w:szCs w:val="21"/>
              </w:rPr>
            </w:pPr>
            <w:r>
              <w:rPr>
                <w:rFonts w:hint="eastAsia" w:ascii="宋体" w:hAnsi="宋体"/>
                <w:sz w:val="21"/>
                <w:szCs w:val="21"/>
              </w:rPr>
              <w:t>36</w:t>
            </w:r>
          </w:p>
        </w:tc>
        <w:tc>
          <w:tcPr>
            <w:tcW w:w="1439" w:type="pct"/>
            <w:tcBorders>
              <w:top w:val="single" w:color="auto" w:sz="4" w:space="0"/>
              <w:left w:val="nil"/>
              <w:bottom w:val="single" w:color="auto" w:sz="4" w:space="0"/>
              <w:right w:val="single" w:color="auto" w:sz="4" w:space="0"/>
            </w:tcBorders>
            <w:vAlign w:val="center"/>
          </w:tcPr>
          <w:p w14:paraId="24A685F1">
            <w:pPr>
              <w:jc w:val="center"/>
              <w:rPr>
                <w:rFonts w:ascii="宋体" w:hAnsi="宋体"/>
                <w:sz w:val="21"/>
                <w:szCs w:val="21"/>
              </w:rPr>
            </w:pPr>
            <w:r>
              <w:rPr>
                <w:rFonts w:hint="eastAsia" w:ascii="宋体" w:hAnsi="宋体"/>
                <w:sz w:val="21"/>
                <w:szCs w:val="21"/>
              </w:rPr>
              <w:t>复合地板</w:t>
            </w:r>
          </w:p>
        </w:tc>
        <w:tc>
          <w:tcPr>
            <w:tcW w:w="1924" w:type="pct"/>
            <w:tcBorders>
              <w:top w:val="single" w:color="auto" w:sz="4" w:space="0"/>
              <w:left w:val="nil"/>
              <w:bottom w:val="single" w:color="auto" w:sz="4" w:space="0"/>
              <w:right w:val="single" w:color="auto" w:sz="4" w:space="0"/>
            </w:tcBorders>
            <w:vAlign w:val="center"/>
          </w:tcPr>
          <w:p w14:paraId="464086BB">
            <w:pPr>
              <w:jc w:val="center"/>
              <w:rPr>
                <w:rFonts w:ascii="宋体" w:hAnsi="宋体"/>
                <w:sz w:val="21"/>
                <w:szCs w:val="21"/>
              </w:rPr>
            </w:pPr>
            <w:r>
              <w:rPr>
                <w:rFonts w:hint="eastAsia" w:ascii="宋体" w:hAnsi="宋体"/>
                <w:sz w:val="21"/>
                <w:szCs w:val="21"/>
              </w:rPr>
              <w:t>圣象、德尔、安心</w:t>
            </w:r>
          </w:p>
        </w:tc>
        <w:tc>
          <w:tcPr>
            <w:tcW w:w="572" w:type="pct"/>
            <w:tcBorders>
              <w:top w:val="single" w:color="auto" w:sz="4" w:space="0"/>
              <w:left w:val="nil"/>
              <w:bottom w:val="single" w:color="auto" w:sz="4" w:space="0"/>
              <w:right w:val="single" w:color="auto" w:sz="4" w:space="0"/>
            </w:tcBorders>
            <w:vAlign w:val="center"/>
          </w:tcPr>
          <w:p w14:paraId="557FF978">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12F2EB24">
            <w:pPr>
              <w:spacing w:line="273" w:lineRule="auto"/>
              <w:jc w:val="center"/>
              <w:rPr>
                <w:rFonts w:ascii="宋体" w:hAnsi="宋体"/>
                <w:sz w:val="21"/>
                <w:szCs w:val="21"/>
              </w:rPr>
            </w:pPr>
          </w:p>
        </w:tc>
      </w:tr>
      <w:tr w14:paraId="473F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B4E4C51">
            <w:pPr>
              <w:jc w:val="center"/>
              <w:rPr>
                <w:rFonts w:ascii="宋体" w:hAnsi="宋体"/>
                <w:sz w:val="21"/>
                <w:szCs w:val="21"/>
              </w:rPr>
            </w:pPr>
            <w:r>
              <w:rPr>
                <w:rFonts w:hint="eastAsia" w:ascii="宋体" w:hAnsi="宋体"/>
                <w:sz w:val="21"/>
                <w:szCs w:val="21"/>
              </w:rPr>
              <w:t>3</w:t>
            </w:r>
            <w:r>
              <w:rPr>
                <w:rFonts w:ascii="宋体" w:hAnsi="宋体"/>
                <w:sz w:val="21"/>
                <w:szCs w:val="21"/>
              </w:rPr>
              <w:t>7</w:t>
            </w:r>
          </w:p>
        </w:tc>
        <w:tc>
          <w:tcPr>
            <w:tcW w:w="1439" w:type="pct"/>
            <w:tcBorders>
              <w:top w:val="single" w:color="auto" w:sz="4" w:space="0"/>
              <w:left w:val="nil"/>
              <w:bottom w:val="single" w:color="auto" w:sz="4" w:space="0"/>
              <w:right w:val="single" w:color="auto" w:sz="4" w:space="0"/>
            </w:tcBorders>
            <w:vAlign w:val="center"/>
          </w:tcPr>
          <w:p w14:paraId="14AE3667">
            <w:pPr>
              <w:jc w:val="center"/>
              <w:rPr>
                <w:rFonts w:ascii="宋体" w:hAnsi="宋体"/>
                <w:sz w:val="21"/>
                <w:szCs w:val="21"/>
              </w:rPr>
            </w:pPr>
            <w:r>
              <w:rPr>
                <w:rFonts w:hint="eastAsia" w:ascii="宋体" w:hAnsi="宋体"/>
                <w:sz w:val="21"/>
                <w:szCs w:val="21"/>
              </w:rPr>
              <w:t>玻化砖</w:t>
            </w:r>
          </w:p>
        </w:tc>
        <w:tc>
          <w:tcPr>
            <w:tcW w:w="1924" w:type="pct"/>
            <w:tcBorders>
              <w:top w:val="single" w:color="auto" w:sz="4" w:space="0"/>
              <w:left w:val="nil"/>
              <w:bottom w:val="single" w:color="auto" w:sz="4" w:space="0"/>
              <w:right w:val="single" w:color="auto" w:sz="4" w:space="0"/>
            </w:tcBorders>
            <w:vAlign w:val="center"/>
          </w:tcPr>
          <w:p w14:paraId="3C8280D2">
            <w:pPr>
              <w:jc w:val="center"/>
              <w:rPr>
                <w:rFonts w:ascii="宋体" w:hAnsi="宋体"/>
                <w:sz w:val="21"/>
                <w:szCs w:val="21"/>
              </w:rPr>
            </w:pPr>
            <w:r>
              <w:rPr>
                <w:rFonts w:hint="eastAsia" w:ascii="宋体" w:hAnsi="宋体"/>
                <w:sz w:val="21"/>
                <w:szCs w:val="21"/>
              </w:rPr>
              <w:t>萨米特、萨米特、欧登</w:t>
            </w:r>
          </w:p>
        </w:tc>
        <w:tc>
          <w:tcPr>
            <w:tcW w:w="572" w:type="pct"/>
            <w:tcBorders>
              <w:top w:val="single" w:color="auto" w:sz="4" w:space="0"/>
              <w:left w:val="nil"/>
              <w:bottom w:val="single" w:color="auto" w:sz="4" w:space="0"/>
              <w:right w:val="single" w:color="auto" w:sz="4" w:space="0"/>
            </w:tcBorders>
            <w:vAlign w:val="center"/>
          </w:tcPr>
          <w:p w14:paraId="6AAEDA6C">
            <w:pPr>
              <w:jc w:val="center"/>
              <w:rPr>
                <w:rFonts w:ascii="宋体" w:hAnsi="宋体"/>
                <w:sz w:val="21"/>
                <w:szCs w:val="21"/>
              </w:rPr>
            </w:pPr>
          </w:p>
        </w:tc>
        <w:tc>
          <w:tcPr>
            <w:tcW w:w="695" w:type="pct"/>
            <w:tcBorders>
              <w:top w:val="single" w:color="auto" w:sz="4" w:space="0"/>
              <w:left w:val="nil"/>
              <w:bottom w:val="single" w:color="auto" w:sz="4" w:space="0"/>
              <w:right w:val="single" w:color="auto" w:sz="4" w:space="0"/>
            </w:tcBorders>
          </w:tcPr>
          <w:p w14:paraId="57E3E972">
            <w:pPr>
              <w:spacing w:line="273" w:lineRule="auto"/>
              <w:jc w:val="center"/>
              <w:rPr>
                <w:rFonts w:ascii="宋体" w:hAnsi="宋体"/>
                <w:sz w:val="21"/>
                <w:szCs w:val="21"/>
              </w:rPr>
            </w:pPr>
          </w:p>
        </w:tc>
      </w:tr>
    </w:tbl>
    <w:p w14:paraId="40617548">
      <w:pPr>
        <w:pStyle w:val="3"/>
      </w:pPr>
    </w:p>
    <w:p w14:paraId="05857F35"/>
    <w:p w14:paraId="4E9EB857">
      <w:pPr>
        <w:pStyle w:val="7"/>
        <w:adjustRightInd w:val="0"/>
        <w:snapToGrid w:val="0"/>
        <w:spacing w:line="360" w:lineRule="auto"/>
        <w:ind w:firstLine="0"/>
        <w:contextualSpacing/>
        <w:jc w:val="left"/>
        <w:rPr>
          <w:rFonts w:hint="eastAsia" w:hAnsi="宋体" w:cs="宋体"/>
          <w:b/>
          <w:snapToGrid w:val="0"/>
          <w:color w:val="auto"/>
          <w:sz w:val="36"/>
          <w:szCs w:val="36"/>
        </w:rPr>
      </w:pPr>
      <w:r>
        <w:rPr>
          <w:rFonts w:hint="eastAsia" w:hAnsi="宋体" w:cs="宋体"/>
          <w:b/>
          <w:snapToGrid w:val="0"/>
          <w:color w:val="auto"/>
          <w:sz w:val="36"/>
          <w:szCs w:val="36"/>
        </w:rPr>
        <w:br w:type="page"/>
      </w:r>
    </w:p>
    <w:p w14:paraId="7D373E39">
      <w:pPr>
        <w:tabs>
          <w:tab w:val="left" w:pos="0"/>
          <w:tab w:val="left" w:pos="993"/>
          <w:tab w:val="left" w:pos="1134"/>
          <w:tab w:val="left" w:pos="2340"/>
        </w:tabs>
        <w:adjustRightInd w:val="0"/>
        <w:snapToGrid w:val="0"/>
        <w:spacing w:line="360" w:lineRule="auto"/>
        <w:jc w:val="center"/>
        <w:outlineLvl w:val="0"/>
        <w:rPr>
          <w:rFonts w:hint="eastAsia" w:ascii="宋体" w:hAnsi="宋体" w:cs="宋体"/>
          <w:b/>
          <w:snapToGrid w:val="0"/>
          <w:color w:val="auto"/>
          <w:sz w:val="36"/>
          <w:szCs w:val="36"/>
        </w:rPr>
      </w:pPr>
      <w:r>
        <w:rPr>
          <w:rFonts w:hint="eastAsia" w:ascii="宋体" w:hAnsi="宋体" w:cs="宋体"/>
          <w:b/>
          <w:snapToGrid w:val="0"/>
          <w:color w:val="auto"/>
          <w:sz w:val="36"/>
          <w:szCs w:val="36"/>
        </w:rPr>
        <w:t>第四章  工程量清单及招标控制价（另附）</w:t>
      </w:r>
    </w:p>
    <w:p w14:paraId="2D9E6ABB">
      <w:pPr>
        <w:tabs>
          <w:tab w:val="left" w:pos="0"/>
          <w:tab w:val="left" w:pos="993"/>
          <w:tab w:val="left" w:pos="1134"/>
          <w:tab w:val="left" w:pos="2340"/>
        </w:tabs>
        <w:adjustRightInd w:val="0"/>
        <w:snapToGrid w:val="0"/>
        <w:spacing w:line="360" w:lineRule="auto"/>
        <w:jc w:val="center"/>
        <w:rPr>
          <w:rFonts w:hint="eastAsia" w:ascii="宋体" w:hAnsi="宋体" w:cs="宋体"/>
          <w:b/>
          <w:snapToGrid w:val="0"/>
          <w:color w:val="auto"/>
          <w:sz w:val="36"/>
          <w:szCs w:val="36"/>
        </w:rPr>
      </w:pPr>
    </w:p>
    <w:p w14:paraId="2A17BD61">
      <w:pPr>
        <w:tabs>
          <w:tab w:val="left" w:pos="0"/>
          <w:tab w:val="left" w:pos="993"/>
          <w:tab w:val="left" w:pos="1134"/>
          <w:tab w:val="left" w:pos="2340"/>
        </w:tabs>
        <w:adjustRightInd w:val="0"/>
        <w:snapToGrid w:val="0"/>
        <w:spacing w:line="360" w:lineRule="auto"/>
        <w:jc w:val="center"/>
        <w:outlineLvl w:val="0"/>
        <w:rPr>
          <w:rFonts w:hint="eastAsia" w:ascii="宋体" w:hAnsi="宋体" w:cs="宋体"/>
          <w:b/>
          <w:snapToGrid w:val="0"/>
          <w:color w:val="auto"/>
          <w:sz w:val="36"/>
          <w:szCs w:val="36"/>
        </w:rPr>
      </w:pPr>
      <w:r>
        <w:rPr>
          <w:rFonts w:hint="eastAsia" w:ascii="宋体" w:hAnsi="宋体" w:cs="宋体"/>
          <w:b/>
          <w:snapToGrid w:val="0"/>
          <w:color w:val="auto"/>
          <w:sz w:val="36"/>
          <w:szCs w:val="36"/>
        </w:rPr>
        <w:t>第五章  图纸及附件资料（另附）</w:t>
      </w:r>
    </w:p>
    <w:p w14:paraId="34A05050">
      <w:pPr>
        <w:adjustRightInd w:val="0"/>
        <w:snapToGrid w:val="0"/>
        <w:spacing w:line="360" w:lineRule="auto"/>
        <w:jc w:val="center"/>
        <w:rPr>
          <w:rFonts w:hint="eastAsia" w:ascii="宋体" w:hAnsi="宋体" w:cs="宋体"/>
          <w:color w:val="auto"/>
          <w:spacing w:val="8"/>
          <w:kern w:val="2"/>
          <w:sz w:val="28"/>
        </w:rPr>
      </w:pPr>
    </w:p>
    <w:p w14:paraId="099AE8CD">
      <w:pPr>
        <w:adjustRightInd w:val="0"/>
        <w:snapToGrid w:val="0"/>
        <w:spacing w:line="360" w:lineRule="auto"/>
        <w:jc w:val="center"/>
        <w:rPr>
          <w:rFonts w:hint="eastAsia" w:ascii="宋体" w:hAnsi="宋体" w:cs="宋体"/>
          <w:b/>
          <w:snapToGrid w:val="0"/>
          <w:color w:val="auto"/>
          <w:sz w:val="36"/>
          <w:szCs w:val="36"/>
        </w:rPr>
      </w:pPr>
      <w:r>
        <w:rPr>
          <w:rFonts w:hint="eastAsia" w:ascii="宋体" w:hAnsi="宋体" w:cs="宋体"/>
          <w:b/>
          <w:snapToGrid w:val="0"/>
          <w:color w:val="auto"/>
          <w:sz w:val="36"/>
          <w:szCs w:val="36"/>
        </w:rPr>
        <w:br w:type="page"/>
      </w:r>
    </w:p>
    <w:p w14:paraId="207CED47">
      <w:pPr>
        <w:adjustRightInd w:val="0"/>
        <w:snapToGrid w:val="0"/>
        <w:spacing w:line="360" w:lineRule="auto"/>
        <w:jc w:val="center"/>
        <w:rPr>
          <w:rFonts w:hint="eastAsia" w:ascii="宋体" w:hAnsi="宋体" w:cs="宋体"/>
          <w:b/>
          <w:snapToGrid w:val="0"/>
          <w:color w:val="auto"/>
          <w:sz w:val="36"/>
          <w:szCs w:val="36"/>
        </w:rPr>
      </w:pPr>
    </w:p>
    <w:p w14:paraId="34A64296">
      <w:pPr>
        <w:adjustRightInd w:val="0"/>
        <w:snapToGrid w:val="0"/>
        <w:spacing w:line="360" w:lineRule="auto"/>
        <w:jc w:val="center"/>
        <w:rPr>
          <w:rFonts w:hint="eastAsia" w:ascii="宋体" w:hAnsi="宋体" w:cs="宋体"/>
          <w:color w:val="auto"/>
          <w:spacing w:val="8"/>
          <w:kern w:val="2"/>
          <w:sz w:val="28"/>
        </w:rPr>
      </w:pPr>
      <w:r>
        <w:rPr>
          <w:rFonts w:hint="eastAsia" w:ascii="宋体" w:hAnsi="宋体" w:cs="宋体"/>
          <w:b/>
          <w:snapToGrid w:val="0"/>
          <w:color w:val="auto"/>
          <w:sz w:val="36"/>
          <w:szCs w:val="36"/>
        </w:rPr>
        <w:t>第六章  投标文件(格式)</w:t>
      </w:r>
    </w:p>
    <w:p w14:paraId="1C84E0A8">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（封面）</w:t>
      </w:r>
    </w:p>
    <w:p w14:paraId="6184EBAC">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14:paraId="14D9C692">
      <w:pPr>
        <w:adjustRightInd w:val="0"/>
        <w:snapToGrid w:val="0"/>
        <w:spacing w:line="360" w:lineRule="auto"/>
        <w:jc w:val="center"/>
        <w:rPr>
          <w:rFonts w:hint="eastAsia" w:ascii="宋体" w:hAnsi="宋体" w:cs="宋体"/>
          <w:b/>
          <w:color w:val="auto"/>
          <w:sz w:val="36"/>
          <w:szCs w:val="36"/>
          <w:u w:val="single"/>
        </w:rPr>
      </w:pPr>
    </w:p>
    <w:p w14:paraId="6F740130">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u w:val="single"/>
        </w:rPr>
        <w:t xml:space="preserve">                    </w:t>
      </w:r>
      <w:r>
        <w:rPr>
          <w:rFonts w:hint="eastAsia" w:ascii="宋体" w:hAnsi="宋体" w:cs="宋体"/>
          <w:b/>
          <w:color w:val="auto"/>
          <w:sz w:val="36"/>
          <w:szCs w:val="36"/>
        </w:rPr>
        <w:t>（工程名称）</w:t>
      </w:r>
    </w:p>
    <w:p w14:paraId="5E33BF38">
      <w:pPr>
        <w:adjustRightInd w:val="0"/>
        <w:snapToGrid w:val="0"/>
        <w:spacing w:line="360" w:lineRule="auto"/>
        <w:jc w:val="center"/>
        <w:rPr>
          <w:rFonts w:hint="eastAsia" w:ascii="宋体" w:hAnsi="宋体" w:cs="宋体"/>
          <w:color w:val="auto"/>
        </w:rPr>
      </w:pPr>
    </w:p>
    <w:p w14:paraId="034F383A">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资  格  审  查  文  件</w:t>
      </w:r>
    </w:p>
    <w:p w14:paraId="5A8BE0D1">
      <w:pPr>
        <w:adjustRightInd w:val="0"/>
        <w:snapToGrid w:val="0"/>
        <w:spacing w:line="360" w:lineRule="auto"/>
        <w:jc w:val="center"/>
        <w:rPr>
          <w:rFonts w:hint="eastAsia" w:ascii="宋体" w:hAnsi="宋体" w:cs="宋体"/>
          <w:color w:val="auto"/>
          <w:sz w:val="30"/>
          <w:szCs w:val="30"/>
        </w:rPr>
      </w:pPr>
    </w:p>
    <w:p w14:paraId="0C9D6960">
      <w:pPr>
        <w:adjustRightInd w:val="0"/>
        <w:snapToGrid w:val="0"/>
        <w:spacing w:line="360" w:lineRule="auto"/>
        <w:jc w:val="center"/>
        <w:rPr>
          <w:rFonts w:hint="eastAsia" w:ascii="宋体" w:hAnsi="宋体" w:cs="宋体"/>
          <w:color w:val="auto"/>
          <w:sz w:val="28"/>
        </w:rPr>
      </w:pPr>
    </w:p>
    <w:p w14:paraId="7AF70741">
      <w:pPr>
        <w:adjustRightInd w:val="0"/>
        <w:snapToGrid w:val="0"/>
        <w:spacing w:line="360" w:lineRule="auto"/>
        <w:jc w:val="center"/>
        <w:rPr>
          <w:rFonts w:hint="eastAsia" w:ascii="宋体" w:hAnsi="宋体" w:cs="宋体"/>
          <w:color w:val="auto"/>
          <w:sz w:val="28"/>
        </w:rPr>
      </w:pPr>
    </w:p>
    <w:p w14:paraId="416577EA">
      <w:pPr>
        <w:adjustRightInd w:val="0"/>
        <w:snapToGrid w:val="0"/>
        <w:spacing w:line="360" w:lineRule="auto"/>
        <w:jc w:val="center"/>
        <w:rPr>
          <w:rFonts w:hint="eastAsia" w:ascii="宋体" w:hAnsi="宋体" w:cs="宋体"/>
          <w:color w:val="auto"/>
          <w:sz w:val="28"/>
        </w:rPr>
      </w:pPr>
    </w:p>
    <w:p w14:paraId="27A5A362">
      <w:pPr>
        <w:adjustRightInd w:val="0"/>
        <w:snapToGrid w:val="0"/>
        <w:spacing w:line="360" w:lineRule="auto"/>
        <w:ind w:firstLine="1500" w:firstLineChars="500"/>
        <w:jc w:val="both"/>
        <w:rPr>
          <w:rFonts w:hint="eastAsia" w:ascii="宋体" w:hAnsi="宋体" w:cs="宋体"/>
          <w:color w:val="auto"/>
          <w:sz w:val="28"/>
        </w:rPr>
      </w:pPr>
      <w:r>
        <w:rPr>
          <w:rFonts w:hint="eastAsia" w:ascii="宋体" w:hAnsi="宋体" w:cs="宋体"/>
          <w:color w:val="auto"/>
          <w:sz w:val="30"/>
        </w:rPr>
        <w:t>招标人</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30"/>
          <w:u w:val="single"/>
        </w:rPr>
        <w:t xml:space="preserve">写明招标单位名称        </w:t>
      </w:r>
      <w:r>
        <w:rPr>
          <w:rFonts w:hint="eastAsia" w:ascii="宋体" w:hAnsi="宋体" w:cs="宋体"/>
          <w:color w:val="auto"/>
          <w:sz w:val="30"/>
        </w:rPr>
        <w:t xml:space="preserve">               </w:t>
      </w:r>
      <w:r>
        <w:rPr>
          <w:rFonts w:hint="eastAsia" w:ascii="宋体" w:hAnsi="宋体" w:cs="宋体"/>
          <w:color w:val="auto"/>
          <w:sz w:val="28"/>
        </w:rPr>
        <w:t xml:space="preserve">                                </w:t>
      </w:r>
    </w:p>
    <w:p w14:paraId="7B3DBF98">
      <w:pPr>
        <w:adjustRightInd w:val="0"/>
        <w:snapToGrid w:val="0"/>
        <w:spacing w:line="360" w:lineRule="auto"/>
        <w:ind w:firstLine="1500" w:firstLineChars="500"/>
        <w:jc w:val="both"/>
        <w:rPr>
          <w:rFonts w:hint="eastAsia" w:ascii="宋体" w:hAnsi="宋体" w:cs="宋体"/>
          <w:color w:val="auto"/>
          <w:sz w:val="30"/>
          <w:u w:val="single"/>
        </w:rPr>
      </w:pPr>
      <w:r>
        <w:rPr>
          <w:rFonts w:hint="eastAsia" w:ascii="宋体" w:hAnsi="宋体" w:cs="宋体"/>
          <w:color w:val="auto"/>
          <w:sz w:val="30"/>
        </w:rPr>
        <w:t>投标申请人：</w:t>
      </w:r>
      <w:r>
        <w:rPr>
          <w:rFonts w:hint="eastAsia" w:ascii="宋体" w:hAnsi="宋体" w:cs="宋体"/>
          <w:color w:val="auto"/>
          <w:sz w:val="30"/>
          <w:u w:val="single"/>
        </w:rPr>
        <w:t>写明投标单位名称并</w:t>
      </w:r>
      <w:r>
        <w:rPr>
          <w:rFonts w:hint="eastAsia" w:ascii="宋体" w:hAnsi="宋体" w:cs="宋体"/>
          <w:b/>
          <w:color w:val="auto"/>
          <w:sz w:val="30"/>
          <w:u w:val="single"/>
        </w:rPr>
        <w:t>加盖单位公章</w:t>
      </w:r>
    </w:p>
    <w:p w14:paraId="378AE8A4">
      <w:pPr>
        <w:tabs>
          <w:tab w:val="left" w:pos="480"/>
        </w:tabs>
        <w:adjustRightInd w:val="0"/>
        <w:snapToGrid w:val="0"/>
        <w:spacing w:line="360" w:lineRule="auto"/>
        <w:ind w:left="1050" w:leftChars="500" w:firstLine="416" w:firstLineChars="139"/>
        <w:rPr>
          <w:rFonts w:hint="eastAsia" w:ascii="宋体" w:hAnsi="宋体" w:cs="宋体"/>
          <w:color w:val="auto"/>
          <w:sz w:val="30"/>
          <w:u w:val="single"/>
        </w:rPr>
      </w:pPr>
      <w:r>
        <w:rPr>
          <w:rFonts w:hint="eastAsia" w:ascii="宋体" w:hAnsi="宋体" w:cs="宋体"/>
          <w:color w:val="auto"/>
          <w:sz w:val="30"/>
        </w:rPr>
        <w:t>法定代表人或其委托代理人</w:t>
      </w:r>
      <w:r>
        <w:rPr>
          <w:rFonts w:hint="eastAsia" w:ascii="宋体" w:hAnsi="宋体" w:cs="宋体"/>
          <w:b/>
          <w:color w:val="auto"/>
          <w:sz w:val="30"/>
        </w:rPr>
        <w:t>：</w:t>
      </w:r>
      <w:r>
        <w:rPr>
          <w:rFonts w:hint="eastAsia" w:ascii="宋体" w:hAnsi="宋体" w:cs="宋体"/>
          <w:color w:val="auto"/>
          <w:sz w:val="30"/>
          <w:u w:val="single"/>
        </w:rPr>
        <w:t xml:space="preserve">   （签字或盖章）</w:t>
      </w:r>
    </w:p>
    <w:p w14:paraId="24926E81">
      <w:pPr>
        <w:tabs>
          <w:tab w:val="left" w:pos="480"/>
        </w:tabs>
        <w:adjustRightInd w:val="0"/>
        <w:snapToGrid w:val="0"/>
        <w:spacing w:line="360" w:lineRule="auto"/>
        <w:ind w:left="1050" w:leftChars="500" w:firstLine="416" w:firstLineChars="139"/>
        <w:rPr>
          <w:rFonts w:hint="eastAsia" w:ascii="宋体" w:hAnsi="宋体" w:cs="宋体"/>
          <w:color w:val="auto"/>
          <w:sz w:val="30"/>
        </w:rPr>
      </w:pPr>
      <w:r>
        <w:rPr>
          <w:rFonts w:hint="eastAsia" w:ascii="宋体" w:hAnsi="宋体" w:cs="宋体"/>
          <w:color w:val="auto"/>
          <w:sz w:val="30"/>
        </w:rPr>
        <w:t>地     址：</w:t>
      </w:r>
    </w:p>
    <w:p w14:paraId="4A73638C">
      <w:pPr>
        <w:tabs>
          <w:tab w:val="left" w:pos="480"/>
        </w:tabs>
        <w:adjustRightInd w:val="0"/>
        <w:snapToGrid w:val="0"/>
        <w:spacing w:line="360" w:lineRule="auto"/>
        <w:ind w:left="1050" w:leftChars="500" w:firstLine="416" w:firstLineChars="139"/>
        <w:rPr>
          <w:rFonts w:hint="eastAsia" w:ascii="宋体" w:hAnsi="宋体" w:cs="宋体"/>
          <w:color w:val="auto"/>
          <w:sz w:val="28"/>
          <w:szCs w:val="28"/>
        </w:rPr>
      </w:pPr>
      <w:r>
        <w:rPr>
          <w:rFonts w:hint="eastAsia" w:ascii="宋体" w:hAnsi="宋体" w:cs="宋体"/>
          <w:color w:val="auto"/>
          <w:sz w:val="30"/>
        </w:rPr>
        <w:t>日     期：</w:t>
      </w:r>
      <w:r>
        <w:rPr>
          <w:rFonts w:hint="eastAsia" w:ascii="宋体" w:hAnsi="宋体" w:cs="宋体"/>
          <w:color w:val="auto"/>
          <w:sz w:val="30"/>
          <w:u w:val="single"/>
        </w:rPr>
        <w:t xml:space="preserve">        年      月        日</w:t>
      </w:r>
    </w:p>
    <w:p w14:paraId="41FC2B31">
      <w:pPr>
        <w:adjustRightInd w:val="0"/>
        <w:snapToGrid w:val="0"/>
        <w:spacing w:line="360" w:lineRule="auto"/>
        <w:jc w:val="center"/>
        <w:rPr>
          <w:rFonts w:hint="eastAsia" w:ascii="宋体" w:hAnsi="宋体" w:cs="宋体"/>
          <w:color w:val="auto"/>
          <w:sz w:val="28"/>
          <w:szCs w:val="28"/>
        </w:rPr>
      </w:pPr>
    </w:p>
    <w:p w14:paraId="6FD738AF">
      <w:pPr>
        <w:adjustRightInd w:val="0"/>
        <w:snapToGrid w:val="0"/>
        <w:spacing w:line="360" w:lineRule="auto"/>
        <w:jc w:val="center"/>
        <w:rPr>
          <w:rFonts w:hint="eastAsia" w:ascii="宋体" w:hAnsi="宋体" w:cs="宋体"/>
          <w:color w:val="auto"/>
          <w:sz w:val="28"/>
          <w:szCs w:val="28"/>
        </w:rPr>
      </w:pPr>
    </w:p>
    <w:p w14:paraId="2EC48114">
      <w:pPr>
        <w:adjustRightInd w:val="0"/>
        <w:snapToGrid w:val="0"/>
        <w:spacing w:line="360" w:lineRule="auto"/>
        <w:rPr>
          <w:rFonts w:hint="eastAsia" w:ascii="宋体" w:hAnsi="宋体" w:cs="宋体"/>
          <w:snapToGrid w:val="0"/>
          <w:color w:val="auto"/>
          <w:sz w:val="24"/>
          <w:szCs w:val="24"/>
        </w:rPr>
      </w:pPr>
    </w:p>
    <w:p w14:paraId="3F98C980">
      <w:pPr>
        <w:adjustRightInd w:val="0"/>
        <w:snapToGrid w:val="0"/>
        <w:spacing w:line="360" w:lineRule="auto"/>
        <w:jc w:val="center"/>
        <w:rPr>
          <w:rFonts w:hint="eastAsia" w:ascii="宋体" w:hAnsi="宋体" w:cs="宋体"/>
          <w:color w:val="auto"/>
          <w:sz w:val="32"/>
          <w:szCs w:val="32"/>
        </w:rPr>
      </w:pPr>
      <w:r>
        <w:rPr>
          <w:rFonts w:hint="eastAsia" w:ascii="宋体" w:hAnsi="宋体" w:cs="宋体"/>
          <w:snapToGrid w:val="0"/>
          <w:color w:val="auto"/>
          <w:sz w:val="32"/>
          <w:szCs w:val="32"/>
        </w:rPr>
        <w:br w:type="page"/>
      </w:r>
      <w:r>
        <w:rPr>
          <w:rFonts w:hint="eastAsia" w:ascii="宋体" w:hAnsi="宋体" w:cs="宋体"/>
          <w:snapToGrid w:val="0"/>
          <w:color w:val="auto"/>
          <w:sz w:val="32"/>
          <w:szCs w:val="32"/>
        </w:rPr>
        <w:t>（注：资格审查申请书目录格式）</w:t>
      </w:r>
    </w:p>
    <w:p w14:paraId="61B5CE3F">
      <w:pPr>
        <w:adjustRightInd w:val="0"/>
        <w:snapToGrid w:val="0"/>
        <w:spacing w:line="360" w:lineRule="auto"/>
        <w:jc w:val="center"/>
        <w:rPr>
          <w:rFonts w:hint="eastAsia" w:ascii="宋体" w:hAnsi="宋体" w:cs="宋体"/>
          <w:b/>
          <w:color w:val="auto"/>
          <w:sz w:val="30"/>
          <w:u w:val="single"/>
        </w:rPr>
      </w:pPr>
      <w:r>
        <w:rPr>
          <w:rFonts w:hint="eastAsia" w:ascii="宋体" w:hAnsi="宋体" w:cs="宋体"/>
          <w:b/>
          <w:color w:val="auto"/>
          <w:sz w:val="36"/>
          <w:szCs w:val="32"/>
        </w:rPr>
        <w:t>目     录</w:t>
      </w:r>
    </w:p>
    <w:p w14:paraId="73751D7B">
      <w:pPr>
        <w:pStyle w:val="3"/>
        <w:adjustRightInd w:val="0"/>
        <w:snapToGrid w:val="0"/>
        <w:spacing w:line="360" w:lineRule="auto"/>
        <w:ind w:firstLine="0"/>
        <w:jc w:val="center"/>
        <w:rPr>
          <w:rFonts w:hint="eastAsia" w:ascii="宋体" w:hAnsi="宋体" w:cs="宋体"/>
          <w:color w:val="auto"/>
        </w:rPr>
      </w:pPr>
    </w:p>
    <w:p w14:paraId="5BB85931">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一、资格审查申请书</w:t>
      </w:r>
    </w:p>
    <w:p w14:paraId="7AA91C0A">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二、资格审查申请书附表</w:t>
      </w:r>
    </w:p>
    <w:p w14:paraId="034DBDA5">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1、法定代表人身份证明或附有法定代表人身份证明的授权委托书</w:t>
      </w:r>
    </w:p>
    <w:p w14:paraId="18854AAC">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2、申请资格审查人简介</w:t>
      </w:r>
    </w:p>
    <w:p w14:paraId="5997DD50">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3、近两年己完成工程、在建工程情况</w:t>
      </w:r>
    </w:p>
    <w:p w14:paraId="43714F42">
      <w:pPr>
        <w:adjustRightInd w:val="0"/>
        <w:snapToGrid w:val="0"/>
        <w:spacing w:line="440" w:lineRule="exact"/>
        <w:ind w:left="718" w:leftChars="342" w:firstLine="410" w:firstLineChars="171"/>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4、承诺书（无在建工程、材料真实性、渣土外运、施工单位投标安全承诺书</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rPr>
        <w:t>设备材料品牌承诺书）</w:t>
      </w:r>
    </w:p>
    <w:p w14:paraId="65ECA5C4">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5、企业法人营业执照</w:t>
      </w:r>
    </w:p>
    <w:p w14:paraId="0B15D8B4">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6、企业资质证书及安全生产许可证</w:t>
      </w:r>
    </w:p>
    <w:p w14:paraId="297DB3EB">
      <w:pPr>
        <w:adjustRightInd w:val="0"/>
        <w:snapToGrid w:val="0"/>
        <w:spacing w:line="440" w:lineRule="exact"/>
        <w:ind w:firstLine="1132" w:firstLineChars="472"/>
        <w:contextualSpacing/>
        <w:rPr>
          <w:rFonts w:hint="eastAsia" w:ascii="宋体" w:hAnsi="宋体" w:cs="宋体"/>
          <w:snapToGrid w:val="0"/>
          <w:color w:val="auto"/>
          <w:sz w:val="24"/>
          <w:szCs w:val="24"/>
        </w:rPr>
      </w:pPr>
      <w:r>
        <w:rPr>
          <w:rFonts w:hint="eastAsia" w:ascii="宋体" w:hAnsi="宋体" w:cs="宋体"/>
          <w:snapToGrid w:val="0"/>
          <w:color w:val="auto"/>
          <w:sz w:val="24"/>
          <w:szCs w:val="24"/>
        </w:rPr>
        <w:t>7、注册建造师资质证书及安全生产考核合格证</w:t>
      </w:r>
    </w:p>
    <w:p w14:paraId="6E2DEDDE">
      <w:pPr>
        <w:adjustRightInd w:val="0"/>
        <w:snapToGrid w:val="0"/>
        <w:spacing w:line="440" w:lineRule="exact"/>
        <w:ind w:left="718" w:leftChars="342" w:firstLine="410" w:firstLineChars="171"/>
        <w:contextualSpacing/>
        <w:rPr>
          <w:rFonts w:hint="eastAsia" w:ascii="宋体" w:hAnsi="宋体" w:cs="宋体"/>
          <w:snapToGrid w:val="0"/>
          <w:color w:val="auto"/>
          <w:sz w:val="24"/>
          <w:szCs w:val="24"/>
        </w:rPr>
      </w:pPr>
      <w:r>
        <w:rPr>
          <w:rFonts w:hint="eastAsia" w:ascii="宋体" w:hAnsi="宋体" w:cs="宋体"/>
          <w:snapToGrid w:val="0"/>
          <w:color w:val="auto"/>
          <w:sz w:val="24"/>
          <w:szCs w:val="24"/>
          <w:lang w:val="en-US" w:eastAsia="zh-CN"/>
        </w:rPr>
        <w:t>8</w:t>
      </w:r>
      <w:r>
        <w:rPr>
          <w:rFonts w:hint="eastAsia" w:ascii="宋体" w:hAnsi="宋体" w:cs="宋体"/>
          <w:snapToGrid w:val="0"/>
          <w:color w:val="auto"/>
          <w:sz w:val="24"/>
          <w:szCs w:val="24"/>
        </w:rPr>
        <w:t>、由社保部门出具的投标人为授权委托人及投标项目经理缴纳的</w:t>
      </w:r>
      <w:r>
        <w:rPr>
          <w:rFonts w:hint="eastAsia" w:ascii="宋体" w:hAnsi="宋体" w:cs="宋体"/>
          <w:snapToGrid w:val="0"/>
          <w:color w:val="auto"/>
          <w:sz w:val="24"/>
          <w:szCs w:val="24"/>
          <w:lang w:eastAsia="zh-CN"/>
        </w:rPr>
        <w:t>20</w:t>
      </w:r>
      <w:r>
        <w:rPr>
          <w:rFonts w:hint="eastAsia" w:ascii="宋体" w:hAnsi="宋体" w:cs="宋体"/>
          <w:snapToGrid w:val="0"/>
          <w:color w:val="auto"/>
          <w:sz w:val="24"/>
          <w:szCs w:val="24"/>
          <w:lang w:val="en-US" w:eastAsia="zh-CN"/>
        </w:rPr>
        <w:t>24</w:t>
      </w:r>
      <w:r>
        <w:rPr>
          <w:rFonts w:hint="eastAsia" w:ascii="宋体" w:hAnsi="宋体" w:cs="宋体"/>
          <w:snapToGrid w:val="0"/>
          <w:color w:val="auto"/>
          <w:sz w:val="24"/>
          <w:szCs w:val="24"/>
          <w:lang w:eastAsia="zh-CN"/>
        </w:rPr>
        <w:t>年</w:t>
      </w:r>
      <w:r>
        <w:rPr>
          <w:rFonts w:hint="eastAsia" w:ascii="宋体" w:hAnsi="宋体" w:cs="宋体"/>
          <w:snapToGrid w:val="0"/>
          <w:color w:val="auto"/>
          <w:sz w:val="24"/>
          <w:szCs w:val="24"/>
          <w:lang w:val="en-US" w:eastAsia="zh-CN"/>
        </w:rPr>
        <w:t>9</w:t>
      </w:r>
      <w:r>
        <w:rPr>
          <w:rFonts w:hint="eastAsia" w:ascii="宋体" w:hAnsi="宋体" w:cs="宋体"/>
          <w:snapToGrid w:val="0"/>
          <w:color w:val="auto"/>
          <w:sz w:val="24"/>
          <w:szCs w:val="24"/>
          <w:lang w:eastAsia="zh-CN"/>
        </w:rPr>
        <w:t>月至20</w:t>
      </w:r>
      <w:r>
        <w:rPr>
          <w:rFonts w:hint="eastAsia" w:ascii="宋体" w:hAnsi="宋体" w:cs="宋体"/>
          <w:snapToGrid w:val="0"/>
          <w:color w:val="auto"/>
          <w:sz w:val="24"/>
          <w:szCs w:val="24"/>
          <w:lang w:val="en-US" w:eastAsia="zh-CN"/>
        </w:rPr>
        <w:t>24</w:t>
      </w:r>
      <w:r>
        <w:rPr>
          <w:rFonts w:hint="eastAsia" w:ascii="宋体" w:hAnsi="宋体" w:cs="宋体"/>
          <w:snapToGrid w:val="0"/>
          <w:color w:val="auto"/>
          <w:sz w:val="24"/>
          <w:szCs w:val="24"/>
          <w:lang w:eastAsia="zh-CN"/>
        </w:rPr>
        <w:t>年</w:t>
      </w:r>
      <w:r>
        <w:rPr>
          <w:rFonts w:hint="eastAsia" w:ascii="宋体" w:hAnsi="宋体" w:cs="宋体"/>
          <w:snapToGrid w:val="0"/>
          <w:color w:val="auto"/>
          <w:sz w:val="24"/>
          <w:szCs w:val="24"/>
          <w:lang w:val="en-US" w:eastAsia="zh-CN"/>
        </w:rPr>
        <w:t>11</w:t>
      </w:r>
      <w:r>
        <w:rPr>
          <w:rFonts w:hint="eastAsia" w:ascii="宋体" w:hAnsi="宋体" w:cs="宋体"/>
          <w:snapToGrid w:val="0"/>
          <w:color w:val="auto"/>
          <w:sz w:val="24"/>
          <w:szCs w:val="24"/>
          <w:lang w:eastAsia="zh-CN"/>
        </w:rPr>
        <w:t>月</w:t>
      </w:r>
      <w:r>
        <w:rPr>
          <w:rFonts w:hint="eastAsia" w:ascii="宋体" w:hAnsi="宋体" w:cs="宋体"/>
          <w:snapToGrid w:val="0"/>
          <w:color w:val="auto"/>
          <w:sz w:val="24"/>
          <w:szCs w:val="24"/>
          <w:lang w:val="en-US" w:eastAsia="zh-CN"/>
        </w:rPr>
        <w:t>三个月内任意一个月的</w:t>
      </w:r>
      <w:r>
        <w:rPr>
          <w:rFonts w:hint="eastAsia" w:ascii="宋体" w:hAnsi="宋体" w:cs="宋体"/>
          <w:snapToGrid w:val="0"/>
          <w:color w:val="auto"/>
          <w:sz w:val="24"/>
          <w:szCs w:val="24"/>
        </w:rPr>
        <w:t>养老保险费用的证明材料</w:t>
      </w:r>
      <w:r>
        <w:rPr>
          <w:rFonts w:hint="eastAsia" w:ascii="宋体" w:hAnsi="宋体" w:cs="宋体"/>
          <w:snapToGrid w:val="0"/>
          <w:color w:val="auto"/>
          <w:sz w:val="24"/>
          <w:szCs w:val="24"/>
          <w:lang w:eastAsia="zh-CN"/>
        </w:rPr>
        <w:t>（截止日前成立不足3个月的新办企业只需提供缴纳名册（名册中包含授权委托人、拟派项目</w:t>
      </w:r>
      <w:r>
        <w:rPr>
          <w:rFonts w:hint="eastAsia" w:ascii="宋体" w:hAnsi="宋体" w:cs="宋体"/>
          <w:snapToGrid w:val="0"/>
          <w:color w:val="auto"/>
          <w:sz w:val="24"/>
          <w:szCs w:val="24"/>
          <w:lang w:val="en-US" w:eastAsia="zh-CN"/>
        </w:rPr>
        <w:t>经理</w:t>
      </w:r>
      <w:r>
        <w:rPr>
          <w:rFonts w:hint="eastAsia" w:ascii="宋体" w:hAnsi="宋体" w:cs="宋体"/>
          <w:snapToGrid w:val="0"/>
          <w:color w:val="auto"/>
          <w:sz w:val="24"/>
          <w:szCs w:val="24"/>
          <w:lang w:eastAsia="zh-CN"/>
        </w:rPr>
        <w:t>）；新成立企业距投标截止日不足30日的，可不提供证明材料（以新办企业营业执照发放日期为准））</w:t>
      </w:r>
    </w:p>
    <w:p w14:paraId="29A8A1F9">
      <w:pPr>
        <w:pStyle w:val="25"/>
        <w:spacing w:line="360" w:lineRule="auto"/>
        <w:rPr>
          <w:rFonts w:ascii="宋体" w:hAnsi="宋体" w:eastAsia="宋体" w:cs="宋体"/>
          <w:snapToGrid w:val="0"/>
          <w:color w:val="auto"/>
        </w:rPr>
      </w:pPr>
      <w:r>
        <w:rPr>
          <w:rFonts w:hint="eastAsia" w:ascii="宋体" w:hAnsi="宋体" w:cs="宋体"/>
          <w:snapToGrid w:val="0"/>
          <w:color w:val="auto"/>
        </w:rPr>
        <w:t xml:space="preserve">     </w:t>
      </w:r>
    </w:p>
    <w:p w14:paraId="07D915AD">
      <w:pPr>
        <w:adjustRightInd w:val="0"/>
        <w:snapToGrid w:val="0"/>
        <w:spacing w:line="360" w:lineRule="auto"/>
        <w:rPr>
          <w:rFonts w:hint="eastAsia" w:ascii="宋体" w:hAnsi="宋体" w:cs="宋体"/>
          <w:snapToGrid w:val="0"/>
          <w:color w:val="auto"/>
          <w:sz w:val="24"/>
          <w:szCs w:val="24"/>
        </w:rPr>
      </w:pPr>
    </w:p>
    <w:p w14:paraId="34B174B6">
      <w:pPr>
        <w:adjustRightInd w:val="0"/>
        <w:snapToGrid w:val="0"/>
        <w:spacing w:line="360" w:lineRule="auto"/>
        <w:jc w:val="center"/>
        <w:rPr>
          <w:rFonts w:hint="eastAsia" w:ascii="宋体" w:hAnsi="宋体" w:cs="宋体"/>
          <w:color w:val="auto"/>
          <w:sz w:val="28"/>
          <w:szCs w:val="28"/>
        </w:rPr>
      </w:pPr>
    </w:p>
    <w:p w14:paraId="6B83591F">
      <w:pPr>
        <w:adjustRightInd w:val="0"/>
        <w:snapToGrid w:val="0"/>
        <w:spacing w:line="360" w:lineRule="auto"/>
        <w:jc w:val="center"/>
        <w:rPr>
          <w:rFonts w:hint="eastAsia" w:ascii="宋体" w:hAnsi="宋体" w:cs="宋体"/>
          <w:color w:val="auto"/>
          <w:sz w:val="28"/>
          <w:szCs w:val="28"/>
        </w:rPr>
      </w:pPr>
    </w:p>
    <w:p w14:paraId="129F4ADB">
      <w:pPr>
        <w:adjustRightInd w:val="0"/>
        <w:snapToGrid w:val="0"/>
        <w:spacing w:line="360" w:lineRule="auto"/>
        <w:jc w:val="center"/>
        <w:rPr>
          <w:rFonts w:hint="eastAsia" w:ascii="宋体" w:hAnsi="宋体" w:cs="宋体"/>
          <w:color w:val="auto"/>
          <w:sz w:val="28"/>
          <w:szCs w:val="28"/>
        </w:rPr>
      </w:pPr>
    </w:p>
    <w:p w14:paraId="787AF0B6">
      <w:pPr>
        <w:adjustRightInd w:val="0"/>
        <w:snapToGrid w:val="0"/>
        <w:spacing w:line="360" w:lineRule="auto"/>
        <w:jc w:val="center"/>
        <w:rPr>
          <w:rFonts w:hint="eastAsia" w:ascii="宋体" w:hAnsi="宋体" w:cs="宋体"/>
          <w:color w:val="auto"/>
          <w:sz w:val="28"/>
          <w:szCs w:val="28"/>
        </w:rPr>
      </w:pPr>
    </w:p>
    <w:p w14:paraId="6419B58B">
      <w:pPr>
        <w:adjustRightInd w:val="0"/>
        <w:snapToGrid w:val="0"/>
        <w:spacing w:line="360" w:lineRule="auto"/>
        <w:jc w:val="center"/>
        <w:rPr>
          <w:rFonts w:hint="eastAsia" w:ascii="宋体" w:hAnsi="宋体" w:cs="宋体"/>
          <w:color w:val="auto"/>
          <w:sz w:val="28"/>
          <w:szCs w:val="28"/>
        </w:rPr>
      </w:pPr>
    </w:p>
    <w:p w14:paraId="79752791">
      <w:pPr>
        <w:adjustRightInd w:val="0"/>
        <w:snapToGrid w:val="0"/>
        <w:spacing w:line="360" w:lineRule="auto"/>
        <w:jc w:val="center"/>
        <w:rPr>
          <w:rFonts w:hint="eastAsia" w:ascii="宋体" w:hAnsi="宋体" w:cs="宋体"/>
          <w:color w:val="auto"/>
          <w:sz w:val="30"/>
          <w:szCs w:val="30"/>
        </w:rPr>
      </w:pPr>
    </w:p>
    <w:p w14:paraId="22941B76">
      <w:pPr>
        <w:adjustRightInd w:val="0"/>
        <w:snapToGrid w:val="0"/>
        <w:spacing w:line="360" w:lineRule="auto"/>
        <w:jc w:val="center"/>
        <w:rPr>
          <w:rFonts w:hint="eastAsia" w:ascii="宋体" w:hAnsi="宋体" w:cs="宋体"/>
          <w:color w:val="auto"/>
        </w:rPr>
      </w:pPr>
      <w:r>
        <w:rPr>
          <w:rFonts w:hint="eastAsia" w:ascii="宋体" w:hAnsi="宋体" w:cs="宋体"/>
          <w:color w:val="auto"/>
        </w:rPr>
        <w:t xml:space="preserve">             </w:t>
      </w:r>
    </w:p>
    <w:p w14:paraId="573CDE9C">
      <w:pPr>
        <w:adjustRightInd w:val="0"/>
        <w:snapToGrid w:val="0"/>
        <w:spacing w:line="360" w:lineRule="auto"/>
        <w:jc w:val="center"/>
        <w:rPr>
          <w:rFonts w:hint="eastAsia" w:ascii="宋体" w:hAnsi="宋体" w:cs="宋体"/>
          <w:color w:val="auto"/>
        </w:rPr>
      </w:pPr>
    </w:p>
    <w:p w14:paraId="768F4D81">
      <w:pPr>
        <w:adjustRightInd w:val="0"/>
        <w:snapToGrid w:val="0"/>
        <w:spacing w:line="360" w:lineRule="auto"/>
        <w:jc w:val="center"/>
        <w:rPr>
          <w:rFonts w:hint="eastAsia" w:ascii="宋体" w:hAnsi="宋体" w:cs="宋体"/>
          <w:color w:val="auto"/>
        </w:rPr>
      </w:pPr>
    </w:p>
    <w:p w14:paraId="60264DFC">
      <w:pPr>
        <w:adjustRightInd w:val="0"/>
        <w:snapToGrid w:val="0"/>
        <w:spacing w:line="360" w:lineRule="auto"/>
        <w:jc w:val="both"/>
        <w:rPr>
          <w:rFonts w:hint="eastAsia" w:ascii="宋体" w:hAnsi="宋体" w:cs="宋体"/>
          <w:snapToGrid w:val="0"/>
          <w:color w:val="auto"/>
          <w:sz w:val="32"/>
          <w:szCs w:val="32"/>
        </w:rPr>
      </w:pPr>
    </w:p>
    <w:p w14:paraId="12832737">
      <w:pPr>
        <w:pStyle w:val="17"/>
        <w:rPr>
          <w:rFonts w:hint="eastAsia" w:ascii="宋体" w:hAnsi="宋体" w:cs="宋体"/>
          <w:snapToGrid w:val="0"/>
          <w:color w:val="auto"/>
          <w:sz w:val="32"/>
          <w:szCs w:val="32"/>
        </w:rPr>
      </w:pPr>
    </w:p>
    <w:p w14:paraId="4CB3B6DE">
      <w:pPr>
        <w:rPr>
          <w:rFonts w:hint="eastAsia"/>
        </w:rPr>
      </w:pPr>
    </w:p>
    <w:p w14:paraId="7B04F87B">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资格审查申请书</w:t>
      </w:r>
    </w:p>
    <w:p w14:paraId="003EFB86">
      <w:pPr>
        <w:adjustRightInd w:val="0"/>
        <w:snapToGrid w:val="0"/>
        <w:spacing w:line="360" w:lineRule="auto"/>
        <w:jc w:val="center"/>
        <w:rPr>
          <w:rFonts w:hint="eastAsia" w:ascii="宋体" w:hAnsi="宋体" w:cs="宋体"/>
          <w:b/>
          <w:color w:val="auto"/>
          <w:sz w:val="24"/>
          <w:szCs w:val="24"/>
        </w:rPr>
      </w:pPr>
    </w:p>
    <w:p w14:paraId="16F222E2">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1、本申请充分理解下列情况：</w:t>
      </w:r>
    </w:p>
    <w:p w14:paraId="0C1DAE1A">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1.1、资格审查合格的投标人才有资格进入开标程序</w:t>
      </w:r>
    </w:p>
    <w:p w14:paraId="29E44489">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1.2、你方保留更改本招标项目的规模和金额的权利。前述情况发生时，投标仅面向资格审查合格且能满足变更要求的投标申请人。</w:t>
      </w:r>
    </w:p>
    <w:p w14:paraId="354FAC7F">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2、我们确认如果我方中标，则我方的投标文件和与之相应的合同将得到签署，从而我受到法律约束；</w:t>
      </w:r>
    </w:p>
    <w:p w14:paraId="57618B7B">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3、下述签字人在此声明，在本申请书所提交的声明和资料在各方面都是完整、真实和准确的。</w:t>
      </w:r>
    </w:p>
    <w:p w14:paraId="4AACE91B">
      <w:pPr>
        <w:adjustRightInd w:val="0"/>
        <w:snapToGrid w:val="0"/>
        <w:spacing w:line="360" w:lineRule="auto"/>
        <w:jc w:val="center"/>
        <w:rPr>
          <w:rFonts w:hint="eastAsia" w:ascii="宋体" w:hAnsi="宋体" w:cs="宋体"/>
          <w:b/>
          <w:color w:val="auto"/>
          <w:sz w:val="24"/>
          <w:szCs w:val="24"/>
        </w:rPr>
      </w:pPr>
    </w:p>
    <w:p w14:paraId="1715F087">
      <w:pPr>
        <w:pStyle w:val="8"/>
        <w:adjustRightInd w:val="0"/>
        <w:snapToGrid w:val="0"/>
        <w:spacing w:line="360" w:lineRule="auto"/>
        <w:jc w:val="center"/>
        <w:rPr>
          <w:rFonts w:hint="eastAsia" w:hAnsi="宋体" w:cs="宋体"/>
          <w:color w:val="auto"/>
          <w:kern w:val="0"/>
          <w:sz w:val="24"/>
          <w:szCs w:val="24"/>
        </w:rPr>
      </w:pPr>
    </w:p>
    <w:p w14:paraId="1427B790">
      <w:pPr>
        <w:pStyle w:val="8"/>
        <w:adjustRightInd w:val="0"/>
        <w:snapToGrid w:val="0"/>
        <w:spacing w:line="360" w:lineRule="auto"/>
        <w:jc w:val="center"/>
        <w:rPr>
          <w:rFonts w:hint="eastAsia" w:hAnsi="宋体" w:cs="宋体"/>
          <w:color w:val="auto"/>
          <w:kern w:val="0"/>
          <w:sz w:val="24"/>
          <w:szCs w:val="24"/>
        </w:rPr>
      </w:pPr>
    </w:p>
    <w:p w14:paraId="13690789">
      <w:pPr>
        <w:pStyle w:val="8"/>
        <w:adjustRightInd w:val="0"/>
        <w:snapToGrid w:val="0"/>
        <w:spacing w:line="360" w:lineRule="auto"/>
        <w:ind w:left="4620" w:leftChars="2200"/>
        <w:jc w:val="left"/>
        <w:rPr>
          <w:rFonts w:hint="eastAsia" w:hAnsi="宋体" w:cs="宋体"/>
          <w:color w:val="auto"/>
          <w:kern w:val="0"/>
          <w:sz w:val="24"/>
          <w:szCs w:val="24"/>
        </w:rPr>
      </w:pPr>
    </w:p>
    <w:p w14:paraId="1B648E9A">
      <w:pPr>
        <w:pStyle w:val="8"/>
        <w:adjustRightInd w:val="0"/>
        <w:snapToGrid w:val="0"/>
        <w:spacing w:line="800" w:lineRule="exact"/>
        <w:ind w:left="4620" w:leftChars="2200"/>
        <w:contextualSpacing/>
        <w:jc w:val="left"/>
        <w:rPr>
          <w:rFonts w:hint="eastAsia" w:hAnsi="宋体" w:cs="宋体"/>
          <w:color w:val="auto"/>
          <w:kern w:val="0"/>
          <w:sz w:val="24"/>
          <w:szCs w:val="24"/>
        </w:rPr>
      </w:pPr>
      <w:r>
        <w:rPr>
          <w:rFonts w:hint="eastAsia" w:hAnsi="宋体" w:cs="宋体"/>
          <w:color w:val="auto"/>
          <w:kern w:val="0"/>
          <w:sz w:val="24"/>
          <w:szCs w:val="24"/>
        </w:rPr>
        <w:t>投标人：(盖章)</w:t>
      </w:r>
    </w:p>
    <w:p w14:paraId="363CEB87">
      <w:pPr>
        <w:pStyle w:val="8"/>
        <w:adjustRightInd w:val="0"/>
        <w:snapToGrid w:val="0"/>
        <w:spacing w:line="800" w:lineRule="exact"/>
        <w:ind w:left="4620" w:leftChars="2200"/>
        <w:contextualSpacing/>
        <w:jc w:val="left"/>
        <w:rPr>
          <w:rFonts w:hint="eastAsia" w:hAnsi="宋体" w:cs="宋体"/>
          <w:color w:val="auto"/>
          <w:kern w:val="0"/>
          <w:sz w:val="24"/>
          <w:szCs w:val="24"/>
        </w:rPr>
      </w:pPr>
      <w:r>
        <w:rPr>
          <w:rFonts w:hint="eastAsia" w:hAnsi="宋体" w:cs="宋体"/>
          <w:color w:val="auto"/>
          <w:kern w:val="0"/>
          <w:sz w:val="24"/>
          <w:szCs w:val="24"/>
        </w:rPr>
        <w:t>法定代表人：(签字)</w:t>
      </w:r>
    </w:p>
    <w:p w14:paraId="58BB01A3">
      <w:pPr>
        <w:pStyle w:val="8"/>
        <w:adjustRightInd w:val="0"/>
        <w:snapToGrid w:val="0"/>
        <w:spacing w:line="800" w:lineRule="exact"/>
        <w:ind w:left="4620" w:leftChars="2200"/>
        <w:contextualSpacing/>
        <w:jc w:val="left"/>
        <w:rPr>
          <w:rFonts w:hint="eastAsia" w:hAnsi="宋体" w:cs="宋体"/>
          <w:color w:val="auto"/>
          <w:kern w:val="0"/>
          <w:sz w:val="24"/>
          <w:szCs w:val="24"/>
        </w:rPr>
      </w:pPr>
      <w:r>
        <w:rPr>
          <w:rFonts w:hint="eastAsia" w:hAnsi="宋体" w:cs="宋体"/>
          <w:color w:val="auto"/>
          <w:kern w:val="0"/>
          <w:sz w:val="24"/>
          <w:szCs w:val="24"/>
        </w:rPr>
        <w:t>日期：        年       月      日</w:t>
      </w:r>
    </w:p>
    <w:p w14:paraId="1EB309A4">
      <w:pPr>
        <w:pStyle w:val="8"/>
        <w:adjustRightInd w:val="0"/>
        <w:snapToGrid w:val="0"/>
        <w:spacing w:line="360" w:lineRule="auto"/>
        <w:jc w:val="center"/>
        <w:rPr>
          <w:rFonts w:hint="eastAsia" w:hAnsi="宋体" w:cs="宋体"/>
          <w:color w:val="auto"/>
          <w:kern w:val="0"/>
          <w:sz w:val="24"/>
          <w:szCs w:val="24"/>
        </w:rPr>
      </w:pPr>
    </w:p>
    <w:p w14:paraId="0D73B175">
      <w:pPr>
        <w:pStyle w:val="8"/>
        <w:adjustRightInd w:val="0"/>
        <w:snapToGrid w:val="0"/>
        <w:spacing w:line="360" w:lineRule="auto"/>
        <w:jc w:val="center"/>
        <w:rPr>
          <w:rFonts w:hint="eastAsia" w:hAnsi="宋体" w:cs="宋体"/>
          <w:color w:val="auto"/>
          <w:kern w:val="0"/>
          <w:sz w:val="24"/>
          <w:szCs w:val="24"/>
        </w:rPr>
      </w:pPr>
    </w:p>
    <w:p w14:paraId="52160016">
      <w:pPr>
        <w:pStyle w:val="8"/>
        <w:adjustRightInd w:val="0"/>
        <w:snapToGrid w:val="0"/>
        <w:spacing w:line="360" w:lineRule="auto"/>
        <w:jc w:val="center"/>
        <w:rPr>
          <w:rFonts w:hint="eastAsia" w:hAnsi="宋体" w:cs="宋体"/>
          <w:color w:val="auto"/>
          <w:kern w:val="0"/>
          <w:sz w:val="24"/>
          <w:szCs w:val="24"/>
        </w:rPr>
      </w:pPr>
    </w:p>
    <w:p w14:paraId="26879F3B">
      <w:pPr>
        <w:pStyle w:val="8"/>
        <w:adjustRightInd w:val="0"/>
        <w:snapToGrid w:val="0"/>
        <w:spacing w:line="360" w:lineRule="auto"/>
        <w:jc w:val="center"/>
        <w:rPr>
          <w:rFonts w:hint="eastAsia" w:hAnsi="宋体" w:cs="宋体"/>
          <w:color w:val="auto"/>
          <w:kern w:val="0"/>
          <w:sz w:val="24"/>
          <w:szCs w:val="24"/>
        </w:rPr>
      </w:pPr>
    </w:p>
    <w:p w14:paraId="7C42474A">
      <w:pPr>
        <w:pStyle w:val="8"/>
        <w:adjustRightInd w:val="0"/>
        <w:snapToGrid w:val="0"/>
        <w:spacing w:line="360" w:lineRule="auto"/>
        <w:jc w:val="center"/>
        <w:rPr>
          <w:rFonts w:hint="eastAsia" w:hAnsi="宋体" w:cs="宋体"/>
          <w:color w:val="auto"/>
          <w:kern w:val="0"/>
          <w:sz w:val="24"/>
          <w:szCs w:val="24"/>
        </w:rPr>
      </w:pPr>
    </w:p>
    <w:p w14:paraId="0114C7FF">
      <w:pPr>
        <w:pStyle w:val="8"/>
        <w:adjustRightInd w:val="0"/>
        <w:snapToGrid w:val="0"/>
        <w:spacing w:line="360" w:lineRule="auto"/>
        <w:jc w:val="center"/>
        <w:rPr>
          <w:rFonts w:hint="eastAsia" w:hAnsi="宋体" w:cs="宋体"/>
          <w:color w:val="auto"/>
          <w:kern w:val="0"/>
          <w:sz w:val="24"/>
          <w:szCs w:val="24"/>
        </w:rPr>
      </w:pPr>
    </w:p>
    <w:p w14:paraId="53763887">
      <w:pPr>
        <w:pStyle w:val="8"/>
        <w:adjustRightInd w:val="0"/>
        <w:snapToGrid w:val="0"/>
        <w:spacing w:line="360" w:lineRule="auto"/>
        <w:jc w:val="center"/>
        <w:rPr>
          <w:rFonts w:hint="eastAsia" w:hAnsi="宋体" w:cs="宋体"/>
          <w:color w:val="auto"/>
          <w:kern w:val="0"/>
          <w:sz w:val="24"/>
          <w:szCs w:val="24"/>
        </w:rPr>
      </w:pPr>
    </w:p>
    <w:p w14:paraId="42FC3DCD">
      <w:pPr>
        <w:pStyle w:val="8"/>
        <w:adjustRightInd w:val="0"/>
        <w:snapToGrid w:val="0"/>
        <w:spacing w:line="360" w:lineRule="auto"/>
        <w:jc w:val="center"/>
        <w:rPr>
          <w:rFonts w:hint="eastAsia" w:hAnsi="宋体" w:cs="宋体"/>
          <w:color w:val="auto"/>
          <w:kern w:val="0"/>
          <w:sz w:val="24"/>
          <w:szCs w:val="24"/>
        </w:rPr>
      </w:pPr>
    </w:p>
    <w:p w14:paraId="3D34DEE1">
      <w:pPr>
        <w:pStyle w:val="8"/>
        <w:adjustRightInd w:val="0"/>
        <w:snapToGrid w:val="0"/>
        <w:spacing w:line="360" w:lineRule="auto"/>
        <w:jc w:val="center"/>
        <w:rPr>
          <w:rFonts w:hint="eastAsia" w:hAnsi="宋体" w:cs="宋体"/>
          <w:color w:val="auto"/>
          <w:kern w:val="0"/>
          <w:sz w:val="24"/>
          <w:szCs w:val="24"/>
        </w:rPr>
      </w:pPr>
    </w:p>
    <w:p w14:paraId="104D96AD">
      <w:pPr>
        <w:pStyle w:val="8"/>
        <w:adjustRightInd w:val="0"/>
        <w:snapToGrid w:val="0"/>
        <w:spacing w:line="360" w:lineRule="auto"/>
        <w:jc w:val="center"/>
        <w:rPr>
          <w:rFonts w:hint="eastAsia" w:hAnsi="宋体" w:cs="宋体"/>
          <w:color w:val="auto"/>
          <w:kern w:val="0"/>
          <w:sz w:val="24"/>
          <w:szCs w:val="24"/>
        </w:rPr>
      </w:pPr>
    </w:p>
    <w:p w14:paraId="1F76E822">
      <w:pPr>
        <w:pStyle w:val="8"/>
        <w:adjustRightInd w:val="0"/>
        <w:snapToGrid w:val="0"/>
        <w:spacing w:line="360" w:lineRule="auto"/>
        <w:jc w:val="center"/>
        <w:rPr>
          <w:rFonts w:hint="eastAsia" w:hAnsi="宋体" w:cs="宋体"/>
          <w:color w:val="auto"/>
          <w:kern w:val="0"/>
          <w:sz w:val="24"/>
          <w:szCs w:val="24"/>
        </w:rPr>
      </w:pPr>
    </w:p>
    <w:p w14:paraId="3DBEC4CC">
      <w:pPr>
        <w:pStyle w:val="8"/>
        <w:adjustRightInd w:val="0"/>
        <w:snapToGrid w:val="0"/>
        <w:spacing w:line="360" w:lineRule="auto"/>
        <w:jc w:val="center"/>
        <w:rPr>
          <w:rFonts w:hint="eastAsia" w:hAnsi="宋体" w:cs="宋体"/>
          <w:color w:val="auto"/>
          <w:kern w:val="0"/>
          <w:sz w:val="24"/>
          <w:szCs w:val="24"/>
        </w:rPr>
      </w:pPr>
    </w:p>
    <w:p w14:paraId="7D972B99">
      <w:pPr>
        <w:pStyle w:val="8"/>
        <w:adjustRightInd w:val="0"/>
        <w:snapToGrid w:val="0"/>
        <w:spacing w:line="360" w:lineRule="auto"/>
        <w:jc w:val="center"/>
        <w:rPr>
          <w:rFonts w:hint="eastAsia" w:hAnsi="宋体" w:cs="宋体"/>
          <w:color w:val="auto"/>
          <w:kern w:val="0"/>
          <w:sz w:val="32"/>
          <w:szCs w:val="32"/>
        </w:rPr>
      </w:pPr>
      <w:r>
        <w:rPr>
          <w:rFonts w:hint="eastAsia" w:hAnsi="宋体" w:cs="宋体"/>
          <w:color w:val="auto"/>
          <w:kern w:val="0"/>
          <w:sz w:val="32"/>
          <w:szCs w:val="32"/>
        </w:rPr>
        <w:t xml:space="preserve"> (注:</w:t>
      </w:r>
      <w:r>
        <w:rPr>
          <w:rFonts w:hint="eastAsia" w:hAnsi="宋体" w:cs="宋体"/>
          <w:snapToGrid w:val="0"/>
          <w:color w:val="auto"/>
          <w:sz w:val="32"/>
          <w:szCs w:val="32"/>
        </w:rPr>
        <w:t>资格审查申请书附表格式)</w:t>
      </w:r>
    </w:p>
    <w:p w14:paraId="495B9801">
      <w:pPr>
        <w:jc w:val="center"/>
        <w:rPr>
          <w:rFonts w:hint="eastAsia"/>
          <w:b/>
          <w:bCs/>
          <w:color w:val="auto"/>
          <w:sz w:val="28"/>
          <w:szCs w:val="28"/>
        </w:rPr>
      </w:pPr>
      <w:r>
        <w:rPr>
          <w:rFonts w:hint="eastAsia"/>
          <w:b/>
          <w:bCs/>
          <w:color w:val="auto"/>
          <w:sz w:val="28"/>
          <w:szCs w:val="28"/>
        </w:rPr>
        <w:t>法定代表人身份证明</w:t>
      </w:r>
    </w:p>
    <w:p w14:paraId="172BF491">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投 标 人：</w:t>
      </w:r>
    </w:p>
    <w:p w14:paraId="279555E1">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单位性质：</w:t>
      </w:r>
    </w:p>
    <w:p w14:paraId="5DFFF245">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地    址：</w:t>
      </w:r>
    </w:p>
    <w:p w14:paraId="7082CB11">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FE44C25">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经营期限：</w:t>
      </w:r>
    </w:p>
    <w:p w14:paraId="517CD6FB">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w:t>
      </w:r>
      <w:r>
        <w:rPr>
          <w:rFonts w:hint="eastAsia" w:ascii="宋体" w:hAnsi="宋体" w:cs="宋体"/>
          <w:color w:val="auto"/>
          <w:sz w:val="24"/>
          <w:szCs w:val="24"/>
        </w:rPr>
        <w:t>性     别：</w:t>
      </w:r>
    </w:p>
    <w:p w14:paraId="49F7BEB6">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年    龄：</w:t>
      </w:r>
      <w:r>
        <w:rPr>
          <w:rFonts w:hint="eastAsia" w:ascii="宋体" w:hAnsi="宋体" w:cs="宋体"/>
          <w:color w:val="auto"/>
          <w:sz w:val="24"/>
          <w:szCs w:val="24"/>
          <w:u w:val="single"/>
        </w:rPr>
        <w:t xml:space="preserve">        </w:t>
      </w:r>
      <w:r>
        <w:rPr>
          <w:rFonts w:hint="eastAsia" w:ascii="宋体" w:hAnsi="宋体" w:cs="宋体"/>
          <w:color w:val="auto"/>
          <w:sz w:val="24"/>
          <w:szCs w:val="24"/>
        </w:rPr>
        <w:t>职     务：</w:t>
      </w:r>
    </w:p>
    <w:p w14:paraId="7571A9D9">
      <w:pPr>
        <w:adjustRightInd w:val="0"/>
        <w:snapToGrid w:val="0"/>
        <w:spacing w:line="44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（投标人名称）的法定代表人。</w:t>
      </w:r>
    </w:p>
    <w:p w14:paraId="004DE727">
      <w:pPr>
        <w:adjustRightInd w:val="0"/>
        <w:snapToGrid w:val="0"/>
        <w:spacing w:line="700" w:lineRule="exact"/>
        <w:ind w:left="840" w:leftChars="400"/>
        <w:contextualSpacing/>
        <w:rPr>
          <w:rFonts w:hint="eastAsia" w:ascii="宋体" w:hAnsi="宋体" w:cs="宋体"/>
          <w:color w:val="auto"/>
          <w:sz w:val="24"/>
          <w:szCs w:val="24"/>
        </w:rPr>
      </w:pPr>
      <w:r>
        <w:rPr>
          <w:rFonts w:hint="eastAsia" w:ascii="宋体" w:hAnsi="宋体" w:cs="宋体"/>
          <w:color w:val="auto"/>
          <w:sz w:val="24"/>
          <w:szCs w:val="24"/>
        </w:rPr>
        <w:t>特此证明。</w:t>
      </w:r>
    </w:p>
    <w:p w14:paraId="2AADFDC1">
      <w:pPr>
        <w:adjustRightInd w:val="0"/>
        <w:snapToGrid w:val="0"/>
        <w:spacing w:line="360" w:lineRule="auto"/>
        <w:ind w:left="840" w:leftChars="400"/>
        <w:rPr>
          <w:rFonts w:hint="eastAsia" w:ascii="宋体" w:hAnsi="宋体" w:cs="宋体"/>
          <w:color w:val="auto"/>
          <w:sz w:val="24"/>
          <w:szCs w:val="24"/>
        </w:rPr>
      </w:pPr>
      <w:r>
        <w:rPr>
          <w:rFonts w:hint="eastAsia" w:ascii="宋体" w:hAnsi="宋体" w:cs="宋体"/>
          <w:color w:val="auto"/>
          <w:sz w:val="24"/>
          <w:szCs w:val="24"/>
        </w:rPr>
        <w:t>身份证复印件：</w:t>
      </w:r>
    </w:p>
    <w:p w14:paraId="72E568D0">
      <w:pPr>
        <w:wordWrap w:val="0"/>
        <w:adjustRightInd w:val="0"/>
        <w:snapToGrid w:val="0"/>
        <w:spacing w:line="600" w:lineRule="exact"/>
        <w:ind w:firstLine="5520" w:firstLineChars="2300"/>
        <w:contextualSpacing/>
        <w:rPr>
          <w:rFonts w:hint="eastAsia" w:ascii="宋体" w:hAnsi="宋体" w:cs="宋体"/>
          <w:color w:val="auto"/>
          <w:sz w:val="24"/>
          <w:szCs w:val="24"/>
        </w:rPr>
      </w:pPr>
    </w:p>
    <w:p w14:paraId="7F286432">
      <w:pPr>
        <w:wordWrap w:val="0"/>
        <w:adjustRightInd w:val="0"/>
        <w:snapToGrid w:val="0"/>
        <w:spacing w:line="600" w:lineRule="exact"/>
        <w:ind w:firstLine="5520" w:firstLineChars="2300"/>
        <w:contextualSpacing/>
        <w:rPr>
          <w:rFonts w:hint="eastAsia" w:ascii="宋体" w:hAnsi="宋体" w:cs="宋体"/>
          <w:color w:val="auto"/>
          <w:sz w:val="24"/>
          <w:szCs w:val="24"/>
        </w:rPr>
      </w:pPr>
      <w:r>
        <w:rPr>
          <w:rFonts w:hint="eastAsia" w:ascii="宋体" w:hAnsi="宋体" w:cs="宋体"/>
          <w:color w:val="auto"/>
          <w:sz w:val="24"/>
          <w:szCs w:val="24"/>
        </w:rPr>
        <w:t>投标人：</w:t>
      </w:r>
      <w:r>
        <w:rPr>
          <w:rFonts w:ascii="宋体" w:hAnsi="宋体" w:cs="宋体"/>
          <w:color w:val="auto"/>
          <w:sz w:val="24"/>
          <w:szCs w:val="24"/>
          <w:u w:val="single"/>
        </w:rPr>
        <w:t xml:space="preserve">            </w:t>
      </w:r>
      <w:r>
        <w:rPr>
          <w:rFonts w:hint="eastAsia" w:ascii="宋体" w:hAnsi="宋体" w:cs="宋体"/>
          <w:color w:val="auto"/>
          <w:sz w:val="24"/>
          <w:szCs w:val="24"/>
        </w:rPr>
        <w:t>（盖单位章）</w:t>
      </w:r>
    </w:p>
    <w:p w14:paraId="17E6479C">
      <w:pPr>
        <w:wordWrap w:val="0"/>
        <w:adjustRightInd w:val="0"/>
        <w:snapToGrid w:val="0"/>
        <w:spacing w:line="600" w:lineRule="exact"/>
        <w:ind w:firstLine="5520" w:firstLineChars="2300"/>
        <w:contextualSpacing/>
        <w:rPr>
          <w:rFonts w:hint="eastAsia"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72F0CA31">
      <w:pPr>
        <w:adjustRightInd w:val="0"/>
        <w:snapToGrid w:val="0"/>
        <w:spacing w:line="360" w:lineRule="auto"/>
        <w:jc w:val="center"/>
        <w:rPr>
          <w:rFonts w:hint="eastAsia" w:ascii="宋体" w:hAnsi="宋体" w:cs="宋体"/>
          <w:color w:val="auto"/>
          <w:szCs w:val="21"/>
        </w:rPr>
      </w:pPr>
    </w:p>
    <w:p w14:paraId="6E8583A1">
      <w:pPr>
        <w:rPr>
          <w:rFonts w:hint="eastAsia"/>
          <w:color w:val="auto"/>
        </w:rPr>
      </w:pPr>
      <w:bookmarkStart w:id="4" w:name="_Toc256000082"/>
    </w:p>
    <w:p w14:paraId="13F4D8C8">
      <w:pPr>
        <w:rPr>
          <w:rFonts w:hint="eastAsia"/>
          <w:color w:val="auto"/>
        </w:rPr>
      </w:pPr>
    </w:p>
    <w:p w14:paraId="197D6E79">
      <w:pPr>
        <w:rPr>
          <w:rFonts w:hint="eastAsia"/>
          <w:color w:val="auto"/>
        </w:rPr>
      </w:pPr>
    </w:p>
    <w:p w14:paraId="7E133ADE">
      <w:pPr>
        <w:rPr>
          <w:rFonts w:hint="eastAsia"/>
          <w:color w:val="auto"/>
        </w:rPr>
      </w:pPr>
    </w:p>
    <w:p w14:paraId="500CDDD7">
      <w:pPr>
        <w:rPr>
          <w:rFonts w:hint="eastAsia"/>
          <w:color w:val="auto"/>
        </w:rPr>
      </w:pPr>
    </w:p>
    <w:p w14:paraId="448FA2DC">
      <w:pPr>
        <w:rPr>
          <w:rFonts w:hint="eastAsia"/>
          <w:color w:val="auto"/>
        </w:rPr>
      </w:pPr>
    </w:p>
    <w:p w14:paraId="521AE3CB">
      <w:pPr>
        <w:rPr>
          <w:rFonts w:hint="eastAsia"/>
          <w:color w:val="auto"/>
        </w:rPr>
      </w:pPr>
    </w:p>
    <w:p w14:paraId="4F52C173">
      <w:pPr>
        <w:rPr>
          <w:rFonts w:hint="eastAsia"/>
          <w:color w:val="auto"/>
        </w:rPr>
      </w:pPr>
    </w:p>
    <w:p w14:paraId="0E6B02BC">
      <w:pPr>
        <w:rPr>
          <w:rFonts w:hint="eastAsia"/>
          <w:color w:val="auto"/>
        </w:rPr>
      </w:pPr>
    </w:p>
    <w:p w14:paraId="4A914154">
      <w:pPr>
        <w:jc w:val="center"/>
        <w:rPr>
          <w:rFonts w:hint="eastAsia"/>
          <w:b/>
          <w:bCs/>
          <w:color w:val="auto"/>
          <w:sz w:val="32"/>
          <w:szCs w:val="32"/>
        </w:rPr>
      </w:pPr>
      <w:r>
        <w:rPr>
          <w:color w:val="auto"/>
          <w:sz w:val="36"/>
          <w:szCs w:val="36"/>
        </w:rPr>
        <w:br w:type="page"/>
      </w:r>
      <w:r>
        <w:rPr>
          <w:rFonts w:hint="eastAsia"/>
          <w:b/>
          <w:bCs/>
          <w:color w:val="auto"/>
          <w:sz w:val="32"/>
          <w:szCs w:val="32"/>
        </w:rPr>
        <w:t>授 权 委 托 书</w:t>
      </w:r>
      <w:bookmarkEnd w:id="4"/>
    </w:p>
    <w:p w14:paraId="00667147">
      <w:pPr>
        <w:adjustRightInd w:val="0"/>
        <w:snapToGrid w:val="0"/>
        <w:spacing w:line="360" w:lineRule="auto"/>
        <w:jc w:val="center"/>
        <w:rPr>
          <w:rFonts w:hint="eastAsia" w:ascii="宋体" w:hAnsi="宋体" w:cs="宋体"/>
          <w:color w:val="auto"/>
          <w:szCs w:val="21"/>
        </w:rPr>
      </w:pPr>
    </w:p>
    <w:p w14:paraId="7FD58FDF">
      <w:pPr>
        <w:topLinePunct/>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（投标人名称）的法定代表人，现委托</w:t>
      </w:r>
      <w:r>
        <w:rPr>
          <w:rFonts w:hint="eastAsia" w:ascii="宋体" w:hAnsi="宋体" w:cs="宋体"/>
          <w:color w:val="auto"/>
          <w:sz w:val="24"/>
          <w:szCs w:val="24"/>
          <w:u w:val="single"/>
        </w:rPr>
        <w:t xml:space="preserve">    </w:t>
      </w:r>
      <w:r>
        <w:rPr>
          <w:rFonts w:hint="eastAsia" w:ascii="宋体" w:hAnsi="宋体" w:cs="宋体"/>
          <w:color w:val="auto"/>
          <w:sz w:val="24"/>
          <w:szCs w:val="24"/>
        </w:rPr>
        <w:t>（姓名）为我方代理人。代理人根据授权，以我方名义签署、澄清、说明、补正、递交、撤回、修改</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（项目名称）施工投标文件、签订合同和处理有关事宜，其法律后果由我方承担。</w:t>
      </w:r>
    </w:p>
    <w:p w14:paraId="5CBDF0D4">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委托期限：</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3DC18F22">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代理人无转委托权。</w:t>
      </w:r>
    </w:p>
    <w:p w14:paraId="366F451F">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附：法定代表人身份证明和身份证复印件</w:t>
      </w:r>
    </w:p>
    <w:p w14:paraId="2CCF69BA">
      <w:pPr>
        <w:adjustRightInd w:val="0"/>
        <w:snapToGrid w:val="0"/>
        <w:spacing w:line="360" w:lineRule="auto"/>
        <w:jc w:val="center"/>
        <w:rPr>
          <w:rFonts w:hint="eastAsia" w:ascii="宋体" w:hAnsi="宋体" w:cs="宋体"/>
          <w:color w:val="auto"/>
          <w:sz w:val="24"/>
          <w:szCs w:val="24"/>
        </w:rPr>
      </w:pPr>
    </w:p>
    <w:p w14:paraId="71DEEFC7">
      <w:pPr>
        <w:adjustRightInd w:val="0"/>
        <w:snapToGrid w:val="0"/>
        <w:spacing w:line="360" w:lineRule="auto"/>
        <w:jc w:val="center"/>
        <w:rPr>
          <w:rFonts w:hint="eastAsia" w:ascii="宋体" w:hAnsi="宋体" w:cs="宋体"/>
          <w:color w:val="auto"/>
          <w:sz w:val="24"/>
          <w:szCs w:val="24"/>
        </w:rPr>
      </w:pPr>
    </w:p>
    <w:p w14:paraId="75715698">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投  标  人：</w:t>
      </w:r>
      <w:r>
        <w:rPr>
          <w:rFonts w:hint="eastAsia" w:ascii="宋体" w:hAnsi="宋体" w:cs="宋体"/>
          <w:color w:val="auto"/>
          <w:sz w:val="24"/>
          <w:szCs w:val="24"/>
          <w:u w:val="single"/>
        </w:rPr>
        <w:t xml:space="preserve">        （盖单位章）</w:t>
      </w:r>
    </w:p>
    <w:p w14:paraId="35437E35">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hAnsi="宋体" w:cs="宋体"/>
          <w:color w:val="auto"/>
          <w:sz w:val="24"/>
          <w:szCs w:val="24"/>
        </w:rPr>
        <w:t>签字</w:t>
      </w:r>
      <w:r>
        <w:rPr>
          <w:rFonts w:hint="eastAsia" w:ascii="宋体" w:hAnsi="宋体" w:cs="宋体"/>
          <w:color w:val="auto"/>
          <w:sz w:val="24"/>
          <w:szCs w:val="24"/>
        </w:rPr>
        <w:t>）</w:t>
      </w:r>
    </w:p>
    <w:p w14:paraId="0D633969">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身份证号码：</w:t>
      </w:r>
    </w:p>
    <w:p w14:paraId="4CED4C83">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hAnsi="宋体" w:cs="宋体"/>
          <w:color w:val="auto"/>
          <w:sz w:val="24"/>
          <w:szCs w:val="24"/>
        </w:rPr>
        <w:t>签字</w:t>
      </w:r>
      <w:r>
        <w:rPr>
          <w:rFonts w:hint="eastAsia" w:ascii="宋体" w:hAnsi="宋体" w:cs="宋体"/>
          <w:color w:val="auto"/>
          <w:sz w:val="24"/>
          <w:szCs w:val="24"/>
        </w:rPr>
        <w:t>）</w:t>
      </w:r>
    </w:p>
    <w:p w14:paraId="7CDAE66D">
      <w:pPr>
        <w:adjustRightInd w:val="0"/>
        <w:snapToGrid w:val="0"/>
        <w:spacing w:line="700" w:lineRule="exact"/>
        <w:ind w:left="2520" w:leftChars="1200" w:firstLine="1852" w:firstLineChars="772"/>
        <w:contextualSpacing/>
        <w:rPr>
          <w:rFonts w:hint="eastAsia" w:ascii="宋体" w:hAnsi="宋体" w:cs="宋体"/>
          <w:color w:val="auto"/>
          <w:sz w:val="24"/>
          <w:szCs w:val="24"/>
        </w:rPr>
      </w:pPr>
      <w:r>
        <w:rPr>
          <w:rFonts w:hint="eastAsia" w:ascii="宋体" w:hAnsi="宋体" w:cs="宋体"/>
          <w:color w:val="auto"/>
          <w:sz w:val="24"/>
          <w:szCs w:val="24"/>
        </w:rPr>
        <w:t>身份证号码：</w:t>
      </w:r>
    </w:p>
    <w:p w14:paraId="21972E39">
      <w:pPr>
        <w:adjustRightInd w:val="0"/>
        <w:snapToGrid w:val="0"/>
        <w:spacing w:line="360" w:lineRule="auto"/>
        <w:ind w:left="2520" w:leftChars="1200" w:firstLine="2760" w:firstLineChars="115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696AB6DE">
      <w:pPr>
        <w:adjustRightInd w:val="0"/>
        <w:snapToGrid w:val="0"/>
        <w:spacing w:line="360" w:lineRule="auto"/>
        <w:jc w:val="center"/>
        <w:rPr>
          <w:rFonts w:hint="eastAsia" w:ascii="宋体" w:hAnsi="宋体" w:cs="宋体"/>
          <w:color w:val="auto"/>
        </w:rPr>
      </w:pPr>
    </w:p>
    <w:p w14:paraId="4F2AEC44">
      <w:pPr>
        <w:pStyle w:val="8"/>
        <w:adjustRightInd w:val="0"/>
        <w:snapToGrid w:val="0"/>
        <w:spacing w:line="360" w:lineRule="auto"/>
        <w:jc w:val="center"/>
        <w:rPr>
          <w:rFonts w:hint="eastAsia" w:hAnsi="宋体" w:cs="宋体"/>
          <w:color w:val="auto"/>
        </w:rPr>
      </w:pPr>
      <w:r>
        <w:rPr>
          <w:rFonts w:hint="eastAsia" w:hAnsi="宋体" w:cs="宋体"/>
          <w:color w:val="auto"/>
        </w:rPr>
        <w:t xml:space="preserve">           </w:t>
      </w:r>
    </w:p>
    <w:p w14:paraId="4687D0E5">
      <w:pPr>
        <w:pStyle w:val="8"/>
        <w:adjustRightInd w:val="0"/>
        <w:snapToGrid w:val="0"/>
        <w:spacing w:line="360" w:lineRule="auto"/>
        <w:jc w:val="center"/>
        <w:rPr>
          <w:rFonts w:hint="eastAsia" w:hAnsi="宋体" w:cs="宋体"/>
          <w:color w:val="auto"/>
        </w:rPr>
      </w:pPr>
    </w:p>
    <w:p w14:paraId="103177B4">
      <w:pPr>
        <w:pStyle w:val="8"/>
        <w:adjustRightInd w:val="0"/>
        <w:snapToGrid w:val="0"/>
        <w:spacing w:line="360" w:lineRule="auto"/>
        <w:jc w:val="center"/>
        <w:rPr>
          <w:rFonts w:hint="eastAsia" w:hAnsi="宋体" w:cs="宋体"/>
          <w:color w:val="auto"/>
        </w:rPr>
      </w:pPr>
    </w:p>
    <w:p w14:paraId="41232C92">
      <w:pPr>
        <w:pStyle w:val="8"/>
        <w:adjustRightInd w:val="0"/>
        <w:snapToGrid w:val="0"/>
        <w:spacing w:line="360" w:lineRule="auto"/>
        <w:jc w:val="center"/>
        <w:rPr>
          <w:rFonts w:hint="eastAsia" w:hAnsi="宋体" w:cs="宋体"/>
          <w:color w:val="auto"/>
        </w:rPr>
      </w:pPr>
    </w:p>
    <w:p w14:paraId="3A8D20CA">
      <w:pPr>
        <w:pStyle w:val="8"/>
        <w:adjustRightInd w:val="0"/>
        <w:snapToGrid w:val="0"/>
        <w:spacing w:line="360" w:lineRule="auto"/>
        <w:jc w:val="center"/>
        <w:rPr>
          <w:rFonts w:hint="eastAsia" w:hAnsi="宋体" w:cs="宋体"/>
          <w:color w:val="auto"/>
        </w:rPr>
      </w:pPr>
    </w:p>
    <w:p w14:paraId="7FE2182C">
      <w:pPr>
        <w:pStyle w:val="8"/>
        <w:adjustRightInd w:val="0"/>
        <w:snapToGrid w:val="0"/>
        <w:spacing w:line="360" w:lineRule="auto"/>
        <w:jc w:val="center"/>
        <w:rPr>
          <w:rFonts w:hint="eastAsia" w:hAnsi="宋体" w:cs="宋体"/>
          <w:color w:val="auto"/>
        </w:rPr>
      </w:pPr>
    </w:p>
    <w:p w14:paraId="2C756B64">
      <w:pPr>
        <w:pStyle w:val="8"/>
        <w:adjustRightInd w:val="0"/>
        <w:snapToGrid w:val="0"/>
        <w:spacing w:line="360" w:lineRule="auto"/>
        <w:jc w:val="center"/>
        <w:rPr>
          <w:rFonts w:hint="eastAsia" w:hAnsi="宋体" w:cs="宋体"/>
          <w:color w:val="auto"/>
        </w:rPr>
      </w:pPr>
    </w:p>
    <w:p w14:paraId="7C55FC47">
      <w:pPr>
        <w:pStyle w:val="8"/>
        <w:adjustRightInd w:val="0"/>
        <w:snapToGrid w:val="0"/>
        <w:spacing w:line="360" w:lineRule="auto"/>
        <w:jc w:val="center"/>
        <w:rPr>
          <w:rFonts w:hint="eastAsia" w:hAnsi="宋体" w:cs="宋体"/>
          <w:color w:val="auto"/>
        </w:rPr>
      </w:pPr>
    </w:p>
    <w:p w14:paraId="25CE359C">
      <w:pPr>
        <w:pStyle w:val="8"/>
        <w:adjustRightInd w:val="0"/>
        <w:snapToGrid w:val="0"/>
        <w:spacing w:line="360" w:lineRule="auto"/>
        <w:jc w:val="center"/>
        <w:rPr>
          <w:rFonts w:hint="eastAsia" w:hAnsi="宋体" w:cs="宋体"/>
          <w:color w:val="auto"/>
        </w:rPr>
      </w:pPr>
    </w:p>
    <w:p w14:paraId="4EC40AAC">
      <w:pPr>
        <w:pStyle w:val="8"/>
        <w:adjustRightInd w:val="0"/>
        <w:snapToGrid w:val="0"/>
        <w:spacing w:line="360" w:lineRule="auto"/>
        <w:jc w:val="center"/>
        <w:rPr>
          <w:rFonts w:hint="eastAsia" w:hAnsi="宋体" w:cs="宋体"/>
          <w:color w:val="auto"/>
        </w:rPr>
      </w:pPr>
      <w:r>
        <w:rPr>
          <w:rFonts w:hint="eastAsia" w:hAnsi="宋体" w:cs="宋体"/>
          <w:color w:val="auto"/>
        </w:rPr>
        <w:br w:type="page"/>
      </w:r>
    </w:p>
    <w:p w14:paraId="03FF2F2D">
      <w:pPr>
        <w:pStyle w:val="8"/>
        <w:adjustRightInd w:val="0"/>
        <w:snapToGrid w:val="0"/>
        <w:spacing w:line="360" w:lineRule="auto"/>
        <w:jc w:val="center"/>
        <w:rPr>
          <w:rFonts w:hint="eastAsia" w:hAnsi="宋体" w:cs="宋体"/>
          <w:color w:val="auto"/>
          <w:sz w:val="28"/>
          <w:szCs w:val="28"/>
        </w:rPr>
      </w:pPr>
      <w:r>
        <w:rPr>
          <w:rFonts w:hint="eastAsia" w:hAnsi="宋体" w:cs="宋体"/>
          <w:color w:val="auto"/>
          <w:sz w:val="28"/>
          <w:szCs w:val="28"/>
        </w:rPr>
        <w:t>(注:</w:t>
      </w:r>
      <w:r>
        <w:rPr>
          <w:rFonts w:hint="eastAsia" w:hAnsi="宋体" w:cs="宋体"/>
          <w:snapToGrid w:val="0"/>
          <w:color w:val="auto"/>
          <w:sz w:val="28"/>
          <w:szCs w:val="28"/>
        </w:rPr>
        <w:t>资格审查申请书附表格式)</w:t>
      </w:r>
    </w:p>
    <w:p w14:paraId="6469B570">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申请资格审查人简介</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313"/>
        <w:gridCol w:w="2410"/>
        <w:gridCol w:w="1701"/>
        <w:gridCol w:w="2700"/>
      </w:tblGrid>
      <w:tr w14:paraId="3A63B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14:paraId="2E663CD3">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单位名称</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B2791FA">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0D828C5">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地     址</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B85596F">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14:paraId="403F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14:paraId="231915F9">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资质等级</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46E59E7">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44C9A36">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单 位 性 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0A97C3E">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14:paraId="7F8F0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14:paraId="7DD52855">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法定代表人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AF26383">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F7519B7">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联 系 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D3AC700">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14:paraId="0EBC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14:paraId="5391EE61">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注册建造师</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6322AB2">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B4F2862">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等    级</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958CCF2">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14:paraId="0DB54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14:paraId="5B3F3F39">
            <w:pPr>
              <w:autoSpaceDE w:val="0"/>
              <w:autoSpaceDN w:val="0"/>
              <w:adjustRightInd w:val="0"/>
              <w:snapToGrid w:val="0"/>
              <w:spacing w:line="320" w:lineRule="exact"/>
              <w:contextualSpacing/>
              <w:jc w:val="center"/>
              <w:rPr>
                <w:rFonts w:hint="eastAsia" w:ascii="宋体" w:hAnsi="宋体" w:cs="宋体"/>
                <w:color w:val="auto"/>
                <w:sz w:val="24"/>
                <w:szCs w:val="24"/>
              </w:rPr>
            </w:pPr>
            <w:r>
              <w:rPr>
                <w:rFonts w:hint="eastAsia" w:ascii="宋体" w:hAnsi="宋体" w:cs="宋体"/>
                <w:color w:val="auto"/>
                <w:sz w:val="24"/>
                <w:szCs w:val="24"/>
              </w:rPr>
              <w:t>拟投入的施工队伍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6229C61C">
            <w:pPr>
              <w:autoSpaceDE w:val="0"/>
              <w:autoSpaceDN w:val="0"/>
              <w:adjustRightInd w:val="0"/>
              <w:snapToGrid w:val="0"/>
              <w:spacing w:line="440" w:lineRule="exact"/>
              <w:contextualSpacing/>
              <w:jc w:val="center"/>
              <w:rPr>
                <w:rFonts w:hint="eastAsia" w:ascii="宋体" w:hAnsi="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3B00CE2">
            <w:pPr>
              <w:autoSpaceDE w:val="0"/>
              <w:autoSpaceDN w:val="0"/>
              <w:adjustRightInd w:val="0"/>
              <w:snapToGrid w:val="0"/>
              <w:spacing w:line="440" w:lineRule="exact"/>
              <w:contextualSpacing/>
              <w:jc w:val="center"/>
              <w:rPr>
                <w:rFonts w:hint="eastAsia" w:ascii="宋体" w:hAnsi="宋体" w:cs="宋体"/>
                <w:color w:val="auto"/>
                <w:sz w:val="24"/>
                <w:szCs w:val="24"/>
              </w:rPr>
            </w:pPr>
            <w:r>
              <w:rPr>
                <w:rFonts w:hint="eastAsia" w:ascii="宋体" w:hAnsi="宋体" w:cs="宋体"/>
                <w:color w:val="auto"/>
                <w:sz w:val="24"/>
                <w:szCs w:val="24"/>
              </w:rPr>
              <w:t>联 系</w:t>
            </w:r>
            <w:r>
              <w:rPr>
                <w:rFonts w:hint="eastAsia" w:ascii="宋体" w:hAnsi="宋体" w:cs="宋体"/>
                <w:color w:val="auto"/>
                <w:sz w:val="24"/>
                <w:szCs w:val="24"/>
                <w:lang w:val="en-US" w:eastAsia="zh-CN"/>
              </w:rPr>
              <w:t xml:space="preserve"> 电 </w:t>
            </w:r>
            <w:r>
              <w:rPr>
                <w:rFonts w:hint="eastAsia" w:ascii="宋体" w:hAnsi="宋体" w:cs="宋体"/>
                <w:color w:val="auto"/>
                <w:sz w:val="24"/>
                <w:szCs w:val="24"/>
              </w:rPr>
              <w:t>话</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C2ABC84">
            <w:pPr>
              <w:autoSpaceDE w:val="0"/>
              <w:autoSpaceDN w:val="0"/>
              <w:adjustRightInd w:val="0"/>
              <w:snapToGrid w:val="0"/>
              <w:spacing w:line="440" w:lineRule="exact"/>
              <w:contextualSpacing/>
              <w:jc w:val="center"/>
              <w:rPr>
                <w:rFonts w:hint="eastAsia" w:ascii="宋体" w:hAnsi="宋体" w:cs="宋体"/>
                <w:color w:val="auto"/>
                <w:sz w:val="24"/>
                <w:szCs w:val="24"/>
              </w:rPr>
            </w:pPr>
          </w:p>
        </w:tc>
      </w:tr>
      <w:tr w14:paraId="1BCC4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23"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3B1579E">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申</w:t>
            </w:r>
          </w:p>
          <w:p w14:paraId="297F5F91">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请</w:t>
            </w:r>
          </w:p>
          <w:p w14:paraId="2BBAA45A">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资</w:t>
            </w:r>
          </w:p>
          <w:p w14:paraId="4A50FBBC">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格</w:t>
            </w:r>
          </w:p>
          <w:p w14:paraId="3A3EE68A">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审</w:t>
            </w:r>
          </w:p>
          <w:p w14:paraId="0389F683">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查</w:t>
            </w:r>
          </w:p>
          <w:p w14:paraId="4D6E8FDD">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人</w:t>
            </w:r>
          </w:p>
          <w:p w14:paraId="313EEE46">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组</w:t>
            </w:r>
          </w:p>
          <w:p w14:paraId="6DC2205E">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织</w:t>
            </w:r>
          </w:p>
          <w:p w14:paraId="116D07AC">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机</w:t>
            </w:r>
          </w:p>
          <w:p w14:paraId="1DF471CD">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构</w:t>
            </w:r>
          </w:p>
          <w:p w14:paraId="5778FB05">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和</w:t>
            </w:r>
          </w:p>
          <w:p w14:paraId="63587279">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企</w:t>
            </w:r>
          </w:p>
          <w:p w14:paraId="0F0BE0A7">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业</w:t>
            </w:r>
          </w:p>
          <w:p w14:paraId="58E8BC51">
            <w:pPr>
              <w:autoSpaceDE w:val="0"/>
              <w:autoSpaceDN w:val="0"/>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概</w:t>
            </w:r>
          </w:p>
          <w:p w14:paraId="730721D3">
            <w:pPr>
              <w:autoSpaceDE w:val="0"/>
              <w:autoSpaceDN w:val="0"/>
              <w:adjustRightInd w:val="0"/>
              <w:snapToGrid w:val="0"/>
              <w:jc w:val="center"/>
              <w:rPr>
                <w:rFonts w:hint="eastAsia" w:ascii="宋体" w:hAnsi="宋体" w:cs="宋体"/>
                <w:color w:val="auto"/>
                <w:sz w:val="28"/>
                <w:szCs w:val="28"/>
              </w:rPr>
            </w:pPr>
            <w:r>
              <w:rPr>
                <w:rFonts w:hint="eastAsia" w:ascii="宋体" w:hAnsi="宋体" w:cs="宋体"/>
                <w:color w:val="auto"/>
                <w:sz w:val="24"/>
                <w:szCs w:val="24"/>
              </w:rPr>
              <w:t>况</w:t>
            </w:r>
          </w:p>
        </w:tc>
        <w:tc>
          <w:tcPr>
            <w:tcW w:w="8124" w:type="dxa"/>
            <w:gridSpan w:val="4"/>
            <w:tcBorders>
              <w:top w:val="single" w:color="000000" w:sz="4" w:space="0"/>
              <w:left w:val="single" w:color="000000" w:sz="4" w:space="0"/>
              <w:bottom w:val="single" w:color="000000" w:sz="4" w:space="0"/>
              <w:right w:val="single" w:color="000000" w:sz="4" w:space="0"/>
            </w:tcBorders>
            <w:noWrap w:val="0"/>
            <w:vAlign w:val="center"/>
          </w:tcPr>
          <w:p w14:paraId="57EE31EF">
            <w:pPr>
              <w:autoSpaceDE w:val="0"/>
              <w:autoSpaceDN w:val="0"/>
              <w:adjustRightInd w:val="0"/>
              <w:snapToGrid w:val="0"/>
              <w:rPr>
                <w:rFonts w:hint="eastAsia" w:ascii="宋体" w:hAnsi="宋体" w:cs="宋体"/>
                <w:color w:val="auto"/>
                <w:sz w:val="28"/>
                <w:szCs w:val="28"/>
              </w:rPr>
            </w:pPr>
          </w:p>
          <w:p w14:paraId="6C4E5597">
            <w:pPr>
              <w:autoSpaceDE w:val="0"/>
              <w:autoSpaceDN w:val="0"/>
              <w:adjustRightInd w:val="0"/>
              <w:snapToGrid w:val="0"/>
              <w:rPr>
                <w:rFonts w:hint="eastAsia" w:ascii="宋体" w:hAnsi="宋体" w:cs="宋体"/>
                <w:color w:val="auto"/>
                <w:sz w:val="28"/>
                <w:szCs w:val="28"/>
              </w:rPr>
            </w:pPr>
          </w:p>
          <w:p w14:paraId="156FBC1E">
            <w:pPr>
              <w:autoSpaceDE w:val="0"/>
              <w:autoSpaceDN w:val="0"/>
              <w:adjustRightInd w:val="0"/>
              <w:snapToGrid w:val="0"/>
              <w:rPr>
                <w:rFonts w:hint="eastAsia" w:ascii="宋体" w:hAnsi="宋体" w:cs="宋体"/>
                <w:color w:val="auto"/>
                <w:sz w:val="28"/>
                <w:szCs w:val="28"/>
              </w:rPr>
            </w:pPr>
          </w:p>
          <w:p w14:paraId="761D11A9">
            <w:pPr>
              <w:autoSpaceDE w:val="0"/>
              <w:autoSpaceDN w:val="0"/>
              <w:adjustRightInd w:val="0"/>
              <w:snapToGrid w:val="0"/>
              <w:rPr>
                <w:rFonts w:hint="eastAsia" w:ascii="宋体" w:hAnsi="宋体" w:cs="宋体"/>
                <w:color w:val="auto"/>
                <w:sz w:val="28"/>
                <w:szCs w:val="28"/>
              </w:rPr>
            </w:pPr>
          </w:p>
          <w:p w14:paraId="555A46A6">
            <w:pPr>
              <w:autoSpaceDE w:val="0"/>
              <w:autoSpaceDN w:val="0"/>
              <w:adjustRightInd w:val="0"/>
              <w:snapToGrid w:val="0"/>
              <w:rPr>
                <w:rFonts w:hint="eastAsia" w:ascii="宋体" w:hAnsi="宋体" w:cs="宋体"/>
                <w:color w:val="auto"/>
                <w:sz w:val="28"/>
                <w:szCs w:val="28"/>
              </w:rPr>
            </w:pPr>
          </w:p>
          <w:p w14:paraId="0E69F319">
            <w:pPr>
              <w:autoSpaceDE w:val="0"/>
              <w:autoSpaceDN w:val="0"/>
              <w:adjustRightInd w:val="0"/>
              <w:snapToGrid w:val="0"/>
              <w:rPr>
                <w:rFonts w:hint="eastAsia" w:ascii="宋体" w:hAnsi="宋体" w:cs="宋体"/>
                <w:color w:val="auto"/>
                <w:sz w:val="28"/>
                <w:szCs w:val="28"/>
              </w:rPr>
            </w:pPr>
          </w:p>
          <w:p w14:paraId="5F6D0785">
            <w:pPr>
              <w:autoSpaceDE w:val="0"/>
              <w:autoSpaceDN w:val="0"/>
              <w:adjustRightInd w:val="0"/>
              <w:snapToGrid w:val="0"/>
              <w:rPr>
                <w:rFonts w:hint="eastAsia" w:ascii="宋体" w:hAnsi="宋体" w:cs="宋体"/>
                <w:color w:val="auto"/>
                <w:sz w:val="28"/>
                <w:szCs w:val="28"/>
              </w:rPr>
            </w:pPr>
          </w:p>
        </w:tc>
      </w:tr>
    </w:tbl>
    <w:p w14:paraId="7CD32524">
      <w:pPr>
        <w:adjustRightInd w:val="0"/>
        <w:snapToGrid w:val="0"/>
        <w:spacing w:line="360" w:lineRule="auto"/>
        <w:jc w:val="center"/>
        <w:rPr>
          <w:rFonts w:hint="eastAsia" w:ascii="宋体" w:hAnsi="宋体" w:cs="宋体"/>
          <w:b/>
          <w:color w:val="auto"/>
          <w:sz w:val="36"/>
          <w:szCs w:val="36"/>
        </w:rPr>
      </w:pPr>
    </w:p>
    <w:p w14:paraId="4ED504A2">
      <w:pPr>
        <w:adjustRightInd w:val="0"/>
        <w:snapToGrid w:val="0"/>
        <w:spacing w:line="360" w:lineRule="auto"/>
        <w:jc w:val="center"/>
        <w:rPr>
          <w:rFonts w:hint="eastAsia" w:ascii="宋体" w:hAnsi="宋体" w:cs="宋体"/>
          <w:color w:val="auto"/>
        </w:rPr>
      </w:pPr>
    </w:p>
    <w:p w14:paraId="1A90D04F">
      <w:pPr>
        <w:pStyle w:val="8"/>
        <w:adjustRightInd w:val="0"/>
        <w:snapToGrid w:val="0"/>
        <w:spacing w:line="360" w:lineRule="auto"/>
        <w:jc w:val="center"/>
        <w:rPr>
          <w:rFonts w:hint="eastAsia" w:hAnsi="宋体" w:cs="宋体"/>
          <w:color w:val="auto"/>
          <w:sz w:val="28"/>
          <w:szCs w:val="28"/>
        </w:rPr>
      </w:pPr>
    </w:p>
    <w:p w14:paraId="280E12B9">
      <w:pPr>
        <w:pStyle w:val="8"/>
        <w:adjustRightInd w:val="0"/>
        <w:snapToGrid w:val="0"/>
        <w:spacing w:line="360" w:lineRule="auto"/>
        <w:jc w:val="center"/>
        <w:rPr>
          <w:rFonts w:hint="eastAsia" w:ascii="宋体" w:hAnsi="宋体" w:cs="宋体"/>
          <w:b/>
          <w:color w:val="auto"/>
          <w:sz w:val="36"/>
          <w:szCs w:val="36"/>
        </w:rPr>
      </w:pPr>
      <w:r>
        <w:rPr>
          <w:rFonts w:hint="eastAsia" w:hAnsi="宋体" w:cs="宋体"/>
          <w:color w:val="auto"/>
          <w:sz w:val="28"/>
          <w:szCs w:val="28"/>
        </w:rPr>
        <w:t>(注:</w:t>
      </w:r>
      <w:r>
        <w:rPr>
          <w:rFonts w:hint="eastAsia" w:hAnsi="宋体" w:cs="宋体"/>
          <w:snapToGrid w:val="0"/>
          <w:color w:val="auto"/>
          <w:sz w:val="28"/>
          <w:szCs w:val="28"/>
        </w:rPr>
        <w:t>资格审查申请书附表格式)</w:t>
      </w:r>
    </w:p>
    <w:p w14:paraId="50C8F014">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 xml:space="preserve"> 近二年已完工程及目前在建工程一览表</w:t>
      </w:r>
    </w:p>
    <w:p w14:paraId="465BC77B">
      <w:pPr>
        <w:pStyle w:val="5"/>
        <w:tabs>
          <w:tab w:val="left" w:pos="6557"/>
          <w:tab w:val="clear" w:pos="0"/>
          <w:tab w:val="clear" w:pos="993"/>
          <w:tab w:val="clear" w:pos="1134"/>
        </w:tabs>
        <w:spacing w:before="141"/>
        <w:ind w:right="3408"/>
        <w:jc w:val="right"/>
        <w:rPr>
          <w:rFonts w:ascii="Times New Roman" w:eastAsia="Times New Roman"/>
        </w:rPr>
      </w:pPr>
      <w:r>
        <w:rPr>
          <w:rFonts w:hint="eastAsia"/>
          <w:spacing w:val="-1"/>
          <w:lang w:val="en-US" w:eastAsia="zh-CN"/>
        </w:rPr>
        <w:t xml:space="preserve">  </w:t>
      </w:r>
      <w:r>
        <w:rPr>
          <w:spacing w:val="-1"/>
        </w:rPr>
        <w:t>投</w:t>
      </w:r>
      <w:r>
        <w:t>标</w:t>
      </w:r>
      <w:r>
        <w:rPr>
          <w:spacing w:val="-3"/>
        </w:rPr>
        <w:t>申</w:t>
      </w:r>
      <w:r>
        <w:t>请</w:t>
      </w:r>
      <w:r>
        <w:rPr>
          <w:spacing w:val="-3"/>
        </w:rPr>
        <w:t>人</w:t>
      </w:r>
      <w:r>
        <w:t>名</w:t>
      </w:r>
      <w:r>
        <w:rPr>
          <w:spacing w:val="-3"/>
        </w:rPr>
        <w:t>称</w:t>
      </w:r>
      <w:r>
        <w:t>：</w:t>
      </w:r>
      <w:r>
        <w:rPr>
          <w:rFonts w:ascii="Times New Roman" w:eastAsia="Times New Roman"/>
          <w:u w:val="single"/>
        </w:rPr>
        <w:t xml:space="preserve"> </w:t>
      </w:r>
      <w:r>
        <w:rPr>
          <w:rFonts w:ascii="Times New Roman" w:eastAsia="Times New Roman"/>
          <w:u w:val="single"/>
        </w:rPr>
        <w:tab/>
      </w:r>
    </w:p>
    <w:tbl>
      <w:tblPr>
        <w:tblStyle w:val="12"/>
        <w:tblpPr w:leftFromText="180" w:rightFromText="180" w:vertAnchor="text" w:horzAnchor="page" w:tblpX="1382" w:tblpY="414"/>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180"/>
        <w:gridCol w:w="1181"/>
        <w:gridCol w:w="1608"/>
        <w:gridCol w:w="1263"/>
        <w:gridCol w:w="1291"/>
        <w:gridCol w:w="1416"/>
        <w:gridCol w:w="1099"/>
      </w:tblGrid>
      <w:tr w14:paraId="7DA50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16" w:type="dxa"/>
            <w:noWrap w:val="0"/>
            <w:vAlign w:val="top"/>
          </w:tcPr>
          <w:p w14:paraId="35D00866">
            <w:pPr>
              <w:pStyle w:val="31"/>
              <w:spacing w:before="7"/>
              <w:rPr>
                <w:rFonts w:ascii="Times New Roman"/>
                <w:sz w:val="23"/>
              </w:rPr>
            </w:pPr>
          </w:p>
          <w:p w14:paraId="2B5CA382">
            <w:pPr>
              <w:pStyle w:val="31"/>
              <w:ind w:left="178" w:right="168"/>
              <w:jc w:val="center"/>
              <w:rPr>
                <w:sz w:val="21"/>
              </w:rPr>
            </w:pPr>
            <w:r>
              <w:rPr>
                <w:sz w:val="21"/>
              </w:rPr>
              <w:t>序号</w:t>
            </w:r>
          </w:p>
        </w:tc>
        <w:tc>
          <w:tcPr>
            <w:tcW w:w="1180" w:type="dxa"/>
            <w:noWrap w:val="0"/>
            <w:vAlign w:val="top"/>
          </w:tcPr>
          <w:p w14:paraId="0BED56F0">
            <w:pPr>
              <w:pStyle w:val="31"/>
              <w:spacing w:before="7"/>
              <w:rPr>
                <w:rFonts w:ascii="Times New Roman"/>
                <w:sz w:val="23"/>
              </w:rPr>
            </w:pPr>
          </w:p>
          <w:p w14:paraId="04C048BF">
            <w:pPr>
              <w:pStyle w:val="31"/>
              <w:ind w:left="170"/>
              <w:rPr>
                <w:sz w:val="21"/>
              </w:rPr>
            </w:pPr>
            <w:r>
              <w:rPr>
                <w:sz w:val="21"/>
              </w:rPr>
              <w:t>工程名称</w:t>
            </w:r>
          </w:p>
        </w:tc>
        <w:tc>
          <w:tcPr>
            <w:tcW w:w="1181" w:type="dxa"/>
            <w:noWrap w:val="0"/>
            <w:vAlign w:val="top"/>
          </w:tcPr>
          <w:p w14:paraId="03CD816D">
            <w:pPr>
              <w:pStyle w:val="31"/>
              <w:spacing w:before="7"/>
              <w:rPr>
                <w:rFonts w:ascii="Times New Roman"/>
                <w:sz w:val="23"/>
              </w:rPr>
            </w:pPr>
          </w:p>
          <w:p w14:paraId="5C4FAC4A">
            <w:pPr>
              <w:pStyle w:val="31"/>
              <w:ind w:left="171"/>
              <w:rPr>
                <w:sz w:val="21"/>
              </w:rPr>
            </w:pPr>
            <w:r>
              <w:rPr>
                <w:sz w:val="21"/>
              </w:rPr>
              <w:t>合同身份</w:t>
            </w:r>
          </w:p>
        </w:tc>
        <w:tc>
          <w:tcPr>
            <w:tcW w:w="1608" w:type="dxa"/>
            <w:noWrap w:val="0"/>
            <w:vAlign w:val="top"/>
          </w:tcPr>
          <w:p w14:paraId="1D824ED3">
            <w:pPr>
              <w:pStyle w:val="31"/>
              <w:spacing w:before="68" w:line="364" w:lineRule="auto"/>
              <w:ind w:left="699" w:right="16" w:hanging="591"/>
              <w:rPr>
                <w:sz w:val="21"/>
              </w:rPr>
            </w:pPr>
            <w:r>
              <w:rPr>
                <w:sz w:val="21"/>
              </w:rPr>
              <w:t>监理（咨询）单位</w:t>
            </w:r>
          </w:p>
        </w:tc>
        <w:tc>
          <w:tcPr>
            <w:tcW w:w="1263" w:type="dxa"/>
            <w:noWrap w:val="0"/>
            <w:vAlign w:val="top"/>
          </w:tcPr>
          <w:p w14:paraId="4E40C198">
            <w:pPr>
              <w:pStyle w:val="31"/>
              <w:spacing w:before="68"/>
              <w:ind w:left="212"/>
              <w:rPr>
                <w:sz w:val="21"/>
              </w:rPr>
            </w:pPr>
            <w:r>
              <w:rPr>
                <w:spacing w:val="-1"/>
                <w:sz w:val="21"/>
              </w:rPr>
              <w:t>合同金额</w:t>
            </w:r>
          </w:p>
          <w:p w14:paraId="236CB688">
            <w:pPr>
              <w:pStyle w:val="31"/>
              <w:spacing w:before="139"/>
              <w:ind w:left="212"/>
              <w:rPr>
                <w:sz w:val="21"/>
              </w:rPr>
            </w:pPr>
            <w:r>
              <w:rPr>
                <w:sz w:val="21"/>
              </w:rPr>
              <w:t>（</w:t>
            </w:r>
            <w:r>
              <w:rPr>
                <w:spacing w:val="-2"/>
                <w:sz w:val="21"/>
              </w:rPr>
              <w:t>万元</w:t>
            </w:r>
            <w:r>
              <w:rPr>
                <w:sz w:val="21"/>
              </w:rPr>
              <w:t>）</w:t>
            </w:r>
          </w:p>
        </w:tc>
        <w:tc>
          <w:tcPr>
            <w:tcW w:w="1291" w:type="dxa"/>
            <w:noWrap w:val="0"/>
            <w:vAlign w:val="top"/>
          </w:tcPr>
          <w:p w14:paraId="73E9BA93">
            <w:pPr>
              <w:pStyle w:val="31"/>
              <w:spacing w:before="68"/>
              <w:ind w:left="224"/>
              <w:rPr>
                <w:sz w:val="21"/>
              </w:rPr>
            </w:pPr>
            <w:r>
              <w:rPr>
                <w:spacing w:val="-1"/>
                <w:sz w:val="21"/>
              </w:rPr>
              <w:t>结算金额</w:t>
            </w:r>
          </w:p>
          <w:p w14:paraId="366F60D4">
            <w:pPr>
              <w:pStyle w:val="31"/>
              <w:spacing w:before="139"/>
              <w:ind w:left="224"/>
              <w:rPr>
                <w:sz w:val="21"/>
              </w:rPr>
            </w:pPr>
            <w:r>
              <w:rPr>
                <w:sz w:val="21"/>
              </w:rPr>
              <w:t>（</w:t>
            </w:r>
            <w:r>
              <w:rPr>
                <w:spacing w:val="-2"/>
                <w:sz w:val="21"/>
              </w:rPr>
              <w:t>万元</w:t>
            </w:r>
            <w:r>
              <w:rPr>
                <w:sz w:val="21"/>
              </w:rPr>
              <w:t>）</w:t>
            </w:r>
          </w:p>
        </w:tc>
        <w:tc>
          <w:tcPr>
            <w:tcW w:w="1416" w:type="dxa"/>
            <w:noWrap w:val="0"/>
            <w:vAlign w:val="top"/>
          </w:tcPr>
          <w:p w14:paraId="050E4C41">
            <w:pPr>
              <w:pStyle w:val="31"/>
              <w:spacing w:before="68" w:line="364" w:lineRule="auto"/>
              <w:ind w:left="495" w:right="274" w:hanging="209"/>
              <w:rPr>
                <w:sz w:val="21"/>
              </w:rPr>
            </w:pPr>
            <w:r>
              <w:rPr>
                <w:sz w:val="21"/>
              </w:rPr>
              <w:t>竣工质量标准</w:t>
            </w:r>
          </w:p>
        </w:tc>
        <w:tc>
          <w:tcPr>
            <w:tcW w:w="1099" w:type="dxa"/>
            <w:noWrap w:val="0"/>
            <w:vAlign w:val="top"/>
          </w:tcPr>
          <w:p w14:paraId="376DF1BE">
            <w:pPr>
              <w:pStyle w:val="31"/>
              <w:spacing w:before="68" w:line="364" w:lineRule="auto"/>
              <w:ind w:left="340" w:right="168" w:hanging="156"/>
              <w:rPr>
                <w:sz w:val="21"/>
              </w:rPr>
            </w:pPr>
            <w:r>
              <w:rPr>
                <w:sz w:val="21"/>
              </w:rPr>
              <w:t>开/竣工日期</w:t>
            </w:r>
          </w:p>
        </w:tc>
      </w:tr>
      <w:tr w14:paraId="53840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noWrap w:val="0"/>
            <w:vAlign w:val="top"/>
          </w:tcPr>
          <w:p w14:paraId="1509487E">
            <w:pPr>
              <w:pStyle w:val="31"/>
              <w:spacing w:before="1"/>
              <w:ind w:left="10"/>
              <w:jc w:val="center"/>
              <w:rPr>
                <w:sz w:val="21"/>
              </w:rPr>
            </w:pPr>
            <w:r>
              <w:rPr>
                <w:sz w:val="21"/>
              </w:rPr>
              <w:t>1</w:t>
            </w:r>
          </w:p>
        </w:tc>
        <w:tc>
          <w:tcPr>
            <w:tcW w:w="1180" w:type="dxa"/>
            <w:noWrap w:val="0"/>
            <w:vAlign w:val="top"/>
          </w:tcPr>
          <w:p w14:paraId="01D98650">
            <w:pPr>
              <w:pStyle w:val="31"/>
              <w:rPr>
                <w:rFonts w:ascii="Times New Roman"/>
                <w:sz w:val="20"/>
              </w:rPr>
            </w:pPr>
          </w:p>
        </w:tc>
        <w:tc>
          <w:tcPr>
            <w:tcW w:w="1181" w:type="dxa"/>
            <w:noWrap w:val="0"/>
            <w:vAlign w:val="top"/>
          </w:tcPr>
          <w:p w14:paraId="63E1E9FF">
            <w:pPr>
              <w:pStyle w:val="31"/>
              <w:rPr>
                <w:rFonts w:ascii="Times New Roman"/>
                <w:sz w:val="20"/>
              </w:rPr>
            </w:pPr>
          </w:p>
        </w:tc>
        <w:tc>
          <w:tcPr>
            <w:tcW w:w="1608" w:type="dxa"/>
            <w:noWrap w:val="0"/>
            <w:vAlign w:val="top"/>
          </w:tcPr>
          <w:p w14:paraId="4DD3B632">
            <w:pPr>
              <w:pStyle w:val="31"/>
              <w:rPr>
                <w:rFonts w:ascii="Times New Roman"/>
                <w:sz w:val="20"/>
              </w:rPr>
            </w:pPr>
          </w:p>
        </w:tc>
        <w:tc>
          <w:tcPr>
            <w:tcW w:w="1263" w:type="dxa"/>
            <w:noWrap w:val="0"/>
            <w:vAlign w:val="top"/>
          </w:tcPr>
          <w:p w14:paraId="62834C29">
            <w:pPr>
              <w:pStyle w:val="31"/>
              <w:rPr>
                <w:rFonts w:ascii="Times New Roman"/>
                <w:sz w:val="20"/>
              </w:rPr>
            </w:pPr>
          </w:p>
        </w:tc>
        <w:tc>
          <w:tcPr>
            <w:tcW w:w="1291" w:type="dxa"/>
            <w:noWrap w:val="0"/>
            <w:vAlign w:val="top"/>
          </w:tcPr>
          <w:p w14:paraId="27361F99">
            <w:pPr>
              <w:pStyle w:val="31"/>
              <w:rPr>
                <w:rFonts w:ascii="Times New Roman"/>
                <w:sz w:val="20"/>
              </w:rPr>
            </w:pPr>
          </w:p>
        </w:tc>
        <w:tc>
          <w:tcPr>
            <w:tcW w:w="1416" w:type="dxa"/>
            <w:noWrap w:val="0"/>
            <w:vAlign w:val="top"/>
          </w:tcPr>
          <w:p w14:paraId="74D00AE4">
            <w:pPr>
              <w:pStyle w:val="31"/>
              <w:rPr>
                <w:rFonts w:ascii="Times New Roman"/>
                <w:sz w:val="20"/>
              </w:rPr>
            </w:pPr>
          </w:p>
        </w:tc>
        <w:tc>
          <w:tcPr>
            <w:tcW w:w="1099" w:type="dxa"/>
            <w:noWrap w:val="0"/>
            <w:vAlign w:val="top"/>
          </w:tcPr>
          <w:p w14:paraId="218AC1B9">
            <w:pPr>
              <w:pStyle w:val="31"/>
              <w:rPr>
                <w:rFonts w:ascii="Times New Roman"/>
                <w:sz w:val="20"/>
              </w:rPr>
            </w:pPr>
          </w:p>
        </w:tc>
      </w:tr>
      <w:tr w14:paraId="2983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noWrap w:val="0"/>
            <w:vAlign w:val="top"/>
          </w:tcPr>
          <w:p w14:paraId="178260A9">
            <w:pPr>
              <w:pStyle w:val="31"/>
              <w:spacing w:before="1"/>
              <w:ind w:left="10"/>
              <w:jc w:val="center"/>
              <w:rPr>
                <w:sz w:val="21"/>
              </w:rPr>
            </w:pPr>
            <w:r>
              <w:rPr>
                <w:sz w:val="21"/>
              </w:rPr>
              <w:t>2</w:t>
            </w:r>
          </w:p>
        </w:tc>
        <w:tc>
          <w:tcPr>
            <w:tcW w:w="1180" w:type="dxa"/>
            <w:noWrap w:val="0"/>
            <w:vAlign w:val="top"/>
          </w:tcPr>
          <w:p w14:paraId="2D074005">
            <w:pPr>
              <w:pStyle w:val="31"/>
              <w:rPr>
                <w:rFonts w:ascii="Times New Roman"/>
                <w:sz w:val="20"/>
              </w:rPr>
            </w:pPr>
          </w:p>
        </w:tc>
        <w:tc>
          <w:tcPr>
            <w:tcW w:w="1181" w:type="dxa"/>
            <w:noWrap w:val="0"/>
            <w:vAlign w:val="top"/>
          </w:tcPr>
          <w:p w14:paraId="146C7BE5">
            <w:pPr>
              <w:pStyle w:val="31"/>
              <w:rPr>
                <w:rFonts w:ascii="Times New Roman"/>
                <w:sz w:val="20"/>
              </w:rPr>
            </w:pPr>
          </w:p>
        </w:tc>
        <w:tc>
          <w:tcPr>
            <w:tcW w:w="1608" w:type="dxa"/>
            <w:noWrap w:val="0"/>
            <w:vAlign w:val="top"/>
          </w:tcPr>
          <w:p w14:paraId="7293BD9E">
            <w:pPr>
              <w:pStyle w:val="31"/>
              <w:rPr>
                <w:rFonts w:ascii="Times New Roman"/>
                <w:sz w:val="20"/>
              </w:rPr>
            </w:pPr>
          </w:p>
        </w:tc>
        <w:tc>
          <w:tcPr>
            <w:tcW w:w="1263" w:type="dxa"/>
            <w:noWrap w:val="0"/>
            <w:vAlign w:val="top"/>
          </w:tcPr>
          <w:p w14:paraId="6110D6AD">
            <w:pPr>
              <w:pStyle w:val="31"/>
              <w:rPr>
                <w:rFonts w:ascii="Times New Roman"/>
                <w:sz w:val="20"/>
              </w:rPr>
            </w:pPr>
          </w:p>
        </w:tc>
        <w:tc>
          <w:tcPr>
            <w:tcW w:w="1291" w:type="dxa"/>
            <w:noWrap w:val="0"/>
            <w:vAlign w:val="top"/>
          </w:tcPr>
          <w:p w14:paraId="7CAE4EA5">
            <w:pPr>
              <w:pStyle w:val="31"/>
              <w:rPr>
                <w:rFonts w:ascii="Times New Roman"/>
                <w:sz w:val="20"/>
              </w:rPr>
            </w:pPr>
          </w:p>
        </w:tc>
        <w:tc>
          <w:tcPr>
            <w:tcW w:w="1416" w:type="dxa"/>
            <w:noWrap w:val="0"/>
            <w:vAlign w:val="top"/>
          </w:tcPr>
          <w:p w14:paraId="05B2DEC5">
            <w:pPr>
              <w:pStyle w:val="31"/>
              <w:rPr>
                <w:rFonts w:ascii="Times New Roman"/>
                <w:sz w:val="20"/>
              </w:rPr>
            </w:pPr>
          </w:p>
        </w:tc>
        <w:tc>
          <w:tcPr>
            <w:tcW w:w="1099" w:type="dxa"/>
            <w:noWrap w:val="0"/>
            <w:vAlign w:val="top"/>
          </w:tcPr>
          <w:p w14:paraId="7AC65968">
            <w:pPr>
              <w:pStyle w:val="31"/>
              <w:rPr>
                <w:rFonts w:ascii="Times New Roman"/>
                <w:sz w:val="20"/>
              </w:rPr>
            </w:pPr>
          </w:p>
        </w:tc>
      </w:tr>
      <w:tr w14:paraId="4BD93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noWrap w:val="0"/>
            <w:vAlign w:val="top"/>
          </w:tcPr>
          <w:p w14:paraId="203D5419">
            <w:pPr>
              <w:pStyle w:val="31"/>
              <w:spacing w:before="1"/>
              <w:ind w:left="10"/>
              <w:jc w:val="center"/>
              <w:rPr>
                <w:sz w:val="21"/>
              </w:rPr>
            </w:pPr>
            <w:r>
              <w:rPr>
                <w:sz w:val="21"/>
              </w:rPr>
              <w:t>3</w:t>
            </w:r>
          </w:p>
        </w:tc>
        <w:tc>
          <w:tcPr>
            <w:tcW w:w="1180" w:type="dxa"/>
            <w:noWrap w:val="0"/>
            <w:vAlign w:val="top"/>
          </w:tcPr>
          <w:p w14:paraId="1FC63EC6">
            <w:pPr>
              <w:pStyle w:val="31"/>
              <w:rPr>
                <w:rFonts w:ascii="Times New Roman"/>
                <w:sz w:val="20"/>
              </w:rPr>
            </w:pPr>
          </w:p>
        </w:tc>
        <w:tc>
          <w:tcPr>
            <w:tcW w:w="1181" w:type="dxa"/>
            <w:noWrap w:val="0"/>
            <w:vAlign w:val="top"/>
          </w:tcPr>
          <w:p w14:paraId="44DF01EF">
            <w:pPr>
              <w:pStyle w:val="31"/>
              <w:rPr>
                <w:rFonts w:ascii="Times New Roman"/>
                <w:sz w:val="20"/>
              </w:rPr>
            </w:pPr>
          </w:p>
        </w:tc>
        <w:tc>
          <w:tcPr>
            <w:tcW w:w="1608" w:type="dxa"/>
            <w:noWrap w:val="0"/>
            <w:vAlign w:val="top"/>
          </w:tcPr>
          <w:p w14:paraId="24E03CF4">
            <w:pPr>
              <w:pStyle w:val="31"/>
              <w:rPr>
                <w:rFonts w:ascii="Times New Roman"/>
                <w:sz w:val="20"/>
              </w:rPr>
            </w:pPr>
          </w:p>
        </w:tc>
        <w:tc>
          <w:tcPr>
            <w:tcW w:w="1263" w:type="dxa"/>
            <w:noWrap w:val="0"/>
            <w:vAlign w:val="top"/>
          </w:tcPr>
          <w:p w14:paraId="304E8AAE">
            <w:pPr>
              <w:pStyle w:val="31"/>
              <w:rPr>
                <w:rFonts w:ascii="Times New Roman"/>
                <w:sz w:val="20"/>
              </w:rPr>
            </w:pPr>
          </w:p>
        </w:tc>
        <w:tc>
          <w:tcPr>
            <w:tcW w:w="1291" w:type="dxa"/>
            <w:noWrap w:val="0"/>
            <w:vAlign w:val="top"/>
          </w:tcPr>
          <w:p w14:paraId="486E311D">
            <w:pPr>
              <w:pStyle w:val="31"/>
              <w:rPr>
                <w:rFonts w:ascii="Times New Roman"/>
                <w:sz w:val="20"/>
              </w:rPr>
            </w:pPr>
          </w:p>
        </w:tc>
        <w:tc>
          <w:tcPr>
            <w:tcW w:w="1416" w:type="dxa"/>
            <w:noWrap w:val="0"/>
            <w:vAlign w:val="top"/>
          </w:tcPr>
          <w:p w14:paraId="19846417">
            <w:pPr>
              <w:pStyle w:val="31"/>
              <w:rPr>
                <w:rFonts w:ascii="Times New Roman"/>
                <w:sz w:val="20"/>
              </w:rPr>
            </w:pPr>
          </w:p>
        </w:tc>
        <w:tc>
          <w:tcPr>
            <w:tcW w:w="1099" w:type="dxa"/>
            <w:noWrap w:val="0"/>
            <w:vAlign w:val="top"/>
          </w:tcPr>
          <w:p w14:paraId="4BB95DED">
            <w:pPr>
              <w:pStyle w:val="31"/>
              <w:rPr>
                <w:rFonts w:ascii="Times New Roman"/>
                <w:sz w:val="20"/>
              </w:rPr>
            </w:pPr>
          </w:p>
        </w:tc>
      </w:tr>
      <w:tr w14:paraId="102A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noWrap w:val="0"/>
            <w:vAlign w:val="top"/>
          </w:tcPr>
          <w:p w14:paraId="76A9B973">
            <w:pPr>
              <w:pStyle w:val="31"/>
              <w:spacing w:before="1"/>
              <w:ind w:left="10"/>
              <w:jc w:val="center"/>
              <w:rPr>
                <w:sz w:val="21"/>
              </w:rPr>
            </w:pPr>
            <w:r>
              <w:rPr>
                <w:sz w:val="21"/>
              </w:rPr>
              <w:t>4</w:t>
            </w:r>
          </w:p>
        </w:tc>
        <w:tc>
          <w:tcPr>
            <w:tcW w:w="1180" w:type="dxa"/>
            <w:noWrap w:val="0"/>
            <w:vAlign w:val="top"/>
          </w:tcPr>
          <w:p w14:paraId="7B374B6E">
            <w:pPr>
              <w:pStyle w:val="31"/>
              <w:rPr>
                <w:rFonts w:ascii="Times New Roman"/>
                <w:sz w:val="20"/>
              </w:rPr>
            </w:pPr>
          </w:p>
        </w:tc>
        <w:tc>
          <w:tcPr>
            <w:tcW w:w="1181" w:type="dxa"/>
            <w:noWrap w:val="0"/>
            <w:vAlign w:val="top"/>
          </w:tcPr>
          <w:p w14:paraId="666CBB13">
            <w:pPr>
              <w:pStyle w:val="31"/>
              <w:rPr>
                <w:rFonts w:ascii="Times New Roman"/>
                <w:sz w:val="20"/>
              </w:rPr>
            </w:pPr>
          </w:p>
        </w:tc>
        <w:tc>
          <w:tcPr>
            <w:tcW w:w="1608" w:type="dxa"/>
            <w:noWrap w:val="0"/>
            <w:vAlign w:val="top"/>
          </w:tcPr>
          <w:p w14:paraId="23E110F8">
            <w:pPr>
              <w:pStyle w:val="31"/>
              <w:rPr>
                <w:rFonts w:ascii="Times New Roman"/>
                <w:sz w:val="20"/>
              </w:rPr>
            </w:pPr>
          </w:p>
        </w:tc>
        <w:tc>
          <w:tcPr>
            <w:tcW w:w="1263" w:type="dxa"/>
            <w:noWrap w:val="0"/>
            <w:vAlign w:val="top"/>
          </w:tcPr>
          <w:p w14:paraId="1AD7E696">
            <w:pPr>
              <w:pStyle w:val="31"/>
              <w:rPr>
                <w:rFonts w:ascii="Times New Roman"/>
                <w:sz w:val="20"/>
              </w:rPr>
            </w:pPr>
          </w:p>
        </w:tc>
        <w:tc>
          <w:tcPr>
            <w:tcW w:w="1291" w:type="dxa"/>
            <w:noWrap w:val="0"/>
            <w:vAlign w:val="top"/>
          </w:tcPr>
          <w:p w14:paraId="6720DD21">
            <w:pPr>
              <w:pStyle w:val="31"/>
              <w:rPr>
                <w:rFonts w:ascii="Times New Roman"/>
                <w:sz w:val="20"/>
              </w:rPr>
            </w:pPr>
          </w:p>
        </w:tc>
        <w:tc>
          <w:tcPr>
            <w:tcW w:w="1416" w:type="dxa"/>
            <w:noWrap w:val="0"/>
            <w:vAlign w:val="top"/>
          </w:tcPr>
          <w:p w14:paraId="2376EE29">
            <w:pPr>
              <w:pStyle w:val="31"/>
              <w:rPr>
                <w:rFonts w:ascii="Times New Roman"/>
                <w:sz w:val="20"/>
              </w:rPr>
            </w:pPr>
          </w:p>
        </w:tc>
        <w:tc>
          <w:tcPr>
            <w:tcW w:w="1099" w:type="dxa"/>
            <w:noWrap w:val="0"/>
            <w:vAlign w:val="top"/>
          </w:tcPr>
          <w:p w14:paraId="270BD1F3">
            <w:pPr>
              <w:pStyle w:val="31"/>
              <w:rPr>
                <w:rFonts w:ascii="Times New Roman"/>
                <w:sz w:val="20"/>
              </w:rPr>
            </w:pPr>
          </w:p>
        </w:tc>
      </w:tr>
      <w:tr w14:paraId="72950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noWrap w:val="0"/>
            <w:vAlign w:val="top"/>
          </w:tcPr>
          <w:p w14:paraId="4BA1E741">
            <w:pPr>
              <w:pStyle w:val="31"/>
              <w:spacing w:before="3"/>
              <w:ind w:left="10"/>
              <w:jc w:val="center"/>
              <w:rPr>
                <w:sz w:val="21"/>
              </w:rPr>
            </w:pPr>
            <w:r>
              <w:rPr>
                <w:w w:val="201"/>
                <w:sz w:val="21"/>
              </w:rPr>
              <w:t>„</w:t>
            </w:r>
          </w:p>
        </w:tc>
        <w:tc>
          <w:tcPr>
            <w:tcW w:w="1180" w:type="dxa"/>
            <w:noWrap w:val="0"/>
            <w:vAlign w:val="top"/>
          </w:tcPr>
          <w:p w14:paraId="2DB1D507">
            <w:pPr>
              <w:pStyle w:val="31"/>
              <w:rPr>
                <w:rFonts w:ascii="Times New Roman"/>
                <w:sz w:val="20"/>
              </w:rPr>
            </w:pPr>
          </w:p>
        </w:tc>
        <w:tc>
          <w:tcPr>
            <w:tcW w:w="1181" w:type="dxa"/>
            <w:noWrap w:val="0"/>
            <w:vAlign w:val="top"/>
          </w:tcPr>
          <w:p w14:paraId="49B9D534">
            <w:pPr>
              <w:pStyle w:val="31"/>
              <w:rPr>
                <w:rFonts w:ascii="Times New Roman"/>
                <w:sz w:val="20"/>
              </w:rPr>
            </w:pPr>
          </w:p>
        </w:tc>
        <w:tc>
          <w:tcPr>
            <w:tcW w:w="1608" w:type="dxa"/>
            <w:noWrap w:val="0"/>
            <w:vAlign w:val="top"/>
          </w:tcPr>
          <w:p w14:paraId="109D1150">
            <w:pPr>
              <w:pStyle w:val="31"/>
              <w:rPr>
                <w:rFonts w:ascii="Times New Roman"/>
                <w:sz w:val="20"/>
              </w:rPr>
            </w:pPr>
          </w:p>
        </w:tc>
        <w:tc>
          <w:tcPr>
            <w:tcW w:w="1263" w:type="dxa"/>
            <w:noWrap w:val="0"/>
            <w:vAlign w:val="top"/>
          </w:tcPr>
          <w:p w14:paraId="0BF4D46E">
            <w:pPr>
              <w:pStyle w:val="31"/>
              <w:rPr>
                <w:rFonts w:ascii="Times New Roman"/>
                <w:sz w:val="20"/>
              </w:rPr>
            </w:pPr>
          </w:p>
        </w:tc>
        <w:tc>
          <w:tcPr>
            <w:tcW w:w="1291" w:type="dxa"/>
            <w:noWrap w:val="0"/>
            <w:vAlign w:val="top"/>
          </w:tcPr>
          <w:p w14:paraId="20C47FF2">
            <w:pPr>
              <w:pStyle w:val="31"/>
              <w:rPr>
                <w:rFonts w:ascii="Times New Roman"/>
                <w:sz w:val="20"/>
              </w:rPr>
            </w:pPr>
          </w:p>
        </w:tc>
        <w:tc>
          <w:tcPr>
            <w:tcW w:w="1416" w:type="dxa"/>
            <w:noWrap w:val="0"/>
            <w:vAlign w:val="top"/>
          </w:tcPr>
          <w:p w14:paraId="523A9C1B">
            <w:pPr>
              <w:pStyle w:val="31"/>
              <w:rPr>
                <w:rFonts w:ascii="Times New Roman"/>
                <w:sz w:val="20"/>
              </w:rPr>
            </w:pPr>
          </w:p>
        </w:tc>
        <w:tc>
          <w:tcPr>
            <w:tcW w:w="1099" w:type="dxa"/>
            <w:noWrap w:val="0"/>
            <w:vAlign w:val="top"/>
          </w:tcPr>
          <w:p w14:paraId="234D36CB">
            <w:pPr>
              <w:pStyle w:val="31"/>
              <w:rPr>
                <w:rFonts w:ascii="Times New Roman"/>
                <w:sz w:val="20"/>
              </w:rPr>
            </w:pPr>
          </w:p>
        </w:tc>
      </w:tr>
    </w:tbl>
    <w:p w14:paraId="65514A36">
      <w:pPr>
        <w:adjustRightInd w:val="0"/>
        <w:snapToGrid w:val="0"/>
        <w:spacing w:line="360" w:lineRule="auto"/>
        <w:jc w:val="center"/>
        <w:rPr>
          <w:rFonts w:hint="eastAsia" w:ascii="宋体" w:hAnsi="宋体" w:cs="宋体"/>
          <w:color w:val="auto"/>
          <w:sz w:val="28"/>
          <w:szCs w:val="28"/>
        </w:rPr>
      </w:pPr>
    </w:p>
    <w:p w14:paraId="6685B6E3">
      <w:pPr>
        <w:adjustRightInd w:val="0"/>
        <w:snapToGrid w:val="0"/>
        <w:spacing w:line="360" w:lineRule="auto"/>
        <w:jc w:val="center"/>
        <w:rPr>
          <w:rFonts w:hint="eastAsia" w:ascii="宋体" w:hAnsi="宋体" w:cs="宋体"/>
          <w:color w:val="auto"/>
          <w:sz w:val="28"/>
          <w:szCs w:val="28"/>
        </w:rPr>
      </w:pPr>
    </w:p>
    <w:p w14:paraId="1C65C796">
      <w:pPr>
        <w:adjustRightInd w:val="0"/>
        <w:snapToGrid w:val="0"/>
        <w:spacing w:line="360" w:lineRule="auto"/>
        <w:jc w:val="center"/>
        <w:rPr>
          <w:rFonts w:hint="eastAsia" w:ascii="宋体" w:hAnsi="宋体" w:cs="宋体"/>
          <w:color w:val="auto"/>
          <w:sz w:val="28"/>
          <w:szCs w:val="28"/>
        </w:rPr>
      </w:pPr>
    </w:p>
    <w:p w14:paraId="4D5F603C">
      <w:pPr>
        <w:adjustRightInd w:val="0"/>
        <w:snapToGrid w:val="0"/>
        <w:spacing w:line="360" w:lineRule="auto"/>
        <w:jc w:val="center"/>
        <w:rPr>
          <w:rFonts w:hint="eastAsia" w:ascii="宋体" w:hAnsi="宋体" w:cs="宋体"/>
          <w:color w:val="auto"/>
          <w:sz w:val="28"/>
          <w:szCs w:val="28"/>
        </w:rPr>
      </w:pPr>
    </w:p>
    <w:p w14:paraId="00714B5D">
      <w:pPr>
        <w:adjustRightInd w:val="0"/>
        <w:snapToGrid w:val="0"/>
        <w:spacing w:line="360" w:lineRule="auto"/>
        <w:jc w:val="center"/>
        <w:rPr>
          <w:rFonts w:hint="eastAsia" w:ascii="宋体" w:hAnsi="宋体" w:cs="宋体"/>
          <w:color w:val="auto"/>
          <w:sz w:val="28"/>
          <w:szCs w:val="28"/>
        </w:rPr>
      </w:pPr>
    </w:p>
    <w:p w14:paraId="79C7EAF7">
      <w:pPr>
        <w:adjustRightInd w:val="0"/>
        <w:snapToGrid w:val="0"/>
        <w:spacing w:line="360" w:lineRule="auto"/>
        <w:jc w:val="center"/>
        <w:rPr>
          <w:rFonts w:hint="eastAsia" w:ascii="宋体" w:hAnsi="宋体" w:cs="宋体"/>
          <w:color w:val="auto"/>
          <w:sz w:val="28"/>
          <w:szCs w:val="28"/>
        </w:rPr>
      </w:pPr>
    </w:p>
    <w:p w14:paraId="163A3426">
      <w:pPr>
        <w:adjustRightInd w:val="0"/>
        <w:snapToGrid w:val="0"/>
        <w:spacing w:line="360" w:lineRule="auto"/>
        <w:jc w:val="center"/>
        <w:rPr>
          <w:rFonts w:hint="eastAsia" w:ascii="宋体" w:hAnsi="宋体" w:cs="宋体"/>
          <w:color w:val="auto"/>
          <w:sz w:val="28"/>
          <w:szCs w:val="28"/>
        </w:rPr>
      </w:pPr>
    </w:p>
    <w:p w14:paraId="6DAFCD97">
      <w:pPr>
        <w:adjustRightInd w:val="0"/>
        <w:snapToGrid w:val="0"/>
        <w:spacing w:line="360" w:lineRule="auto"/>
        <w:jc w:val="center"/>
        <w:rPr>
          <w:rFonts w:hint="eastAsia" w:ascii="宋体" w:hAnsi="宋体" w:cs="宋体"/>
          <w:color w:val="auto"/>
          <w:sz w:val="28"/>
          <w:szCs w:val="28"/>
        </w:rPr>
      </w:pPr>
    </w:p>
    <w:p w14:paraId="0A8CD113">
      <w:pPr>
        <w:adjustRightInd w:val="0"/>
        <w:snapToGrid w:val="0"/>
        <w:spacing w:line="360" w:lineRule="auto"/>
        <w:jc w:val="center"/>
        <w:rPr>
          <w:rFonts w:hint="eastAsia" w:ascii="宋体" w:hAnsi="宋体" w:cs="宋体"/>
          <w:color w:val="auto"/>
          <w:sz w:val="28"/>
          <w:szCs w:val="28"/>
        </w:rPr>
      </w:pPr>
    </w:p>
    <w:p w14:paraId="4D2DA06B">
      <w:pPr>
        <w:adjustRightInd w:val="0"/>
        <w:snapToGrid w:val="0"/>
        <w:spacing w:line="360" w:lineRule="auto"/>
        <w:jc w:val="center"/>
        <w:rPr>
          <w:rFonts w:hint="eastAsia" w:ascii="宋体" w:hAnsi="宋体" w:cs="宋体"/>
          <w:color w:val="auto"/>
          <w:sz w:val="28"/>
          <w:szCs w:val="28"/>
        </w:rPr>
      </w:pPr>
    </w:p>
    <w:p w14:paraId="6594D5E9">
      <w:pPr>
        <w:adjustRightInd w:val="0"/>
        <w:snapToGrid w:val="0"/>
        <w:spacing w:line="360" w:lineRule="auto"/>
        <w:jc w:val="center"/>
        <w:rPr>
          <w:rFonts w:hint="eastAsia" w:ascii="宋体" w:hAnsi="宋体" w:cs="宋体"/>
          <w:color w:val="auto"/>
          <w:sz w:val="28"/>
          <w:szCs w:val="28"/>
        </w:rPr>
      </w:pPr>
    </w:p>
    <w:p w14:paraId="0124A346">
      <w:pPr>
        <w:adjustRightInd w:val="0"/>
        <w:snapToGrid w:val="0"/>
        <w:spacing w:line="360" w:lineRule="auto"/>
        <w:jc w:val="center"/>
        <w:rPr>
          <w:rFonts w:hint="eastAsia" w:ascii="宋体" w:hAnsi="宋体" w:cs="宋体"/>
          <w:color w:val="auto"/>
          <w:sz w:val="28"/>
          <w:szCs w:val="28"/>
        </w:rPr>
      </w:pPr>
    </w:p>
    <w:p w14:paraId="7DE07E63">
      <w:pPr>
        <w:adjustRightInd w:val="0"/>
        <w:snapToGrid w:val="0"/>
        <w:spacing w:line="360" w:lineRule="auto"/>
        <w:jc w:val="center"/>
        <w:rPr>
          <w:rFonts w:hint="eastAsia" w:ascii="宋体" w:hAnsi="宋体" w:cs="宋体"/>
          <w:color w:val="auto"/>
          <w:sz w:val="28"/>
          <w:szCs w:val="28"/>
        </w:rPr>
      </w:pPr>
    </w:p>
    <w:p w14:paraId="7A59A4E4">
      <w:pPr>
        <w:adjustRightInd w:val="0"/>
        <w:snapToGrid w:val="0"/>
        <w:spacing w:line="360" w:lineRule="auto"/>
        <w:jc w:val="center"/>
        <w:rPr>
          <w:rFonts w:hint="eastAsia" w:ascii="宋体" w:hAnsi="宋体" w:cs="宋体"/>
          <w:color w:val="auto"/>
          <w:sz w:val="28"/>
          <w:szCs w:val="28"/>
        </w:rPr>
      </w:pPr>
    </w:p>
    <w:p w14:paraId="75DEF3DC">
      <w:pPr>
        <w:adjustRightInd w:val="0"/>
        <w:snapToGrid w:val="0"/>
        <w:spacing w:line="360" w:lineRule="auto"/>
        <w:jc w:val="center"/>
        <w:rPr>
          <w:rFonts w:hint="eastAsia" w:ascii="宋体" w:hAnsi="宋体" w:cs="宋体"/>
          <w:color w:val="auto"/>
          <w:sz w:val="28"/>
          <w:szCs w:val="28"/>
        </w:rPr>
      </w:pPr>
    </w:p>
    <w:p w14:paraId="2748729F">
      <w:pPr>
        <w:adjustRightInd w:val="0"/>
        <w:snapToGrid w:val="0"/>
        <w:spacing w:line="360" w:lineRule="auto"/>
        <w:jc w:val="center"/>
        <w:rPr>
          <w:rFonts w:hint="eastAsia" w:ascii="宋体" w:hAnsi="宋体" w:cs="宋体"/>
          <w:color w:val="auto"/>
          <w:sz w:val="28"/>
          <w:szCs w:val="28"/>
        </w:rPr>
      </w:pPr>
    </w:p>
    <w:p w14:paraId="07D9E3D2">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(注:</w:t>
      </w:r>
      <w:r>
        <w:rPr>
          <w:rFonts w:hint="eastAsia" w:ascii="宋体" w:hAnsi="宋体" w:cs="宋体"/>
          <w:snapToGrid w:val="0"/>
          <w:color w:val="auto"/>
          <w:sz w:val="28"/>
          <w:szCs w:val="28"/>
        </w:rPr>
        <w:t>资格审查申请书附表格式)</w:t>
      </w:r>
    </w:p>
    <w:p w14:paraId="3FAB428C">
      <w:pPr>
        <w:pStyle w:val="9"/>
        <w:widowControl/>
        <w:adjustRightInd w:val="0"/>
        <w:snapToGrid w:val="0"/>
        <w:spacing w:line="360" w:lineRule="auto"/>
        <w:jc w:val="center"/>
        <w:rPr>
          <w:rFonts w:hint="eastAsia" w:ascii="宋体" w:hAnsi="宋体" w:eastAsia="宋体" w:cs="宋体"/>
          <w:b/>
          <w:color w:val="auto"/>
          <w:sz w:val="36"/>
        </w:rPr>
      </w:pPr>
      <w:r>
        <w:rPr>
          <w:rFonts w:hint="eastAsia" w:ascii="宋体" w:hAnsi="宋体" w:eastAsia="宋体" w:cs="宋体"/>
          <w:b/>
          <w:color w:val="auto"/>
          <w:sz w:val="36"/>
        </w:rPr>
        <w:t xml:space="preserve"> 项目经理无在建工程承诺书</w:t>
      </w:r>
    </w:p>
    <w:p w14:paraId="544B7FDA">
      <w:pPr>
        <w:pStyle w:val="9"/>
        <w:widowControl/>
        <w:adjustRightInd w:val="0"/>
        <w:snapToGrid w:val="0"/>
        <w:spacing w:line="360" w:lineRule="auto"/>
        <w:jc w:val="center"/>
        <w:rPr>
          <w:rFonts w:hint="eastAsia" w:ascii="宋体" w:hAnsi="宋体" w:eastAsia="宋体" w:cs="宋体"/>
          <w:b/>
          <w:color w:val="auto"/>
          <w:sz w:val="36"/>
          <w:szCs w:val="32"/>
        </w:rPr>
      </w:pPr>
    </w:p>
    <w:p w14:paraId="1BC30339">
      <w:pPr>
        <w:adjustRightInd w:val="0"/>
        <w:snapToGrid w:val="0"/>
        <w:spacing w:line="360" w:lineRule="auto"/>
        <w:jc w:val="center"/>
        <w:rPr>
          <w:rFonts w:hint="eastAsia" w:ascii="宋体" w:hAnsi="宋体" w:cs="宋体"/>
          <w:color w:val="auto"/>
          <w:sz w:val="28"/>
          <w:szCs w:val="28"/>
        </w:rPr>
      </w:pPr>
    </w:p>
    <w:p w14:paraId="2F873560">
      <w:pPr>
        <w:adjustRightInd w:val="0"/>
        <w:snapToGrid w:val="0"/>
        <w:spacing w:line="360" w:lineRule="auto"/>
        <w:ind w:left="743" w:leftChars="354" w:right="559" w:rightChars="266" w:firstLine="1"/>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4EAE9870">
      <w:pPr>
        <w:adjustRightInd w:val="0"/>
        <w:snapToGrid w:val="0"/>
        <w:spacing w:line="360" w:lineRule="auto"/>
        <w:ind w:left="743" w:leftChars="354" w:right="559" w:rightChars="266" w:firstLine="424" w:firstLineChars="177"/>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拟任项目经理</w:t>
      </w:r>
      <w:r>
        <w:rPr>
          <w:rFonts w:hint="eastAsia" w:ascii="宋体" w:hAnsi="宋体" w:cs="宋体"/>
          <w:color w:val="auto"/>
          <w:sz w:val="24"/>
          <w:szCs w:val="24"/>
          <w:u w:val="single"/>
        </w:rPr>
        <w:t xml:space="preserve">       </w:t>
      </w:r>
      <w:r>
        <w:rPr>
          <w:rFonts w:hint="eastAsia" w:ascii="宋体" w:hAnsi="宋体" w:cs="宋体"/>
          <w:color w:val="auto"/>
          <w:sz w:val="24"/>
          <w:szCs w:val="24"/>
        </w:rPr>
        <w:t>无任何在建工程项目。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14:paraId="759FC5BE">
      <w:pPr>
        <w:adjustRightInd w:val="0"/>
        <w:snapToGrid w:val="0"/>
        <w:spacing w:line="360" w:lineRule="auto"/>
        <w:jc w:val="center"/>
        <w:rPr>
          <w:rFonts w:hint="eastAsia" w:ascii="宋体" w:hAnsi="宋体" w:cs="宋体"/>
          <w:color w:val="auto"/>
          <w:sz w:val="28"/>
        </w:rPr>
      </w:pPr>
    </w:p>
    <w:p w14:paraId="1431B377">
      <w:pPr>
        <w:adjustRightInd w:val="0"/>
        <w:snapToGrid w:val="0"/>
        <w:spacing w:line="360" w:lineRule="auto"/>
        <w:jc w:val="center"/>
        <w:rPr>
          <w:rFonts w:hint="eastAsia" w:ascii="宋体" w:hAnsi="宋体" w:cs="宋体"/>
          <w:color w:val="auto"/>
          <w:sz w:val="28"/>
        </w:rPr>
      </w:pPr>
    </w:p>
    <w:p w14:paraId="4A5FC9B9">
      <w:pPr>
        <w:adjustRightInd w:val="0"/>
        <w:snapToGrid w:val="0"/>
        <w:spacing w:line="700" w:lineRule="exact"/>
        <w:ind w:left="3150" w:leftChars="1500" w:firstLine="1960" w:firstLineChars="817"/>
        <w:contextualSpacing/>
        <w:rPr>
          <w:rFonts w:hint="eastAsia" w:ascii="宋体" w:hAnsi="宋体" w:cs="宋体"/>
          <w:color w:val="auto"/>
          <w:sz w:val="24"/>
          <w:szCs w:val="24"/>
        </w:rPr>
      </w:pPr>
      <w:r>
        <w:rPr>
          <w:rFonts w:hint="eastAsia" w:ascii="宋体" w:hAnsi="宋体" w:cs="宋体"/>
          <w:color w:val="auto"/>
          <w:sz w:val="24"/>
          <w:szCs w:val="24"/>
        </w:rPr>
        <w:t>单  位：（公章）</w:t>
      </w:r>
    </w:p>
    <w:p w14:paraId="01F8F68C">
      <w:pPr>
        <w:adjustRightInd w:val="0"/>
        <w:snapToGrid w:val="0"/>
        <w:spacing w:line="700" w:lineRule="exact"/>
        <w:ind w:left="3150" w:leftChars="1500" w:firstLine="1960" w:firstLineChars="817"/>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14:paraId="487A2FFF">
      <w:pPr>
        <w:adjustRightInd w:val="0"/>
        <w:snapToGrid w:val="0"/>
        <w:spacing w:line="700" w:lineRule="exact"/>
        <w:ind w:left="3150" w:leftChars="1500" w:firstLine="1960" w:firstLineChars="817"/>
        <w:contextualSpacing/>
        <w:rPr>
          <w:rFonts w:hint="eastAsia" w:ascii="宋体" w:hAnsi="宋体" w:cs="宋体"/>
          <w:color w:val="auto"/>
          <w:sz w:val="24"/>
          <w:szCs w:val="24"/>
        </w:rPr>
      </w:pPr>
      <w:r>
        <w:rPr>
          <w:rFonts w:hint="eastAsia" w:ascii="宋体" w:hAnsi="宋体" w:cs="宋体"/>
          <w:color w:val="auto"/>
          <w:sz w:val="24"/>
          <w:szCs w:val="24"/>
        </w:rPr>
        <w:t>项目经理签字：</w:t>
      </w:r>
    </w:p>
    <w:p w14:paraId="3126357D">
      <w:pPr>
        <w:adjustRightInd w:val="0"/>
        <w:snapToGrid w:val="0"/>
        <w:spacing w:line="700" w:lineRule="exact"/>
        <w:ind w:firstLine="5160" w:firstLineChars="2150"/>
        <w:contextualSpacing/>
        <w:rPr>
          <w:rFonts w:hint="eastAsia" w:ascii="宋体" w:hAnsi="宋体" w:cs="宋体"/>
          <w:color w:val="auto"/>
          <w:sz w:val="28"/>
          <w:szCs w:val="28"/>
        </w:rPr>
      </w:pPr>
      <w:r>
        <w:rPr>
          <w:rFonts w:hint="eastAsia" w:ascii="宋体" w:hAnsi="宋体" w:cs="宋体"/>
          <w:color w:val="auto"/>
          <w:sz w:val="24"/>
          <w:szCs w:val="24"/>
        </w:rPr>
        <w:t>日  期:      年   月   日</w:t>
      </w:r>
    </w:p>
    <w:p w14:paraId="0A85471B">
      <w:pPr>
        <w:adjustRightInd w:val="0"/>
        <w:snapToGrid w:val="0"/>
        <w:spacing w:line="360" w:lineRule="auto"/>
        <w:jc w:val="center"/>
        <w:rPr>
          <w:rFonts w:hint="eastAsia" w:ascii="宋体" w:hAnsi="宋体" w:cs="宋体"/>
          <w:color w:val="auto"/>
          <w:szCs w:val="28"/>
        </w:rPr>
      </w:pPr>
    </w:p>
    <w:p w14:paraId="08EE169E">
      <w:pPr>
        <w:adjustRightInd w:val="0"/>
        <w:snapToGrid w:val="0"/>
        <w:spacing w:line="360" w:lineRule="auto"/>
        <w:jc w:val="center"/>
        <w:rPr>
          <w:rFonts w:hint="eastAsia" w:ascii="宋体" w:hAnsi="宋体" w:cs="宋体"/>
          <w:color w:val="auto"/>
          <w:szCs w:val="28"/>
        </w:rPr>
      </w:pPr>
    </w:p>
    <w:p w14:paraId="0AA736E7">
      <w:pPr>
        <w:adjustRightInd w:val="0"/>
        <w:snapToGrid w:val="0"/>
        <w:spacing w:line="360" w:lineRule="auto"/>
        <w:jc w:val="center"/>
        <w:rPr>
          <w:rFonts w:hint="eastAsia" w:ascii="宋体" w:hAnsi="宋体" w:cs="宋体"/>
          <w:color w:val="auto"/>
          <w:szCs w:val="28"/>
        </w:rPr>
      </w:pPr>
    </w:p>
    <w:p w14:paraId="165D2A3F">
      <w:pPr>
        <w:adjustRightInd w:val="0"/>
        <w:snapToGrid w:val="0"/>
        <w:spacing w:line="360" w:lineRule="auto"/>
        <w:jc w:val="center"/>
        <w:rPr>
          <w:rFonts w:hint="eastAsia" w:ascii="宋体" w:hAnsi="宋体" w:cs="宋体"/>
          <w:color w:val="auto"/>
          <w:szCs w:val="28"/>
        </w:rPr>
      </w:pPr>
    </w:p>
    <w:p w14:paraId="79061978">
      <w:pPr>
        <w:adjustRightInd w:val="0"/>
        <w:snapToGrid w:val="0"/>
        <w:spacing w:line="360" w:lineRule="auto"/>
        <w:jc w:val="center"/>
        <w:rPr>
          <w:rFonts w:hint="eastAsia" w:ascii="宋体" w:hAnsi="宋体" w:cs="宋体"/>
          <w:color w:val="auto"/>
          <w:szCs w:val="28"/>
        </w:rPr>
      </w:pPr>
    </w:p>
    <w:p w14:paraId="4BA9853A">
      <w:pPr>
        <w:adjustRightInd w:val="0"/>
        <w:snapToGrid w:val="0"/>
        <w:spacing w:line="360" w:lineRule="auto"/>
        <w:jc w:val="center"/>
        <w:rPr>
          <w:rFonts w:hint="eastAsia" w:ascii="宋体" w:hAnsi="宋体" w:cs="宋体"/>
          <w:color w:val="auto"/>
          <w:szCs w:val="28"/>
        </w:rPr>
      </w:pPr>
    </w:p>
    <w:p w14:paraId="13FF3FF5">
      <w:pPr>
        <w:adjustRightInd w:val="0"/>
        <w:snapToGrid w:val="0"/>
        <w:spacing w:line="360" w:lineRule="auto"/>
        <w:jc w:val="center"/>
        <w:rPr>
          <w:rFonts w:hint="eastAsia" w:ascii="宋体" w:hAnsi="宋体" w:cs="宋体"/>
          <w:color w:val="auto"/>
          <w:szCs w:val="28"/>
        </w:rPr>
      </w:pPr>
    </w:p>
    <w:p w14:paraId="5DDEC9B6">
      <w:pPr>
        <w:adjustRightInd w:val="0"/>
        <w:snapToGrid w:val="0"/>
        <w:spacing w:line="360" w:lineRule="auto"/>
        <w:jc w:val="center"/>
        <w:rPr>
          <w:rFonts w:hint="eastAsia" w:ascii="宋体" w:hAnsi="宋体" w:cs="宋体"/>
          <w:color w:val="auto"/>
          <w:szCs w:val="28"/>
        </w:rPr>
      </w:pPr>
    </w:p>
    <w:p w14:paraId="48D64C46">
      <w:pPr>
        <w:adjustRightInd w:val="0"/>
        <w:snapToGrid w:val="0"/>
        <w:spacing w:line="360" w:lineRule="auto"/>
        <w:jc w:val="center"/>
        <w:rPr>
          <w:rFonts w:hint="eastAsia" w:ascii="宋体" w:hAnsi="宋体" w:cs="宋体"/>
          <w:color w:val="auto"/>
          <w:szCs w:val="28"/>
        </w:rPr>
      </w:pPr>
    </w:p>
    <w:p w14:paraId="7B112014">
      <w:pPr>
        <w:adjustRightInd w:val="0"/>
        <w:snapToGrid w:val="0"/>
        <w:spacing w:line="360" w:lineRule="auto"/>
        <w:jc w:val="center"/>
        <w:rPr>
          <w:rFonts w:hint="eastAsia" w:ascii="宋体" w:hAnsi="宋体" w:cs="宋体"/>
          <w:color w:val="auto"/>
          <w:szCs w:val="28"/>
        </w:rPr>
      </w:pPr>
    </w:p>
    <w:p w14:paraId="3943272C">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 xml:space="preserve"> (注:</w:t>
      </w:r>
      <w:r>
        <w:rPr>
          <w:rFonts w:hint="eastAsia" w:ascii="宋体" w:hAnsi="宋体" w:cs="宋体"/>
          <w:snapToGrid w:val="0"/>
          <w:color w:val="auto"/>
          <w:sz w:val="28"/>
          <w:szCs w:val="28"/>
        </w:rPr>
        <w:t>资格审查申请书附表格式)</w:t>
      </w:r>
    </w:p>
    <w:p w14:paraId="0DB022A9">
      <w:pPr>
        <w:pStyle w:val="9"/>
        <w:widowControl/>
        <w:adjustRightInd w:val="0"/>
        <w:snapToGrid w:val="0"/>
        <w:spacing w:line="440" w:lineRule="exact"/>
        <w:contextualSpacing/>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资格审查材料真实性承诺书</w:t>
      </w:r>
    </w:p>
    <w:p w14:paraId="0B4629A0">
      <w:pPr>
        <w:pStyle w:val="9"/>
        <w:widowControl/>
        <w:adjustRightInd w:val="0"/>
        <w:snapToGrid w:val="0"/>
        <w:spacing w:line="440" w:lineRule="exact"/>
        <w:contextualSpacing/>
        <w:jc w:val="center"/>
        <w:rPr>
          <w:rFonts w:hint="eastAsia" w:ascii="宋体" w:hAnsi="宋体" w:eastAsia="宋体" w:cs="宋体"/>
          <w:b/>
          <w:color w:val="auto"/>
          <w:sz w:val="36"/>
          <w:szCs w:val="36"/>
        </w:rPr>
      </w:pPr>
    </w:p>
    <w:p w14:paraId="3D7FB971">
      <w:pPr>
        <w:adjustRightInd w:val="0"/>
        <w:snapToGrid w:val="0"/>
        <w:spacing w:line="360" w:lineRule="auto"/>
        <w:jc w:val="center"/>
        <w:rPr>
          <w:rFonts w:hint="eastAsia" w:ascii="宋体" w:hAnsi="宋体" w:cs="宋体"/>
          <w:color w:val="auto"/>
        </w:rPr>
      </w:pPr>
    </w:p>
    <w:p w14:paraId="0D994CBF">
      <w:pPr>
        <w:adjustRightInd w:val="0"/>
        <w:snapToGrid w:val="0"/>
        <w:spacing w:line="360" w:lineRule="auto"/>
        <w:jc w:val="center"/>
        <w:rPr>
          <w:rFonts w:hint="eastAsia" w:ascii="宋体" w:hAnsi="宋体" w:cs="宋体"/>
          <w:color w:val="auto"/>
        </w:rPr>
      </w:pPr>
    </w:p>
    <w:p w14:paraId="4577548D">
      <w:pPr>
        <w:adjustRightInd w:val="0"/>
        <w:snapToGrid w:val="0"/>
        <w:spacing w:line="500" w:lineRule="exact"/>
        <w:ind w:right="559" w:rightChars="266" w:firstLine="720" w:firstLineChars="300"/>
        <w:contextualSpacing/>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65AAAE1B">
      <w:pPr>
        <w:adjustRightInd w:val="0"/>
        <w:snapToGrid w:val="0"/>
        <w:spacing w:line="500" w:lineRule="exact"/>
        <w:ind w:left="743" w:leftChars="354" w:right="559" w:rightChars="266" w:firstLine="482" w:firstLineChars="201"/>
        <w:contextualSpacing/>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14:paraId="409473D0">
      <w:pPr>
        <w:adjustRightInd w:val="0"/>
        <w:snapToGrid w:val="0"/>
        <w:spacing w:line="360" w:lineRule="auto"/>
        <w:jc w:val="center"/>
        <w:rPr>
          <w:rFonts w:hint="eastAsia" w:ascii="宋体" w:hAnsi="宋体" w:cs="宋体"/>
          <w:color w:val="auto"/>
          <w:sz w:val="28"/>
          <w:szCs w:val="28"/>
        </w:rPr>
      </w:pPr>
    </w:p>
    <w:p w14:paraId="01986376">
      <w:pPr>
        <w:adjustRightInd w:val="0"/>
        <w:snapToGrid w:val="0"/>
        <w:spacing w:line="360" w:lineRule="auto"/>
        <w:jc w:val="center"/>
        <w:rPr>
          <w:rFonts w:hint="eastAsia" w:ascii="宋体" w:hAnsi="宋体" w:cs="宋体"/>
          <w:color w:val="auto"/>
          <w:sz w:val="28"/>
          <w:szCs w:val="28"/>
        </w:rPr>
      </w:pPr>
    </w:p>
    <w:p w14:paraId="449E6D62">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单   位：（公章）</w:t>
      </w:r>
    </w:p>
    <w:p w14:paraId="0DC69469">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14:paraId="7380A43B">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项目负责人签字：</w:t>
      </w:r>
    </w:p>
    <w:p w14:paraId="6488ECEE">
      <w:pPr>
        <w:wordWrap w:val="0"/>
        <w:adjustRightInd w:val="0"/>
        <w:snapToGrid w:val="0"/>
        <w:spacing w:line="500" w:lineRule="exact"/>
        <w:ind w:left="3990" w:leftChars="1900" w:firstLine="1300" w:firstLineChars="542"/>
        <w:contextualSpacing/>
        <w:rPr>
          <w:rFonts w:hint="eastAsia" w:ascii="宋体" w:hAnsi="宋体" w:cs="宋体"/>
          <w:color w:val="auto"/>
          <w:sz w:val="24"/>
          <w:szCs w:val="24"/>
        </w:rPr>
      </w:pPr>
      <w:r>
        <w:rPr>
          <w:rFonts w:hint="eastAsia" w:ascii="宋体" w:hAnsi="宋体" w:cs="宋体"/>
          <w:color w:val="auto"/>
          <w:sz w:val="24"/>
          <w:szCs w:val="24"/>
        </w:rPr>
        <w:t>日   期：         年  月  日</w:t>
      </w:r>
    </w:p>
    <w:p w14:paraId="2C00AFD1">
      <w:pPr>
        <w:adjustRightInd w:val="0"/>
        <w:snapToGrid w:val="0"/>
        <w:spacing w:line="360" w:lineRule="auto"/>
        <w:jc w:val="center"/>
        <w:rPr>
          <w:rFonts w:hint="eastAsia" w:ascii="宋体" w:hAnsi="宋体" w:cs="宋体"/>
          <w:color w:val="auto"/>
        </w:rPr>
      </w:pPr>
    </w:p>
    <w:p w14:paraId="404BF9AD">
      <w:pPr>
        <w:adjustRightInd w:val="0"/>
        <w:snapToGrid w:val="0"/>
        <w:spacing w:line="360" w:lineRule="auto"/>
        <w:jc w:val="center"/>
        <w:rPr>
          <w:rFonts w:hint="eastAsia" w:ascii="宋体" w:hAnsi="宋体" w:cs="宋体"/>
          <w:color w:val="auto"/>
        </w:rPr>
      </w:pPr>
    </w:p>
    <w:p w14:paraId="2ED01789">
      <w:pPr>
        <w:adjustRightInd w:val="0"/>
        <w:snapToGrid w:val="0"/>
        <w:spacing w:line="360" w:lineRule="auto"/>
        <w:jc w:val="center"/>
        <w:rPr>
          <w:rFonts w:hint="eastAsia" w:ascii="宋体" w:hAnsi="宋体" w:cs="宋体"/>
          <w:color w:val="auto"/>
        </w:rPr>
      </w:pPr>
    </w:p>
    <w:p w14:paraId="235BC68A">
      <w:pPr>
        <w:adjustRightInd w:val="0"/>
        <w:snapToGrid w:val="0"/>
        <w:spacing w:line="360" w:lineRule="auto"/>
        <w:jc w:val="center"/>
        <w:rPr>
          <w:rFonts w:hint="eastAsia" w:ascii="宋体" w:hAnsi="宋体" w:cs="宋体"/>
          <w:color w:val="auto"/>
        </w:rPr>
      </w:pPr>
    </w:p>
    <w:p w14:paraId="3B674FA8">
      <w:pPr>
        <w:adjustRightInd w:val="0"/>
        <w:snapToGrid w:val="0"/>
        <w:spacing w:line="360" w:lineRule="auto"/>
        <w:jc w:val="center"/>
        <w:rPr>
          <w:rFonts w:hint="eastAsia" w:ascii="宋体" w:hAnsi="宋体" w:cs="宋体"/>
          <w:color w:val="auto"/>
        </w:rPr>
      </w:pPr>
    </w:p>
    <w:p w14:paraId="3434BE11">
      <w:pPr>
        <w:adjustRightInd w:val="0"/>
        <w:snapToGrid w:val="0"/>
        <w:spacing w:line="360" w:lineRule="auto"/>
        <w:jc w:val="center"/>
        <w:rPr>
          <w:rFonts w:hint="eastAsia" w:ascii="宋体" w:hAnsi="宋体" w:cs="宋体"/>
          <w:color w:val="auto"/>
        </w:rPr>
      </w:pPr>
    </w:p>
    <w:p w14:paraId="7C4A47FD">
      <w:pPr>
        <w:adjustRightInd w:val="0"/>
        <w:snapToGrid w:val="0"/>
        <w:spacing w:line="360" w:lineRule="auto"/>
        <w:jc w:val="center"/>
        <w:rPr>
          <w:rFonts w:hint="eastAsia" w:ascii="宋体" w:hAnsi="宋体" w:cs="宋体"/>
          <w:color w:val="auto"/>
        </w:rPr>
      </w:pPr>
    </w:p>
    <w:p w14:paraId="68D30B96">
      <w:pPr>
        <w:adjustRightInd w:val="0"/>
        <w:snapToGrid w:val="0"/>
        <w:spacing w:line="360" w:lineRule="auto"/>
        <w:jc w:val="center"/>
        <w:rPr>
          <w:rFonts w:hint="eastAsia" w:ascii="宋体" w:hAnsi="宋体" w:cs="宋体"/>
          <w:color w:val="auto"/>
        </w:rPr>
      </w:pPr>
    </w:p>
    <w:p w14:paraId="7F41682E">
      <w:pPr>
        <w:adjustRightInd w:val="0"/>
        <w:snapToGrid w:val="0"/>
        <w:spacing w:line="360" w:lineRule="auto"/>
        <w:jc w:val="center"/>
        <w:rPr>
          <w:rFonts w:hint="eastAsia" w:ascii="宋体" w:hAnsi="宋体" w:cs="宋体"/>
          <w:color w:val="auto"/>
        </w:rPr>
      </w:pPr>
    </w:p>
    <w:p w14:paraId="7757BABF">
      <w:pPr>
        <w:adjustRightInd w:val="0"/>
        <w:snapToGrid w:val="0"/>
        <w:spacing w:line="360" w:lineRule="auto"/>
        <w:jc w:val="center"/>
        <w:rPr>
          <w:rFonts w:hint="eastAsia" w:ascii="宋体" w:hAnsi="宋体" w:cs="宋体"/>
          <w:color w:val="auto"/>
        </w:rPr>
      </w:pPr>
    </w:p>
    <w:p w14:paraId="20A59C5A">
      <w:pPr>
        <w:adjustRightInd w:val="0"/>
        <w:snapToGrid w:val="0"/>
        <w:spacing w:line="360" w:lineRule="auto"/>
        <w:jc w:val="center"/>
        <w:rPr>
          <w:rFonts w:hint="eastAsia" w:ascii="宋体" w:hAnsi="宋体" w:cs="宋体"/>
          <w:color w:val="auto"/>
        </w:rPr>
      </w:pPr>
    </w:p>
    <w:p w14:paraId="4C63D39C">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 xml:space="preserve"> (注:</w:t>
      </w:r>
      <w:r>
        <w:rPr>
          <w:rFonts w:hint="eastAsia" w:ascii="宋体" w:hAnsi="宋体" w:cs="宋体"/>
          <w:snapToGrid w:val="0"/>
          <w:color w:val="auto"/>
          <w:sz w:val="28"/>
          <w:szCs w:val="28"/>
        </w:rPr>
        <w:t>资格审查申请书附表格式)</w:t>
      </w:r>
    </w:p>
    <w:p w14:paraId="2D9D8CF3">
      <w:pPr>
        <w:pStyle w:val="9"/>
        <w:widowControl/>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渣土外运承诺书</w:t>
      </w:r>
    </w:p>
    <w:p w14:paraId="47DDCEE2">
      <w:pPr>
        <w:adjustRightInd w:val="0"/>
        <w:snapToGrid w:val="0"/>
        <w:spacing w:line="360" w:lineRule="auto"/>
        <w:jc w:val="center"/>
        <w:rPr>
          <w:rFonts w:hint="eastAsia" w:ascii="宋体" w:hAnsi="宋体" w:cs="宋体"/>
          <w:color w:val="auto"/>
        </w:rPr>
      </w:pPr>
    </w:p>
    <w:p w14:paraId="2BC48E8D">
      <w:pPr>
        <w:adjustRightInd w:val="0"/>
        <w:snapToGrid w:val="0"/>
        <w:spacing w:line="360" w:lineRule="auto"/>
        <w:jc w:val="center"/>
        <w:rPr>
          <w:rFonts w:hint="eastAsia" w:ascii="宋体" w:hAnsi="宋体" w:cs="宋体"/>
          <w:color w:val="auto"/>
        </w:rPr>
      </w:pPr>
    </w:p>
    <w:p w14:paraId="1830509E">
      <w:pPr>
        <w:adjustRightInd w:val="0"/>
        <w:snapToGrid w:val="0"/>
        <w:spacing w:line="500" w:lineRule="exact"/>
        <w:ind w:left="743" w:leftChars="354" w:right="559" w:rightChars="266" w:firstLine="1"/>
        <w:contextualSpacing/>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CBD3277">
      <w:pPr>
        <w:adjustRightInd w:val="0"/>
        <w:snapToGrid w:val="0"/>
        <w:spacing w:line="50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我公司将选择已经取得城管部门核发的《渣土运输车辆许可证》、公安部门核发的《渣土运输车辆交通安全证》和《渣土运输车辆通行证》三证齐全的运输企业负责渣土外运。如我公司未遵守以上承诺，贵公司可以拒绝我公司投标，如已中标，凡从事本工程渣土外运的车辆被城管和公安交巡警部门查处的，我公司愿意接受建设行政主管部门做出的任何处理。</w:t>
      </w:r>
    </w:p>
    <w:p w14:paraId="38788357">
      <w:pPr>
        <w:adjustRightInd w:val="0"/>
        <w:snapToGrid w:val="0"/>
        <w:spacing w:line="360" w:lineRule="auto"/>
        <w:jc w:val="center"/>
        <w:rPr>
          <w:rFonts w:hint="eastAsia" w:ascii="宋体" w:hAnsi="宋体" w:cs="宋体"/>
          <w:color w:val="auto"/>
          <w:sz w:val="28"/>
          <w:szCs w:val="28"/>
        </w:rPr>
      </w:pPr>
    </w:p>
    <w:p w14:paraId="0FA03F89">
      <w:pPr>
        <w:adjustRightInd w:val="0"/>
        <w:snapToGrid w:val="0"/>
        <w:spacing w:line="360" w:lineRule="auto"/>
        <w:jc w:val="center"/>
        <w:rPr>
          <w:rFonts w:hint="eastAsia" w:ascii="宋体" w:hAnsi="宋体" w:cs="宋体"/>
          <w:color w:val="auto"/>
          <w:sz w:val="28"/>
          <w:szCs w:val="28"/>
        </w:rPr>
      </w:pPr>
    </w:p>
    <w:p w14:paraId="40963DFA">
      <w:pPr>
        <w:adjustRightInd w:val="0"/>
        <w:snapToGrid w:val="0"/>
        <w:spacing w:line="360" w:lineRule="auto"/>
        <w:jc w:val="center"/>
        <w:rPr>
          <w:rFonts w:hint="eastAsia" w:ascii="宋体" w:hAnsi="宋体" w:cs="宋体"/>
          <w:color w:val="auto"/>
          <w:sz w:val="28"/>
          <w:szCs w:val="28"/>
        </w:rPr>
      </w:pPr>
    </w:p>
    <w:p w14:paraId="2CC7FCE6">
      <w:pPr>
        <w:pStyle w:val="9"/>
        <w:widowControl/>
        <w:tabs>
          <w:tab w:val="left" w:pos="0"/>
        </w:tabs>
        <w:adjustRightInd w:val="0"/>
        <w:snapToGrid w:val="0"/>
        <w:spacing w:line="500" w:lineRule="exact"/>
        <w:ind w:left="4410" w:leftChars="21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单   位：（公章）</w:t>
      </w:r>
    </w:p>
    <w:p w14:paraId="5CAFE5BE">
      <w:pPr>
        <w:tabs>
          <w:tab w:val="left" w:pos="0"/>
        </w:tabs>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14:paraId="5563B6E9">
      <w:pPr>
        <w:adjustRightInd w:val="0"/>
        <w:snapToGrid w:val="0"/>
        <w:spacing w:line="500" w:lineRule="exact"/>
        <w:ind w:firstLine="4440" w:firstLineChars="1850"/>
        <w:contextualSpacing/>
        <w:rPr>
          <w:rFonts w:hint="eastAsia" w:ascii="宋体" w:hAnsi="宋体" w:cs="宋体"/>
          <w:color w:val="auto"/>
          <w:sz w:val="24"/>
          <w:szCs w:val="24"/>
        </w:rPr>
      </w:pPr>
      <w:r>
        <w:rPr>
          <w:rFonts w:hint="eastAsia" w:ascii="宋体" w:hAnsi="宋体" w:cs="宋体"/>
          <w:color w:val="auto"/>
          <w:sz w:val="24"/>
          <w:szCs w:val="24"/>
        </w:rPr>
        <w:t>项目负责人签字：</w:t>
      </w:r>
    </w:p>
    <w:p w14:paraId="30C62C16">
      <w:pPr>
        <w:tabs>
          <w:tab w:val="left" w:pos="0"/>
        </w:tabs>
        <w:autoSpaceDE w:val="0"/>
        <w:autoSpaceDN w:val="0"/>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日   期:年   月   日</w:t>
      </w:r>
    </w:p>
    <w:p w14:paraId="37FE35D3">
      <w:pPr>
        <w:adjustRightInd w:val="0"/>
        <w:snapToGrid w:val="0"/>
        <w:spacing w:line="360" w:lineRule="auto"/>
        <w:jc w:val="center"/>
        <w:rPr>
          <w:rFonts w:hint="eastAsia" w:ascii="宋体" w:hAnsi="宋体" w:cs="宋体"/>
          <w:color w:val="auto"/>
        </w:rPr>
      </w:pPr>
    </w:p>
    <w:p w14:paraId="4B536103">
      <w:pPr>
        <w:adjustRightInd w:val="0"/>
        <w:snapToGrid w:val="0"/>
        <w:spacing w:line="360" w:lineRule="auto"/>
        <w:jc w:val="center"/>
        <w:rPr>
          <w:rFonts w:hint="eastAsia" w:ascii="宋体" w:hAnsi="宋体" w:cs="宋体"/>
          <w:color w:val="auto"/>
          <w:sz w:val="28"/>
          <w:szCs w:val="28"/>
        </w:rPr>
      </w:pPr>
    </w:p>
    <w:p w14:paraId="7738BB4D">
      <w:pPr>
        <w:adjustRightInd w:val="0"/>
        <w:snapToGrid w:val="0"/>
        <w:spacing w:line="360" w:lineRule="auto"/>
        <w:jc w:val="center"/>
        <w:rPr>
          <w:rFonts w:hint="eastAsia" w:ascii="宋体" w:hAnsi="宋体" w:cs="宋体"/>
          <w:color w:val="auto"/>
          <w:sz w:val="28"/>
          <w:szCs w:val="28"/>
        </w:rPr>
      </w:pPr>
    </w:p>
    <w:p w14:paraId="358538B8">
      <w:pPr>
        <w:adjustRightInd w:val="0"/>
        <w:snapToGrid w:val="0"/>
        <w:spacing w:line="360" w:lineRule="auto"/>
        <w:jc w:val="center"/>
        <w:rPr>
          <w:rFonts w:hint="eastAsia" w:ascii="宋体" w:hAnsi="宋体" w:cs="宋体"/>
          <w:color w:val="auto"/>
          <w:sz w:val="28"/>
          <w:szCs w:val="28"/>
        </w:rPr>
      </w:pPr>
    </w:p>
    <w:p w14:paraId="6431B427">
      <w:pPr>
        <w:adjustRightInd w:val="0"/>
        <w:snapToGrid w:val="0"/>
        <w:spacing w:line="360" w:lineRule="auto"/>
        <w:jc w:val="center"/>
        <w:rPr>
          <w:rFonts w:hint="eastAsia" w:ascii="宋体" w:hAnsi="宋体" w:cs="宋体"/>
          <w:color w:val="auto"/>
          <w:sz w:val="28"/>
          <w:szCs w:val="28"/>
        </w:rPr>
      </w:pPr>
    </w:p>
    <w:p w14:paraId="20331573">
      <w:pPr>
        <w:adjustRightInd w:val="0"/>
        <w:snapToGrid w:val="0"/>
        <w:spacing w:line="360" w:lineRule="auto"/>
        <w:jc w:val="center"/>
        <w:rPr>
          <w:rFonts w:hint="eastAsia" w:ascii="宋体" w:hAnsi="宋体" w:cs="宋体"/>
          <w:color w:val="auto"/>
          <w:sz w:val="28"/>
          <w:szCs w:val="28"/>
        </w:rPr>
      </w:pPr>
    </w:p>
    <w:p w14:paraId="170025A8">
      <w:pPr>
        <w:pStyle w:val="9"/>
        <w:widowControl/>
        <w:adjustRightInd w:val="0"/>
        <w:snapToGrid w:val="0"/>
        <w:spacing w:line="360" w:lineRule="auto"/>
        <w:jc w:val="both"/>
        <w:rPr>
          <w:rFonts w:hint="eastAsia" w:ascii="宋体" w:hAnsi="宋体" w:eastAsia="宋体" w:cs="宋体"/>
          <w:b/>
          <w:color w:val="auto"/>
          <w:sz w:val="36"/>
          <w:szCs w:val="36"/>
        </w:rPr>
      </w:pPr>
    </w:p>
    <w:p w14:paraId="3BB82F3B">
      <w:pPr>
        <w:pStyle w:val="9"/>
        <w:widowControl/>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color w:val="auto"/>
          <w:sz w:val="28"/>
          <w:szCs w:val="28"/>
        </w:rPr>
        <w:t>(注:</w:t>
      </w:r>
      <w:r>
        <w:rPr>
          <w:rFonts w:hint="eastAsia" w:ascii="宋体" w:hAnsi="宋体" w:eastAsia="宋体" w:cs="宋体"/>
          <w:snapToGrid w:val="0"/>
          <w:color w:val="auto"/>
          <w:sz w:val="28"/>
          <w:szCs w:val="28"/>
        </w:rPr>
        <w:t>资格审查申请书附表格式)</w:t>
      </w:r>
    </w:p>
    <w:p w14:paraId="439F8EE2">
      <w:pPr>
        <w:pStyle w:val="9"/>
        <w:widowControl/>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投标安全承诺书</w:t>
      </w:r>
    </w:p>
    <w:p w14:paraId="409FB99C">
      <w:pPr>
        <w:rPr>
          <w:rFonts w:hint="eastAsia" w:ascii="宋体" w:hAnsi="宋体" w:cs="宋体"/>
          <w:color w:val="auto"/>
        </w:rPr>
      </w:pPr>
    </w:p>
    <w:p w14:paraId="51A61552">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本单位郑重承诺:我单位如中标，在</w:t>
      </w:r>
      <w:r>
        <w:rPr>
          <w:rFonts w:hint="eastAsia" w:ascii="宋体" w:hAnsi="宋体" w:cs="宋体"/>
          <w:color w:val="auto"/>
          <w:sz w:val="24"/>
          <w:szCs w:val="24"/>
          <w:u w:val="single"/>
        </w:rPr>
        <w:t xml:space="preserve">                      </w:t>
      </w:r>
      <w:r>
        <w:rPr>
          <w:rFonts w:hint="eastAsia" w:ascii="宋体" w:hAnsi="宋体" w:cs="宋体"/>
          <w:color w:val="auto"/>
          <w:sz w:val="24"/>
          <w:szCs w:val="24"/>
        </w:rPr>
        <w:t>工程施工过程中，严格遵守《建筑法》、《安全生产法》、《建设工程安全生产管理条例》、《安全生产许可证条例》、《施工企业安全生产评价标准》、《建筑施工安全检查标准》、《危险性较大的分部分项工程安全管理规定》等法律法规、规范标准和各项规定。</w:t>
      </w:r>
    </w:p>
    <w:p w14:paraId="3CFD79AE">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建立健全各项安全生产管理体系和安全生产管理责任制，按要求设置安全生产管理机构和配备专职安全管理人员，落实各项安全生产管理制度，保证安全文明施工措施费的投入和使用，编制、审核及实施施工组织设计和专项施工方案，制定和实施安全生产教育培训计划，开展安全生产检查和落实事故隐患整改措施，确保工程建设施工过程中安全生产，依法承担和落实建设工程安全生产主体责任。</w:t>
      </w:r>
    </w:p>
    <w:p w14:paraId="6A494AE3">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单位法定代表人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将授权</w:t>
      </w:r>
      <w:r>
        <w:rPr>
          <w:rFonts w:hint="eastAsia" w:ascii="宋体" w:hAnsi="宋体" w:cs="宋体"/>
          <w:color w:val="auto"/>
          <w:sz w:val="24"/>
          <w:szCs w:val="24"/>
          <w:u w:val="single"/>
        </w:rPr>
        <w:t xml:space="preserve">               </w:t>
      </w:r>
      <w:r>
        <w:rPr>
          <w:rFonts w:hint="eastAsia" w:ascii="宋体" w:hAnsi="宋体" w:cs="宋体"/>
          <w:color w:val="auto"/>
          <w:sz w:val="24"/>
          <w:szCs w:val="24"/>
        </w:rPr>
        <w:t>为本工程项目经理。</w:t>
      </w:r>
    </w:p>
    <w:p w14:paraId="1CF6E585">
      <w:pPr>
        <w:adjustRightInd w:val="0"/>
        <w:snapToGrid w:val="0"/>
        <w:spacing w:line="44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承诺期内，若违反上述承诺内容，本企业和承诺人愿意接受建设行政主管部门及其他有关部门依据有关法律法规给予的处罚。</w:t>
      </w:r>
    </w:p>
    <w:tbl>
      <w:tblPr>
        <w:tblStyle w:val="12"/>
        <w:tblW w:w="4998" w:type="pct"/>
        <w:jc w:val="center"/>
        <w:tblLayout w:type="autofit"/>
        <w:tblCellMar>
          <w:top w:w="0" w:type="dxa"/>
          <w:left w:w="0" w:type="dxa"/>
          <w:bottom w:w="0" w:type="dxa"/>
          <w:right w:w="0" w:type="dxa"/>
        </w:tblCellMar>
      </w:tblPr>
      <w:tblGrid>
        <w:gridCol w:w="2941"/>
        <w:gridCol w:w="3185"/>
        <w:gridCol w:w="1664"/>
        <w:gridCol w:w="2428"/>
      </w:tblGrid>
      <w:tr w14:paraId="5E731448">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14:paraId="20BEAC25">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法定代表人（签名）</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5042ECEC">
            <w:pPr>
              <w:adjustRightInd w:val="0"/>
              <w:snapToGrid w:val="0"/>
              <w:jc w:val="center"/>
              <w:outlineLvl w:val="0"/>
              <w:rPr>
                <w:rFonts w:hint="eastAsia" w:ascii="宋体" w:hAnsi="宋体" w:cs="宋体"/>
                <w:color w:val="auto"/>
                <w:kern w:val="36"/>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292FDAFD">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承诺日期</w:t>
            </w:r>
          </w:p>
        </w:tc>
        <w:tc>
          <w:tcPr>
            <w:tcW w:w="1188" w:type="pct"/>
            <w:tcBorders>
              <w:top w:val="single" w:color="auto" w:sz="4" w:space="0"/>
              <w:left w:val="single" w:color="auto" w:sz="4" w:space="0"/>
              <w:bottom w:val="single" w:color="auto" w:sz="4" w:space="0"/>
              <w:right w:val="single" w:color="auto" w:sz="4" w:space="0"/>
            </w:tcBorders>
            <w:noWrap w:val="0"/>
            <w:vAlign w:val="center"/>
          </w:tcPr>
          <w:p w14:paraId="5E8FEC98">
            <w:pPr>
              <w:adjustRightInd w:val="0"/>
              <w:snapToGrid w:val="0"/>
              <w:jc w:val="center"/>
              <w:outlineLvl w:val="0"/>
              <w:rPr>
                <w:rFonts w:hint="eastAsia" w:ascii="宋体" w:hAnsi="宋体" w:cs="宋体"/>
                <w:color w:val="auto"/>
                <w:kern w:val="36"/>
                <w:sz w:val="24"/>
                <w:szCs w:val="24"/>
              </w:rPr>
            </w:pPr>
          </w:p>
        </w:tc>
      </w:tr>
      <w:tr w14:paraId="03C82A34">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14:paraId="6CEC0ECE">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联系方式</w:t>
            </w:r>
          </w:p>
        </w:tc>
        <w:tc>
          <w:tcPr>
            <w:tcW w:w="3560" w:type="pct"/>
            <w:gridSpan w:val="3"/>
            <w:tcBorders>
              <w:top w:val="single" w:color="auto" w:sz="4" w:space="0"/>
              <w:left w:val="single" w:color="auto" w:sz="4" w:space="0"/>
              <w:bottom w:val="single" w:color="auto" w:sz="4" w:space="0"/>
              <w:right w:val="single" w:color="auto" w:sz="4" w:space="0"/>
            </w:tcBorders>
            <w:noWrap w:val="0"/>
            <w:vAlign w:val="center"/>
          </w:tcPr>
          <w:p w14:paraId="60224E22">
            <w:pPr>
              <w:adjustRightInd w:val="0"/>
              <w:snapToGrid w:val="0"/>
              <w:jc w:val="center"/>
              <w:outlineLvl w:val="0"/>
              <w:rPr>
                <w:rFonts w:hint="eastAsia" w:ascii="宋体" w:hAnsi="宋体" w:cs="宋体"/>
                <w:color w:val="auto"/>
                <w:kern w:val="36"/>
                <w:sz w:val="24"/>
                <w:szCs w:val="24"/>
              </w:rPr>
            </w:pPr>
          </w:p>
        </w:tc>
      </w:tr>
      <w:tr w14:paraId="3AB4EC95">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14:paraId="387F3EF8">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投标项目经理</w:t>
            </w:r>
          </w:p>
          <w:p w14:paraId="35A830E7">
            <w:pPr>
              <w:adjustRightInd w:val="0"/>
              <w:snapToGrid w:val="0"/>
              <w:jc w:val="center"/>
              <w:outlineLvl w:val="0"/>
              <w:rPr>
                <w:rFonts w:hint="eastAsia" w:ascii="宋体" w:hAnsi="宋体" w:cs="宋体"/>
                <w:b/>
                <w:bCs/>
                <w:color w:val="auto"/>
                <w:kern w:val="36"/>
                <w:sz w:val="24"/>
                <w:szCs w:val="24"/>
              </w:rPr>
            </w:pPr>
            <w:r>
              <w:rPr>
                <w:rFonts w:hint="eastAsia" w:ascii="宋体" w:hAnsi="宋体" w:cs="宋体"/>
                <w:color w:val="auto"/>
                <w:kern w:val="36"/>
                <w:sz w:val="24"/>
                <w:szCs w:val="24"/>
              </w:rPr>
              <w:t>（签名）</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74AD0380">
            <w:pPr>
              <w:adjustRightInd w:val="0"/>
              <w:snapToGrid w:val="0"/>
              <w:jc w:val="center"/>
              <w:outlineLvl w:val="0"/>
              <w:rPr>
                <w:rFonts w:hint="eastAsia" w:ascii="宋体" w:hAnsi="宋体" w:cs="宋体"/>
                <w:b/>
                <w:bCs/>
                <w:color w:val="auto"/>
                <w:kern w:val="36"/>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4D813178">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承诺日期</w:t>
            </w:r>
          </w:p>
        </w:tc>
        <w:tc>
          <w:tcPr>
            <w:tcW w:w="1188" w:type="pct"/>
            <w:tcBorders>
              <w:top w:val="single" w:color="auto" w:sz="4" w:space="0"/>
              <w:left w:val="single" w:color="auto" w:sz="4" w:space="0"/>
              <w:bottom w:val="single" w:color="auto" w:sz="4" w:space="0"/>
              <w:right w:val="single" w:color="auto" w:sz="4" w:space="0"/>
            </w:tcBorders>
            <w:noWrap w:val="0"/>
            <w:vAlign w:val="center"/>
          </w:tcPr>
          <w:p w14:paraId="79CD06B9">
            <w:pPr>
              <w:adjustRightInd w:val="0"/>
              <w:snapToGrid w:val="0"/>
              <w:jc w:val="center"/>
              <w:outlineLvl w:val="0"/>
              <w:rPr>
                <w:rFonts w:hint="eastAsia" w:ascii="宋体" w:hAnsi="宋体" w:cs="宋体"/>
                <w:b/>
                <w:bCs/>
                <w:color w:val="auto"/>
                <w:kern w:val="36"/>
                <w:sz w:val="24"/>
                <w:szCs w:val="24"/>
              </w:rPr>
            </w:pPr>
          </w:p>
        </w:tc>
      </w:tr>
      <w:tr w14:paraId="147B072B">
        <w:tblPrEx>
          <w:tblCellMar>
            <w:top w:w="0" w:type="dxa"/>
            <w:left w:w="0" w:type="dxa"/>
            <w:bottom w:w="0" w:type="dxa"/>
            <w:right w:w="0" w:type="dxa"/>
          </w:tblCellMar>
        </w:tblPrEx>
        <w:trPr>
          <w:trHeight w:val="794" w:hRule="atLeast"/>
          <w:jc w:val="center"/>
        </w:trPr>
        <w:tc>
          <w:tcPr>
            <w:tcW w:w="1439" w:type="pct"/>
            <w:tcBorders>
              <w:top w:val="single" w:color="auto" w:sz="4" w:space="0"/>
              <w:left w:val="single" w:color="auto" w:sz="8" w:space="0"/>
              <w:bottom w:val="single" w:color="auto" w:sz="4" w:space="0"/>
              <w:right w:val="single" w:color="auto" w:sz="4" w:space="0"/>
            </w:tcBorders>
            <w:noWrap w:val="0"/>
            <w:vAlign w:val="center"/>
          </w:tcPr>
          <w:p w14:paraId="3D62A2C0">
            <w:pPr>
              <w:adjustRightInd w:val="0"/>
              <w:snapToGrid w:val="0"/>
              <w:jc w:val="center"/>
              <w:outlineLvl w:val="0"/>
              <w:rPr>
                <w:rFonts w:hint="eastAsia" w:ascii="宋体" w:hAnsi="宋体" w:cs="宋体"/>
                <w:color w:val="auto"/>
                <w:kern w:val="36"/>
                <w:sz w:val="24"/>
                <w:szCs w:val="24"/>
              </w:rPr>
            </w:pPr>
            <w:r>
              <w:rPr>
                <w:rFonts w:hint="eastAsia" w:ascii="宋体" w:hAnsi="宋体" w:cs="宋体"/>
                <w:color w:val="auto"/>
                <w:kern w:val="36"/>
                <w:sz w:val="24"/>
                <w:szCs w:val="24"/>
              </w:rPr>
              <w:t>联系方式</w:t>
            </w:r>
          </w:p>
        </w:tc>
        <w:tc>
          <w:tcPr>
            <w:tcW w:w="3560" w:type="pct"/>
            <w:gridSpan w:val="3"/>
            <w:tcBorders>
              <w:top w:val="single" w:color="auto" w:sz="4" w:space="0"/>
              <w:left w:val="single" w:color="auto" w:sz="4" w:space="0"/>
              <w:bottom w:val="single" w:color="auto" w:sz="4" w:space="0"/>
              <w:right w:val="single" w:color="auto" w:sz="4" w:space="0"/>
            </w:tcBorders>
            <w:noWrap w:val="0"/>
            <w:vAlign w:val="center"/>
          </w:tcPr>
          <w:p w14:paraId="6D67D129">
            <w:pPr>
              <w:adjustRightInd w:val="0"/>
              <w:snapToGrid w:val="0"/>
              <w:outlineLvl w:val="0"/>
              <w:rPr>
                <w:rFonts w:hint="eastAsia" w:ascii="宋体" w:hAnsi="宋体" w:cs="宋体"/>
                <w:color w:val="auto"/>
                <w:kern w:val="36"/>
                <w:sz w:val="24"/>
                <w:szCs w:val="24"/>
              </w:rPr>
            </w:pPr>
          </w:p>
        </w:tc>
      </w:tr>
    </w:tbl>
    <w:p w14:paraId="6CD2F1A2">
      <w:pPr>
        <w:shd w:val="clear" w:color="auto" w:fill="FFFFFF"/>
        <w:adjustRightInd w:val="0"/>
        <w:snapToGrid w:val="0"/>
        <w:spacing w:line="360" w:lineRule="auto"/>
        <w:jc w:val="center"/>
        <w:rPr>
          <w:rFonts w:hint="eastAsia" w:ascii="宋体" w:hAnsi="宋体" w:cs="宋体"/>
          <w:color w:val="auto"/>
        </w:rPr>
      </w:pPr>
      <w:r>
        <w:rPr>
          <w:rFonts w:hint="eastAsia" w:ascii="宋体" w:hAnsi="宋体" w:cs="宋体"/>
          <w:color w:val="auto"/>
        </w:rPr>
        <w:t xml:space="preserve"> </w:t>
      </w:r>
    </w:p>
    <w:p w14:paraId="097779D7">
      <w:pPr>
        <w:adjustRightInd w:val="0"/>
        <w:snapToGrid w:val="0"/>
        <w:spacing w:line="360" w:lineRule="auto"/>
        <w:jc w:val="center"/>
        <w:rPr>
          <w:rFonts w:hint="eastAsia" w:ascii="宋体" w:hAnsi="宋体" w:cs="宋体"/>
          <w:color w:val="auto"/>
          <w:sz w:val="24"/>
          <w:szCs w:val="24"/>
        </w:rPr>
      </w:pPr>
      <w:r>
        <w:rPr>
          <w:rFonts w:hint="eastAsia" w:ascii="宋体" w:hAnsi="宋体" w:cs="宋体"/>
          <w:color w:val="auto"/>
        </w:rPr>
        <w:t xml:space="preserve">                                         </w:t>
      </w:r>
      <w:r>
        <w:rPr>
          <w:rFonts w:hint="eastAsia" w:ascii="宋体" w:hAnsi="宋体" w:cs="宋体"/>
          <w:color w:val="auto"/>
          <w:sz w:val="24"/>
          <w:szCs w:val="24"/>
        </w:rPr>
        <w:t>（单位公章）</w:t>
      </w:r>
    </w:p>
    <w:p w14:paraId="21EE57B7">
      <w:pPr>
        <w:adjustRightInd w:val="0"/>
        <w:snapToGrid w:val="0"/>
        <w:spacing w:line="360" w:lineRule="auto"/>
        <w:jc w:val="center"/>
        <w:rPr>
          <w:rFonts w:hint="eastAsia" w:ascii="宋体" w:hAnsi="宋体" w:cs="宋体"/>
          <w:color w:val="auto"/>
          <w:sz w:val="28"/>
          <w:szCs w:val="28"/>
        </w:rPr>
      </w:pPr>
    </w:p>
    <w:p w14:paraId="7D9FE9BC">
      <w:pPr>
        <w:adjustRightInd w:val="0"/>
        <w:snapToGrid w:val="0"/>
        <w:spacing w:line="360" w:lineRule="auto"/>
        <w:rPr>
          <w:rFonts w:hint="eastAsia" w:ascii="宋体" w:hAnsi="宋体" w:cs="宋体"/>
          <w:color w:val="auto"/>
          <w:sz w:val="28"/>
          <w:szCs w:val="28"/>
        </w:rPr>
      </w:pPr>
    </w:p>
    <w:p w14:paraId="5E56F83C">
      <w:pPr>
        <w:pStyle w:val="5"/>
        <w:rPr>
          <w:rFonts w:hint="eastAsia" w:hAnsi="宋体" w:cs="宋体"/>
          <w:color w:val="auto"/>
          <w:szCs w:val="28"/>
        </w:rPr>
      </w:pPr>
    </w:p>
    <w:p w14:paraId="4983DE8C">
      <w:pPr>
        <w:pStyle w:val="5"/>
        <w:rPr>
          <w:rFonts w:hint="eastAsia" w:hAnsi="宋体" w:cs="宋体"/>
          <w:color w:val="auto"/>
          <w:szCs w:val="28"/>
        </w:rPr>
      </w:pPr>
    </w:p>
    <w:p w14:paraId="1947F922">
      <w:pPr>
        <w:pStyle w:val="5"/>
        <w:rPr>
          <w:rFonts w:hint="eastAsia" w:hAnsi="宋体" w:cs="宋体"/>
          <w:color w:val="auto"/>
          <w:szCs w:val="28"/>
        </w:rPr>
      </w:pPr>
    </w:p>
    <w:p w14:paraId="72E170A5">
      <w:pPr>
        <w:adjustRightInd w:val="0"/>
        <w:snapToGrid w:val="0"/>
        <w:spacing w:line="360" w:lineRule="auto"/>
        <w:jc w:val="center"/>
        <w:rPr>
          <w:rFonts w:hint="eastAsia" w:ascii="宋体" w:hAnsi="宋体" w:cs="宋体"/>
          <w:snapToGrid w:val="0"/>
          <w:color w:val="auto"/>
          <w:sz w:val="28"/>
          <w:szCs w:val="28"/>
        </w:rPr>
      </w:pPr>
      <w:r>
        <w:rPr>
          <w:rFonts w:hint="eastAsia" w:ascii="宋体" w:hAnsi="宋体" w:cs="宋体"/>
          <w:color w:val="auto"/>
          <w:sz w:val="28"/>
          <w:szCs w:val="28"/>
        </w:rPr>
        <w:t xml:space="preserve"> (注:</w:t>
      </w:r>
      <w:r>
        <w:rPr>
          <w:rFonts w:hint="eastAsia" w:ascii="宋体" w:hAnsi="宋体" w:cs="宋体"/>
          <w:snapToGrid w:val="0"/>
          <w:color w:val="auto"/>
          <w:sz w:val="28"/>
          <w:szCs w:val="28"/>
        </w:rPr>
        <w:t>资格审查申请书附表格式)</w:t>
      </w:r>
    </w:p>
    <w:p w14:paraId="4764139B">
      <w:pPr>
        <w:pStyle w:val="9"/>
        <w:widowControl/>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设备材料品牌承诺书</w:t>
      </w:r>
    </w:p>
    <w:p w14:paraId="3D31B151">
      <w:pPr>
        <w:adjustRightInd w:val="0"/>
        <w:snapToGrid w:val="0"/>
        <w:spacing w:line="360" w:lineRule="auto"/>
        <w:jc w:val="center"/>
        <w:rPr>
          <w:rFonts w:hint="eastAsia" w:ascii="宋体" w:hAnsi="宋体" w:cs="宋体"/>
          <w:color w:val="auto"/>
        </w:rPr>
      </w:pPr>
    </w:p>
    <w:p w14:paraId="5AED995D">
      <w:pPr>
        <w:adjustRightInd w:val="0"/>
        <w:snapToGrid w:val="0"/>
        <w:spacing w:line="360" w:lineRule="auto"/>
        <w:jc w:val="center"/>
        <w:rPr>
          <w:rFonts w:hint="eastAsia" w:ascii="宋体" w:hAnsi="宋体" w:cs="宋体"/>
          <w:color w:val="auto"/>
        </w:rPr>
      </w:pPr>
    </w:p>
    <w:p w14:paraId="1501B9E6">
      <w:pPr>
        <w:adjustRightInd w:val="0"/>
        <w:snapToGrid w:val="0"/>
        <w:spacing w:line="500" w:lineRule="exact"/>
        <w:ind w:left="743" w:leftChars="354" w:right="559" w:rightChars="266" w:firstLine="1"/>
        <w:contextualSpacing/>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36E128D2">
      <w:pPr>
        <w:adjustRightInd w:val="0"/>
        <w:snapToGrid w:val="0"/>
        <w:spacing w:line="500" w:lineRule="exact"/>
        <w:ind w:left="743" w:leftChars="354" w:right="559" w:rightChars="266" w:firstLine="424" w:firstLineChars="177"/>
        <w:contextualSpacing/>
        <w:rPr>
          <w:rFonts w:hint="eastAsia"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项目的投标，并接受对我公司的资格审查，我公司承诺：根据本项目招标文件第三章 &lt;技术规范及要求&gt;中材料品牌要求，我公司在此郑重承诺：如我公司中标，将在施工期间严格执行招标文件中材料品牌要求的规定，如我公司未遵守以上承诺，贵公司可以视我公司违约，我公司愿意接受单位（公司）做出的任何处理并自行承担因上述行为产生的相关后果及责任。</w:t>
      </w:r>
    </w:p>
    <w:p w14:paraId="74EE20EE">
      <w:pPr>
        <w:adjustRightInd w:val="0"/>
        <w:snapToGrid w:val="0"/>
        <w:spacing w:line="360" w:lineRule="auto"/>
        <w:jc w:val="center"/>
        <w:rPr>
          <w:rFonts w:hint="eastAsia" w:ascii="宋体" w:hAnsi="宋体" w:cs="宋体"/>
          <w:color w:val="auto"/>
          <w:sz w:val="28"/>
          <w:szCs w:val="28"/>
        </w:rPr>
      </w:pPr>
    </w:p>
    <w:p w14:paraId="24289A16">
      <w:pPr>
        <w:adjustRightInd w:val="0"/>
        <w:snapToGrid w:val="0"/>
        <w:spacing w:line="360" w:lineRule="auto"/>
        <w:jc w:val="center"/>
        <w:rPr>
          <w:rFonts w:hint="eastAsia" w:ascii="宋体" w:hAnsi="宋体" w:cs="宋体"/>
          <w:color w:val="auto"/>
          <w:sz w:val="28"/>
          <w:szCs w:val="28"/>
        </w:rPr>
      </w:pPr>
    </w:p>
    <w:p w14:paraId="2F9CEFC0">
      <w:pPr>
        <w:adjustRightInd w:val="0"/>
        <w:snapToGrid w:val="0"/>
        <w:spacing w:line="360" w:lineRule="auto"/>
        <w:jc w:val="center"/>
        <w:rPr>
          <w:rFonts w:hint="eastAsia" w:ascii="宋体" w:hAnsi="宋体" w:cs="宋体"/>
          <w:color w:val="auto"/>
          <w:sz w:val="28"/>
          <w:szCs w:val="28"/>
        </w:rPr>
      </w:pPr>
    </w:p>
    <w:p w14:paraId="6A98E77A">
      <w:pPr>
        <w:tabs>
          <w:tab w:val="left" w:pos="0"/>
        </w:tabs>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单   位：（公章）</w:t>
      </w:r>
    </w:p>
    <w:p w14:paraId="15A797BE">
      <w:pPr>
        <w:tabs>
          <w:tab w:val="left" w:pos="0"/>
        </w:tabs>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法定代表人签字：</w:t>
      </w:r>
    </w:p>
    <w:p w14:paraId="2402468A">
      <w:pPr>
        <w:tabs>
          <w:tab w:val="left" w:pos="0"/>
        </w:tabs>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项目负责人签字：</w:t>
      </w:r>
    </w:p>
    <w:p w14:paraId="191E9F0A">
      <w:pPr>
        <w:tabs>
          <w:tab w:val="left" w:pos="0"/>
        </w:tabs>
        <w:adjustRightInd w:val="0"/>
        <w:snapToGrid w:val="0"/>
        <w:spacing w:line="500" w:lineRule="exact"/>
        <w:ind w:left="4410" w:leftChars="2100"/>
        <w:contextualSpacing/>
        <w:rPr>
          <w:rFonts w:hint="eastAsia"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   月   日</w:t>
      </w:r>
    </w:p>
    <w:p w14:paraId="67281B6D">
      <w:pPr>
        <w:pStyle w:val="5"/>
        <w:rPr>
          <w:rFonts w:hint="eastAsia" w:hAnsi="宋体" w:cs="宋体"/>
          <w:color w:val="auto"/>
          <w:szCs w:val="28"/>
        </w:rPr>
      </w:pPr>
    </w:p>
    <w:p w14:paraId="7604DEB2">
      <w:pPr>
        <w:adjustRightInd w:val="0"/>
        <w:snapToGrid w:val="0"/>
        <w:spacing w:line="360" w:lineRule="auto"/>
        <w:rPr>
          <w:rFonts w:hint="eastAsia" w:ascii="宋体" w:hAnsi="宋体" w:cs="宋体"/>
          <w:color w:val="auto"/>
          <w:sz w:val="28"/>
          <w:szCs w:val="28"/>
        </w:rPr>
      </w:pPr>
    </w:p>
    <w:p w14:paraId="24985D21">
      <w:pPr>
        <w:adjustRightInd w:val="0"/>
        <w:snapToGrid w:val="0"/>
        <w:spacing w:line="360" w:lineRule="auto"/>
        <w:rPr>
          <w:rFonts w:hint="eastAsia" w:ascii="宋体" w:hAnsi="宋体" w:cs="宋体"/>
          <w:color w:val="auto"/>
          <w:sz w:val="28"/>
          <w:szCs w:val="28"/>
        </w:rPr>
      </w:pPr>
    </w:p>
    <w:p w14:paraId="79DAF092">
      <w:pPr>
        <w:adjustRightInd w:val="0"/>
        <w:snapToGrid w:val="0"/>
        <w:spacing w:line="360" w:lineRule="auto"/>
        <w:rPr>
          <w:rFonts w:hint="eastAsia" w:ascii="宋体" w:hAnsi="宋体" w:cs="宋体"/>
          <w:color w:val="auto"/>
          <w:sz w:val="28"/>
          <w:szCs w:val="28"/>
        </w:rPr>
      </w:pPr>
    </w:p>
    <w:p w14:paraId="24DE45E5">
      <w:pPr>
        <w:adjustRightInd w:val="0"/>
        <w:snapToGrid w:val="0"/>
        <w:spacing w:line="360" w:lineRule="auto"/>
        <w:jc w:val="center"/>
        <w:rPr>
          <w:rFonts w:hint="eastAsia" w:ascii="宋体" w:hAnsi="宋体" w:cs="宋体"/>
          <w:color w:val="auto"/>
          <w:sz w:val="28"/>
          <w:szCs w:val="28"/>
        </w:rPr>
      </w:pPr>
      <w:r>
        <w:rPr>
          <w:rFonts w:hint="eastAsia" w:ascii="宋体" w:hAnsi="宋体" w:cs="宋体"/>
          <w:b/>
          <w:color w:val="auto"/>
          <w:sz w:val="48"/>
          <w:szCs w:val="48"/>
        </w:rPr>
        <w:br w:type="page"/>
      </w:r>
      <w:r>
        <w:rPr>
          <w:rFonts w:hint="eastAsia" w:ascii="宋体" w:hAnsi="宋体" w:cs="宋体"/>
          <w:b/>
          <w:color w:val="auto"/>
          <w:sz w:val="48"/>
          <w:szCs w:val="48"/>
        </w:rPr>
        <w:t>（封面）</w:t>
      </w:r>
    </w:p>
    <w:p w14:paraId="428040A4">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14:paraId="31463076">
      <w:pPr>
        <w:adjustRightInd w:val="0"/>
        <w:snapToGrid w:val="0"/>
        <w:spacing w:line="360" w:lineRule="auto"/>
        <w:jc w:val="center"/>
        <w:rPr>
          <w:rFonts w:hint="eastAsia" w:ascii="宋体" w:hAnsi="宋体" w:cs="宋体"/>
          <w:b/>
          <w:color w:val="auto"/>
          <w:sz w:val="36"/>
          <w:szCs w:val="36"/>
          <w:u w:val="single"/>
        </w:rPr>
      </w:pPr>
    </w:p>
    <w:p w14:paraId="31345E81">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u w:val="single"/>
        </w:rPr>
        <w:t xml:space="preserve">                   </w:t>
      </w:r>
      <w:r>
        <w:rPr>
          <w:rFonts w:hint="eastAsia" w:ascii="宋体" w:hAnsi="宋体" w:cs="宋体"/>
          <w:b/>
          <w:color w:val="auto"/>
          <w:sz w:val="36"/>
          <w:szCs w:val="36"/>
        </w:rPr>
        <w:t>（工程名称）</w:t>
      </w:r>
    </w:p>
    <w:p w14:paraId="3DE25068">
      <w:pPr>
        <w:adjustRightInd w:val="0"/>
        <w:snapToGrid w:val="0"/>
        <w:spacing w:line="360" w:lineRule="auto"/>
        <w:jc w:val="center"/>
        <w:rPr>
          <w:rFonts w:hint="eastAsia" w:ascii="宋体" w:hAnsi="宋体" w:cs="宋体"/>
          <w:color w:val="auto"/>
        </w:rPr>
      </w:pPr>
    </w:p>
    <w:p w14:paraId="2D248635">
      <w:pPr>
        <w:adjustRightInd w:val="0"/>
        <w:snapToGrid w:val="0"/>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技  术  文  件</w:t>
      </w:r>
    </w:p>
    <w:p w14:paraId="406F0009">
      <w:pPr>
        <w:adjustRightInd w:val="0"/>
        <w:snapToGrid w:val="0"/>
        <w:spacing w:line="360" w:lineRule="auto"/>
        <w:jc w:val="center"/>
        <w:rPr>
          <w:rFonts w:hint="eastAsia" w:ascii="宋体" w:hAnsi="宋体" w:cs="宋体"/>
          <w:color w:val="auto"/>
          <w:sz w:val="30"/>
          <w:szCs w:val="30"/>
        </w:rPr>
      </w:pPr>
    </w:p>
    <w:p w14:paraId="1B885D9C">
      <w:pPr>
        <w:adjustRightInd w:val="0"/>
        <w:snapToGrid w:val="0"/>
        <w:spacing w:line="360" w:lineRule="auto"/>
        <w:jc w:val="center"/>
        <w:rPr>
          <w:rFonts w:hint="eastAsia" w:ascii="宋体" w:hAnsi="宋体" w:cs="宋体"/>
          <w:color w:val="auto"/>
          <w:sz w:val="28"/>
        </w:rPr>
      </w:pPr>
    </w:p>
    <w:p w14:paraId="18B5958A">
      <w:pPr>
        <w:adjustRightInd w:val="0"/>
        <w:snapToGrid w:val="0"/>
        <w:spacing w:line="360" w:lineRule="auto"/>
        <w:jc w:val="center"/>
        <w:rPr>
          <w:rFonts w:hint="eastAsia" w:ascii="宋体" w:hAnsi="宋体" w:cs="宋体"/>
          <w:color w:val="auto"/>
          <w:sz w:val="28"/>
        </w:rPr>
      </w:pPr>
    </w:p>
    <w:p w14:paraId="06F81A87">
      <w:pPr>
        <w:adjustRightInd w:val="0"/>
        <w:snapToGrid w:val="0"/>
        <w:spacing w:line="360" w:lineRule="auto"/>
        <w:jc w:val="center"/>
        <w:rPr>
          <w:rFonts w:hint="eastAsia" w:ascii="宋体" w:hAnsi="宋体" w:cs="宋体"/>
          <w:color w:val="auto"/>
          <w:sz w:val="28"/>
        </w:rPr>
      </w:pPr>
    </w:p>
    <w:p w14:paraId="44AED491">
      <w:pPr>
        <w:adjustRightInd w:val="0"/>
        <w:snapToGrid w:val="0"/>
        <w:spacing w:line="360" w:lineRule="auto"/>
        <w:ind w:firstLine="1500" w:firstLineChars="500"/>
        <w:jc w:val="both"/>
        <w:rPr>
          <w:rFonts w:hint="eastAsia" w:ascii="宋体" w:hAnsi="宋体" w:cs="宋体"/>
          <w:color w:val="auto"/>
          <w:sz w:val="28"/>
        </w:rPr>
      </w:pPr>
      <w:r>
        <w:rPr>
          <w:rFonts w:hint="eastAsia" w:ascii="宋体" w:hAnsi="宋体" w:cs="宋体"/>
          <w:color w:val="auto"/>
          <w:sz w:val="30"/>
        </w:rPr>
        <w:t>招标人</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30"/>
          <w:u w:val="single"/>
        </w:rPr>
        <w:t xml:space="preserve">写明招标单位名称  </w:t>
      </w:r>
    </w:p>
    <w:p w14:paraId="4A108081">
      <w:pPr>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投标申请人：</w:t>
      </w:r>
      <w:r>
        <w:rPr>
          <w:rFonts w:hint="eastAsia" w:ascii="宋体" w:hAnsi="宋体" w:cs="宋体"/>
          <w:color w:val="auto"/>
          <w:sz w:val="30"/>
          <w:u w:val="single"/>
        </w:rPr>
        <w:t>写明投标单位名称并</w:t>
      </w:r>
      <w:r>
        <w:rPr>
          <w:rFonts w:hint="eastAsia" w:ascii="宋体" w:hAnsi="宋体" w:cs="宋体"/>
          <w:b/>
          <w:color w:val="auto"/>
          <w:sz w:val="30"/>
          <w:u w:val="single"/>
        </w:rPr>
        <w:t>加盖单位公章</w:t>
      </w:r>
    </w:p>
    <w:p w14:paraId="52CEC9D2">
      <w:pPr>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法定代表人或其委托代理人：</w:t>
      </w:r>
      <w:r>
        <w:rPr>
          <w:rFonts w:hint="eastAsia" w:ascii="宋体" w:hAnsi="宋体" w:cs="宋体"/>
          <w:color w:val="auto"/>
          <w:sz w:val="30"/>
          <w:u w:val="single"/>
        </w:rPr>
        <w:t>（签字或盖章）</w:t>
      </w:r>
    </w:p>
    <w:p w14:paraId="6F87E160">
      <w:pPr>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地     址：</w:t>
      </w:r>
    </w:p>
    <w:p w14:paraId="39D98AC8">
      <w:pPr>
        <w:tabs>
          <w:tab w:val="left" w:pos="0"/>
          <w:tab w:val="left" w:pos="993"/>
          <w:tab w:val="left" w:pos="1134"/>
        </w:tabs>
        <w:adjustRightInd w:val="0"/>
        <w:snapToGrid w:val="0"/>
        <w:spacing w:line="600" w:lineRule="exact"/>
        <w:ind w:left="420" w:leftChars="200" w:firstLine="1158" w:firstLineChars="386"/>
        <w:contextualSpacing/>
        <w:rPr>
          <w:rFonts w:hint="eastAsia" w:ascii="宋体" w:hAnsi="宋体" w:cs="宋体"/>
          <w:color w:val="auto"/>
          <w:sz w:val="30"/>
          <w:u w:val="single"/>
        </w:rPr>
      </w:pPr>
      <w:r>
        <w:rPr>
          <w:rFonts w:hint="eastAsia" w:ascii="宋体" w:hAnsi="宋体" w:cs="宋体"/>
          <w:color w:val="auto"/>
          <w:sz w:val="30"/>
        </w:rPr>
        <w:t>日     期：</w:t>
      </w:r>
      <w:r>
        <w:rPr>
          <w:rFonts w:hint="eastAsia" w:ascii="宋体" w:hAnsi="宋体" w:cs="宋体"/>
          <w:color w:val="auto"/>
          <w:sz w:val="30"/>
          <w:u w:val="single"/>
        </w:rPr>
        <w:t xml:space="preserve">      年  月  日</w:t>
      </w:r>
    </w:p>
    <w:p w14:paraId="1A883830">
      <w:pPr>
        <w:tabs>
          <w:tab w:val="left" w:pos="0"/>
          <w:tab w:val="left" w:pos="993"/>
          <w:tab w:val="left" w:pos="1134"/>
        </w:tabs>
        <w:adjustRightInd w:val="0"/>
        <w:snapToGrid w:val="0"/>
        <w:spacing w:line="360" w:lineRule="auto"/>
        <w:jc w:val="center"/>
        <w:rPr>
          <w:rFonts w:hint="eastAsia" w:ascii="宋体" w:hAnsi="宋体" w:cs="宋体"/>
          <w:color w:val="auto"/>
          <w:sz w:val="30"/>
          <w:u w:val="single"/>
        </w:rPr>
      </w:pPr>
    </w:p>
    <w:p w14:paraId="4AD5F496">
      <w:pPr>
        <w:tabs>
          <w:tab w:val="left" w:pos="0"/>
          <w:tab w:val="left" w:pos="993"/>
          <w:tab w:val="left" w:pos="1134"/>
        </w:tabs>
        <w:adjustRightInd w:val="0"/>
        <w:snapToGrid w:val="0"/>
        <w:spacing w:line="360" w:lineRule="auto"/>
        <w:jc w:val="center"/>
        <w:rPr>
          <w:rFonts w:hint="eastAsia" w:ascii="宋体" w:hAnsi="宋体" w:cs="宋体"/>
          <w:color w:val="auto"/>
          <w:sz w:val="30"/>
          <w:u w:val="single"/>
        </w:rPr>
      </w:pPr>
    </w:p>
    <w:p w14:paraId="5805F642">
      <w:pPr>
        <w:tabs>
          <w:tab w:val="left" w:pos="0"/>
          <w:tab w:val="left" w:pos="993"/>
          <w:tab w:val="left" w:pos="1134"/>
        </w:tabs>
        <w:adjustRightInd w:val="0"/>
        <w:snapToGrid w:val="0"/>
        <w:spacing w:line="360" w:lineRule="auto"/>
        <w:jc w:val="center"/>
        <w:rPr>
          <w:rFonts w:hint="eastAsia" w:ascii="宋体" w:hAnsi="宋体" w:cs="宋体"/>
          <w:color w:val="auto"/>
          <w:sz w:val="30"/>
          <w:u w:val="single"/>
        </w:rPr>
      </w:pPr>
    </w:p>
    <w:p w14:paraId="4BABE1B5">
      <w:pPr>
        <w:tabs>
          <w:tab w:val="left" w:pos="0"/>
          <w:tab w:val="left" w:pos="993"/>
          <w:tab w:val="left" w:pos="1134"/>
        </w:tabs>
        <w:adjustRightInd w:val="0"/>
        <w:snapToGrid w:val="0"/>
        <w:spacing w:line="360" w:lineRule="auto"/>
        <w:rPr>
          <w:rFonts w:hint="eastAsia" w:ascii="宋体" w:hAnsi="宋体" w:cs="宋体"/>
          <w:color w:val="auto"/>
          <w:sz w:val="30"/>
        </w:rPr>
      </w:pPr>
    </w:p>
    <w:p w14:paraId="68CB54E1">
      <w:pPr>
        <w:tabs>
          <w:tab w:val="left" w:pos="0"/>
          <w:tab w:val="left" w:pos="993"/>
          <w:tab w:val="left" w:pos="1134"/>
        </w:tabs>
        <w:adjustRightInd w:val="0"/>
        <w:snapToGrid w:val="0"/>
        <w:spacing w:line="360" w:lineRule="auto"/>
        <w:rPr>
          <w:rFonts w:hint="eastAsia" w:ascii="宋体" w:hAnsi="宋体" w:cs="宋体"/>
          <w:color w:val="auto"/>
          <w:sz w:val="30"/>
        </w:rPr>
      </w:pPr>
    </w:p>
    <w:p w14:paraId="11668E7F">
      <w:pPr>
        <w:tabs>
          <w:tab w:val="left" w:pos="0"/>
          <w:tab w:val="left" w:pos="993"/>
          <w:tab w:val="left" w:pos="1134"/>
        </w:tabs>
        <w:adjustRightInd w:val="0"/>
        <w:snapToGrid w:val="0"/>
        <w:spacing w:line="360" w:lineRule="auto"/>
        <w:rPr>
          <w:rFonts w:hint="eastAsia" w:ascii="宋体" w:hAnsi="宋体" w:cs="宋体"/>
          <w:color w:val="auto"/>
          <w:sz w:val="30"/>
        </w:rPr>
      </w:pPr>
    </w:p>
    <w:p w14:paraId="5F6DDC95">
      <w:pPr>
        <w:tabs>
          <w:tab w:val="left" w:pos="0"/>
          <w:tab w:val="left" w:pos="993"/>
          <w:tab w:val="left" w:pos="1134"/>
        </w:tabs>
        <w:adjustRightInd w:val="0"/>
        <w:snapToGrid w:val="0"/>
        <w:spacing w:line="360" w:lineRule="auto"/>
        <w:rPr>
          <w:rFonts w:hint="eastAsia" w:ascii="宋体" w:hAnsi="宋体" w:cs="宋体"/>
          <w:color w:val="auto"/>
          <w:sz w:val="30"/>
        </w:rPr>
      </w:pPr>
    </w:p>
    <w:p w14:paraId="0AD209EA">
      <w:pPr>
        <w:tabs>
          <w:tab w:val="left" w:pos="0"/>
          <w:tab w:val="left" w:pos="993"/>
          <w:tab w:val="left" w:pos="1134"/>
        </w:tabs>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目  录</w:t>
      </w:r>
    </w:p>
    <w:p w14:paraId="4FE6F71C">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一、总体部署：施工组织总体设想、方案针对性及施工标段划分；</w:t>
      </w:r>
    </w:p>
    <w:p w14:paraId="678EF9BA">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二、施工现场平面布置和临时设施；</w:t>
      </w:r>
    </w:p>
    <w:p w14:paraId="6B4BC5DC">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三、施工进度计划和进度的保证措施；</w:t>
      </w:r>
    </w:p>
    <w:p w14:paraId="49D10511">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四、质量、安全保证体系及措施；</w:t>
      </w:r>
    </w:p>
    <w:p w14:paraId="3BC69914">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五、劳动力、机械设备和材料投入计划；</w:t>
      </w:r>
    </w:p>
    <w:p w14:paraId="71B5E4FC">
      <w:pPr>
        <w:tabs>
          <w:tab w:val="left" w:pos="0"/>
          <w:tab w:val="left" w:pos="993"/>
          <w:tab w:val="left" w:pos="1134"/>
        </w:tabs>
        <w:adjustRightInd w:val="0"/>
        <w:snapToGrid w:val="0"/>
        <w:spacing w:line="600" w:lineRule="exact"/>
        <w:ind w:firstLine="848" w:firstLineChars="303"/>
        <w:rPr>
          <w:rFonts w:ascii="宋体" w:hAnsi="宋体" w:cs="宋体"/>
          <w:color w:val="auto"/>
          <w:sz w:val="28"/>
          <w:szCs w:val="28"/>
        </w:rPr>
      </w:pPr>
      <w:r>
        <w:rPr>
          <w:rFonts w:hint="eastAsia" w:ascii="宋体" w:hAnsi="宋体" w:cs="宋体"/>
          <w:color w:val="auto"/>
          <w:sz w:val="28"/>
          <w:szCs w:val="28"/>
        </w:rPr>
        <w:t>六、关键施工技术、工艺及工程项目实施的重点、难点和解决方案。</w:t>
      </w:r>
    </w:p>
    <w:p w14:paraId="6BEDDEDF">
      <w:pPr>
        <w:tabs>
          <w:tab w:val="left" w:pos="0"/>
          <w:tab w:val="left" w:pos="993"/>
          <w:tab w:val="left" w:pos="1134"/>
        </w:tabs>
        <w:adjustRightInd w:val="0"/>
        <w:snapToGrid w:val="0"/>
        <w:spacing w:line="600" w:lineRule="exact"/>
        <w:ind w:firstLine="848" w:firstLineChars="303"/>
        <w:rPr>
          <w:rFonts w:hint="eastAsia" w:ascii="宋体" w:hAnsi="宋体" w:cs="宋体"/>
          <w:color w:val="auto"/>
          <w:sz w:val="28"/>
          <w:szCs w:val="28"/>
        </w:rPr>
      </w:pPr>
      <w:r>
        <w:rPr>
          <w:rFonts w:hint="eastAsia" w:ascii="宋体" w:hAnsi="宋体" w:cs="宋体"/>
          <w:color w:val="auto"/>
          <w:sz w:val="28"/>
          <w:szCs w:val="28"/>
        </w:rPr>
        <w:t>七、在</w:t>
      </w:r>
      <w:r>
        <w:rPr>
          <w:rFonts w:hint="eastAsia" w:ascii="宋体" w:hAnsi="宋体" w:cs="宋体"/>
          <w:color w:val="auto"/>
          <w:sz w:val="28"/>
          <w:szCs w:val="28"/>
          <w:lang w:val="en-US" w:eastAsia="zh-CN"/>
        </w:rPr>
        <w:t>院区</w:t>
      </w:r>
      <w:r>
        <w:rPr>
          <w:rFonts w:hint="eastAsia" w:ascii="宋体" w:hAnsi="宋体" w:cs="宋体"/>
          <w:color w:val="auto"/>
          <w:sz w:val="28"/>
          <w:szCs w:val="28"/>
        </w:rPr>
        <w:t>内施工期间突发事件防范措施</w:t>
      </w:r>
    </w:p>
    <w:p w14:paraId="16B9D181">
      <w:pPr>
        <w:pStyle w:val="8"/>
        <w:adjustRightInd w:val="0"/>
        <w:snapToGrid w:val="0"/>
        <w:spacing w:line="360" w:lineRule="auto"/>
        <w:jc w:val="center"/>
        <w:rPr>
          <w:rFonts w:hint="eastAsia" w:hAnsi="宋体" w:cs="宋体"/>
          <w:snapToGrid w:val="0"/>
          <w:color w:val="auto"/>
          <w:sz w:val="28"/>
        </w:rPr>
      </w:pPr>
    </w:p>
    <w:p w14:paraId="507F5039">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14:paraId="3F8B4E35">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14:paraId="71A3B002">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14:paraId="75394F14">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14:paraId="70118AEA">
      <w:pPr>
        <w:tabs>
          <w:tab w:val="left" w:pos="0"/>
          <w:tab w:val="left" w:pos="993"/>
          <w:tab w:val="left" w:pos="1134"/>
        </w:tabs>
        <w:adjustRightInd w:val="0"/>
        <w:snapToGrid w:val="0"/>
        <w:spacing w:line="360" w:lineRule="auto"/>
        <w:jc w:val="center"/>
        <w:rPr>
          <w:rFonts w:hint="eastAsia" w:ascii="宋体" w:hAnsi="宋体" w:cs="宋体"/>
          <w:b/>
          <w:snapToGrid w:val="0"/>
          <w:color w:val="auto"/>
          <w:sz w:val="32"/>
        </w:rPr>
      </w:pPr>
    </w:p>
    <w:p w14:paraId="75C060E7">
      <w:pPr>
        <w:adjustRightInd w:val="0"/>
        <w:snapToGrid w:val="0"/>
        <w:spacing w:line="360" w:lineRule="auto"/>
        <w:jc w:val="center"/>
        <w:rPr>
          <w:rFonts w:hint="eastAsia" w:ascii="宋体" w:hAnsi="宋体" w:cs="宋体"/>
          <w:b/>
          <w:color w:val="auto"/>
          <w:sz w:val="48"/>
          <w:szCs w:val="48"/>
        </w:rPr>
      </w:pPr>
    </w:p>
    <w:p w14:paraId="5EFDDB76">
      <w:pPr>
        <w:adjustRightInd w:val="0"/>
        <w:snapToGrid w:val="0"/>
        <w:spacing w:line="360" w:lineRule="auto"/>
        <w:jc w:val="center"/>
        <w:rPr>
          <w:rFonts w:hint="eastAsia" w:ascii="宋体" w:hAnsi="宋体" w:cs="宋体"/>
          <w:b/>
          <w:color w:val="auto"/>
          <w:sz w:val="48"/>
          <w:szCs w:val="48"/>
        </w:rPr>
      </w:pPr>
    </w:p>
    <w:p w14:paraId="52C3EFDB">
      <w:pPr>
        <w:adjustRightInd w:val="0"/>
        <w:snapToGrid w:val="0"/>
        <w:spacing w:line="360" w:lineRule="auto"/>
        <w:jc w:val="center"/>
        <w:rPr>
          <w:rFonts w:hint="eastAsia" w:ascii="宋体" w:hAnsi="宋体" w:cs="宋体"/>
          <w:b/>
          <w:color w:val="auto"/>
          <w:sz w:val="48"/>
          <w:szCs w:val="48"/>
        </w:rPr>
      </w:pPr>
    </w:p>
    <w:p w14:paraId="248F27E3">
      <w:pPr>
        <w:adjustRightInd w:val="0"/>
        <w:snapToGrid w:val="0"/>
        <w:spacing w:line="360" w:lineRule="auto"/>
        <w:jc w:val="center"/>
        <w:rPr>
          <w:rFonts w:hint="eastAsia" w:ascii="宋体" w:hAnsi="宋体" w:cs="宋体"/>
          <w:b/>
          <w:color w:val="auto"/>
          <w:sz w:val="48"/>
          <w:szCs w:val="48"/>
        </w:rPr>
      </w:pPr>
    </w:p>
    <w:p w14:paraId="1D58C591">
      <w:pPr>
        <w:adjustRightInd w:val="0"/>
        <w:snapToGrid w:val="0"/>
        <w:spacing w:line="360" w:lineRule="auto"/>
        <w:jc w:val="center"/>
        <w:rPr>
          <w:rFonts w:hint="eastAsia" w:ascii="宋体" w:hAnsi="宋体" w:cs="宋体"/>
          <w:b/>
          <w:color w:val="auto"/>
          <w:sz w:val="48"/>
          <w:szCs w:val="48"/>
        </w:rPr>
      </w:pPr>
    </w:p>
    <w:p w14:paraId="62137D40">
      <w:pPr>
        <w:adjustRightInd w:val="0"/>
        <w:snapToGrid w:val="0"/>
        <w:spacing w:line="360" w:lineRule="auto"/>
        <w:jc w:val="center"/>
        <w:rPr>
          <w:rFonts w:hint="eastAsia" w:ascii="宋体" w:hAnsi="宋体" w:cs="宋体"/>
          <w:b/>
          <w:color w:val="auto"/>
          <w:sz w:val="48"/>
          <w:szCs w:val="48"/>
        </w:rPr>
      </w:pPr>
    </w:p>
    <w:p w14:paraId="1FA849ED">
      <w:pPr>
        <w:adjustRightInd w:val="0"/>
        <w:snapToGrid w:val="0"/>
        <w:spacing w:line="360" w:lineRule="auto"/>
        <w:jc w:val="center"/>
        <w:rPr>
          <w:rFonts w:hint="eastAsia" w:ascii="宋体" w:hAnsi="宋体" w:cs="宋体"/>
          <w:b/>
          <w:color w:val="auto"/>
          <w:sz w:val="48"/>
          <w:szCs w:val="48"/>
        </w:rPr>
      </w:pPr>
    </w:p>
    <w:p w14:paraId="4294863A">
      <w:pPr>
        <w:adjustRightInd w:val="0"/>
        <w:snapToGrid w:val="0"/>
        <w:spacing w:line="360" w:lineRule="auto"/>
        <w:jc w:val="center"/>
        <w:rPr>
          <w:rFonts w:hint="eastAsia" w:ascii="宋体" w:hAnsi="宋体" w:cs="宋体"/>
          <w:b/>
          <w:color w:val="auto"/>
          <w:sz w:val="48"/>
          <w:szCs w:val="48"/>
        </w:rPr>
      </w:pPr>
    </w:p>
    <w:p w14:paraId="43151C6B">
      <w:pPr>
        <w:adjustRightInd w:val="0"/>
        <w:snapToGrid w:val="0"/>
        <w:spacing w:line="360" w:lineRule="auto"/>
        <w:jc w:val="center"/>
        <w:rPr>
          <w:rFonts w:hint="eastAsia" w:ascii="宋体" w:hAnsi="宋体" w:cs="宋体"/>
          <w:color w:val="auto"/>
          <w:sz w:val="28"/>
          <w:szCs w:val="28"/>
        </w:rPr>
      </w:pPr>
      <w:r>
        <w:rPr>
          <w:rFonts w:hint="eastAsia" w:ascii="宋体" w:hAnsi="宋体" w:cs="宋体"/>
          <w:b/>
          <w:color w:val="auto"/>
          <w:sz w:val="48"/>
          <w:szCs w:val="48"/>
        </w:rPr>
        <w:t>（封面）</w:t>
      </w:r>
    </w:p>
    <w:p w14:paraId="363442DB">
      <w:pPr>
        <w:adjustRightInd w:val="0"/>
        <w:snapToGrid w:val="0"/>
        <w:spacing w:line="360" w:lineRule="auto"/>
        <w:jc w:val="center"/>
        <w:rPr>
          <w:rFonts w:hint="eastAsia" w:ascii="宋体" w:hAnsi="宋体" w:cs="宋体"/>
          <w:b/>
          <w:color w:val="auto"/>
          <w:sz w:val="36"/>
          <w:szCs w:val="36"/>
          <w:u w:val="single"/>
        </w:rPr>
      </w:pPr>
    </w:p>
    <w:p w14:paraId="22966C6E">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u w:val="single"/>
        </w:rPr>
        <w:t xml:space="preserve">                 </w:t>
      </w:r>
      <w:r>
        <w:rPr>
          <w:rFonts w:hint="eastAsia" w:ascii="宋体" w:hAnsi="宋体" w:cs="宋体"/>
          <w:b/>
          <w:color w:val="auto"/>
          <w:sz w:val="36"/>
          <w:szCs w:val="36"/>
        </w:rPr>
        <w:t>（工程名称）</w:t>
      </w:r>
    </w:p>
    <w:p w14:paraId="2944F4C4">
      <w:pPr>
        <w:adjustRightInd w:val="0"/>
        <w:snapToGrid w:val="0"/>
        <w:spacing w:line="360" w:lineRule="auto"/>
        <w:jc w:val="center"/>
        <w:rPr>
          <w:rFonts w:hint="eastAsia" w:ascii="宋体" w:hAnsi="宋体" w:cs="宋体"/>
          <w:color w:val="auto"/>
        </w:rPr>
      </w:pPr>
    </w:p>
    <w:p w14:paraId="0B490BB9">
      <w:pPr>
        <w:adjustRightInd w:val="0"/>
        <w:snapToGrid w:val="0"/>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商   务  文  件</w:t>
      </w:r>
    </w:p>
    <w:p w14:paraId="5F8A396E">
      <w:pPr>
        <w:adjustRightInd w:val="0"/>
        <w:snapToGrid w:val="0"/>
        <w:spacing w:line="360" w:lineRule="auto"/>
        <w:jc w:val="center"/>
        <w:rPr>
          <w:rFonts w:hint="eastAsia" w:ascii="宋体" w:hAnsi="宋体" w:cs="宋体"/>
          <w:color w:val="auto"/>
          <w:sz w:val="28"/>
        </w:rPr>
      </w:pPr>
    </w:p>
    <w:p w14:paraId="18B2F768">
      <w:pPr>
        <w:adjustRightInd w:val="0"/>
        <w:snapToGrid w:val="0"/>
        <w:spacing w:line="360" w:lineRule="auto"/>
        <w:jc w:val="center"/>
        <w:rPr>
          <w:rFonts w:hint="eastAsia" w:ascii="宋体" w:hAnsi="宋体" w:cs="宋体"/>
          <w:color w:val="auto"/>
          <w:sz w:val="28"/>
        </w:rPr>
      </w:pPr>
    </w:p>
    <w:p w14:paraId="401802DF">
      <w:pPr>
        <w:adjustRightInd w:val="0"/>
        <w:snapToGrid w:val="0"/>
        <w:spacing w:line="360" w:lineRule="auto"/>
        <w:jc w:val="center"/>
        <w:rPr>
          <w:rFonts w:hint="eastAsia" w:ascii="宋体" w:hAnsi="宋体" w:cs="宋体"/>
          <w:color w:val="auto"/>
          <w:sz w:val="28"/>
        </w:rPr>
      </w:pPr>
    </w:p>
    <w:p w14:paraId="3908505A">
      <w:pPr>
        <w:adjustRightInd w:val="0"/>
        <w:snapToGrid w:val="0"/>
        <w:spacing w:line="360" w:lineRule="auto"/>
        <w:jc w:val="center"/>
        <w:rPr>
          <w:rFonts w:hint="eastAsia" w:ascii="宋体" w:hAnsi="宋体" w:cs="宋体"/>
          <w:color w:val="auto"/>
          <w:sz w:val="28"/>
        </w:rPr>
      </w:pPr>
    </w:p>
    <w:p w14:paraId="7DBAE52D">
      <w:pPr>
        <w:adjustRightInd w:val="0"/>
        <w:snapToGrid w:val="0"/>
        <w:spacing w:line="360" w:lineRule="auto"/>
        <w:ind w:firstLine="1400" w:firstLineChars="500"/>
        <w:jc w:val="both"/>
        <w:rPr>
          <w:rFonts w:ascii="宋体" w:hAnsi="宋体" w:cs="宋体"/>
          <w:color w:val="auto"/>
          <w:sz w:val="28"/>
        </w:rPr>
      </w:pPr>
      <w:r>
        <w:rPr>
          <w:rFonts w:hint="eastAsia" w:ascii="宋体" w:hAnsi="宋体" w:cs="宋体"/>
          <w:color w:val="auto"/>
          <w:sz w:val="28"/>
        </w:rPr>
        <w:t xml:space="preserve"> </w:t>
      </w:r>
      <w:r>
        <w:rPr>
          <w:rFonts w:hint="eastAsia" w:ascii="宋体" w:hAnsi="宋体" w:cs="宋体"/>
          <w:color w:val="auto"/>
          <w:sz w:val="30"/>
        </w:rPr>
        <w:t>招标人</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30"/>
          <w:u w:val="single"/>
        </w:rPr>
        <w:t xml:space="preserve">写明招标单位名称  </w:t>
      </w:r>
    </w:p>
    <w:p w14:paraId="06F6D804">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投标申请人：</w:t>
      </w:r>
      <w:r>
        <w:rPr>
          <w:rFonts w:hint="eastAsia" w:ascii="宋体" w:hAnsi="宋体" w:cs="宋体"/>
          <w:color w:val="auto"/>
          <w:sz w:val="30"/>
          <w:u w:val="single"/>
        </w:rPr>
        <w:t>写明投标单位名称并</w:t>
      </w:r>
      <w:r>
        <w:rPr>
          <w:rFonts w:hint="eastAsia" w:ascii="宋体" w:hAnsi="宋体" w:cs="宋体"/>
          <w:b/>
          <w:color w:val="auto"/>
          <w:sz w:val="30"/>
          <w:u w:val="single"/>
        </w:rPr>
        <w:t>加盖单位公章</w:t>
      </w:r>
    </w:p>
    <w:p w14:paraId="0683D04E">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法定代表人或其委托代理人：</w:t>
      </w:r>
      <w:r>
        <w:rPr>
          <w:rFonts w:hint="eastAsia" w:ascii="宋体" w:hAnsi="宋体" w:cs="宋体"/>
          <w:color w:val="auto"/>
          <w:sz w:val="30"/>
          <w:u w:val="single"/>
        </w:rPr>
        <w:t>（签字或盖章）</w:t>
      </w:r>
    </w:p>
    <w:p w14:paraId="104BB066">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地     址：</w:t>
      </w:r>
    </w:p>
    <w:p w14:paraId="2232517A">
      <w:pPr>
        <w:adjustRightInd w:val="0"/>
        <w:snapToGrid w:val="0"/>
        <w:spacing w:line="360" w:lineRule="auto"/>
        <w:ind w:left="420" w:leftChars="200" w:firstLine="1158" w:firstLineChars="386"/>
        <w:rPr>
          <w:rFonts w:hint="eastAsia" w:ascii="宋体" w:hAnsi="宋体" w:cs="宋体"/>
          <w:color w:val="auto"/>
          <w:sz w:val="30"/>
          <w:u w:val="single"/>
        </w:rPr>
      </w:pPr>
      <w:r>
        <w:rPr>
          <w:rFonts w:hint="eastAsia" w:ascii="宋体" w:hAnsi="宋体" w:cs="宋体"/>
          <w:color w:val="auto"/>
          <w:sz w:val="30"/>
        </w:rPr>
        <w:t>日     期：</w:t>
      </w:r>
      <w:r>
        <w:rPr>
          <w:rFonts w:hint="eastAsia" w:ascii="宋体" w:hAnsi="宋体" w:cs="宋体"/>
          <w:color w:val="auto"/>
          <w:sz w:val="30"/>
          <w:u w:val="single"/>
        </w:rPr>
        <w:t xml:space="preserve">      年   月  日</w:t>
      </w:r>
    </w:p>
    <w:p w14:paraId="1358F755">
      <w:pPr>
        <w:adjustRightInd w:val="0"/>
        <w:snapToGrid w:val="0"/>
        <w:spacing w:line="360" w:lineRule="auto"/>
        <w:rPr>
          <w:rFonts w:hint="eastAsia" w:ascii="宋体" w:hAnsi="宋体" w:cs="宋体"/>
          <w:color w:val="auto"/>
        </w:rPr>
      </w:pPr>
    </w:p>
    <w:p w14:paraId="7397AB66">
      <w:pPr>
        <w:adjustRightInd w:val="0"/>
        <w:snapToGrid w:val="0"/>
        <w:spacing w:line="360" w:lineRule="auto"/>
        <w:rPr>
          <w:rFonts w:hint="eastAsia" w:ascii="宋体" w:hAnsi="宋体" w:cs="宋体"/>
          <w:color w:val="auto"/>
        </w:rPr>
      </w:pPr>
    </w:p>
    <w:p w14:paraId="46019B6B">
      <w:pPr>
        <w:adjustRightInd w:val="0"/>
        <w:snapToGrid w:val="0"/>
        <w:spacing w:line="360" w:lineRule="auto"/>
        <w:rPr>
          <w:rFonts w:hint="eastAsia" w:ascii="宋体" w:hAnsi="宋体" w:cs="宋体"/>
          <w:color w:val="auto"/>
        </w:rPr>
      </w:pPr>
    </w:p>
    <w:p w14:paraId="6FB454B0">
      <w:pPr>
        <w:adjustRightInd w:val="0"/>
        <w:snapToGrid w:val="0"/>
        <w:spacing w:line="360" w:lineRule="auto"/>
        <w:rPr>
          <w:rFonts w:hint="eastAsia" w:ascii="宋体" w:hAnsi="宋体" w:cs="宋体"/>
          <w:snapToGrid w:val="0"/>
          <w:color w:val="auto"/>
        </w:rPr>
      </w:pPr>
    </w:p>
    <w:p w14:paraId="1A6B3878">
      <w:pPr>
        <w:pStyle w:val="25"/>
        <w:rPr>
          <w:rFonts w:hint="eastAsia" w:ascii="宋体" w:hAnsi="宋体" w:cs="宋体"/>
          <w:snapToGrid w:val="0"/>
          <w:color w:val="auto"/>
        </w:rPr>
      </w:pPr>
    </w:p>
    <w:p w14:paraId="4BCA2E73">
      <w:pPr>
        <w:pStyle w:val="25"/>
        <w:rPr>
          <w:rFonts w:hint="eastAsia" w:ascii="宋体" w:hAnsi="宋体" w:cs="宋体"/>
          <w:snapToGrid w:val="0"/>
          <w:color w:val="auto"/>
        </w:rPr>
      </w:pPr>
    </w:p>
    <w:p w14:paraId="75CA915E">
      <w:pPr>
        <w:adjustRightInd w:val="0"/>
        <w:snapToGrid w:val="0"/>
        <w:spacing w:line="360" w:lineRule="auto"/>
        <w:rPr>
          <w:rFonts w:hint="eastAsia" w:ascii="宋体" w:hAnsi="宋体" w:cs="宋体"/>
          <w:snapToGrid w:val="0"/>
          <w:color w:val="auto"/>
        </w:rPr>
      </w:pPr>
    </w:p>
    <w:p w14:paraId="4C55CD2E">
      <w:pPr>
        <w:adjustRightInd w:val="0"/>
        <w:snapToGrid w:val="0"/>
        <w:spacing w:line="360" w:lineRule="auto"/>
        <w:rPr>
          <w:rFonts w:hint="eastAsia" w:ascii="宋体" w:hAnsi="宋体" w:cs="宋体"/>
          <w:snapToGrid w:val="0"/>
          <w:color w:val="auto"/>
        </w:rPr>
      </w:pPr>
    </w:p>
    <w:p w14:paraId="776BB331">
      <w:pPr>
        <w:adjustRightInd w:val="0"/>
        <w:snapToGrid w:val="0"/>
        <w:spacing w:line="360" w:lineRule="auto"/>
        <w:jc w:val="center"/>
        <w:rPr>
          <w:rFonts w:hint="eastAsia" w:ascii="宋体" w:hAnsi="宋体" w:cs="宋体"/>
          <w:snapToGrid w:val="0"/>
          <w:color w:val="auto"/>
        </w:rPr>
      </w:pPr>
    </w:p>
    <w:p w14:paraId="518F40D9">
      <w:pPr>
        <w:adjustRightInd w:val="0"/>
        <w:snapToGrid w:val="0"/>
        <w:spacing w:line="360" w:lineRule="auto"/>
        <w:jc w:val="center"/>
        <w:rPr>
          <w:rFonts w:hint="eastAsia" w:ascii="宋体" w:hAnsi="宋体" w:cs="宋体"/>
          <w:b/>
          <w:snapToGrid w:val="0"/>
          <w:color w:val="auto"/>
          <w:sz w:val="32"/>
        </w:rPr>
      </w:pPr>
      <w:r>
        <w:rPr>
          <w:rFonts w:hint="eastAsia" w:ascii="宋体" w:hAnsi="宋体" w:cs="宋体"/>
          <w:b/>
          <w:snapToGrid w:val="0"/>
          <w:color w:val="auto"/>
          <w:sz w:val="32"/>
        </w:rPr>
        <w:t>商务文件部分</w:t>
      </w:r>
    </w:p>
    <w:p w14:paraId="29ED311D">
      <w:pPr>
        <w:adjustRightInd w:val="0"/>
        <w:snapToGrid w:val="0"/>
        <w:spacing w:line="360" w:lineRule="auto"/>
        <w:jc w:val="center"/>
        <w:rPr>
          <w:rFonts w:hint="eastAsia" w:ascii="宋体" w:hAnsi="宋体" w:cs="宋体"/>
          <w:color w:val="auto"/>
          <w:sz w:val="30"/>
          <w:u w:val="single"/>
        </w:rPr>
      </w:pPr>
      <w:r>
        <w:rPr>
          <w:rFonts w:hint="eastAsia" w:ascii="宋体" w:hAnsi="宋体" w:cs="宋体"/>
          <w:color w:val="auto"/>
          <w:sz w:val="36"/>
          <w:szCs w:val="32"/>
        </w:rPr>
        <w:t>目     录</w:t>
      </w:r>
    </w:p>
    <w:p w14:paraId="385CFDE5">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一、投标函</w:t>
      </w:r>
    </w:p>
    <w:p w14:paraId="13389417">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1．投标函</w:t>
      </w:r>
    </w:p>
    <w:p w14:paraId="6C80D192">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二、辅助资料表</w:t>
      </w:r>
    </w:p>
    <w:p w14:paraId="77EDC48B">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1、项目经理简历表</w:t>
      </w:r>
    </w:p>
    <w:p w14:paraId="01E37BDF">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2、主要施工管理人员表</w:t>
      </w:r>
    </w:p>
    <w:p w14:paraId="6090A9AD">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3、主要施工机械设备表</w:t>
      </w:r>
    </w:p>
    <w:p w14:paraId="74D2592C">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4、劳动力计划表</w:t>
      </w:r>
    </w:p>
    <w:p w14:paraId="1AEDA8FA">
      <w:pPr>
        <w:pStyle w:val="8"/>
        <w:adjustRightInd w:val="0"/>
        <w:snapToGrid w:val="0"/>
        <w:spacing w:line="360" w:lineRule="auto"/>
        <w:ind w:firstLine="1132" w:firstLineChars="472"/>
        <w:jc w:val="left"/>
        <w:rPr>
          <w:rFonts w:hint="eastAsia" w:hAnsi="宋体" w:cs="宋体"/>
          <w:color w:val="auto"/>
          <w:sz w:val="24"/>
          <w:szCs w:val="24"/>
        </w:rPr>
      </w:pPr>
      <w:r>
        <w:rPr>
          <w:rFonts w:hint="eastAsia" w:hAnsi="宋体" w:cs="宋体"/>
          <w:color w:val="auto"/>
          <w:sz w:val="24"/>
          <w:szCs w:val="24"/>
        </w:rPr>
        <w:t>5、计划开、竣工日期和施工进度表</w:t>
      </w:r>
    </w:p>
    <w:p w14:paraId="5D1BDAF5">
      <w:pPr>
        <w:pStyle w:val="8"/>
        <w:adjustRightInd w:val="0"/>
        <w:snapToGrid w:val="0"/>
        <w:spacing w:line="360" w:lineRule="auto"/>
        <w:jc w:val="center"/>
        <w:rPr>
          <w:rFonts w:hint="eastAsia" w:hAnsi="宋体" w:cs="宋体"/>
          <w:color w:val="auto"/>
          <w:sz w:val="32"/>
        </w:rPr>
      </w:pPr>
    </w:p>
    <w:p w14:paraId="1A126DC9">
      <w:pPr>
        <w:pStyle w:val="8"/>
        <w:adjustRightInd w:val="0"/>
        <w:snapToGrid w:val="0"/>
        <w:spacing w:line="360" w:lineRule="auto"/>
        <w:jc w:val="center"/>
        <w:rPr>
          <w:rFonts w:hint="eastAsia" w:hAnsi="宋体" w:cs="宋体"/>
          <w:color w:val="auto"/>
          <w:sz w:val="32"/>
        </w:rPr>
      </w:pPr>
    </w:p>
    <w:p w14:paraId="2FB887B8">
      <w:pPr>
        <w:pStyle w:val="8"/>
        <w:adjustRightInd w:val="0"/>
        <w:snapToGrid w:val="0"/>
        <w:spacing w:line="360" w:lineRule="auto"/>
        <w:jc w:val="center"/>
        <w:rPr>
          <w:rFonts w:hint="eastAsia" w:hAnsi="宋体" w:cs="宋体"/>
          <w:color w:val="auto"/>
          <w:sz w:val="32"/>
        </w:rPr>
      </w:pPr>
    </w:p>
    <w:p w14:paraId="11A19FF7">
      <w:pPr>
        <w:pStyle w:val="8"/>
        <w:adjustRightInd w:val="0"/>
        <w:snapToGrid w:val="0"/>
        <w:spacing w:line="360" w:lineRule="auto"/>
        <w:jc w:val="center"/>
        <w:rPr>
          <w:rFonts w:hint="eastAsia" w:hAnsi="宋体" w:cs="宋体"/>
          <w:color w:val="auto"/>
          <w:sz w:val="32"/>
        </w:rPr>
      </w:pPr>
    </w:p>
    <w:p w14:paraId="6D440CEA">
      <w:pPr>
        <w:pStyle w:val="8"/>
        <w:adjustRightInd w:val="0"/>
        <w:snapToGrid w:val="0"/>
        <w:spacing w:line="360" w:lineRule="auto"/>
        <w:jc w:val="center"/>
        <w:rPr>
          <w:rFonts w:hint="eastAsia" w:hAnsi="宋体" w:cs="宋体"/>
          <w:color w:val="auto"/>
          <w:sz w:val="32"/>
        </w:rPr>
      </w:pPr>
    </w:p>
    <w:p w14:paraId="0B865077">
      <w:pPr>
        <w:pStyle w:val="8"/>
        <w:adjustRightInd w:val="0"/>
        <w:snapToGrid w:val="0"/>
        <w:spacing w:line="360" w:lineRule="auto"/>
        <w:jc w:val="center"/>
        <w:rPr>
          <w:rFonts w:hint="eastAsia" w:hAnsi="宋体" w:cs="宋体"/>
          <w:color w:val="auto"/>
          <w:sz w:val="32"/>
        </w:rPr>
      </w:pPr>
    </w:p>
    <w:p w14:paraId="38EF9B1C">
      <w:pPr>
        <w:pStyle w:val="8"/>
        <w:adjustRightInd w:val="0"/>
        <w:snapToGrid w:val="0"/>
        <w:spacing w:line="360" w:lineRule="auto"/>
        <w:jc w:val="center"/>
        <w:rPr>
          <w:rFonts w:hint="eastAsia" w:hAnsi="宋体" w:cs="宋体"/>
          <w:color w:val="auto"/>
          <w:sz w:val="32"/>
        </w:rPr>
      </w:pPr>
    </w:p>
    <w:p w14:paraId="5C4328BB">
      <w:pPr>
        <w:pStyle w:val="8"/>
        <w:adjustRightInd w:val="0"/>
        <w:snapToGrid w:val="0"/>
        <w:spacing w:line="360" w:lineRule="auto"/>
        <w:jc w:val="center"/>
        <w:rPr>
          <w:rFonts w:hint="eastAsia" w:hAnsi="宋体" w:cs="宋体"/>
          <w:color w:val="auto"/>
          <w:sz w:val="32"/>
        </w:rPr>
      </w:pPr>
    </w:p>
    <w:p w14:paraId="526AD75C">
      <w:pPr>
        <w:pStyle w:val="8"/>
        <w:adjustRightInd w:val="0"/>
        <w:snapToGrid w:val="0"/>
        <w:spacing w:line="360" w:lineRule="auto"/>
        <w:jc w:val="center"/>
        <w:rPr>
          <w:rFonts w:hint="eastAsia" w:hAnsi="宋体" w:cs="宋体"/>
          <w:color w:val="auto"/>
          <w:sz w:val="32"/>
        </w:rPr>
      </w:pPr>
    </w:p>
    <w:p w14:paraId="3F6611E3">
      <w:pPr>
        <w:pStyle w:val="8"/>
        <w:adjustRightInd w:val="0"/>
        <w:snapToGrid w:val="0"/>
        <w:spacing w:line="360" w:lineRule="auto"/>
        <w:jc w:val="center"/>
        <w:rPr>
          <w:rFonts w:hint="eastAsia" w:hAnsi="宋体" w:cs="宋体"/>
          <w:color w:val="auto"/>
          <w:sz w:val="32"/>
        </w:rPr>
      </w:pPr>
    </w:p>
    <w:p w14:paraId="644F1FED">
      <w:pPr>
        <w:pStyle w:val="8"/>
        <w:adjustRightInd w:val="0"/>
        <w:snapToGrid w:val="0"/>
        <w:spacing w:line="360" w:lineRule="auto"/>
        <w:jc w:val="center"/>
        <w:rPr>
          <w:rFonts w:hint="eastAsia" w:hAnsi="宋体" w:cs="宋体"/>
          <w:color w:val="auto"/>
          <w:sz w:val="32"/>
        </w:rPr>
      </w:pPr>
    </w:p>
    <w:p w14:paraId="276DD866">
      <w:pPr>
        <w:pStyle w:val="8"/>
        <w:adjustRightInd w:val="0"/>
        <w:snapToGrid w:val="0"/>
        <w:spacing w:line="360" w:lineRule="auto"/>
        <w:jc w:val="center"/>
        <w:rPr>
          <w:rFonts w:hint="eastAsia" w:hAnsi="宋体" w:cs="宋体"/>
          <w:color w:val="auto"/>
          <w:sz w:val="32"/>
        </w:rPr>
      </w:pPr>
    </w:p>
    <w:p w14:paraId="1085AA5E">
      <w:pPr>
        <w:pStyle w:val="8"/>
        <w:adjustRightInd w:val="0"/>
        <w:snapToGrid w:val="0"/>
        <w:spacing w:line="360" w:lineRule="auto"/>
        <w:jc w:val="center"/>
        <w:rPr>
          <w:rFonts w:hint="eastAsia" w:hAnsi="宋体" w:cs="宋体"/>
          <w:color w:val="auto"/>
        </w:rPr>
      </w:pPr>
      <w:r>
        <w:rPr>
          <w:rFonts w:hint="eastAsia" w:hAnsi="宋体" w:cs="宋体"/>
          <w:color w:val="auto"/>
          <w:sz w:val="28"/>
          <w:szCs w:val="28"/>
        </w:rPr>
        <w:br w:type="page"/>
      </w:r>
    </w:p>
    <w:p w14:paraId="1AEB7BDE">
      <w:pPr>
        <w:pStyle w:val="9"/>
        <w:widowControl/>
        <w:adjustRightInd w:val="0"/>
        <w:snapToGrid w:val="0"/>
        <w:spacing w:line="420" w:lineRule="exact"/>
        <w:contextualSpacing/>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一、投标函</w:t>
      </w:r>
    </w:p>
    <w:p w14:paraId="606A4693">
      <w:pPr>
        <w:pStyle w:val="8"/>
        <w:adjustRightInd w:val="0"/>
        <w:snapToGrid w:val="0"/>
        <w:spacing w:line="420" w:lineRule="exact"/>
        <w:ind w:left="743" w:leftChars="354" w:right="559" w:rightChars="266" w:firstLine="1"/>
        <w:contextualSpacing/>
        <w:jc w:val="left"/>
        <w:rPr>
          <w:rFonts w:hint="default" w:hAnsi="宋体" w:cs="宋体" w:eastAsiaTheme="minorEastAsia"/>
          <w:color w:val="auto"/>
          <w:sz w:val="24"/>
          <w:szCs w:val="24"/>
          <w:u w:val="single"/>
          <w:lang w:val="en-US" w:eastAsia="zh-CN"/>
        </w:rPr>
      </w:pPr>
      <w:r>
        <w:rPr>
          <w:rFonts w:hint="eastAsia" w:hAnsi="宋体" w:cs="宋体"/>
          <w:color w:val="auto"/>
          <w:sz w:val="24"/>
          <w:szCs w:val="24"/>
        </w:rPr>
        <w:t>招标人：</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w:t>
      </w:r>
    </w:p>
    <w:p w14:paraId="5E19BC2E">
      <w:pPr>
        <w:pStyle w:val="8"/>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1、根据已收到的</w:t>
      </w:r>
      <w:r>
        <w:rPr>
          <w:rFonts w:hint="eastAsia" w:hAnsi="宋体" w:cs="宋体"/>
          <w:color w:val="auto"/>
          <w:sz w:val="24"/>
          <w:szCs w:val="24"/>
          <w:u w:val="single"/>
        </w:rPr>
        <w:t xml:space="preserve">                </w:t>
      </w:r>
      <w:r>
        <w:rPr>
          <w:rFonts w:hint="eastAsia" w:hAnsi="宋体" w:cs="宋体"/>
          <w:color w:val="auto"/>
          <w:sz w:val="24"/>
          <w:szCs w:val="24"/>
        </w:rPr>
        <w:t>工程的招标文件，遵照《房屋建筑和市政基础设施工程施工招标投标管理办法》的规定，我单位经考察现场和研究上述工程招标文件的投标须知、合同条件、技术规范、图纸和其他有关文件后，我方愿以人民币</w:t>
      </w:r>
      <w:r>
        <w:rPr>
          <w:rFonts w:hint="eastAsia" w:hAnsi="宋体" w:cs="宋体"/>
          <w:color w:val="auto"/>
          <w:sz w:val="24"/>
          <w:szCs w:val="24"/>
          <w:u w:val="single"/>
        </w:rPr>
        <w:t xml:space="preserve">                  万</w:t>
      </w:r>
      <w:r>
        <w:rPr>
          <w:rFonts w:hint="eastAsia" w:hAnsi="宋体" w:cs="宋体"/>
          <w:color w:val="auto"/>
          <w:sz w:val="24"/>
          <w:szCs w:val="24"/>
        </w:rPr>
        <w:t>元的价格，按上述合同条件、技术规范、图纸、工程量清单及工程预算的条件承包上述工程的施工、竣工和保修。</w:t>
      </w:r>
    </w:p>
    <w:p w14:paraId="767F80A8">
      <w:pPr>
        <w:pStyle w:val="8"/>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 xml:space="preserve">2、一旦我方中标，我方保证在 </w:t>
      </w:r>
      <w:r>
        <w:rPr>
          <w:rFonts w:hint="eastAsia" w:hAnsi="宋体" w:cs="宋体"/>
          <w:color w:val="auto"/>
          <w:sz w:val="24"/>
          <w:szCs w:val="24"/>
          <w:u w:val="single"/>
        </w:rPr>
        <w:t xml:space="preserve">        </w:t>
      </w:r>
      <w:r>
        <w:rPr>
          <w:rFonts w:hint="eastAsia" w:hAnsi="宋体" w:cs="宋体"/>
          <w:color w:val="auto"/>
          <w:sz w:val="24"/>
          <w:szCs w:val="24"/>
        </w:rPr>
        <w:t>(日历日)内竣工，并达到</w:t>
      </w:r>
      <w:r>
        <w:rPr>
          <w:rFonts w:hint="eastAsia" w:hAnsi="宋体" w:cs="宋体"/>
          <w:color w:val="auto"/>
          <w:sz w:val="24"/>
          <w:szCs w:val="24"/>
          <w:u w:val="single"/>
        </w:rPr>
        <w:t xml:space="preserve">    </w:t>
      </w:r>
      <w:r>
        <w:rPr>
          <w:rFonts w:hint="eastAsia" w:hAnsi="宋体" w:cs="宋体"/>
          <w:color w:val="auto"/>
          <w:sz w:val="24"/>
          <w:szCs w:val="24"/>
        </w:rPr>
        <w:t>（质量标准）。</w:t>
      </w:r>
    </w:p>
    <w:p w14:paraId="4C5BB40D">
      <w:pPr>
        <w:pStyle w:val="8"/>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3、如果我方中标，我方将按照规定提交上述总价</w:t>
      </w:r>
      <w:r>
        <w:rPr>
          <w:rFonts w:hint="eastAsia" w:hAnsi="宋体" w:cs="宋体"/>
          <w:color w:val="auto"/>
          <w:sz w:val="24"/>
          <w:szCs w:val="24"/>
          <w:u w:val="single"/>
        </w:rPr>
        <w:t xml:space="preserve">    </w:t>
      </w:r>
      <w:r>
        <w:rPr>
          <w:rFonts w:hint="eastAsia" w:hAnsi="宋体" w:cs="宋体"/>
          <w:color w:val="auto"/>
          <w:sz w:val="24"/>
          <w:szCs w:val="24"/>
        </w:rPr>
        <w:t>%的银行保函或上述总价</w:t>
      </w:r>
      <w:r>
        <w:rPr>
          <w:rFonts w:hint="eastAsia" w:hAnsi="宋体" w:cs="宋体"/>
          <w:color w:val="auto"/>
          <w:sz w:val="24"/>
          <w:szCs w:val="24"/>
          <w:u w:val="single"/>
        </w:rPr>
        <w:t xml:space="preserve">     </w:t>
      </w:r>
      <w:r>
        <w:rPr>
          <w:rFonts w:hint="eastAsia" w:hAnsi="宋体" w:cs="宋体"/>
          <w:color w:val="auto"/>
          <w:sz w:val="24"/>
          <w:szCs w:val="24"/>
        </w:rPr>
        <w:t>%的由具有独立法人资格的经济实体企业出具的履约担保书，做为履约保证金，共同地和分别地承担责任。</w:t>
      </w:r>
    </w:p>
    <w:p w14:paraId="60E4065F">
      <w:pPr>
        <w:pStyle w:val="8"/>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4、我方同意所递交的投标文件在“投标须知”前附表规定的投标有效期内有效，在此期间内我方的投标有可能中标，我方将受此约束。</w:t>
      </w:r>
    </w:p>
    <w:p w14:paraId="590BAC06">
      <w:pPr>
        <w:pStyle w:val="8"/>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5、除非另外达成协议并生效，你方的中标通知书和本投标文件将构成约束我们双方的合同</w:t>
      </w:r>
    </w:p>
    <w:p w14:paraId="7E3EF88C">
      <w:pPr>
        <w:pStyle w:val="8"/>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6、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14:paraId="4C9DC1EB">
      <w:pPr>
        <w:pStyle w:val="8"/>
        <w:adjustRightInd w:val="0"/>
        <w:snapToGrid w:val="0"/>
        <w:spacing w:line="420" w:lineRule="exact"/>
        <w:ind w:left="743" w:leftChars="354" w:right="559" w:rightChars="266" w:firstLine="480" w:firstLineChars="200"/>
        <w:contextualSpacing/>
        <w:jc w:val="left"/>
        <w:rPr>
          <w:rFonts w:hint="eastAsia" w:hAnsi="宋体" w:cs="宋体"/>
          <w:color w:val="auto"/>
          <w:sz w:val="24"/>
          <w:szCs w:val="24"/>
        </w:rPr>
      </w:pPr>
      <w:r>
        <w:rPr>
          <w:rFonts w:hint="eastAsia" w:hAnsi="宋体" w:cs="宋体"/>
          <w:color w:val="auto"/>
          <w:sz w:val="24"/>
          <w:szCs w:val="24"/>
        </w:rPr>
        <w:t>7、我方承诺为本工程投入的项目经理在建工程符合扬州市项目经理管理的相关条款规定，所报的项目经理业绩均为真实业绩，如有虚假，我方愿接受招标投标管理部门及业主的相关处罚，并记入企业的诚信管理档案。</w:t>
      </w:r>
    </w:p>
    <w:p w14:paraId="0F1C5898">
      <w:pPr>
        <w:pStyle w:val="8"/>
        <w:adjustRightInd w:val="0"/>
        <w:snapToGrid w:val="0"/>
        <w:spacing w:line="360" w:lineRule="auto"/>
        <w:jc w:val="center"/>
        <w:rPr>
          <w:rFonts w:hint="eastAsia" w:hAnsi="宋体" w:cs="宋体"/>
          <w:color w:val="auto"/>
        </w:rPr>
      </w:pPr>
    </w:p>
    <w:p w14:paraId="50830D42">
      <w:pPr>
        <w:pStyle w:val="8"/>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投标人：(盖章)           单位地址：</w:t>
      </w:r>
    </w:p>
    <w:p w14:paraId="58033FEA">
      <w:pPr>
        <w:pStyle w:val="8"/>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法定代表人或委托代理人：(</w:t>
      </w:r>
      <w:r>
        <w:rPr>
          <w:rFonts w:hint="eastAsia" w:hAnsi="宋体" w:cs="宋体"/>
          <w:color w:val="auto"/>
          <w:kern w:val="0"/>
          <w:sz w:val="24"/>
          <w:szCs w:val="24"/>
        </w:rPr>
        <w:t>签字</w:t>
      </w:r>
      <w:r>
        <w:rPr>
          <w:rFonts w:hint="eastAsia" w:hAnsi="宋体" w:cs="宋体"/>
          <w:color w:val="auto"/>
          <w:sz w:val="24"/>
          <w:szCs w:val="24"/>
        </w:rPr>
        <w:t>)</w:t>
      </w:r>
    </w:p>
    <w:p w14:paraId="3CCAFCD6">
      <w:pPr>
        <w:pStyle w:val="8"/>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邮政编码：</w:t>
      </w:r>
    </w:p>
    <w:p w14:paraId="584D9DD1">
      <w:pPr>
        <w:pStyle w:val="8"/>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电话：                  传真：</w:t>
      </w:r>
    </w:p>
    <w:p w14:paraId="456768FB">
      <w:pPr>
        <w:pStyle w:val="8"/>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开户银行名称：</w:t>
      </w:r>
    </w:p>
    <w:p w14:paraId="7CA5528C">
      <w:pPr>
        <w:pStyle w:val="8"/>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银行帐号：</w:t>
      </w:r>
    </w:p>
    <w:p w14:paraId="05DA37B8">
      <w:pPr>
        <w:pStyle w:val="8"/>
        <w:adjustRightInd w:val="0"/>
        <w:snapToGrid w:val="0"/>
        <w:spacing w:line="440" w:lineRule="exact"/>
        <w:ind w:firstLine="1200" w:firstLineChars="500"/>
        <w:contextualSpacing/>
        <w:jc w:val="left"/>
        <w:rPr>
          <w:rFonts w:hint="eastAsia" w:hAnsi="宋体" w:cs="宋体"/>
          <w:color w:val="auto"/>
          <w:sz w:val="24"/>
          <w:szCs w:val="24"/>
        </w:rPr>
      </w:pPr>
      <w:r>
        <w:rPr>
          <w:rFonts w:hint="eastAsia" w:hAnsi="宋体" w:cs="宋体"/>
          <w:color w:val="auto"/>
          <w:sz w:val="24"/>
          <w:szCs w:val="24"/>
        </w:rPr>
        <w:t>开户行地址：</w:t>
      </w:r>
    </w:p>
    <w:p w14:paraId="31C4F09A">
      <w:pPr>
        <w:pStyle w:val="8"/>
        <w:adjustRightInd w:val="0"/>
        <w:snapToGrid w:val="0"/>
        <w:spacing w:line="440" w:lineRule="exact"/>
        <w:ind w:firstLine="1200" w:firstLineChars="500"/>
        <w:contextualSpacing/>
        <w:jc w:val="left"/>
        <w:rPr>
          <w:rFonts w:hint="eastAsia" w:hAnsi="宋体" w:cs="宋体"/>
          <w:b/>
          <w:color w:val="auto"/>
          <w:sz w:val="24"/>
          <w:szCs w:val="24"/>
        </w:rPr>
      </w:pPr>
      <w:r>
        <w:rPr>
          <w:rFonts w:hint="eastAsia" w:hAnsi="宋体" w:cs="宋体"/>
          <w:color w:val="auto"/>
          <w:sz w:val="24"/>
          <w:szCs w:val="24"/>
        </w:rPr>
        <w:t>日期：      年      月      日</w:t>
      </w:r>
    </w:p>
    <w:p w14:paraId="2FFFF5BC">
      <w:pPr>
        <w:jc w:val="center"/>
        <w:rPr>
          <w:rFonts w:hint="eastAsia"/>
          <w:b/>
          <w:bCs/>
          <w:color w:val="auto"/>
          <w:sz w:val="27"/>
          <w:szCs w:val="27"/>
        </w:rPr>
      </w:pPr>
      <w:r>
        <w:rPr>
          <w:rFonts w:hint="eastAsia"/>
          <w:b/>
          <w:bCs/>
          <w:color w:val="auto"/>
          <w:sz w:val="27"/>
          <w:szCs w:val="27"/>
        </w:rPr>
        <w:br w:type="page"/>
      </w:r>
      <w:r>
        <w:rPr>
          <w:rFonts w:hint="eastAsia"/>
          <w:b/>
          <w:bCs/>
          <w:color w:val="auto"/>
          <w:sz w:val="27"/>
          <w:szCs w:val="27"/>
        </w:rPr>
        <w:t>二、辅助报表</w:t>
      </w:r>
    </w:p>
    <w:p w14:paraId="458A3A07">
      <w:pPr>
        <w:pStyle w:val="8"/>
        <w:adjustRightInd w:val="0"/>
        <w:snapToGrid w:val="0"/>
        <w:spacing w:line="360" w:lineRule="auto"/>
        <w:jc w:val="center"/>
        <w:rPr>
          <w:rFonts w:hint="eastAsia" w:hAnsi="宋体" w:cs="宋体"/>
          <w:color w:val="auto"/>
          <w:sz w:val="24"/>
          <w:szCs w:val="24"/>
        </w:rPr>
      </w:pPr>
      <w:r>
        <w:rPr>
          <w:rFonts w:hint="eastAsia" w:hAnsi="宋体" w:cs="宋体"/>
          <w:b/>
          <w:color w:val="auto"/>
          <w:sz w:val="24"/>
          <w:szCs w:val="24"/>
        </w:rPr>
        <w:t>表2.1项目经理简历表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12"/>
        <w:gridCol w:w="434"/>
        <w:gridCol w:w="671"/>
        <w:gridCol w:w="501"/>
        <w:gridCol w:w="594"/>
        <w:gridCol w:w="262"/>
        <w:gridCol w:w="750"/>
        <w:gridCol w:w="594"/>
        <w:gridCol w:w="1376"/>
        <w:gridCol w:w="283"/>
        <w:gridCol w:w="284"/>
        <w:gridCol w:w="2409"/>
      </w:tblGrid>
      <w:tr w14:paraId="37A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69" w:type="dxa"/>
            <w:tcBorders>
              <w:top w:val="single" w:color="auto" w:sz="12" w:space="0"/>
              <w:left w:val="single" w:color="auto" w:sz="12" w:space="0"/>
              <w:bottom w:val="single" w:color="auto" w:sz="4" w:space="0"/>
              <w:right w:val="single" w:color="auto" w:sz="4" w:space="0"/>
            </w:tcBorders>
            <w:noWrap w:val="0"/>
            <w:vAlign w:val="center"/>
          </w:tcPr>
          <w:p w14:paraId="044033C2">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姓名</w:t>
            </w:r>
          </w:p>
        </w:tc>
        <w:tc>
          <w:tcPr>
            <w:tcW w:w="1317" w:type="dxa"/>
            <w:gridSpan w:val="3"/>
            <w:tcBorders>
              <w:top w:val="single" w:color="auto" w:sz="12" w:space="0"/>
              <w:left w:val="single" w:color="auto" w:sz="4" w:space="0"/>
              <w:bottom w:val="single" w:color="auto" w:sz="4" w:space="0"/>
              <w:right w:val="single" w:color="auto" w:sz="4" w:space="0"/>
            </w:tcBorders>
            <w:noWrap w:val="0"/>
            <w:vAlign w:val="center"/>
          </w:tcPr>
          <w:p w14:paraId="116FBA39">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357" w:type="dxa"/>
            <w:gridSpan w:val="3"/>
            <w:tcBorders>
              <w:top w:val="single" w:color="auto" w:sz="12" w:space="0"/>
              <w:left w:val="single" w:color="auto" w:sz="4" w:space="0"/>
              <w:bottom w:val="single" w:color="auto" w:sz="4" w:space="0"/>
              <w:right w:val="single" w:color="auto" w:sz="4" w:space="0"/>
            </w:tcBorders>
            <w:noWrap w:val="0"/>
            <w:vAlign w:val="center"/>
          </w:tcPr>
          <w:p w14:paraId="676A0C08">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性别</w:t>
            </w:r>
          </w:p>
        </w:tc>
        <w:tc>
          <w:tcPr>
            <w:tcW w:w="1344" w:type="dxa"/>
            <w:gridSpan w:val="2"/>
            <w:tcBorders>
              <w:top w:val="single" w:color="auto" w:sz="12" w:space="0"/>
              <w:left w:val="single" w:color="auto" w:sz="4" w:space="0"/>
              <w:bottom w:val="single" w:color="auto" w:sz="4" w:space="0"/>
              <w:right w:val="single" w:color="auto" w:sz="6" w:space="0"/>
            </w:tcBorders>
            <w:noWrap w:val="0"/>
            <w:vAlign w:val="center"/>
          </w:tcPr>
          <w:p w14:paraId="125D9B28">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943" w:type="dxa"/>
            <w:gridSpan w:val="3"/>
            <w:tcBorders>
              <w:top w:val="single" w:color="auto" w:sz="12" w:space="0"/>
              <w:left w:val="nil"/>
              <w:bottom w:val="nil"/>
              <w:right w:val="single" w:color="auto" w:sz="6" w:space="0"/>
            </w:tcBorders>
            <w:noWrap w:val="0"/>
            <w:vAlign w:val="center"/>
          </w:tcPr>
          <w:p w14:paraId="4CFCC2F1">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年龄</w:t>
            </w:r>
          </w:p>
        </w:tc>
        <w:tc>
          <w:tcPr>
            <w:tcW w:w="2409" w:type="dxa"/>
            <w:tcBorders>
              <w:top w:val="single" w:color="auto" w:sz="12" w:space="0"/>
              <w:left w:val="single" w:color="auto" w:sz="6" w:space="0"/>
              <w:bottom w:val="nil"/>
              <w:right w:val="single" w:color="auto" w:sz="12" w:space="0"/>
            </w:tcBorders>
            <w:noWrap w:val="0"/>
            <w:vAlign w:val="center"/>
          </w:tcPr>
          <w:p w14:paraId="7CEF2FE4">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3E26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69" w:type="dxa"/>
            <w:tcBorders>
              <w:top w:val="single" w:color="auto" w:sz="4" w:space="0"/>
              <w:left w:val="single" w:color="auto" w:sz="12" w:space="0"/>
              <w:bottom w:val="single" w:color="auto" w:sz="4" w:space="0"/>
              <w:right w:val="single" w:color="auto" w:sz="4" w:space="0"/>
            </w:tcBorders>
            <w:noWrap w:val="0"/>
            <w:vAlign w:val="center"/>
          </w:tcPr>
          <w:p w14:paraId="79EBF034">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职务</w:t>
            </w: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14:paraId="6188D012">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357" w:type="dxa"/>
            <w:gridSpan w:val="3"/>
            <w:tcBorders>
              <w:top w:val="single" w:color="auto" w:sz="4" w:space="0"/>
              <w:left w:val="single" w:color="auto" w:sz="4" w:space="0"/>
              <w:bottom w:val="single" w:color="auto" w:sz="4" w:space="0"/>
              <w:right w:val="single" w:color="auto" w:sz="4" w:space="0"/>
            </w:tcBorders>
            <w:noWrap w:val="0"/>
            <w:vAlign w:val="center"/>
          </w:tcPr>
          <w:p w14:paraId="4DA4B6D3">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职称</w:t>
            </w:r>
          </w:p>
        </w:tc>
        <w:tc>
          <w:tcPr>
            <w:tcW w:w="1344" w:type="dxa"/>
            <w:gridSpan w:val="2"/>
            <w:tcBorders>
              <w:top w:val="single" w:color="auto" w:sz="4" w:space="0"/>
              <w:left w:val="single" w:color="auto" w:sz="4" w:space="0"/>
              <w:bottom w:val="single" w:color="auto" w:sz="4" w:space="0"/>
              <w:right w:val="single" w:color="auto" w:sz="6" w:space="0"/>
            </w:tcBorders>
            <w:noWrap w:val="0"/>
            <w:vAlign w:val="center"/>
          </w:tcPr>
          <w:p w14:paraId="63D02CB9">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943" w:type="dxa"/>
            <w:gridSpan w:val="3"/>
            <w:tcBorders>
              <w:top w:val="single" w:color="auto" w:sz="6" w:space="0"/>
              <w:left w:val="nil"/>
              <w:bottom w:val="single" w:color="auto" w:sz="6" w:space="0"/>
              <w:right w:val="single" w:color="auto" w:sz="6" w:space="0"/>
            </w:tcBorders>
            <w:noWrap w:val="0"/>
            <w:vAlign w:val="center"/>
          </w:tcPr>
          <w:p w14:paraId="44FFF10E">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学历</w:t>
            </w:r>
          </w:p>
        </w:tc>
        <w:tc>
          <w:tcPr>
            <w:tcW w:w="2409" w:type="dxa"/>
            <w:tcBorders>
              <w:top w:val="single" w:color="auto" w:sz="6" w:space="0"/>
              <w:left w:val="single" w:color="auto" w:sz="6" w:space="0"/>
              <w:bottom w:val="single" w:color="auto" w:sz="6" w:space="0"/>
              <w:right w:val="single" w:color="auto" w:sz="12" w:space="0"/>
            </w:tcBorders>
            <w:noWrap w:val="0"/>
            <w:vAlign w:val="center"/>
          </w:tcPr>
          <w:p w14:paraId="0AEE727E">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0D66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915" w:type="dxa"/>
            <w:gridSpan w:val="3"/>
            <w:tcBorders>
              <w:top w:val="single" w:color="auto" w:sz="4" w:space="0"/>
              <w:left w:val="single" w:color="auto" w:sz="12" w:space="0"/>
              <w:bottom w:val="single" w:color="auto" w:sz="4" w:space="0"/>
              <w:right w:val="single" w:color="auto" w:sz="4" w:space="0"/>
            </w:tcBorders>
            <w:noWrap w:val="0"/>
            <w:vAlign w:val="center"/>
          </w:tcPr>
          <w:p w14:paraId="72EBB648">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参加工作时间</w:t>
            </w: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14:paraId="5D235610">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2982" w:type="dxa"/>
            <w:gridSpan w:val="4"/>
            <w:tcBorders>
              <w:top w:val="single" w:color="auto" w:sz="4" w:space="0"/>
              <w:left w:val="single" w:color="auto" w:sz="4" w:space="0"/>
              <w:bottom w:val="single" w:color="auto" w:sz="4" w:space="0"/>
              <w:right w:val="single" w:color="auto" w:sz="4" w:space="0"/>
            </w:tcBorders>
            <w:noWrap w:val="0"/>
            <w:vAlign w:val="center"/>
          </w:tcPr>
          <w:p w14:paraId="1D2B488A">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从事项目经理年限</w:t>
            </w:r>
          </w:p>
        </w:tc>
        <w:tc>
          <w:tcPr>
            <w:tcW w:w="2976" w:type="dxa"/>
            <w:gridSpan w:val="3"/>
            <w:tcBorders>
              <w:top w:val="single" w:color="auto" w:sz="4" w:space="0"/>
              <w:left w:val="single" w:color="auto" w:sz="4" w:space="0"/>
              <w:bottom w:val="single" w:color="auto" w:sz="4" w:space="0"/>
              <w:right w:val="single" w:color="auto" w:sz="12" w:space="0"/>
            </w:tcBorders>
            <w:noWrap w:val="0"/>
            <w:vAlign w:val="center"/>
          </w:tcPr>
          <w:p w14:paraId="32696C7D">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4D58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639" w:type="dxa"/>
            <w:gridSpan w:val="13"/>
            <w:tcBorders>
              <w:top w:val="single" w:color="auto" w:sz="4" w:space="0"/>
              <w:left w:val="single" w:color="auto" w:sz="12" w:space="0"/>
              <w:bottom w:val="single" w:color="auto" w:sz="4" w:space="0"/>
              <w:right w:val="single" w:color="auto" w:sz="12" w:space="0"/>
            </w:tcBorders>
            <w:noWrap w:val="0"/>
            <w:vAlign w:val="center"/>
          </w:tcPr>
          <w:p w14:paraId="2FE4FF92">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已完工程项目情况</w:t>
            </w:r>
          </w:p>
        </w:tc>
      </w:tr>
      <w:tr w14:paraId="3A10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481" w:type="dxa"/>
            <w:gridSpan w:val="2"/>
            <w:tcBorders>
              <w:top w:val="single" w:color="auto" w:sz="4" w:space="0"/>
              <w:left w:val="single" w:color="auto" w:sz="12" w:space="0"/>
              <w:bottom w:val="single" w:color="auto" w:sz="4" w:space="0"/>
              <w:right w:val="single" w:color="auto" w:sz="4" w:space="0"/>
            </w:tcBorders>
            <w:noWrap w:val="0"/>
            <w:vAlign w:val="center"/>
          </w:tcPr>
          <w:p w14:paraId="6072805C">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建设单位</w:t>
            </w: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0218911E">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项目名称</w:t>
            </w: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7CAA224F">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建设规模</w:t>
            </w: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14:paraId="76E22CC2">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开、竣工程日期</w:t>
            </w:r>
          </w:p>
        </w:tc>
        <w:tc>
          <w:tcPr>
            <w:tcW w:w="2693" w:type="dxa"/>
            <w:gridSpan w:val="2"/>
            <w:tcBorders>
              <w:top w:val="single" w:color="auto" w:sz="4" w:space="0"/>
              <w:left w:val="single" w:color="auto" w:sz="4" w:space="0"/>
              <w:bottom w:val="single" w:color="auto" w:sz="4" w:space="0"/>
              <w:right w:val="single" w:color="auto" w:sz="12" w:space="0"/>
            </w:tcBorders>
            <w:noWrap w:val="0"/>
            <w:vAlign w:val="center"/>
          </w:tcPr>
          <w:p w14:paraId="68E18D2F">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工程质量</w:t>
            </w:r>
          </w:p>
        </w:tc>
      </w:tr>
      <w:tr w14:paraId="6932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481" w:type="dxa"/>
            <w:gridSpan w:val="2"/>
            <w:tcBorders>
              <w:top w:val="single" w:color="auto" w:sz="4" w:space="0"/>
              <w:left w:val="single" w:color="auto" w:sz="12" w:space="0"/>
              <w:bottom w:val="single" w:color="auto" w:sz="4" w:space="0"/>
              <w:right w:val="single" w:color="auto" w:sz="4" w:space="0"/>
            </w:tcBorders>
            <w:noWrap w:val="0"/>
            <w:vAlign w:val="center"/>
          </w:tcPr>
          <w:p w14:paraId="6EFA97B4">
            <w:pPr>
              <w:pStyle w:val="8"/>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2451752B">
            <w:pPr>
              <w:pStyle w:val="8"/>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4AA993A6">
            <w:pPr>
              <w:pStyle w:val="8"/>
              <w:adjustRightInd w:val="0"/>
              <w:snapToGrid w:val="0"/>
              <w:spacing w:line="360" w:lineRule="auto"/>
              <w:jc w:val="center"/>
              <w:rPr>
                <w:rFonts w:hint="eastAsia" w:hAnsi="宋体" w:cs="宋体"/>
                <w:color w:val="auto"/>
                <w:sz w:val="24"/>
                <w:szCs w:val="24"/>
                <w:lang w:val="en-US" w:eastAsia="zh-CN"/>
              </w:rPr>
            </w:pP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14:paraId="50E70A47">
            <w:pPr>
              <w:pStyle w:val="8"/>
              <w:adjustRightInd w:val="0"/>
              <w:snapToGrid w:val="0"/>
              <w:spacing w:line="360" w:lineRule="auto"/>
              <w:jc w:val="center"/>
              <w:rPr>
                <w:rFonts w:hint="eastAsia" w:hAnsi="宋体" w:cs="宋体"/>
                <w:color w:val="auto"/>
                <w:sz w:val="24"/>
                <w:szCs w:val="24"/>
                <w:lang w:val="en-US" w:eastAsia="zh-CN"/>
              </w:rPr>
            </w:pPr>
          </w:p>
        </w:tc>
        <w:tc>
          <w:tcPr>
            <w:tcW w:w="2693" w:type="dxa"/>
            <w:gridSpan w:val="2"/>
            <w:tcBorders>
              <w:top w:val="single" w:color="auto" w:sz="4" w:space="0"/>
              <w:left w:val="single" w:color="auto" w:sz="4" w:space="0"/>
              <w:bottom w:val="single" w:color="auto" w:sz="4" w:space="0"/>
              <w:right w:val="single" w:color="auto" w:sz="12" w:space="0"/>
            </w:tcBorders>
            <w:noWrap w:val="0"/>
            <w:vAlign w:val="center"/>
          </w:tcPr>
          <w:p w14:paraId="0D74EFA1">
            <w:pPr>
              <w:pStyle w:val="8"/>
              <w:adjustRightInd w:val="0"/>
              <w:snapToGrid w:val="0"/>
              <w:spacing w:line="360" w:lineRule="auto"/>
              <w:jc w:val="center"/>
              <w:rPr>
                <w:rFonts w:hint="eastAsia" w:hAnsi="宋体" w:cs="宋体"/>
                <w:color w:val="auto"/>
                <w:sz w:val="24"/>
                <w:szCs w:val="24"/>
                <w:lang w:val="en-US" w:eastAsia="zh-CN"/>
              </w:rPr>
            </w:pPr>
          </w:p>
        </w:tc>
      </w:tr>
      <w:tr w14:paraId="6A0B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481" w:type="dxa"/>
            <w:gridSpan w:val="2"/>
            <w:tcBorders>
              <w:top w:val="single" w:color="auto" w:sz="4" w:space="0"/>
              <w:left w:val="single" w:color="auto" w:sz="12" w:space="0"/>
              <w:bottom w:val="single" w:color="auto" w:sz="4" w:space="0"/>
              <w:right w:val="single" w:color="auto" w:sz="4" w:space="0"/>
            </w:tcBorders>
            <w:noWrap w:val="0"/>
            <w:vAlign w:val="center"/>
          </w:tcPr>
          <w:p w14:paraId="6014EC0C">
            <w:pPr>
              <w:pStyle w:val="8"/>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6DB02FA9">
            <w:pPr>
              <w:pStyle w:val="8"/>
              <w:adjustRightInd w:val="0"/>
              <w:snapToGrid w:val="0"/>
              <w:spacing w:line="360" w:lineRule="auto"/>
              <w:jc w:val="center"/>
              <w:rPr>
                <w:rFonts w:hint="eastAsia" w:hAnsi="宋体" w:cs="宋体"/>
                <w:color w:val="auto"/>
                <w:sz w:val="24"/>
                <w:szCs w:val="24"/>
                <w:lang w:val="en-US" w:eastAsia="zh-CN"/>
              </w:rPr>
            </w:pP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01372FE3">
            <w:pPr>
              <w:pStyle w:val="8"/>
              <w:adjustRightInd w:val="0"/>
              <w:snapToGrid w:val="0"/>
              <w:spacing w:line="360" w:lineRule="auto"/>
              <w:jc w:val="center"/>
              <w:rPr>
                <w:rFonts w:hint="eastAsia" w:hAnsi="宋体" w:cs="宋体"/>
                <w:color w:val="auto"/>
                <w:sz w:val="24"/>
                <w:szCs w:val="24"/>
                <w:lang w:val="en-US" w:eastAsia="zh-CN"/>
              </w:rPr>
            </w:pP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14:paraId="544350D1">
            <w:pPr>
              <w:pStyle w:val="8"/>
              <w:adjustRightInd w:val="0"/>
              <w:snapToGrid w:val="0"/>
              <w:spacing w:line="360" w:lineRule="auto"/>
              <w:jc w:val="center"/>
              <w:rPr>
                <w:rFonts w:hint="eastAsia" w:hAnsi="宋体" w:cs="宋体"/>
                <w:color w:val="auto"/>
                <w:sz w:val="24"/>
                <w:szCs w:val="24"/>
                <w:lang w:val="en-US" w:eastAsia="zh-CN"/>
              </w:rPr>
            </w:pPr>
          </w:p>
        </w:tc>
        <w:tc>
          <w:tcPr>
            <w:tcW w:w="2693" w:type="dxa"/>
            <w:gridSpan w:val="2"/>
            <w:tcBorders>
              <w:top w:val="single" w:color="auto" w:sz="4" w:space="0"/>
              <w:left w:val="single" w:color="auto" w:sz="4" w:space="0"/>
              <w:bottom w:val="single" w:color="auto" w:sz="4" w:space="0"/>
              <w:right w:val="single" w:color="auto" w:sz="12" w:space="0"/>
            </w:tcBorders>
            <w:noWrap w:val="0"/>
            <w:vAlign w:val="center"/>
          </w:tcPr>
          <w:p w14:paraId="0A930969">
            <w:pPr>
              <w:pStyle w:val="8"/>
              <w:adjustRightInd w:val="0"/>
              <w:snapToGrid w:val="0"/>
              <w:spacing w:line="360" w:lineRule="auto"/>
              <w:jc w:val="center"/>
              <w:rPr>
                <w:rFonts w:hint="eastAsia" w:hAnsi="宋体" w:cs="宋体"/>
                <w:color w:val="auto"/>
                <w:sz w:val="24"/>
                <w:szCs w:val="24"/>
                <w:lang w:val="en-US" w:eastAsia="zh-CN"/>
              </w:rPr>
            </w:pPr>
          </w:p>
        </w:tc>
      </w:tr>
    </w:tbl>
    <w:p w14:paraId="57836677">
      <w:pPr>
        <w:pStyle w:val="8"/>
        <w:adjustRightInd w:val="0"/>
        <w:snapToGrid w:val="0"/>
        <w:spacing w:line="360" w:lineRule="auto"/>
        <w:jc w:val="center"/>
        <w:rPr>
          <w:rFonts w:hint="eastAsia" w:hAnsi="宋体" w:cs="宋体"/>
          <w:b/>
          <w:color w:val="auto"/>
          <w:sz w:val="24"/>
          <w:szCs w:val="24"/>
        </w:rPr>
      </w:pPr>
      <w:r>
        <w:rPr>
          <w:rFonts w:hint="eastAsia" w:hAnsi="宋体" w:cs="宋体"/>
          <w:b/>
          <w:color w:val="auto"/>
          <w:sz w:val="24"/>
          <w:szCs w:val="24"/>
        </w:rPr>
        <w:t>表2.2主要施工管理人员表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134"/>
        <w:gridCol w:w="1276"/>
        <w:gridCol w:w="1275"/>
        <w:gridCol w:w="1276"/>
        <w:gridCol w:w="3833"/>
      </w:tblGrid>
      <w:tr w14:paraId="4DD87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851" w:type="dxa"/>
            <w:tcBorders>
              <w:top w:val="single" w:color="auto" w:sz="12" w:space="0"/>
              <w:left w:val="single" w:color="auto" w:sz="12" w:space="0"/>
              <w:bottom w:val="single" w:color="auto" w:sz="6" w:space="0"/>
              <w:right w:val="single" w:color="auto" w:sz="4" w:space="0"/>
            </w:tcBorders>
            <w:noWrap w:val="0"/>
            <w:vAlign w:val="center"/>
          </w:tcPr>
          <w:p w14:paraId="03159ACB">
            <w:pPr>
              <w:pStyle w:val="8"/>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序号</w:t>
            </w:r>
          </w:p>
        </w:tc>
        <w:tc>
          <w:tcPr>
            <w:tcW w:w="1134" w:type="dxa"/>
            <w:tcBorders>
              <w:top w:val="single" w:color="auto" w:sz="12" w:space="0"/>
              <w:left w:val="single" w:color="auto" w:sz="4" w:space="0"/>
              <w:bottom w:val="single" w:color="auto" w:sz="6" w:space="0"/>
              <w:right w:val="single" w:color="auto" w:sz="6" w:space="0"/>
            </w:tcBorders>
            <w:noWrap w:val="0"/>
            <w:vAlign w:val="center"/>
          </w:tcPr>
          <w:p w14:paraId="14423B48">
            <w:pPr>
              <w:pStyle w:val="8"/>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名称</w:t>
            </w:r>
          </w:p>
        </w:tc>
        <w:tc>
          <w:tcPr>
            <w:tcW w:w="1276" w:type="dxa"/>
            <w:tcBorders>
              <w:top w:val="single" w:color="auto" w:sz="12" w:space="0"/>
              <w:left w:val="single" w:color="auto" w:sz="6" w:space="0"/>
              <w:bottom w:val="single" w:color="auto" w:sz="6" w:space="0"/>
              <w:right w:val="single" w:color="auto" w:sz="6" w:space="0"/>
            </w:tcBorders>
            <w:noWrap w:val="0"/>
            <w:vAlign w:val="center"/>
          </w:tcPr>
          <w:p w14:paraId="3F5DC0A3">
            <w:pPr>
              <w:pStyle w:val="8"/>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姓 名</w:t>
            </w:r>
          </w:p>
        </w:tc>
        <w:tc>
          <w:tcPr>
            <w:tcW w:w="1275" w:type="dxa"/>
            <w:tcBorders>
              <w:top w:val="single" w:color="auto" w:sz="12" w:space="0"/>
              <w:left w:val="single" w:color="auto" w:sz="6" w:space="0"/>
              <w:bottom w:val="single" w:color="auto" w:sz="6" w:space="0"/>
              <w:right w:val="single" w:color="auto" w:sz="6" w:space="0"/>
            </w:tcBorders>
            <w:noWrap w:val="0"/>
            <w:vAlign w:val="center"/>
          </w:tcPr>
          <w:p w14:paraId="34DC2D6B">
            <w:pPr>
              <w:pStyle w:val="8"/>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职 务</w:t>
            </w:r>
          </w:p>
        </w:tc>
        <w:tc>
          <w:tcPr>
            <w:tcW w:w="1276" w:type="dxa"/>
            <w:tcBorders>
              <w:top w:val="single" w:color="auto" w:sz="12" w:space="0"/>
              <w:left w:val="single" w:color="auto" w:sz="6" w:space="0"/>
              <w:bottom w:val="single" w:color="auto" w:sz="6" w:space="0"/>
              <w:right w:val="single" w:color="auto" w:sz="6" w:space="0"/>
            </w:tcBorders>
            <w:noWrap w:val="0"/>
            <w:vAlign w:val="center"/>
          </w:tcPr>
          <w:p w14:paraId="592741E2">
            <w:pPr>
              <w:pStyle w:val="8"/>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职 称</w:t>
            </w:r>
          </w:p>
        </w:tc>
        <w:tc>
          <w:tcPr>
            <w:tcW w:w="3833" w:type="dxa"/>
            <w:tcBorders>
              <w:top w:val="single" w:color="auto" w:sz="12" w:space="0"/>
              <w:left w:val="single" w:color="auto" w:sz="6" w:space="0"/>
              <w:bottom w:val="single" w:color="auto" w:sz="6" w:space="0"/>
              <w:right w:val="single" w:color="auto" w:sz="12" w:space="0"/>
            </w:tcBorders>
            <w:noWrap w:val="0"/>
            <w:vAlign w:val="center"/>
          </w:tcPr>
          <w:p w14:paraId="0D3CB81A">
            <w:pPr>
              <w:pStyle w:val="8"/>
              <w:adjustRightInd w:val="0"/>
              <w:snapToGrid w:val="0"/>
              <w:spacing w:line="440" w:lineRule="exact"/>
              <w:contextualSpacing/>
              <w:jc w:val="center"/>
              <w:rPr>
                <w:rFonts w:hint="eastAsia" w:hAnsi="宋体" w:cs="宋体"/>
                <w:b/>
                <w:color w:val="auto"/>
                <w:sz w:val="24"/>
                <w:szCs w:val="24"/>
                <w:lang w:val="en-US" w:eastAsia="zh-CN"/>
              </w:rPr>
            </w:pPr>
            <w:r>
              <w:rPr>
                <w:rFonts w:hint="eastAsia" w:hAnsi="宋体" w:cs="宋体"/>
                <w:b/>
                <w:color w:val="auto"/>
                <w:sz w:val="24"/>
                <w:szCs w:val="24"/>
                <w:lang w:val="en-US" w:eastAsia="zh-CN"/>
              </w:rPr>
              <w:t>主要资历、经验及承担过的项目</w:t>
            </w:r>
          </w:p>
        </w:tc>
      </w:tr>
      <w:tr w14:paraId="5F4AA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51" w:type="dxa"/>
            <w:tcBorders>
              <w:top w:val="single" w:color="auto" w:sz="6" w:space="0"/>
              <w:left w:val="single" w:color="auto" w:sz="12" w:space="0"/>
              <w:bottom w:val="single" w:color="auto" w:sz="6" w:space="0"/>
              <w:right w:val="single" w:color="auto" w:sz="4" w:space="0"/>
            </w:tcBorders>
            <w:noWrap w:val="0"/>
            <w:vAlign w:val="center"/>
          </w:tcPr>
          <w:p w14:paraId="4016ED24">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1</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1A456123">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施工员</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20A5FC">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6E8A9485">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8A1A620">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14:paraId="20DAFC37">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5D8F9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51" w:type="dxa"/>
            <w:tcBorders>
              <w:top w:val="single" w:color="auto" w:sz="6" w:space="0"/>
              <w:left w:val="single" w:color="auto" w:sz="12" w:space="0"/>
              <w:bottom w:val="single" w:color="auto" w:sz="6" w:space="0"/>
              <w:right w:val="single" w:color="auto" w:sz="4" w:space="0"/>
            </w:tcBorders>
            <w:noWrap w:val="0"/>
            <w:vAlign w:val="center"/>
          </w:tcPr>
          <w:p w14:paraId="16BE4024">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2</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44456A23">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质检员</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18E02E1">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6B48856C">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A3FD623">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14:paraId="495C070A">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6A55A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51" w:type="dxa"/>
            <w:tcBorders>
              <w:top w:val="single" w:color="auto" w:sz="6" w:space="0"/>
              <w:left w:val="single" w:color="auto" w:sz="12" w:space="0"/>
              <w:bottom w:val="single" w:color="auto" w:sz="6" w:space="0"/>
              <w:right w:val="single" w:color="auto" w:sz="4" w:space="0"/>
            </w:tcBorders>
            <w:noWrap w:val="0"/>
            <w:vAlign w:val="center"/>
          </w:tcPr>
          <w:p w14:paraId="7807C529">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3</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51537CFC">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安全员</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961303E">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1D18C875">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6682518">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14:paraId="518BD191">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45CDF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51" w:type="dxa"/>
            <w:tcBorders>
              <w:top w:val="single" w:color="auto" w:sz="6" w:space="0"/>
              <w:left w:val="single" w:color="auto" w:sz="12" w:space="0"/>
              <w:bottom w:val="single" w:color="auto" w:sz="6" w:space="0"/>
              <w:right w:val="single" w:color="auto" w:sz="4" w:space="0"/>
            </w:tcBorders>
            <w:noWrap w:val="0"/>
            <w:vAlign w:val="center"/>
          </w:tcPr>
          <w:p w14:paraId="6889BA0A">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4</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28A623E9">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材料员</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3918FDB">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54D6BA68">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DCF523E">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14:paraId="0E9606EF">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74AC3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51" w:type="dxa"/>
            <w:tcBorders>
              <w:top w:val="single" w:color="auto" w:sz="6" w:space="0"/>
              <w:left w:val="single" w:color="auto" w:sz="12" w:space="0"/>
              <w:bottom w:val="single" w:color="auto" w:sz="6" w:space="0"/>
              <w:right w:val="single" w:color="auto" w:sz="4" w:space="0"/>
            </w:tcBorders>
            <w:noWrap w:val="0"/>
            <w:vAlign w:val="center"/>
          </w:tcPr>
          <w:p w14:paraId="5A235433">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5</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2A8ABE64">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预算员</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4F4885">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29D95795">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20F3B41">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14:paraId="2793AFEF">
            <w:pPr>
              <w:pStyle w:val="8"/>
              <w:adjustRightInd w:val="0"/>
              <w:snapToGrid w:val="0"/>
              <w:spacing w:line="440" w:lineRule="exact"/>
              <w:contextualSpacing/>
              <w:jc w:val="center"/>
              <w:rPr>
                <w:rFonts w:hint="eastAsia" w:hAnsi="宋体" w:cs="宋体"/>
                <w:color w:val="auto"/>
                <w:sz w:val="24"/>
                <w:szCs w:val="24"/>
                <w:lang w:val="en-US" w:eastAsia="zh-CN"/>
              </w:rPr>
            </w:pPr>
          </w:p>
        </w:tc>
      </w:tr>
      <w:tr w14:paraId="5B529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51" w:type="dxa"/>
            <w:tcBorders>
              <w:top w:val="single" w:color="auto" w:sz="6" w:space="0"/>
              <w:left w:val="single" w:color="auto" w:sz="12" w:space="0"/>
              <w:bottom w:val="single" w:color="auto" w:sz="6" w:space="0"/>
              <w:right w:val="single" w:color="auto" w:sz="4" w:space="0"/>
            </w:tcBorders>
            <w:noWrap w:val="0"/>
            <w:vAlign w:val="center"/>
          </w:tcPr>
          <w:p w14:paraId="362A22DE">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6</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71E465FE">
            <w:pPr>
              <w:pStyle w:val="8"/>
              <w:adjustRightInd w:val="0"/>
              <w:snapToGrid w:val="0"/>
              <w:spacing w:line="440" w:lineRule="exact"/>
              <w:contextualSpacing/>
              <w:jc w:val="center"/>
              <w:rPr>
                <w:rFonts w:hint="eastAsia" w:hAnsi="宋体" w:cs="宋体"/>
                <w:color w:val="auto"/>
                <w:sz w:val="24"/>
                <w:szCs w:val="24"/>
                <w:lang w:val="en-US" w:eastAsia="zh-CN"/>
              </w:rPr>
            </w:pPr>
            <w:r>
              <w:rPr>
                <w:rFonts w:hint="eastAsia" w:hAnsi="宋体" w:cs="宋体"/>
                <w:color w:val="auto"/>
                <w:sz w:val="24"/>
                <w:szCs w:val="24"/>
                <w:lang w:val="en-US" w:eastAsia="zh-CN"/>
              </w:rPr>
              <w:t>其 它</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6E6DD3C">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0ADD25B4">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B58EC83">
            <w:pPr>
              <w:pStyle w:val="8"/>
              <w:adjustRightInd w:val="0"/>
              <w:snapToGrid w:val="0"/>
              <w:spacing w:line="440" w:lineRule="exact"/>
              <w:contextualSpacing/>
              <w:jc w:val="center"/>
              <w:rPr>
                <w:rFonts w:hint="eastAsia" w:hAnsi="宋体" w:cs="宋体"/>
                <w:color w:val="auto"/>
                <w:sz w:val="24"/>
                <w:szCs w:val="24"/>
                <w:lang w:val="en-US" w:eastAsia="zh-CN"/>
              </w:rPr>
            </w:pPr>
          </w:p>
        </w:tc>
        <w:tc>
          <w:tcPr>
            <w:tcW w:w="3833" w:type="dxa"/>
            <w:tcBorders>
              <w:top w:val="single" w:color="auto" w:sz="6" w:space="0"/>
              <w:left w:val="single" w:color="auto" w:sz="6" w:space="0"/>
              <w:bottom w:val="single" w:color="auto" w:sz="6" w:space="0"/>
              <w:right w:val="single" w:color="auto" w:sz="12" w:space="0"/>
            </w:tcBorders>
            <w:noWrap w:val="0"/>
            <w:vAlign w:val="center"/>
          </w:tcPr>
          <w:p w14:paraId="3F76A31D">
            <w:pPr>
              <w:pStyle w:val="8"/>
              <w:adjustRightInd w:val="0"/>
              <w:snapToGrid w:val="0"/>
              <w:spacing w:line="440" w:lineRule="exact"/>
              <w:contextualSpacing/>
              <w:jc w:val="center"/>
              <w:rPr>
                <w:rFonts w:hint="eastAsia" w:hAnsi="宋体" w:cs="宋体"/>
                <w:color w:val="auto"/>
                <w:sz w:val="24"/>
                <w:szCs w:val="24"/>
                <w:lang w:val="en-US" w:eastAsia="zh-CN"/>
              </w:rPr>
            </w:pPr>
          </w:p>
        </w:tc>
      </w:tr>
    </w:tbl>
    <w:p w14:paraId="783EAA87">
      <w:pPr>
        <w:pStyle w:val="8"/>
        <w:tabs>
          <w:tab w:val="left" w:pos="1500"/>
        </w:tabs>
        <w:adjustRightInd w:val="0"/>
        <w:snapToGrid w:val="0"/>
        <w:spacing w:line="360" w:lineRule="auto"/>
        <w:jc w:val="center"/>
        <w:rPr>
          <w:rFonts w:hint="eastAsia" w:hAnsi="宋体" w:cs="宋体"/>
          <w:b/>
          <w:color w:val="auto"/>
          <w:sz w:val="28"/>
        </w:rPr>
      </w:pPr>
      <w:r>
        <w:rPr>
          <w:rFonts w:hint="eastAsia" w:hAnsi="宋体" w:cs="宋体"/>
          <w:b/>
          <w:color w:val="auto"/>
          <w:sz w:val="28"/>
        </w:rPr>
        <w:tab/>
      </w:r>
    </w:p>
    <w:p w14:paraId="55608E01">
      <w:pPr>
        <w:pStyle w:val="8"/>
        <w:tabs>
          <w:tab w:val="left" w:pos="1500"/>
        </w:tabs>
        <w:adjustRightInd w:val="0"/>
        <w:snapToGrid w:val="0"/>
        <w:spacing w:line="360" w:lineRule="auto"/>
        <w:jc w:val="center"/>
        <w:rPr>
          <w:rFonts w:hint="eastAsia" w:hAnsi="宋体" w:cs="宋体"/>
          <w:b/>
          <w:color w:val="auto"/>
          <w:sz w:val="28"/>
        </w:rPr>
      </w:pPr>
    </w:p>
    <w:p w14:paraId="6A337D68">
      <w:pPr>
        <w:pStyle w:val="8"/>
        <w:tabs>
          <w:tab w:val="left" w:pos="1500"/>
        </w:tabs>
        <w:adjustRightInd w:val="0"/>
        <w:snapToGrid w:val="0"/>
        <w:spacing w:line="360" w:lineRule="auto"/>
        <w:jc w:val="center"/>
        <w:rPr>
          <w:rFonts w:hint="eastAsia" w:hAnsi="宋体" w:cs="宋体"/>
          <w:b/>
          <w:color w:val="auto"/>
          <w:sz w:val="28"/>
        </w:rPr>
      </w:pPr>
    </w:p>
    <w:p w14:paraId="6E3A09FC">
      <w:pPr>
        <w:pStyle w:val="8"/>
        <w:adjustRightInd w:val="0"/>
        <w:snapToGrid w:val="0"/>
        <w:spacing w:line="360" w:lineRule="auto"/>
        <w:jc w:val="center"/>
        <w:rPr>
          <w:rFonts w:hint="eastAsia" w:hAnsi="宋体" w:cs="宋体"/>
          <w:b/>
          <w:color w:val="auto"/>
          <w:sz w:val="28"/>
        </w:rPr>
      </w:pPr>
    </w:p>
    <w:p w14:paraId="3DD9C4E1">
      <w:pPr>
        <w:pStyle w:val="8"/>
        <w:adjustRightInd w:val="0"/>
        <w:snapToGrid w:val="0"/>
        <w:spacing w:line="360" w:lineRule="auto"/>
        <w:jc w:val="center"/>
        <w:rPr>
          <w:rFonts w:hint="eastAsia" w:hAnsi="宋体" w:cs="宋体"/>
          <w:b/>
          <w:color w:val="auto"/>
          <w:sz w:val="28"/>
        </w:rPr>
      </w:pPr>
    </w:p>
    <w:p w14:paraId="7F8C0CFE">
      <w:pPr>
        <w:pStyle w:val="8"/>
        <w:adjustRightInd w:val="0"/>
        <w:snapToGrid w:val="0"/>
        <w:spacing w:line="360" w:lineRule="auto"/>
        <w:jc w:val="center"/>
        <w:rPr>
          <w:rFonts w:hint="eastAsia" w:hAnsi="宋体" w:cs="宋体"/>
          <w:b/>
          <w:color w:val="auto"/>
          <w:sz w:val="28"/>
        </w:rPr>
      </w:pPr>
      <w:r>
        <w:rPr>
          <w:rFonts w:hint="eastAsia" w:hAnsi="宋体" w:cs="宋体"/>
          <w:b/>
          <w:color w:val="auto"/>
          <w:sz w:val="28"/>
        </w:rPr>
        <w:br w:type="page"/>
      </w:r>
    </w:p>
    <w:p w14:paraId="59BB952E">
      <w:pPr>
        <w:pStyle w:val="8"/>
        <w:adjustRightInd w:val="0"/>
        <w:snapToGrid w:val="0"/>
        <w:spacing w:line="360" w:lineRule="auto"/>
        <w:jc w:val="center"/>
        <w:rPr>
          <w:rFonts w:hint="eastAsia" w:hAnsi="宋体" w:cs="宋体"/>
          <w:b/>
          <w:color w:val="auto"/>
          <w:sz w:val="28"/>
        </w:rPr>
      </w:pPr>
      <w:r>
        <w:rPr>
          <w:rFonts w:hint="eastAsia" w:hAnsi="宋体" w:cs="宋体"/>
          <w:b/>
          <w:color w:val="auto"/>
          <w:sz w:val="28"/>
        </w:rPr>
        <w:t>表2.3主要施工机械设备表</w:t>
      </w: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733"/>
        <w:gridCol w:w="1058"/>
        <w:gridCol w:w="720"/>
        <w:gridCol w:w="1058"/>
        <w:gridCol w:w="1058"/>
        <w:gridCol w:w="1411"/>
        <w:gridCol w:w="1058"/>
        <w:gridCol w:w="824"/>
      </w:tblGrid>
      <w:tr w14:paraId="46D58C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719" w:type="dxa"/>
            <w:noWrap w:val="0"/>
            <w:vAlign w:val="center"/>
          </w:tcPr>
          <w:p w14:paraId="0C78EB01">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序号</w:t>
            </w:r>
          </w:p>
        </w:tc>
        <w:tc>
          <w:tcPr>
            <w:tcW w:w="1733" w:type="dxa"/>
            <w:noWrap w:val="0"/>
            <w:vAlign w:val="center"/>
          </w:tcPr>
          <w:p w14:paraId="4D10CAF5">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机械或设备名称</w:t>
            </w:r>
          </w:p>
        </w:tc>
        <w:tc>
          <w:tcPr>
            <w:tcW w:w="1058" w:type="dxa"/>
            <w:noWrap w:val="0"/>
            <w:vAlign w:val="center"/>
          </w:tcPr>
          <w:p w14:paraId="7D5F15B8">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型号规格</w:t>
            </w:r>
          </w:p>
        </w:tc>
        <w:tc>
          <w:tcPr>
            <w:tcW w:w="720" w:type="dxa"/>
            <w:noWrap w:val="0"/>
            <w:vAlign w:val="center"/>
          </w:tcPr>
          <w:p w14:paraId="7B6AF7B3">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数量</w:t>
            </w:r>
          </w:p>
        </w:tc>
        <w:tc>
          <w:tcPr>
            <w:tcW w:w="1058" w:type="dxa"/>
            <w:noWrap w:val="0"/>
            <w:vAlign w:val="center"/>
          </w:tcPr>
          <w:p w14:paraId="7E1CFB25">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国别产地</w:t>
            </w:r>
          </w:p>
        </w:tc>
        <w:tc>
          <w:tcPr>
            <w:tcW w:w="1058" w:type="dxa"/>
            <w:noWrap w:val="0"/>
            <w:vAlign w:val="center"/>
          </w:tcPr>
          <w:p w14:paraId="08883D52">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制造年份</w:t>
            </w:r>
          </w:p>
        </w:tc>
        <w:tc>
          <w:tcPr>
            <w:tcW w:w="1411" w:type="dxa"/>
            <w:noWrap w:val="0"/>
            <w:vAlign w:val="center"/>
          </w:tcPr>
          <w:p w14:paraId="3F7F99A6">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额定功率kW</w:t>
            </w:r>
          </w:p>
        </w:tc>
        <w:tc>
          <w:tcPr>
            <w:tcW w:w="1058" w:type="dxa"/>
            <w:noWrap w:val="0"/>
            <w:vAlign w:val="center"/>
          </w:tcPr>
          <w:p w14:paraId="2B01F7DC">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生产能力</w:t>
            </w:r>
          </w:p>
        </w:tc>
        <w:tc>
          <w:tcPr>
            <w:tcW w:w="824" w:type="dxa"/>
            <w:noWrap w:val="0"/>
            <w:vAlign w:val="center"/>
          </w:tcPr>
          <w:p w14:paraId="2B477AC4">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备注</w:t>
            </w:r>
          </w:p>
        </w:tc>
      </w:tr>
      <w:tr w14:paraId="6F9834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67" w:hRule="exact"/>
          <w:jc w:val="center"/>
        </w:trPr>
        <w:tc>
          <w:tcPr>
            <w:tcW w:w="719" w:type="dxa"/>
            <w:noWrap w:val="0"/>
            <w:vAlign w:val="center"/>
          </w:tcPr>
          <w:p w14:paraId="0C64CA5F">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1</w:t>
            </w:r>
          </w:p>
        </w:tc>
        <w:tc>
          <w:tcPr>
            <w:tcW w:w="1733" w:type="dxa"/>
            <w:noWrap w:val="0"/>
            <w:vAlign w:val="center"/>
          </w:tcPr>
          <w:p w14:paraId="46E8AA53">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1773F86E">
            <w:pPr>
              <w:pStyle w:val="8"/>
              <w:adjustRightInd w:val="0"/>
              <w:snapToGrid w:val="0"/>
              <w:spacing w:line="440" w:lineRule="exact"/>
              <w:contextualSpacing/>
              <w:jc w:val="center"/>
              <w:rPr>
                <w:rFonts w:hint="eastAsia" w:hAnsi="宋体" w:cs="宋体"/>
                <w:color w:val="auto"/>
                <w:lang w:val="en-US" w:eastAsia="zh-CN"/>
              </w:rPr>
            </w:pPr>
          </w:p>
        </w:tc>
        <w:tc>
          <w:tcPr>
            <w:tcW w:w="720" w:type="dxa"/>
            <w:noWrap w:val="0"/>
            <w:vAlign w:val="center"/>
          </w:tcPr>
          <w:p w14:paraId="122A2F53">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34E92307">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0F176106">
            <w:pPr>
              <w:pStyle w:val="8"/>
              <w:adjustRightInd w:val="0"/>
              <w:snapToGrid w:val="0"/>
              <w:spacing w:line="440" w:lineRule="exact"/>
              <w:contextualSpacing/>
              <w:jc w:val="center"/>
              <w:rPr>
                <w:rFonts w:hint="eastAsia" w:hAnsi="宋体" w:cs="宋体"/>
                <w:color w:val="auto"/>
                <w:lang w:val="en-US" w:eastAsia="zh-CN"/>
              </w:rPr>
            </w:pPr>
          </w:p>
        </w:tc>
        <w:tc>
          <w:tcPr>
            <w:tcW w:w="1411" w:type="dxa"/>
            <w:noWrap w:val="0"/>
            <w:vAlign w:val="center"/>
          </w:tcPr>
          <w:p w14:paraId="5E51E7CB">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72BE0358">
            <w:pPr>
              <w:pStyle w:val="8"/>
              <w:adjustRightInd w:val="0"/>
              <w:snapToGrid w:val="0"/>
              <w:spacing w:line="440" w:lineRule="exact"/>
              <w:contextualSpacing/>
              <w:jc w:val="center"/>
              <w:rPr>
                <w:rFonts w:hint="eastAsia" w:hAnsi="宋体" w:cs="宋体"/>
                <w:color w:val="auto"/>
                <w:lang w:val="en-US" w:eastAsia="zh-CN"/>
              </w:rPr>
            </w:pPr>
          </w:p>
        </w:tc>
        <w:tc>
          <w:tcPr>
            <w:tcW w:w="824" w:type="dxa"/>
            <w:noWrap w:val="0"/>
            <w:vAlign w:val="center"/>
          </w:tcPr>
          <w:p w14:paraId="37E458AE">
            <w:pPr>
              <w:pStyle w:val="8"/>
              <w:adjustRightInd w:val="0"/>
              <w:snapToGrid w:val="0"/>
              <w:spacing w:line="440" w:lineRule="exact"/>
              <w:contextualSpacing/>
              <w:jc w:val="center"/>
              <w:rPr>
                <w:rFonts w:hint="eastAsia" w:hAnsi="宋体" w:cs="宋体"/>
                <w:color w:val="auto"/>
                <w:lang w:val="en-US" w:eastAsia="zh-CN"/>
              </w:rPr>
            </w:pPr>
          </w:p>
        </w:tc>
      </w:tr>
      <w:tr w14:paraId="2824F7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67" w:hRule="exact"/>
          <w:jc w:val="center"/>
        </w:trPr>
        <w:tc>
          <w:tcPr>
            <w:tcW w:w="719" w:type="dxa"/>
            <w:noWrap w:val="0"/>
            <w:vAlign w:val="center"/>
          </w:tcPr>
          <w:p w14:paraId="0EF67A0F">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2</w:t>
            </w:r>
          </w:p>
        </w:tc>
        <w:tc>
          <w:tcPr>
            <w:tcW w:w="1733" w:type="dxa"/>
            <w:noWrap w:val="0"/>
            <w:vAlign w:val="center"/>
          </w:tcPr>
          <w:p w14:paraId="22320F0F">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05D7EC3D">
            <w:pPr>
              <w:pStyle w:val="8"/>
              <w:adjustRightInd w:val="0"/>
              <w:snapToGrid w:val="0"/>
              <w:spacing w:line="440" w:lineRule="exact"/>
              <w:contextualSpacing/>
              <w:jc w:val="center"/>
              <w:rPr>
                <w:rFonts w:hint="eastAsia" w:hAnsi="宋体" w:cs="宋体"/>
                <w:color w:val="auto"/>
                <w:lang w:val="en-US" w:eastAsia="zh-CN"/>
              </w:rPr>
            </w:pPr>
          </w:p>
        </w:tc>
        <w:tc>
          <w:tcPr>
            <w:tcW w:w="720" w:type="dxa"/>
            <w:noWrap w:val="0"/>
            <w:vAlign w:val="center"/>
          </w:tcPr>
          <w:p w14:paraId="2386B0FE">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391A6CB5">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715F333F">
            <w:pPr>
              <w:pStyle w:val="8"/>
              <w:adjustRightInd w:val="0"/>
              <w:snapToGrid w:val="0"/>
              <w:spacing w:line="440" w:lineRule="exact"/>
              <w:contextualSpacing/>
              <w:jc w:val="center"/>
              <w:rPr>
                <w:rFonts w:hint="eastAsia" w:hAnsi="宋体" w:cs="宋体"/>
                <w:color w:val="auto"/>
                <w:lang w:val="en-US" w:eastAsia="zh-CN"/>
              </w:rPr>
            </w:pPr>
          </w:p>
        </w:tc>
        <w:tc>
          <w:tcPr>
            <w:tcW w:w="1411" w:type="dxa"/>
            <w:noWrap w:val="0"/>
            <w:vAlign w:val="center"/>
          </w:tcPr>
          <w:p w14:paraId="272324AF">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20FC947A">
            <w:pPr>
              <w:pStyle w:val="8"/>
              <w:adjustRightInd w:val="0"/>
              <w:snapToGrid w:val="0"/>
              <w:spacing w:line="440" w:lineRule="exact"/>
              <w:contextualSpacing/>
              <w:jc w:val="center"/>
              <w:rPr>
                <w:rFonts w:hint="eastAsia" w:hAnsi="宋体" w:cs="宋体"/>
                <w:color w:val="auto"/>
                <w:lang w:val="en-US" w:eastAsia="zh-CN"/>
              </w:rPr>
            </w:pPr>
          </w:p>
        </w:tc>
        <w:tc>
          <w:tcPr>
            <w:tcW w:w="824" w:type="dxa"/>
            <w:noWrap w:val="0"/>
            <w:vAlign w:val="center"/>
          </w:tcPr>
          <w:p w14:paraId="10BBCAC3">
            <w:pPr>
              <w:pStyle w:val="8"/>
              <w:adjustRightInd w:val="0"/>
              <w:snapToGrid w:val="0"/>
              <w:spacing w:line="440" w:lineRule="exact"/>
              <w:contextualSpacing/>
              <w:jc w:val="center"/>
              <w:rPr>
                <w:rFonts w:hint="eastAsia" w:hAnsi="宋体" w:cs="宋体"/>
                <w:color w:val="auto"/>
                <w:lang w:val="en-US" w:eastAsia="zh-CN"/>
              </w:rPr>
            </w:pPr>
          </w:p>
        </w:tc>
      </w:tr>
      <w:tr w14:paraId="3C3EB3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67" w:hRule="exact"/>
          <w:jc w:val="center"/>
        </w:trPr>
        <w:tc>
          <w:tcPr>
            <w:tcW w:w="719" w:type="dxa"/>
            <w:noWrap w:val="0"/>
            <w:vAlign w:val="center"/>
          </w:tcPr>
          <w:p w14:paraId="70D2FE42">
            <w:pPr>
              <w:pStyle w:val="8"/>
              <w:adjustRightInd w:val="0"/>
              <w:snapToGrid w:val="0"/>
              <w:spacing w:line="440" w:lineRule="exact"/>
              <w:contextualSpacing/>
              <w:jc w:val="center"/>
              <w:rPr>
                <w:rFonts w:hint="eastAsia" w:hAnsi="宋体" w:cs="宋体"/>
                <w:color w:val="auto"/>
                <w:lang w:val="en-US" w:eastAsia="zh-CN"/>
              </w:rPr>
            </w:pPr>
            <w:r>
              <w:rPr>
                <w:rFonts w:hint="eastAsia" w:hAnsi="宋体" w:cs="宋体"/>
                <w:color w:val="auto"/>
                <w:lang w:val="en-US" w:eastAsia="zh-CN"/>
              </w:rPr>
              <w:t>3</w:t>
            </w:r>
          </w:p>
        </w:tc>
        <w:tc>
          <w:tcPr>
            <w:tcW w:w="1733" w:type="dxa"/>
            <w:noWrap w:val="0"/>
            <w:vAlign w:val="center"/>
          </w:tcPr>
          <w:p w14:paraId="331EA37B">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58839E60">
            <w:pPr>
              <w:pStyle w:val="8"/>
              <w:adjustRightInd w:val="0"/>
              <w:snapToGrid w:val="0"/>
              <w:spacing w:line="440" w:lineRule="exact"/>
              <w:contextualSpacing/>
              <w:jc w:val="center"/>
              <w:rPr>
                <w:rFonts w:hint="eastAsia" w:hAnsi="宋体" w:cs="宋体"/>
                <w:color w:val="auto"/>
                <w:lang w:val="en-US" w:eastAsia="zh-CN"/>
              </w:rPr>
            </w:pPr>
          </w:p>
        </w:tc>
        <w:tc>
          <w:tcPr>
            <w:tcW w:w="720" w:type="dxa"/>
            <w:noWrap w:val="0"/>
            <w:vAlign w:val="center"/>
          </w:tcPr>
          <w:p w14:paraId="314FBB52">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2CACC39C">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2B8D091C">
            <w:pPr>
              <w:pStyle w:val="8"/>
              <w:adjustRightInd w:val="0"/>
              <w:snapToGrid w:val="0"/>
              <w:spacing w:line="440" w:lineRule="exact"/>
              <w:contextualSpacing/>
              <w:jc w:val="center"/>
              <w:rPr>
                <w:rFonts w:hint="eastAsia" w:hAnsi="宋体" w:cs="宋体"/>
                <w:color w:val="auto"/>
                <w:lang w:val="en-US" w:eastAsia="zh-CN"/>
              </w:rPr>
            </w:pPr>
          </w:p>
        </w:tc>
        <w:tc>
          <w:tcPr>
            <w:tcW w:w="1411" w:type="dxa"/>
            <w:noWrap w:val="0"/>
            <w:vAlign w:val="center"/>
          </w:tcPr>
          <w:p w14:paraId="7F5DBCBD">
            <w:pPr>
              <w:pStyle w:val="8"/>
              <w:adjustRightInd w:val="0"/>
              <w:snapToGrid w:val="0"/>
              <w:spacing w:line="440" w:lineRule="exact"/>
              <w:contextualSpacing/>
              <w:jc w:val="center"/>
              <w:rPr>
                <w:rFonts w:hint="eastAsia" w:hAnsi="宋体" w:cs="宋体"/>
                <w:color w:val="auto"/>
                <w:lang w:val="en-US" w:eastAsia="zh-CN"/>
              </w:rPr>
            </w:pPr>
          </w:p>
        </w:tc>
        <w:tc>
          <w:tcPr>
            <w:tcW w:w="1058" w:type="dxa"/>
            <w:noWrap w:val="0"/>
            <w:vAlign w:val="center"/>
          </w:tcPr>
          <w:p w14:paraId="48431CED">
            <w:pPr>
              <w:pStyle w:val="8"/>
              <w:adjustRightInd w:val="0"/>
              <w:snapToGrid w:val="0"/>
              <w:spacing w:line="440" w:lineRule="exact"/>
              <w:contextualSpacing/>
              <w:jc w:val="center"/>
              <w:rPr>
                <w:rFonts w:hint="eastAsia" w:hAnsi="宋体" w:cs="宋体"/>
                <w:color w:val="auto"/>
                <w:lang w:val="en-US" w:eastAsia="zh-CN"/>
              </w:rPr>
            </w:pPr>
          </w:p>
        </w:tc>
        <w:tc>
          <w:tcPr>
            <w:tcW w:w="824" w:type="dxa"/>
            <w:noWrap w:val="0"/>
            <w:vAlign w:val="center"/>
          </w:tcPr>
          <w:p w14:paraId="7E284D98">
            <w:pPr>
              <w:pStyle w:val="8"/>
              <w:adjustRightInd w:val="0"/>
              <w:snapToGrid w:val="0"/>
              <w:spacing w:line="440" w:lineRule="exact"/>
              <w:contextualSpacing/>
              <w:jc w:val="center"/>
              <w:rPr>
                <w:rFonts w:hint="eastAsia" w:hAnsi="宋体" w:cs="宋体"/>
                <w:color w:val="auto"/>
                <w:lang w:val="en-US" w:eastAsia="zh-CN"/>
              </w:rPr>
            </w:pPr>
          </w:p>
        </w:tc>
      </w:tr>
    </w:tbl>
    <w:p w14:paraId="64DE6D41">
      <w:pPr>
        <w:pStyle w:val="8"/>
        <w:adjustRightInd w:val="0"/>
        <w:snapToGrid w:val="0"/>
        <w:spacing w:line="440" w:lineRule="exact"/>
        <w:contextualSpacing/>
        <w:jc w:val="center"/>
        <w:rPr>
          <w:rFonts w:hint="eastAsia" w:hAnsi="宋体" w:cs="宋体"/>
          <w:b/>
          <w:color w:val="auto"/>
          <w:sz w:val="28"/>
        </w:rPr>
      </w:pPr>
    </w:p>
    <w:p w14:paraId="7FAC8DF1">
      <w:pPr>
        <w:pStyle w:val="8"/>
        <w:adjustRightInd w:val="0"/>
        <w:snapToGrid w:val="0"/>
        <w:spacing w:line="360" w:lineRule="auto"/>
        <w:jc w:val="center"/>
        <w:rPr>
          <w:rFonts w:hint="eastAsia" w:hAnsi="宋体" w:cs="宋体"/>
          <w:color w:val="auto"/>
          <w:sz w:val="24"/>
          <w:szCs w:val="24"/>
        </w:rPr>
      </w:pPr>
      <w:r>
        <w:rPr>
          <w:rFonts w:hint="eastAsia" w:hAnsi="宋体" w:cs="宋体"/>
          <w:b/>
          <w:color w:val="auto"/>
          <w:sz w:val="24"/>
          <w:szCs w:val="24"/>
        </w:rPr>
        <w:t>表2.4劳动力计划表</w:t>
      </w:r>
    </w:p>
    <w:p w14:paraId="14CE6779">
      <w:pPr>
        <w:pStyle w:val="8"/>
        <w:adjustRightInd w:val="0"/>
        <w:snapToGrid w:val="0"/>
        <w:spacing w:line="440" w:lineRule="exact"/>
        <w:ind w:left="743" w:leftChars="354" w:right="559" w:rightChars="266" w:firstLine="424" w:firstLineChars="177"/>
        <w:contextualSpacing/>
        <w:jc w:val="left"/>
        <w:rPr>
          <w:rFonts w:hint="eastAsia" w:hAnsi="宋体" w:cs="宋体"/>
          <w:color w:val="auto"/>
          <w:sz w:val="24"/>
          <w:szCs w:val="24"/>
        </w:rPr>
      </w:pPr>
      <w:r>
        <w:rPr>
          <w:rFonts w:hint="eastAsia" w:hAnsi="宋体" w:cs="宋体"/>
          <w:color w:val="auto"/>
          <w:sz w:val="24"/>
          <w:szCs w:val="24"/>
        </w:rPr>
        <w:t>投标人应按所列格式提交包括分包人在内的估计的劳动力计划表。本计划表是以每班八小时工作制为基础的。</w:t>
      </w:r>
    </w:p>
    <w:p w14:paraId="1D026CD3">
      <w:pPr>
        <w:pStyle w:val="8"/>
        <w:adjustRightInd w:val="0"/>
        <w:snapToGrid w:val="0"/>
        <w:spacing w:line="440" w:lineRule="exact"/>
        <w:ind w:right="559" w:rightChars="266" w:firstLine="360" w:firstLineChars="150"/>
        <w:contextualSpacing/>
        <w:jc w:val="left"/>
        <w:rPr>
          <w:rFonts w:hAnsi="宋体" w:cs="宋体"/>
          <w:color w:val="auto"/>
          <w:sz w:val="24"/>
          <w:szCs w:val="24"/>
        </w:rPr>
      </w:pPr>
      <w:r>
        <w:rPr>
          <w:rFonts w:hint="eastAsia" w:hAnsi="宋体" w:cs="宋体"/>
          <w:color w:val="auto"/>
          <w:sz w:val="24"/>
          <w:szCs w:val="24"/>
        </w:rPr>
        <w:t>单位：人</w:t>
      </w:r>
    </w:p>
    <w:tbl>
      <w:tblPr>
        <w:tblStyle w:val="12"/>
        <w:tblW w:w="4999"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272"/>
        <w:gridCol w:w="1061"/>
        <w:gridCol w:w="1272"/>
        <w:gridCol w:w="1272"/>
        <w:gridCol w:w="1061"/>
        <w:gridCol w:w="1061"/>
        <w:gridCol w:w="1113"/>
      </w:tblGrid>
      <w:tr w14:paraId="21765B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08" w:type="pct"/>
            <w:vMerge w:val="restart"/>
            <w:noWrap w:val="0"/>
            <w:vAlign w:val="center"/>
          </w:tcPr>
          <w:p w14:paraId="16EA90AE">
            <w:pPr>
              <w:pStyle w:val="8"/>
              <w:spacing w:line="400" w:lineRule="exact"/>
              <w:jc w:val="center"/>
              <w:rPr>
                <w:rFonts w:hint="eastAsia" w:hAnsi="宋体" w:cs="Courier New"/>
                <w:b/>
                <w:color w:val="auto"/>
                <w:sz w:val="24"/>
                <w:lang w:val="en-US" w:eastAsia="zh-CN"/>
              </w:rPr>
            </w:pPr>
            <w:r>
              <w:rPr>
                <w:rFonts w:hint="eastAsia" w:hAnsi="宋体" w:cs="Courier New"/>
                <w:b/>
                <w:color w:val="auto"/>
                <w:sz w:val="24"/>
                <w:lang w:val="en-US" w:eastAsia="zh-CN"/>
              </w:rPr>
              <w:t>工种、级别</w:t>
            </w:r>
          </w:p>
        </w:tc>
        <w:tc>
          <w:tcPr>
            <w:tcW w:w="3891" w:type="pct"/>
            <w:gridSpan w:val="7"/>
            <w:noWrap w:val="0"/>
            <w:vAlign w:val="center"/>
          </w:tcPr>
          <w:p w14:paraId="0F5E4512">
            <w:pPr>
              <w:pStyle w:val="8"/>
              <w:spacing w:line="400" w:lineRule="exact"/>
              <w:jc w:val="center"/>
              <w:rPr>
                <w:rFonts w:hint="eastAsia" w:hAnsi="宋体" w:cs="Courier New"/>
                <w:b/>
                <w:color w:val="auto"/>
                <w:sz w:val="24"/>
                <w:lang w:val="en-US" w:eastAsia="zh-CN"/>
              </w:rPr>
            </w:pPr>
            <w:r>
              <w:rPr>
                <w:rFonts w:hint="eastAsia" w:hAnsi="宋体" w:cs="Courier New"/>
                <w:b/>
                <w:color w:val="auto"/>
                <w:sz w:val="24"/>
                <w:lang w:val="en-US" w:eastAsia="zh-CN"/>
              </w:rPr>
              <w:t>按工程施工阶段投入劳动力情况</w:t>
            </w:r>
          </w:p>
        </w:tc>
      </w:tr>
      <w:tr w14:paraId="0A53AF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08" w:type="pct"/>
            <w:vMerge w:val="continue"/>
            <w:noWrap w:val="0"/>
            <w:vAlign w:val="center"/>
          </w:tcPr>
          <w:p w14:paraId="0059486D">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18BEF698">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42DDFC49">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468EB6EE">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4AACDFE6">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79DB74FE">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311EE1D7">
            <w:pPr>
              <w:pStyle w:val="8"/>
              <w:spacing w:line="400" w:lineRule="exact"/>
              <w:jc w:val="center"/>
              <w:rPr>
                <w:rFonts w:hint="eastAsia" w:ascii="Times New Roman" w:hAnsi="Times New Roman" w:cs="Courier New"/>
                <w:color w:val="auto"/>
                <w:sz w:val="24"/>
                <w:lang w:val="en-US" w:eastAsia="zh-CN"/>
              </w:rPr>
            </w:pPr>
          </w:p>
        </w:tc>
        <w:tc>
          <w:tcPr>
            <w:tcW w:w="531" w:type="pct"/>
            <w:noWrap w:val="0"/>
            <w:vAlign w:val="top"/>
          </w:tcPr>
          <w:p w14:paraId="59AD6DAC">
            <w:pPr>
              <w:pStyle w:val="8"/>
              <w:spacing w:line="400" w:lineRule="exact"/>
              <w:rPr>
                <w:rFonts w:hint="eastAsia" w:ascii="Times New Roman" w:hAnsi="Times New Roman" w:cs="Courier New"/>
                <w:color w:val="auto"/>
                <w:sz w:val="24"/>
                <w:lang w:val="en-US" w:eastAsia="zh-CN"/>
              </w:rPr>
            </w:pPr>
          </w:p>
        </w:tc>
      </w:tr>
      <w:tr w14:paraId="6849B4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08" w:type="pct"/>
            <w:noWrap w:val="0"/>
            <w:vAlign w:val="center"/>
          </w:tcPr>
          <w:p w14:paraId="54D11028">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74CE3BE0">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7ED5B9C8">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5FE9FF34">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666CE148">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763C1E3D">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6BEA4607">
            <w:pPr>
              <w:pStyle w:val="8"/>
              <w:spacing w:line="400" w:lineRule="exact"/>
              <w:jc w:val="center"/>
              <w:rPr>
                <w:rFonts w:hint="eastAsia" w:ascii="Times New Roman" w:hAnsi="Times New Roman" w:cs="Courier New"/>
                <w:color w:val="auto"/>
                <w:sz w:val="24"/>
                <w:lang w:val="en-US" w:eastAsia="zh-CN"/>
              </w:rPr>
            </w:pPr>
          </w:p>
        </w:tc>
        <w:tc>
          <w:tcPr>
            <w:tcW w:w="531" w:type="pct"/>
            <w:noWrap w:val="0"/>
            <w:vAlign w:val="top"/>
          </w:tcPr>
          <w:p w14:paraId="3A1A03A9">
            <w:pPr>
              <w:pStyle w:val="8"/>
              <w:spacing w:line="400" w:lineRule="exact"/>
              <w:rPr>
                <w:rFonts w:hint="eastAsia" w:ascii="Times New Roman" w:hAnsi="Times New Roman" w:cs="Courier New"/>
                <w:color w:val="auto"/>
                <w:sz w:val="24"/>
                <w:lang w:val="en-US" w:eastAsia="zh-CN"/>
              </w:rPr>
            </w:pPr>
          </w:p>
        </w:tc>
      </w:tr>
      <w:tr w14:paraId="778658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08" w:type="pct"/>
            <w:noWrap w:val="0"/>
            <w:vAlign w:val="center"/>
          </w:tcPr>
          <w:p w14:paraId="3CC2446B">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790FC0C2">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4F378E2B">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0D63845E">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480911B3">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77953860">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7EA6E757">
            <w:pPr>
              <w:pStyle w:val="8"/>
              <w:spacing w:line="400" w:lineRule="exact"/>
              <w:jc w:val="center"/>
              <w:rPr>
                <w:rFonts w:hint="eastAsia" w:ascii="Times New Roman" w:hAnsi="Times New Roman" w:cs="Courier New"/>
                <w:color w:val="auto"/>
                <w:sz w:val="24"/>
                <w:lang w:val="en-US" w:eastAsia="zh-CN"/>
              </w:rPr>
            </w:pPr>
          </w:p>
        </w:tc>
        <w:tc>
          <w:tcPr>
            <w:tcW w:w="531" w:type="pct"/>
            <w:noWrap w:val="0"/>
            <w:vAlign w:val="top"/>
          </w:tcPr>
          <w:p w14:paraId="60BE9B82">
            <w:pPr>
              <w:pStyle w:val="8"/>
              <w:spacing w:line="400" w:lineRule="exact"/>
              <w:rPr>
                <w:rFonts w:hint="eastAsia" w:ascii="Times New Roman" w:hAnsi="Times New Roman" w:cs="Courier New"/>
                <w:color w:val="auto"/>
                <w:sz w:val="24"/>
                <w:lang w:val="en-US" w:eastAsia="zh-CN"/>
              </w:rPr>
            </w:pPr>
          </w:p>
        </w:tc>
      </w:tr>
      <w:tr w14:paraId="1C9D41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08" w:type="pct"/>
            <w:noWrap w:val="0"/>
            <w:vAlign w:val="center"/>
          </w:tcPr>
          <w:p w14:paraId="0DC378CD">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2BA88E79">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097290E4">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62A4B902">
            <w:pPr>
              <w:pStyle w:val="8"/>
              <w:spacing w:line="400" w:lineRule="exact"/>
              <w:jc w:val="center"/>
              <w:rPr>
                <w:rFonts w:hint="eastAsia" w:ascii="Times New Roman" w:hAnsi="Times New Roman" w:cs="Courier New"/>
                <w:color w:val="auto"/>
                <w:sz w:val="24"/>
                <w:lang w:val="en-US" w:eastAsia="zh-CN"/>
              </w:rPr>
            </w:pPr>
          </w:p>
        </w:tc>
        <w:tc>
          <w:tcPr>
            <w:tcW w:w="610" w:type="pct"/>
            <w:noWrap w:val="0"/>
            <w:vAlign w:val="center"/>
          </w:tcPr>
          <w:p w14:paraId="1CBAC4C5">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5991AFEF">
            <w:pPr>
              <w:pStyle w:val="8"/>
              <w:spacing w:line="400" w:lineRule="exact"/>
              <w:jc w:val="center"/>
              <w:rPr>
                <w:rFonts w:hint="eastAsia" w:ascii="Times New Roman" w:hAnsi="Times New Roman" w:cs="Courier New"/>
                <w:color w:val="auto"/>
                <w:sz w:val="24"/>
                <w:lang w:val="en-US" w:eastAsia="zh-CN"/>
              </w:rPr>
            </w:pPr>
          </w:p>
        </w:tc>
        <w:tc>
          <w:tcPr>
            <w:tcW w:w="509" w:type="pct"/>
            <w:noWrap w:val="0"/>
            <w:vAlign w:val="center"/>
          </w:tcPr>
          <w:p w14:paraId="7BA27533">
            <w:pPr>
              <w:pStyle w:val="8"/>
              <w:spacing w:line="400" w:lineRule="exact"/>
              <w:jc w:val="center"/>
              <w:rPr>
                <w:rFonts w:hint="eastAsia" w:ascii="Times New Roman" w:hAnsi="Times New Roman" w:cs="Courier New"/>
                <w:color w:val="auto"/>
                <w:sz w:val="24"/>
                <w:lang w:val="en-US" w:eastAsia="zh-CN"/>
              </w:rPr>
            </w:pPr>
          </w:p>
        </w:tc>
        <w:tc>
          <w:tcPr>
            <w:tcW w:w="531" w:type="pct"/>
            <w:noWrap w:val="0"/>
            <w:vAlign w:val="top"/>
          </w:tcPr>
          <w:p w14:paraId="3927CC04">
            <w:pPr>
              <w:pStyle w:val="8"/>
              <w:spacing w:line="400" w:lineRule="exact"/>
              <w:rPr>
                <w:rFonts w:hint="eastAsia" w:ascii="Times New Roman" w:hAnsi="Times New Roman" w:cs="Courier New"/>
                <w:color w:val="auto"/>
                <w:sz w:val="24"/>
                <w:lang w:val="en-US" w:eastAsia="zh-CN"/>
              </w:rPr>
            </w:pPr>
          </w:p>
        </w:tc>
      </w:tr>
    </w:tbl>
    <w:p w14:paraId="3945DA3B">
      <w:pPr>
        <w:pStyle w:val="8"/>
        <w:jc w:val="center"/>
        <w:rPr>
          <w:rFonts w:hint="eastAsia" w:hAnsi="Times New Roman"/>
          <w:b/>
          <w:color w:val="auto"/>
          <w:sz w:val="32"/>
        </w:rPr>
      </w:pPr>
    </w:p>
    <w:p w14:paraId="0D81F65B">
      <w:pPr>
        <w:pStyle w:val="8"/>
        <w:adjustRightInd w:val="0"/>
        <w:snapToGrid w:val="0"/>
        <w:spacing w:line="360" w:lineRule="auto"/>
        <w:jc w:val="center"/>
        <w:rPr>
          <w:rFonts w:hint="eastAsia" w:hAnsi="宋体" w:cs="宋体"/>
          <w:color w:val="auto"/>
          <w:sz w:val="24"/>
          <w:szCs w:val="24"/>
        </w:rPr>
      </w:pPr>
      <w:r>
        <w:rPr>
          <w:rFonts w:hint="eastAsia" w:hAnsi="宋体" w:cs="宋体"/>
          <w:b/>
          <w:color w:val="auto"/>
          <w:sz w:val="24"/>
          <w:szCs w:val="24"/>
        </w:rPr>
        <w:t>表2.5计划开、竣工日期和施工进度表</w:t>
      </w:r>
    </w:p>
    <w:p w14:paraId="314C3A1B">
      <w:pPr>
        <w:pStyle w:val="8"/>
        <w:adjustRightInd w:val="0"/>
        <w:snapToGrid w:val="0"/>
        <w:spacing w:line="440" w:lineRule="exact"/>
        <w:ind w:left="743" w:leftChars="354" w:right="559" w:rightChars="266" w:firstLine="424" w:firstLineChars="177"/>
        <w:contextualSpacing/>
        <w:jc w:val="left"/>
        <w:rPr>
          <w:rFonts w:hint="eastAsia" w:hAnsi="宋体" w:cs="宋体"/>
          <w:color w:val="auto"/>
          <w:sz w:val="24"/>
          <w:szCs w:val="24"/>
        </w:rPr>
      </w:pPr>
      <w:r>
        <w:rPr>
          <w:rFonts w:hint="eastAsia" w:hAnsi="宋体" w:cs="宋体"/>
          <w:color w:val="auto"/>
          <w:sz w:val="24"/>
          <w:szCs w:val="24"/>
        </w:rPr>
        <w:t>投标人应提交初步的施工进度表，说明按招标文件要求的工期进行施工的各个关键日期。中标的投标人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14:paraId="7589C149">
      <w:pPr>
        <w:spacing w:line="360" w:lineRule="auto"/>
        <w:rPr>
          <w:rFonts w:hint="eastAsia" w:ascii="宋体" w:hAnsi="宋体" w:cs="宋体"/>
          <w:b/>
          <w:bCs/>
          <w:color w:val="auto"/>
          <w:sz w:val="24"/>
          <w:szCs w:val="24"/>
        </w:rPr>
      </w:pPr>
    </w:p>
    <w:p w14:paraId="5547AE51">
      <w:pPr>
        <w:pStyle w:val="8"/>
        <w:adjustRightInd w:val="0"/>
        <w:snapToGrid w:val="0"/>
        <w:spacing w:line="440" w:lineRule="exact"/>
        <w:ind w:left="743" w:leftChars="354" w:right="559" w:rightChars="266" w:firstLine="424" w:firstLineChars="177"/>
        <w:contextualSpacing/>
        <w:jc w:val="left"/>
        <w:rPr>
          <w:rFonts w:hint="eastAsia" w:hAnsi="宋体" w:cs="宋体"/>
          <w:color w:val="auto"/>
          <w:sz w:val="24"/>
          <w:szCs w:val="24"/>
        </w:rPr>
      </w:pPr>
    </w:p>
    <w:p w14:paraId="0069B3DA">
      <w:pPr>
        <w:jc w:val="center"/>
        <w:rPr>
          <w:rFonts w:hint="eastAsia"/>
          <w:b/>
          <w:bCs/>
          <w:color w:val="auto"/>
          <w:sz w:val="27"/>
          <w:szCs w:val="27"/>
        </w:rPr>
      </w:pPr>
    </w:p>
    <w:p w14:paraId="529B52D2">
      <w:pPr>
        <w:rPr>
          <w:rFonts w:hint="eastAsia" w:ascii="Times New Roman" w:hAnsi="Times New Roman"/>
          <w:b/>
          <w:bCs/>
          <w:color w:val="auto"/>
          <w:kern w:val="0"/>
          <w:sz w:val="27"/>
          <w:szCs w:val="27"/>
        </w:rPr>
      </w:pPr>
      <w:r>
        <w:rPr>
          <w:rFonts w:hint="eastAsia" w:ascii="Times New Roman" w:hAnsi="Times New Roman"/>
          <w:b/>
          <w:bCs/>
          <w:color w:val="auto"/>
          <w:kern w:val="0"/>
          <w:sz w:val="27"/>
          <w:szCs w:val="27"/>
        </w:rPr>
        <w:br w:type="page"/>
      </w:r>
    </w:p>
    <w:p w14:paraId="782A7156">
      <w:pPr>
        <w:pStyle w:val="8"/>
        <w:adjustRightInd w:val="0"/>
        <w:snapToGrid w:val="0"/>
        <w:spacing w:line="440" w:lineRule="exact"/>
        <w:ind w:right="559" w:rightChars="266"/>
        <w:contextualSpacing/>
        <w:jc w:val="center"/>
        <w:rPr>
          <w:rFonts w:hint="eastAsia" w:ascii="Times New Roman" w:hAnsi="Times New Roman"/>
          <w:b/>
          <w:bCs/>
          <w:color w:val="auto"/>
          <w:kern w:val="0"/>
          <w:sz w:val="27"/>
          <w:szCs w:val="27"/>
        </w:rPr>
      </w:pPr>
      <w:r>
        <w:rPr>
          <w:rFonts w:hint="eastAsia" w:ascii="Times New Roman" w:hAnsi="Times New Roman"/>
          <w:b/>
          <w:bCs/>
          <w:color w:val="auto"/>
          <w:kern w:val="0"/>
          <w:sz w:val="27"/>
          <w:szCs w:val="27"/>
        </w:rPr>
        <w:t>三、现场勘查确认函</w:t>
      </w:r>
    </w:p>
    <w:p w14:paraId="1E79052A">
      <w:pPr>
        <w:spacing w:line="360" w:lineRule="auto"/>
        <w:ind w:left="420" w:leftChars="200"/>
        <w:jc w:val="center"/>
        <w:rPr>
          <w:rFonts w:hint="eastAsia" w:ascii="宋体" w:hAnsi="宋体" w:cs="宋体"/>
          <w:color w:val="auto"/>
          <w:sz w:val="28"/>
          <w:szCs w:val="28"/>
        </w:rPr>
      </w:pPr>
    </w:p>
    <w:p w14:paraId="339663AE">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（招标编号：</w:t>
      </w:r>
      <w:r>
        <w:rPr>
          <w:rFonts w:ascii="宋体" w:hAnsi="宋体" w:cs="宋体"/>
          <w:color w:val="auto"/>
          <w:sz w:val="28"/>
          <w:szCs w:val="28"/>
        </w:rPr>
        <w:t xml:space="preserve">            </w:t>
      </w:r>
      <w:r>
        <w:rPr>
          <w:rFonts w:hint="eastAsia" w:ascii="宋体" w:hAnsi="宋体" w:cs="宋体"/>
          <w:color w:val="auto"/>
          <w:sz w:val="28"/>
          <w:szCs w:val="28"/>
        </w:rPr>
        <w:t>号）</w:t>
      </w:r>
    </w:p>
    <w:p w14:paraId="3A5D9115">
      <w:pPr>
        <w:jc w:val="center"/>
        <w:rPr>
          <w:rFonts w:hint="eastAsia" w:ascii="宋体" w:hAnsi="宋体" w:cs="宋体"/>
          <w:color w:val="auto"/>
          <w:szCs w:val="21"/>
        </w:rPr>
      </w:pPr>
    </w:p>
    <w:p w14:paraId="58B6C5E2">
      <w:pPr>
        <w:tabs>
          <w:tab w:val="left" w:pos="3402"/>
        </w:tabs>
        <w:spacing w:line="360" w:lineRule="auto"/>
        <w:ind w:left="280" w:hanging="280" w:hangingChars="100"/>
        <w:rPr>
          <w:rFonts w:hint="eastAsia" w:ascii="宋体" w:hAnsi="宋体" w:cs="宋体"/>
          <w:color w:val="auto"/>
          <w:sz w:val="28"/>
          <w:szCs w:val="28"/>
          <w:u w:val="single"/>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(潜在投标人名称)于202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日，已对</w:t>
      </w:r>
      <w:r>
        <w:rPr>
          <w:rFonts w:hint="eastAsia" w:ascii="宋体" w:hAnsi="宋体" w:cs="宋体"/>
          <w:color w:val="auto"/>
          <w:sz w:val="28"/>
          <w:szCs w:val="28"/>
          <w:u w:val="single"/>
        </w:rPr>
        <w:t xml:space="preserve">            </w:t>
      </w:r>
      <w:r>
        <w:rPr>
          <w:rFonts w:hint="eastAsia" w:ascii="宋体" w:hAnsi="宋体" w:cs="宋体"/>
          <w:color w:val="auto"/>
          <w:sz w:val="28"/>
          <w:szCs w:val="28"/>
        </w:rPr>
        <w:t>进行现场勘查，且对现场周边状况进行了了解和确认。</w:t>
      </w:r>
    </w:p>
    <w:p w14:paraId="6A42CE89">
      <w:pPr>
        <w:rPr>
          <w:rFonts w:hint="eastAsia" w:ascii="宋体" w:hAnsi="宋体" w:cs="宋体"/>
          <w:color w:val="auto"/>
          <w:sz w:val="28"/>
          <w:szCs w:val="28"/>
        </w:rPr>
      </w:pPr>
    </w:p>
    <w:p w14:paraId="7D6E4727">
      <w:pPr>
        <w:ind w:firstLine="5460" w:firstLineChars="1950"/>
        <w:rPr>
          <w:rFonts w:hint="eastAsia" w:ascii="宋体" w:hAnsi="宋体" w:cs="宋体"/>
          <w:color w:val="auto"/>
          <w:sz w:val="28"/>
          <w:szCs w:val="28"/>
        </w:rPr>
      </w:pPr>
      <w:r>
        <w:rPr>
          <w:rFonts w:hint="eastAsia" w:ascii="宋体" w:hAnsi="宋体" w:cs="宋体"/>
          <w:color w:val="auto"/>
          <w:sz w:val="28"/>
          <w:szCs w:val="28"/>
        </w:rPr>
        <w:t>招标人（盖章）：</w:t>
      </w:r>
    </w:p>
    <w:p w14:paraId="7D652150">
      <w:pPr>
        <w:ind w:firstLine="5460" w:firstLineChars="1950"/>
        <w:rPr>
          <w:rFonts w:hint="eastAsia" w:ascii="宋体" w:hAnsi="宋体" w:cs="宋体"/>
          <w:color w:val="auto"/>
          <w:sz w:val="28"/>
          <w:szCs w:val="28"/>
        </w:rPr>
      </w:pPr>
    </w:p>
    <w:p w14:paraId="7C232185">
      <w:pPr>
        <w:ind w:firstLine="5460" w:firstLineChars="1950"/>
        <w:rPr>
          <w:rFonts w:hint="eastAsia" w:ascii="宋体" w:hAnsi="宋体" w:cs="宋体"/>
          <w:color w:val="auto"/>
          <w:sz w:val="28"/>
          <w:szCs w:val="28"/>
        </w:rPr>
      </w:pPr>
      <w:r>
        <w:rPr>
          <w:rFonts w:hint="eastAsia"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7882BAF8">
      <w:pPr>
        <w:rPr>
          <w:rFonts w:hint="eastAsia"/>
          <w:color w:val="auto"/>
          <w:sz w:val="28"/>
          <w:szCs w:val="28"/>
        </w:rPr>
      </w:pPr>
    </w:p>
    <w:p w14:paraId="167C3C16">
      <w:pPr>
        <w:jc w:val="center"/>
        <w:rPr>
          <w:rFonts w:hint="eastAsia"/>
          <w:b/>
          <w:bCs/>
          <w:color w:val="auto"/>
          <w:sz w:val="27"/>
          <w:szCs w:val="27"/>
        </w:rPr>
      </w:pPr>
    </w:p>
    <w:p w14:paraId="49430E42">
      <w:pPr>
        <w:jc w:val="center"/>
        <w:rPr>
          <w:rFonts w:hint="eastAsia" w:ascii="宋体" w:hAnsi="宋体" w:cs="宋体"/>
          <w:b/>
          <w:color w:val="auto"/>
          <w:sz w:val="30"/>
          <w:szCs w:val="30"/>
        </w:rPr>
      </w:pPr>
      <w:r>
        <w:rPr>
          <w:rFonts w:hint="eastAsia"/>
          <w:b/>
          <w:bCs/>
          <w:color w:val="auto"/>
          <w:sz w:val="27"/>
          <w:szCs w:val="27"/>
        </w:rPr>
        <w:br w:type="page"/>
      </w:r>
      <w:r>
        <w:rPr>
          <w:rFonts w:hint="eastAsia"/>
          <w:b/>
          <w:bCs/>
          <w:color w:val="auto"/>
          <w:sz w:val="27"/>
          <w:szCs w:val="27"/>
        </w:rPr>
        <w:t>四、供应商参加投标确认函</w:t>
      </w:r>
    </w:p>
    <w:p w14:paraId="368D97D0">
      <w:pPr>
        <w:spacing w:line="360" w:lineRule="auto"/>
        <w:rPr>
          <w:rFonts w:hint="eastAsia" w:ascii="宋体" w:hAnsi="宋体" w:cs="宋体"/>
          <w:color w:val="auto"/>
          <w:sz w:val="28"/>
          <w:szCs w:val="28"/>
        </w:rPr>
      </w:pPr>
    </w:p>
    <w:p w14:paraId="2A6E9D51">
      <w:pPr>
        <w:spacing w:line="360" w:lineRule="auto"/>
        <w:rPr>
          <w:rFonts w:hint="eastAsia" w:ascii="宋体" w:hAnsi="宋体" w:cs="宋体"/>
          <w:color w:val="auto"/>
          <w:sz w:val="28"/>
          <w:szCs w:val="28"/>
        </w:rPr>
      </w:pPr>
      <w:r>
        <w:rPr>
          <w:rFonts w:hint="eastAsia" w:ascii="宋体" w:hAnsi="宋体" w:cs="宋体"/>
          <w:color w:val="auto"/>
          <w:sz w:val="28"/>
          <w:szCs w:val="28"/>
        </w:rPr>
        <w:t>江苏汇诚投资咨询管理有限公司：</w:t>
      </w:r>
    </w:p>
    <w:p w14:paraId="7E309C80">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本单位将参加贵公司于</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日开标的采购编号为</w:t>
      </w:r>
      <w:r>
        <w:rPr>
          <w:rFonts w:hint="eastAsia" w:ascii="宋体" w:hAnsi="宋体" w:cs="宋体"/>
          <w:color w:val="auto"/>
          <w:sz w:val="28"/>
          <w:szCs w:val="28"/>
          <w:u w:val="single"/>
        </w:rPr>
        <w:t xml:space="preserve">       </w:t>
      </w:r>
      <w:r>
        <w:rPr>
          <w:rFonts w:hint="eastAsia" w:ascii="宋体" w:hAnsi="宋体" w:cs="宋体"/>
          <w:color w:val="auto"/>
          <w:sz w:val="28"/>
          <w:szCs w:val="28"/>
        </w:rPr>
        <w:t>的项目的投标。本单位已在网站成功下载标书，特发函确认。</w:t>
      </w:r>
    </w:p>
    <w:p w14:paraId="537C653A">
      <w:pPr>
        <w:spacing w:line="360" w:lineRule="auto"/>
        <w:ind w:left="3640" w:hanging="3640" w:hangingChars="1300"/>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（单位公章）</w:t>
      </w:r>
    </w:p>
    <w:p w14:paraId="4C80FD82">
      <w:pPr>
        <w:pBdr>
          <w:bottom w:val="single" w:color="auto" w:sz="6" w:space="1"/>
        </w:pBdr>
        <w:spacing w:line="360" w:lineRule="auto"/>
        <w:ind w:left="4620" w:hanging="4620" w:hangingChars="1650"/>
        <w:rPr>
          <w:rFonts w:hint="eastAsia" w:ascii="宋体" w:hAnsi="宋体" w:cs="宋体"/>
          <w:color w:val="auto"/>
          <w:sz w:val="28"/>
          <w:szCs w:val="28"/>
        </w:rPr>
      </w:pPr>
      <w:r>
        <w:rPr>
          <w:rFonts w:hint="eastAsia" w:ascii="宋体" w:hAnsi="宋体" w:cs="宋体"/>
          <w:color w:val="auto"/>
          <w:sz w:val="28"/>
          <w:szCs w:val="28"/>
        </w:rPr>
        <w:t xml:space="preserve">                                                    年  月  日</w:t>
      </w:r>
    </w:p>
    <w:p w14:paraId="02690215">
      <w:pPr>
        <w:spacing w:line="360" w:lineRule="auto"/>
        <w:ind w:left="4620" w:hanging="4620" w:hangingChars="1650"/>
        <w:rPr>
          <w:rFonts w:hint="eastAsia" w:ascii="宋体" w:hAnsi="宋体" w:cs="宋体"/>
          <w:color w:val="auto"/>
          <w:sz w:val="28"/>
          <w:szCs w:val="28"/>
        </w:rPr>
      </w:pPr>
      <w:r>
        <w:rPr>
          <w:rFonts w:hint="eastAsia" w:ascii="宋体" w:hAnsi="宋体" w:cs="宋体"/>
          <w:color w:val="auto"/>
          <w:sz w:val="28"/>
          <w:szCs w:val="28"/>
        </w:rPr>
        <w:t>附：</w:t>
      </w:r>
    </w:p>
    <w:p w14:paraId="7B6A8D2C">
      <w:pPr>
        <w:spacing w:line="360" w:lineRule="auto"/>
        <w:ind w:left="4638" w:hanging="4638" w:hangingChars="1650"/>
        <w:jc w:val="center"/>
        <w:rPr>
          <w:rFonts w:hint="eastAsia" w:ascii="宋体" w:hAnsi="宋体" w:cs="宋体"/>
          <w:b/>
          <w:color w:val="auto"/>
          <w:sz w:val="28"/>
          <w:szCs w:val="28"/>
        </w:rPr>
      </w:pPr>
      <w:r>
        <w:rPr>
          <w:rFonts w:hint="eastAsia" w:ascii="宋体" w:hAnsi="宋体" w:cs="宋体"/>
          <w:b/>
          <w:color w:val="auto"/>
          <w:sz w:val="28"/>
          <w:szCs w:val="28"/>
        </w:rPr>
        <w:t>供应商联系表</w:t>
      </w:r>
    </w:p>
    <w:tbl>
      <w:tblPr>
        <w:tblStyle w:val="1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551"/>
        <w:gridCol w:w="2550"/>
        <w:gridCol w:w="1988"/>
      </w:tblGrid>
      <w:tr w14:paraId="1351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noWrap w:val="0"/>
            <w:vAlign w:val="top"/>
          </w:tcPr>
          <w:p w14:paraId="0980D5A5">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单位名称</w:t>
            </w:r>
          </w:p>
        </w:tc>
        <w:tc>
          <w:tcPr>
            <w:tcW w:w="7089" w:type="dxa"/>
            <w:gridSpan w:val="3"/>
            <w:noWrap w:val="0"/>
            <w:vAlign w:val="top"/>
          </w:tcPr>
          <w:p w14:paraId="7226DFAA">
            <w:pPr>
              <w:adjustRightInd w:val="0"/>
              <w:spacing w:line="360" w:lineRule="auto"/>
              <w:contextualSpacing/>
              <w:jc w:val="center"/>
              <w:rPr>
                <w:rFonts w:hint="eastAsia" w:ascii="宋体" w:hAnsi="宋体" w:cs="宋体"/>
                <w:color w:val="auto"/>
                <w:sz w:val="28"/>
                <w:szCs w:val="28"/>
              </w:rPr>
            </w:pPr>
          </w:p>
        </w:tc>
      </w:tr>
      <w:tr w14:paraId="4C46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noWrap w:val="0"/>
            <w:vAlign w:val="top"/>
          </w:tcPr>
          <w:p w14:paraId="48301B10">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单位地址</w:t>
            </w:r>
          </w:p>
        </w:tc>
        <w:tc>
          <w:tcPr>
            <w:tcW w:w="7089" w:type="dxa"/>
            <w:gridSpan w:val="3"/>
            <w:noWrap w:val="0"/>
            <w:vAlign w:val="top"/>
          </w:tcPr>
          <w:p w14:paraId="4F6AAD15">
            <w:pPr>
              <w:adjustRightInd w:val="0"/>
              <w:spacing w:line="360" w:lineRule="auto"/>
              <w:contextualSpacing/>
              <w:jc w:val="center"/>
              <w:rPr>
                <w:rFonts w:hint="eastAsia" w:ascii="宋体" w:hAnsi="宋体" w:cs="宋体"/>
                <w:color w:val="auto"/>
                <w:sz w:val="28"/>
                <w:szCs w:val="28"/>
              </w:rPr>
            </w:pPr>
          </w:p>
        </w:tc>
      </w:tr>
      <w:tr w14:paraId="044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noWrap w:val="0"/>
            <w:vAlign w:val="top"/>
          </w:tcPr>
          <w:p w14:paraId="5A3D11C2">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法定代表人</w:t>
            </w:r>
          </w:p>
        </w:tc>
        <w:tc>
          <w:tcPr>
            <w:tcW w:w="2551" w:type="dxa"/>
            <w:noWrap w:val="0"/>
            <w:vAlign w:val="top"/>
          </w:tcPr>
          <w:p w14:paraId="7710B33D">
            <w:pPr>
              <w:adjustRightInd w:val="0"/>
              <w:spacing w:line="360" w:lineRule="auto"/>
              <w:contextualSpacing/>
              <w:rPr>
                <w:rFonts w:hint="eastAsia" w:ascii="宋体" w:hAnsi="宋体" w:cs="宋体"/>
                <w:color w:val="auto"/>
                <w:sz w:val="28"/>
                <w:szCs w:val="28"/>
              </w:rPr>
            </w:pPr>
          </w:p>
        </w:tc>
        <w:tc>
          <w:tcPr>
            <w:tcW w:w="2550" w:type="dxa"/>
            <w:noWrap w:val="0"/>
            <w:vAlign w:val="top"/>
          </w:tcPr>
          <w:p w14:paraId="6605B11B">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邮    编</w:t>
            </w:r>
          </w:p>
        </w:tc>
        <w:tc>
          <w:tcPr>
            <w:tcW w:w="1988" w:type="dxa"/>
            <w:noWrap w:val="0"/>
            <w:vAlign w:val="top"/>
          </w:tcPr>
          <w:p w14:paraId="79D28AE9">
            <w:pPr>
              <w:adjustRightInd w:val="0"/>
              <w:spacing w:line="360" w:lineRule="auto"/>
              <w:contextualSpacing/>
              <w:jc w:val="center"/>
              <w:rPr>
                <w:rFonts w:hint="eastAsia" w:ascii="宋体" w:hAnsi="宋体" w:cs="宋体"/>
                <w:color w:val="auto"/>
                <w:sz w:val="28"/>
                <w:szCs w:val="28"/>
              </w:rPr>
            </w:pPr>
          </w:p>
        </w:tc>
      </w:tr>
      <w:tr w14:paraId="724D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noWrap w:val="0"/>
            <w:vAlign w:val="top"/>
          </w:tcPr>
          <w:p w14:paraId="6456F255">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单位电话</w:t>
            </w:r>
          </w:p>
        </w:tc>
        <w:tc>
          <w:tcPr>
            <w:tcW w:w="2551" w:type="dxa"/>
            <w:noWrap w:val="0"/>
            <w:vAlign w:val="top"/>
          </w:tcPr>
          <w:p w14:paraId="74EC582B">
            <w:pPr>
              <w:adjustRightInd w:val="0"/>
              <w:spacing w:line="360" w:lineRule="auto"/>
              <w:contextualSpacing/>
              <w:jc w:val="center"/>
              <w:rPr>
                <w:rFonts w:hint="eastAsia" w:ascii="宋体" w:hAnsi="宋体" w:cs="宋体"/>
                <w:color w:val="auto"/>
                <w:sz w:val="28"/>
                <w:szCs w:val="28"/>
              </w:rPr>
            </w:pPr>
          </w:p>
        </w:tc>
        <w:tc>
          <w:tcPr>
            <w:tcW w:w="2550" w:type="dxa"/>
            <w:noWrap w:val="0"/>
            <w:vAlign w:val="top"/>
          </w:tcPr>
          <w:p w14:paraId="0299DAF8">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传真号码</w:t>
            </w:r>
          </w:p>
        </w:tc>
        <w:tc>
          <w:tcPr>
            <w:tcW w:w="1988" w:type="dxa"/>
            <w:noWrap w:val="0"/>
            <w:vAlign w:val="top"/>
          </w:tcPr>
          <w:p w14:paraId="3946A452">
            <w:pPr>
              <w:adjustRightInd w:val="0"/>
              <w:spacing w:line="360" w:lineRule="auto"/>
              <w:contextualSpacing/>
              <w:jc w:val="center"/>
              <w:rPr>
                <w:rFonts w:hint="eastAsia" w:ascii="宋体" w:hAnsi="宋体" w:cs="宋体"/>
                <w:color w:val="auto"/>
                <w:sz w:val="28"/>
                <w:szCs w:val="28"/>
              </w:rPr>
            </w:pPr>
          </w:p>
        </w:tc>
      </w:tr>
      <w:tr w14:paraId="2BBE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noWrap w:val="0"/>
            <w:vAlign w:val="top"/>
          </w:tcPr>
          <w:p w14:paraId="294287C6">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项目联系人</w:t>
            </w:r>
          </w:p>
        </w:tc>
        <w:tc>
          <w:tcPr>
            <w:tcW w:w="2551" w:type="dxa"/>
            <w:noWrap w:val="0"/>
            <w:vAlign w:val="top"/>
          </w:tcPr>
          <w:p w14:paraId="590389F6">
            <w:pPr>
              <w:adjustRightInd w:val="0"/>
              <w:spacing w:line="360" w:lineRule="auto"/>
              <w:contextualSpacing/>
              <w:jc w:val="center"/>
              <w:rPr>
                <w:rFonts w:hint="eastAsia" w:ascii="宋体" w:hAnsi="宋体" w:cs="宋体"/>
                <w:color w:val="auto"/>
                <w:sz w:val="28"/>
                <w:szCs w:val="28"/>
              </w:rPr>
            </w:pPr>
          </w:p>
        </w:tc>
        <w:tc>
          <w:tcPr>
            <w:tcW w:w="2550" w:type="dxa"/>
            <w:noWrap w:val="0"/>
            <w:vAlign w:val="top"/>
          </w:tcPr>
          <w:p w14:paraId="366EAACC">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邮    箱</w:t>
            </w:r>
          </w:p>
        </w:tc>
        <w:tc>
          <w:tcPr>
            <w:tcW w:w="1988" w:type="dxa"/>
            <w:noWrap w:val="0"/>
            <w:vAlign w:val="top"/>
          </w:tcPr>
          <w:p w14:paraId="3D688765">
            <w:pPr>
              <w:adjustRightInd w:val="0"/>
              <w:spacing w:line="360" w:lineRule="auto"/>
              <w:contextualSpacing/>
              <w:jc w:val="center"/>
              <w:rPr>
                <w:rFonts w:hint="eastAsia" w:ascii="宋体" w:hAnsi="宋体" w:cs="宋体"/>
                <w:color w:val="auto"/>
                <w:sz w:val="28"/>
                <w:szCs w:val="28"/>
              </w:rPr>
            </w:pPr>
          </w:p>
        </w:tc>
      </w:tr>
      <w:tr w14:paraId="48B2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noWrap w:val="0"/>
            <w:vAlign w:val="top"/>
          </w:tcPr>
          <w:p w14:paraId="7225AA83">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联系人电话</w:t>
            </w:r>
          </w:p>
        </w:tc>
        <w:tc>
          <w:tcPr>
            <w:tcW w:w="2551" w:type="dxa"/>
            <w:noWrap w:val="0"/>
            <w:vAlign w:val="top"/>
          </w:tcPr>
          <w:p w14:paraId="7A6DEA2B">
            <w:pPr>
              <w:adjustRightInd w:val="0"/>
              <w:spacing w:line="360" w:lineRule="auto"/>
              <w:contextualSpacing/>
              <w:jc w:val="center"/>
              <w:rPr>
                <w:rFonts w:hint="eastAsia" w:ascii="宋体" w:hAnsi="宋体" w:cs="宋体"/>
                <w:color w:val="auto"/>
                <w:sz w:val="28"/>
                <w:szCs w:val="28"/>
              </w:rPr>
            </w:pPr>
          </w:p>
        </w:tc>
        <w:tc>
          <w:tcPr>
            <w:tcW w:w="2550" w:type="dxa"/>
            <w:noWrap w:val="0"/>
            <w:vAlign w:val="top"/>
          </w:tcPr>
          <w:p w14:paraId="1AE1A7C0">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联系人手机</w:t>
            </w:r>
          </w:p>
        </w:tc>
        <w:tc>
          <w:tcPr>
            <w:tcW w:w="1988" w:type="dxa"/>
            <w:noWrap w:val="0"/>
            <w:vAlign w:val="top"/>
          </w:tcPr>
          <w:p w14:paraId="7F634F4C">
            <w:pPr>
              <w:adjustRightInd w:val="0"/>
              <w:spacing w:line="360" w:lineRule="auto"/>
              <w:contextualSpacing/>
              <w:jc w:val="center"/>
              <w:rPr>
                <w:rFonts w:hint="eastAsia" w:ascii="宋体" w:hAnsi="宋体" w:cs="宋体"/>
                <w:color w:val="auto"/>
                <w:sz w:val="28"/>
                <w:szCs w:val="28"/>
              </w:rPr>
            </w:pPr>
          </w:p>
        </w:tc>
      </w:tr>
      <w:tr w14:paraId="514E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4" w:type="dxa"/>
            <w:noWrap w:val="0"/>
            <w:vAlign w:val="top"/>
          </w:tcPr>
          <w:p w14:paraId="72741B0E">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所投分包</w:t>
            </w:r>
          </w:p>
        </w:tc>
        <w:tc>
          <w:tcPr>
            <w:tcW w:w="7089" w:type="dxa"/>
            <w:gridSpan w:val="3"/>
            <w:noWrap w:val="0"/>
            <w:vAlign w:val="top"/>
          </w:tcPr>
          <w:p w14:paraId="2BFD3FC7">
            <w:pPr>
              <w:adjustRightInd w:val="0"/>
              <w:spacing w:line="360" w:lineRule="auto"/>
              <w:contextualSpacing/>
              <w:jc w:val="center"/>
              <w:rPr>
                <w:rFonts w:hint="eastAsia" w:ascii="宋体" w:hAnsi="宋体" w:cs="宋体"/>
                <w:color w:val="auto"/>
                <w:sz w:val="28"/>
                <w:szCs w:val="28"/>
              </w:rPr>
            </w:pPr>
            <w:r>
              <w:rPr>
                <w:rFonts w:hint="eastAsia" w:ascii="宋体" w:hAnsi="宋体" w:cs="宋体"/>
                <w:color w:val="auto"/>
                <w:sz w:val="28"/>
                <w:szCs w:val="28"/>
              </w:rPr>
              <w:t>/</w:t>
            </w:r>
          </w:p>
        </w:tc>
      </w:tr>
    </w:tbl>
    <w:p w14:paraId="5405D91B">
      <w:pPr>
        <w:adjustRightInd w:val="0"/>
        <w:spacing w:line="360" w:lineRule="auto"/>
        <w:ind w:firstLine="562" w:firstLineChars="200"/>
        <w:contextualSpacing/>
        <w:rPr>
          <w:rFonts w:hint="eastAsia" w:ascii="宋体" w:hAnsi="宋体" w:cs="宋体"/>
          <w:b/>
          <w:color w:val="auto"/>
          <w:sz w:val="28"/>
          <w:szCs w:val="28"/>
        </w:rPr>
      </w:pPr>
    </w:p>
    <w:p w14:paraId="070C99A7">
      <w:pPr>
        <w:adjustRightInd w:val="0"/>
        <w:spacing w:line="360" w:lineRule="auto"/>
        <w:ind w:firstLine="562" w:firstLineChars="200"/>
        <w:contextualSpacing/>
        <w:rPr>
          <w:rFonts w:hint="eastAsia" w:ascii="宋体" w:hAnsi="宋体" w:cs="宋体"/>
          <w:b/>
          <w:color w:val="auto"/>
          <w:sz w:val="28"/>
          <w:szCs w:val="28"/>
        </w:rPr>
      </w:pPr>
      <w:r>
        <w:rPr>
          <w:rFonts w:hint="eastAsia" w:ascii="宋体" w:hAnsi="宋体" w:cs="宋体"/>
          <w:b/>
          <w:color w:val="auto"/>
          <w:sz w:val="28"/>
          <w:szCs w:val="28"/>
        </w:rPr>
        <w:t>备注：1、请准备参与本项目投标的供应商如实填写（以上信息均为必填内容）后邮件至采购代理机构（邮箱：</w:t>
      </w:r>
      <w:r>
        <w:rPr>
          <w:rFonts w:hint="eastAsia" w:ascii="宋体" w:hAnsi="宋体" w:cs="宋体"/>
          <w:b/>
          <w:color w:val="auto"/>
          <w:sz w:val="28"/>
          <w:szCs w:val="28"/>
          <w:lang w:val="en-US" w:eastAsia="zh-CN"/>
        </w:rPr>
        <w:t>857580353</w:t>
      </w:r>
      <w:r>
        <w:rPr>
          <w:rFonts w:hint="eastAsia" w:ascii="宋体" w:hAnsi="宋体" w:cs="宋体"/>
          <w:b/>
          <w:color w:val="auto"/>
          <w:sz w:val="28"/>
          <w:szCs w:val="28"/>
        </w:rPr>
        <w:t>@qq.com，联系电话</w:t>
      </w:r>
      <w:r>
        <w:rPr>
          <w:rFonts w:hint="eastAsia" w:ascii="宋体" w:hAnsi="宋体" w:cs="宋体"/>
          <w:b/>
          <w:color w:val="auto"/>
          <w:sz w:val="28"/>
          <w:szCs w:val="28"/>
          <w:lang w:eastAsia="zh-CN"/>
        </w:rPr>
        <w:t>：</w:t>
      </w:r>
      <w:r>
        <w:rPr>
          <w:rFonts w:hint="eastAsia" w:ascii="宋体" w:hAnsi="宋体" w:cs="宋体"/>
          <w:b/>
          <w:color w:val="auto"/>
          <w:sz w:val="28"/>
          <w:szCs w:val="28"/>
        </w:rPr>
        <w:t>15062822404）。</w:t>
      </w:r>
    </w:p>
    <w:p w14:paraId="0DEC341F">
      <w:pPr>
        <w:adjustRightInd w:val="0"/>
        <w:spacing w:line="360" w:lineRule="auto"/>
        <w:ind w:firstLine="562" w:firstLineChars="200"/>
        <w:contextualSpacing/>
        <w:rPr>
          <w:rFonts w:hint="eastAsia" w:ascii="宋体" w:hAnsi="宋体" w:cs="宋体"/>
          <w:b/>
          <w:color w:val="auto"/>
          <w:sz w:val="28"/>
          <w:szCs w:val="28"/>
        </w:rPr>
      </w:pPr>
      <w:r>
        <w:rPr>
          <w:rFonts w:hint="eastAsia" w:ascii="宋体" w:hAnsi="宋体" w:cs="宋体"/>
          <w:b/>
          <w:color w:val="auto"/>
          <w:sz w:val="28"/>
          <w:szCs w:val="28"/>
        </w:rPr>
        <w:t>2、因投标人填写有误，造成以上信息资料的不实将由投标人承担责任。</w:t>
      </w:r>
    </w:p>
    <w:p w14:paraId="442A1DFC">
      <w:pPr>
        <w:pStyle w:val="8"/>
        <w:adjustRightInd w:val="0"/>
        <w:snapToGrid w:val="0"/>
        <w:spacing w:line="360" w:lineRule="auto"/>
        <w:ind w:left="743" w:leftChars="354" w:right="559" w:rightChars="266" w:firstLine="495" w:firstLineChars="177"/>
        <w:contextualSpacing/>
        <w:jc w:val="left"/>
        <w:rPr>
          <w:rFonts w:hint="eastAsia" w:hAnsi="宋体" w:cs="宋体"/>
          <w:color w:val="auto"/>
          <w:sz w:val="28"/>
          <w:szCs w:val="28"/>
        </w:rPr>
      </w:pPr>
    </w:p>
    <w:p w14:paraId="4557053D">
      <w:pPr>
        <w:rPr>
          <w:color w:val="auto"/>
        </w:rPr>
      </w:pPr>
    </w:p>
    <w:p w14:paraId="31FDAB61">
      <w:pPr>
        <w:rPr>
          <w:color w:val="auto"/>
        </w:rPr>
      </w:pPr>
    </w:p>
    <w:p w14:paraId="4E121926"/>
    <w:sectPr>
      <w:footerReference r:id="rId3" w:type="default"/>
      <w:footerReference r:id="rId4" w:type="even"/>
      <w:pgSz w:w="11907" w:h="16840"/>
      <w:pgMar w:top="1440" w:right="850" w:bottom="1440" w:left="850"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彩虹粗仿宋">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5E2F">
    <w:pPr>
      <w:pStyle w:val="10"/>
      <w:framePr w:wrap="around" w:vAnchor="text" w:hAnchor="margin" w:xAlign="right" w:y="1"/>
      <w:rPr>
        <w:rStyle w:val="14"/>
      </w:rPr>
    </w:pPr>
    <w:r>
      <w:fldChar w:fldCharType="begin"/>
    </w:r>
    <w:r>
      <w:rPr>
        <w:rStyle w:val="14"/>
      </w:rPr>
      <w:instrText xml:space="preserve">PAGE  </w:instrText>
    </w:r>
    <w:r>
      <w:fldChar w:fldCharType="separate"/>
    </w:r>
    <w:r>
      <w:rPr>
        <w:rStyle w:val="14"/>
      </w:rPr>
      <w:t>10</w:t>
    </w:r>
    <w:r>
      <w:fldChar w:fldCharType="end"/>
    </w:r>
  </w:p>
  <w:p w14:paraId="512C7463">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19D5">
    <w:pPr>
      <w:pStyle w:val="10"/>
      <w:framePr w:wrap="around" w:vAnchor="text" w:hAnchor="margin" w:xAlign="right" w:y="1"/>
      <w:rPr>
        <w:rStyle w:val="14"/>
      </w:rPr>
    </w:pPr>
    <w:r>
      <w:fldChar w:fldCharType="begin"/>
    </w:r>
    <w:r>
      <w:rPr>
        <w:rStyle w:val="14"/>
      </w:rPr>
      <w:instrText xml:space="preserve">PAGE  </w:instrText>
    </w:r>
    <w:r>
      <w:fldChar w:fldCharType="separate"/>
    </w:r>
    <w:r>
      <w:fldChar w:fldCharType="end"/>
    </w:r>
  </w:p>
  <w:p w14:paraId="64666771">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24"/>
      <w:lvlText w:val=""/>
      <w:lvlJc w:val="left"/>
      <w:pPr>
        <w:tabs>
          <w:tab w:val="left" w:pos="780"/>
        </w:tabs>
        <w:ind w:left="7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TRmY2I3NjA1N2M0MGI4MDZkOWEzNzYwNDVkNjQifQ=="/>
  </w:docVars>
  <w:rsids>
    <w:rsidRoot w:val="5B5B71B8"/>
    <w:rsid w:val="0050638A"/>
    <w:rsid w:val="00C117A3"/>
    <w:rsid w:val="019127B6"/>
    <w:rsid w:val="03912F41"/>
    <w:rsid w:val="03BD5AE4"/>
    <w:rsid w:val="06BF7DC5"/>
    <w:rsid w:val="09C3197A"/>
    <w:rsid w:val="09DE4A06"/>
    <w:rsid w:val="0AB3379D"/>
    <w:rsid w:val="0CA438B6"/>
    <w:rsid w:val="0E43752E"/>
    <w:rsid w:val="0E8C4A31"/>
    <w:rsid w:val="0F0767AD"/>
    <w:rsid w:val="1034712E"/>
    <w:rsid w:val="10505F32"/>
    <w:rsid w:val="112520A6"/>
    <w:rsid w:val="143212D7"/>
    <w:rsid w:val="14537D9F"/>
    <w:rsid w:val="154D3E45"/>
    <w:rsid w:val="18AE37F5"/>
    <w:rsid w:val="193C52A5"/>
    <w:rsid w:val="1AA41354"/>
    <w:rsid w:val="1AC63078"/>
    <w:rsid w:val="1B0E67CD"/>
    <w:rsid w:val="1B72395C"/>
    <w:rsid w:val="1BDE7A6D"/>
    <w:rsid w:val="1BF6798D"/>
    <w:rsid w:val="1CB17D58"/>
    <w:rsid w:val="1D5F207E"/>
    <w:rsid w:val="1F0028D1"/>
    <w:rsid w:val="1FB43DE7"/>
    <w:rsid w:val="1FF22B62"/>
    <w:rsid w:val="20AD06F2"/>
    <w:rsid w:val="20EE50D7"/>
    <w:rsid w:val="240C57AD"/>
    <w:rsid w:val="25714580"/>
    <w:rsid w:val="26A5517A"/>
    <w:rsid w:val="274C0DA9"/>
    <w:rsid w:val="27750300"/>
    <w:rsid w:val="2B4F358C"/>
    <w:rsid w:val="2BE9306B"/>
    <w:rsid w:val="2CA03F40"/>
    <w:rsid w:val="2D1F486A"/>
    <w:rsid w:val="2D5C381D"/>
    <w:rsid w:val="2E2C6BA8"/>
    <w:rsid w:val="2EA84D5E"/>
    <w:rsid w:val="2ED51684"/>
    <w:rsid w:val="2F6F1AD9"/>
    <w:rsid w:val="2F892BA6"/>
    <w:rsid w:val="313F1A67"/>
    <w:rsid w:val="320B5C44"/>
    <w:rsid w:val="35700359"/>
    <w:rsid w:val="36696858"/>
    <w:rsid w:val="367D1EB9"/>
    <w:rsid w:val="36CA5847"/>
    <w:rsid w:val="3756532C"/>
    <w:rsid w:val="38051F0E"/>
    <w:rsid w:val="39113C01"/>
    <w:rsid w:val="391804E0"/>
    <w:rsid w:val="39965EB4"/>
    <w:rsid w:val="39CE1AF2"/>
    <w:rsid w:val="3A3940A3"/>
    <w:rsid w:val="3AA82343"/>
    <w:rsid w:val="3AE570F3"/>
    <w:rsid w:val="3B1B6D25"/>
    <w:rsid w:val="3B2D45F6"/>
    <w:rsid w:val="3BDC04F6"/>
    <w:rsid w:val="3C0B2B89"/>
    <w:rsid w:val="3C3F0A85"/>
    <w:rsid w:val="3C865DF7"/>
    <w:rsid w:val="3C9851B3"/>
    <w:rsid w:val="3CA13BE7"/>
    <w:rsid w:val="3D613AED"/>
    <w:rsid w:val="3F4A1C1A"/>
    <w:rsid w:val="401A15ED"/>
    <w:rsid w:val="412071E1"/>
    <w:rsid w:val="417F1E67"/>
    <w:rsid w:val="42B37AD7"/>
    <w:rsid w:val="42ED2FE9"/>
    <w:rsid w:val="44145F75"/>
    <w:rsid w:val="44D41EF5"/>
    <w:rsid w:val="458D57CB"/>
    <w:rsid w:val="45E95BCA"/>
    <w:rsid w:val="467F03FC"/>
    <w:rsid w:val="470703F1"/>
    <w:rsid w:val="47D70D38"/>
    <w:rsid w:val="48314E7E"/>
    <w:rsid w:val="488241D3"/>
    <w:rsid w:val="48ED2DD5"/>
    <w:rsid w:val="49121BEA"/>
    <w:rsid w:val="494C1087"/>
    <w:rsid w:val="4A2319E6"/>
    <w:rsid w:val="4B013AD5"/>
    <w:rsid w:val="4B0E160C"/>
    <w:rsid w:val="4B661184"/>
    <w:rsid w:val="4BEA36F5"/>
    <w:rsid w:val="4C231829"/>
    <w:rsid w:val="4C722E57"/>
    <w:rsid w:val="4D9724CF"/>
    <w:rsid w:val="4DC64B62"/>
    <w:rsid w:val="4E1C4791"/>
    <w:rsid w:val="4EC05A55"/>
    <w:rsid w:val="4EE72FE2"/>
    <w:rsid w:val="4F5A0B91"/>
    <w:rsid w:val="4F5C39D0"/>
    <w:rsid w:val="504F35C5"/>
    <w:rsid w:val="50B61A62"/>
    <w:rsid w:val="52AF2069"/>
    <w:rsid w:val="52C330A6"/>
    <w:rsid w:val="52E02222"/>
    <w:rsid w:val="531225F7"/>
    <w:rsid w:val="532C7A0F"/>
    <w:rsid w:val="53605111"/>
    <w:rsid w:val="54647FC2"/>
    <w:rsid w:val="54C33BA9"/>
    <w:rsid w:val="54CA5BE5"/>
    <w:rsid w:val="554A2177"/>
    <w:rsid w:val="559D089E"/>
    <w:rsid w:val="56AD4B11"/>
    <w:rsid w:val="56C37E91"/>
    <w:rsid w:val="57107AD7"/>
    <w:rsid w:val="580556A2"/>
    <w:rsid w:val="58260932"/>
    <w:rsid w:val="593115DE"/>
    <w:rsid w:val="59AF1F56"/>
    <w:rsid w:val="59EE5898"/>
    <w:rsid w:val="5B5B71B8"/>
    <w:rsid w:val="5BA67D81"/>
    <w:rsid w:val="5C1B076F"/>
    <w:rsid w:val="5D187289"/>
    <w:rsid w:val="5EAB402C"/>
    <w:rsid w:val="5FBF7C2A"/>
    <w:rsid w:val="608304B5"/>
    <w:rsid w:val="61B72CE8"/>
    <w:rsid w:val="61D908F6"/>
    <w:rsid w:val="62593D9F"/>
    <w:rsid w:val="63497970"/>
    <w:rsid w:val="63536A40"/>
    <w:rsid w:val="63CD05A1"/>
    <w:rsid w:val="645111D2"/>
    <w:rsid w:val="65757142"/>
    <w:rsid w:val="65FA5C65"/>
    <w:rsid w:val="66EF590A"/>
    <w:rsid w:val="67670D0C"/>
    <w:rsid w:val="67930F4E"/>
    <w:rsid w:val="69766FE4"/>
    <w:rsid w:val="6A341AF4"/>
    <w:rsid w:val="6A575068"/>
    <w:rsid w:val="6B176A6A"/>
    <w:rsid w:val="6BCA3618"/>
    <w:rsid w:val="6BDB6CF8"/>
    <w:rsid w:val="6C180827"/>
    <w:rsid w:val="6D4C69DA"/>
    <w:rsid w:val="6D9F57EA"/>
    <w:rsid w:val="6DAD4F9F"/>
    <w:rsid w:val="6E1B015A"/>
    <w:rsid w:val="71AF12E6"/>
    <w:rsid w:val="72EE5E3E"/>
    <w:rsid w:val="72F11931"/>
    <w:rsid w:val="74842EFD"/>
    <w:rsid w:val="74B44E65"/>
    <w:rsid w:val="762B1157"/>
    <w:rsid w:val="76832D41"/>
    <w:rsid w:val="77C43611"/>
    <w:rsid w:val="780A196C"/>
    <w:rsid w:val="78306EF8"/>
    <w:rsid w:val="78D45AD6"/>
    <w:rsid w:val="795B7FA5"/>
    <w:rsid w:val="79B7342D"/>
    <w:rsid w:val="7A940132"/>
    <w:rsid w:val="7BAB7342"/>
    <w:rsid w:val="7D96692E"/>
    <w:rsid w:val="7DD55EF9"/>
    <w:rsid w:val="7F961D37"/>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qFormat/>
    <w:uiPriority w:val="0"/>
    <w:pPr>
      <w:spacing w:before="100" w:beforeLines="0" w:beforeAutospacing="1" w:after="100" w:afterLines="0" w:afterAutospacing="1"/>
      <w:outlineLvl w:val="2"/>
    </w:pPr>
    <w:rPr>
      <w:rFonts w:ascii="宋体" w:hAnsi="宋体"/>
      <w:b/>
      <w:bCs/>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kern w:val="2"/>
      <w:sz w:val="21"/>
      <w:u w:val="single"/>
    </w:rPr>
  </w:style>
  <w:style w:type="paragraph" w:styleId="4">
    <w:name w:val="annotation text"/>
    <w:basedOn w:val="1"/>
    <w:qFormat/>
    <w:uiPriority w:val="0"/>
    <w:pPr>
      <w:jc w:val="left"/>
    </w:pPr>
  </w:style>
  <w:style w:type="paragraph" w:styleId="5">
    <w:name w:val="Body Text"/>
    <w:basedOn w:val="1"/>
    <w:next w:val="6"/>
    <w:qFormat/>
    <w:uiPriority w:val="0"/>
    <w:pPr>
      <w:tabs>
        <w:tab w:val="left" w:pos="0"/>
        <w:tab w:val="left" w:pos="993"/>
        <w:tab w:val="left" w:pos="1134"/>
      </w:tabs>
      <w:spacing w:line="500" w:lineRule="exact"/>
      <w:jc w:val="both"/>
    </w:pPr>
    <w:rPr>
      <w:rFonts w:ascii="宋体"/>
      <w:sz w:val="28"/>
    </w:rPr>
  </w:style>
  <w:style w:type="paragraph" w:styleId="6">
    <w:name w:val="Body Text 2"/>
    <w:basedOn w:val="1"/>
    <w:qFormat/>
    <w:uiPriority w:val="0"/>
    <w:pPr>
      <w:tabs>
        <w:tab w:val="left" w:pos="0"/>
        <w:tab w:val="left" w:pos="993"/>
        <w:tab w:val="left" w:pos="1134"/>
      </w:tabs>
      <w:spacing w:line="240" w:lineRule="exact"/>
      <w:jc w:val="both"/>
    </w:pPr>
    <w:rPr>
      <w:rFonts w:ascii="楷体_GB2312" w:eastAsia="楷体_GB2312"/>
      <w:sz w:val="18"/>
      <w:lang w:eastAsia="zh-CN"/>
    </w:rPr>
  </w:style>
  <w:style w:type="paragraph" w:styleId="7">
    <w:name w:val="Body Text Indent"/>
    <w:basedOn w:val="1"/>
    <w:qFormat/>
    <w:uiPriority w:val="0"/>
    <w:pPr>
      <w:tabs>
        <w:tab w:val="left" w:pos="0"/>
        <w:tab w:val="left" w:pos="993"/>
        <w:tab w:val="left" w:pos="1134"/>
      </w:tabs>
      <w:spacing w:line="500" w:lineRule="exact"/>
      <w:ind w:firstLine="567"/>
      <w:jc w:val="both"/>
    </w:pPr>
    <w:rPr>
      <w:rFonts w:ascii="宋体"/>
      <w:sz w:val="28"/>
    </w:rPr>
  </w:style>
  <w:style w:type="paragraph" w:styleId="8">
    <w:name w:val="Plain Text"/>
    <w:basedOn w:val="1"/>
    <w:qFormat/>
    <w:uiPriority w:val="0"/>
    <w:pPr>
      <w:widowControl w:val="0"/>
      <w:jc w:val="both"/>
    </w:pPr>
    <w:rPr>
      <w:rFonts w:ascii="宋体" w:hAnsi="Courier New"/>
      <w:kern w:val="2"/>
      <w:sz w:val="21"/>
      <w:szCs w:val="21"/>
    </w:rPr>
  </w:style>
  <w:style w:type="paragraph" w:styleId="9">
    <w:name w:val="Date"/>
    <w:basedOn w:val="1"/>
    <w:next w:val="1"/>
    <w:qFormat/>
    <w:uiPriority w:val="0"/>
    <w:pPr>
      <w:widowControl w:val="0"/>
      <w:jc w:val="both"/>
    </w:pPr>
    <w:rPr>
      <w:rFonts w:eastAsia="仿宋_GB2312"/>
      <w:sz w:val="30"/>
    </w:rPr>
  </w:style>
  <w:style w:type="paragraph" w:styleId="10">
    <w:name w:val="footer"/>
    <w:basedOn w:val="1"/>
    <w:qFormat/>
    <w:uiPriority w:val="99"/>
    <w:pPr>
      <w:tabs>
        <w:tab w:val="center" w:pos="4153"/>
        <w:tab w:val="right" w:pos="8306"/>
      </w:tabs>
      <w:snapToGrid w:val="0"/>
    </w:pPr>
    <w:rPr>
      <w:sz w:val="18"/>
      <w:szCs w:val="18"/>
    </w:rPr>
  </w:style>
  <w:style w:type="paragraph" w:styleId="11">
    <w:name w:val="Normal (Web)"/>
    <w:basedOn w:val="1"/>
    <w:unhideWhenUsed/>
    <w:qFormat/>
    <w:uiPriority w:val="0"/>
    <w:pPr>
      <w:spacing w:before="100" w:beforeAutospacing="1" w:after="100" w:afterAutospacing="1"/>
    </w:pPr>
    <w:rPr>
      <w:rFonts w:ascii="宋体" w:hAnsi="宋体" w:cs="宋体"/>
      <w:sz w:val="24"/>
      <w:szCs w:val="24"/>
    </w:rPr>
  </w:style>
  <w:style w:type="character" w:styleId="14">
    <w:name w:val="page number"/>
    <w:qFormat/>
    <w:uiPriority w:val="0"/>
  </w:style>
  <w:style w:type="character" w:styleId="15">
    <w:name w:val="Emphasis"/>
    <w:basedOn w:val="13"/>
    <w:qFormat/>
    <w:uiPriority w:val="0"/>
    <w:rPr>
      <w:i/>
      <w:iCs/>
    </w:rPr>
  </w:style>
  <w:style w:type="character" w:styleId="16">
    <w:name w:val="Hyperlink"/>
    <w:basedOn w:val="13"/>
    <w:qFormat/>
    <w:uiPriority w:val="0"/>
    <w:rPr>
      <w:color w:val="0000FF"/>
      <w:u w:val="single"/>
    </w:rPr>
  </w:style>
  <w:style w:type="paragraph" w:customStyle="1" w:styleId="17">
    <w:name w:val="正文1"/>
    <w:next w:val="1"/>
    <w:qFormat/>
    <w:uiPriority w:val="0"/>
    <w:rPr>
      <w:rFonts w:ascii="Times New Roman" w:hAnsi="Times New Roman" w:eastAsia="宋体" w:cs="Times New Roman"/>
      <w:lang w:val="en-US" w:eastAsia="zh-CN" w:bidi="ar-SA"/>
    </w:rPr>
  </w:style>
  <w:style w:type="character" w:customStyle="1" w:styleId="18">
    <w:name w:val="标题 3 Char"/>
    <w:link w:val="2"/>
    <w:autoRedefine/>
    <w:qFormat/>
    <w:uiPriority w:val="0"/>
    <w:rPr>
      <w:rFonts w:ascii="宋体" w:hAnsi="宋体"/>
      <w:b/>
      <w:bCs/>
      <w:sz w:val="27"/>
      <w:szCs w:val="27"/>
    </w:rPr>
  </w:style>
  <w:style w:type="character" w:customStyle="1" w:styleId="19">
    <w:name w:val="标题 3 字符"/>
    <w:autoRedefine/>
    <w:qFormat/>
    <w:uiPriority w:val="0"/>
    <w:rPr>
      <w:rFonts w:ascii="宋体" w:hAnsi="宋体"/>
      <w:b/>
      <w:bCs/>
      <w:sz w:val="27"/>
      <w:szCs w:val="27"/>
    </w:rPr>
  </w:style>
  <w:style w:type="paragraph" w:customStyle="1" w:styleId="20">
    <w:name w:val="正文_0_0_0_0"/>
    <w:autoRedefine/>
    <w:qFormat/>
    <w:uiPriority w:val="0"/>
    <w:pPr>
      <w:widowControl w:val="0"/>
      <w:jc w:val="both"/>
    </w:pPr>
    <w:rPr>
      <w:rFonts w:ascii="Times New Roman" w:hAnsi="Times New Roman" w:eastAsia="宋体" w:cs="Times New Roman"/>
      <w:lang w:val="en-US" w:eastAsia="zh-CN" w:bidi="ar-SA"/>
    </w:rPr>
  </w:style>
  <w:style w:type="paragraph" w:styleId="21">
    <w:name w:val="List Paragraph"/>
    <w:basedOn w:val="1"/>
    <w:autoRedefine/>
    <w:qFormat/>
    <w:uiPriority w:val="0"/>
    <w:pPr>
      <w:widowControl w:val="0"/>
      <w:ind w:firstLine="420" w:firstLineChars="200"/>
      <w:jc w:val="both"/>
    </w:pPr>
    <w:rPr>
      <w:rFonts w:ascii="Calibri" w:hAnsi="Calibri"/>
      <w:kern w:val="2"/>
      <w:sz w:val="21"/>
      <w:szCs w:val="22"/>
    </w:rPr>
  </w:style>
  <w:style w:type="paragraph" w:customStyle="1" w:styleId="22">
    <w:name w:val="Blockquote"/>
    <w:basedOn w:val="1"/>
    <w:autoRedefine/>
    <w:qFormat/>
    <w:uiPriority w:val="0"/>
    <w:pPr>
      <w:widowControl w:val="0"/>
      <w:autoSpaceDE w:val="0"/>
      <w:autoSpaceDN w:val="0"/>
      <w:adjustRightInd w:val="0"/>
      <w:spacing w:before="100" w:beforeLines="0" w:after="100" w:afterLines="0"/>
      <w:ind w:left="360" w:right="360"/>
    </w:pPr>
    <w:rPr>
      <w:sz w:val="24"/>
    </w:rPr>
  </w:style>
  <w:style w:type="paragraph" w:customStyle="1" w:styleId="23">
    <w:name w:val="正文_0"/>
    <w:autoRedefine/>
    <w:qFormat/>
    <w:uiPriority w:val="0"/>
    <w:pPr>
      <w:widowControl w:val="0"/>
      <w:ind w:firstLine="360"/>
      <w:jc w:val="both"/>
    </w:pPr>
    <w:rPr>
      <w:rFonts w:ascii="Times New Roman" w:hAnsi="Times New Roman" w:eastAsia="宋体" w:cs="Times New Roman"/>
      <w:kern w:val="2"/>
      <w:sz w:val="21"/>
      <w:szCs w:val="22"/>
      <w:lang w:val="en-US" w:eastAsia="zh-CN" w:bidi="ar-SA"/>
    </w:rPr>
  </w:style>
  <w:style w:type="paragraph" w:customStyle="1" w:styleId="24">
    <w:name w:val="ListBullet2"/>
    <w:basedOn w:val="1"/>
    <w:autoRedefine/>
    <w:qFormat/>
    <w:uiPriority w:val="0"/>
    <w:pPr>
      <w:numPr>
        <w:ilvl w:val="0"/>
        <w:numId w:val="1"/>
      </w:numPr>
      <w:tabs>
        <w:tab w:val="decimal" w:pos="780"/>
      </w:tabs>
    </w:pPr>
  </w:style>
  <w:style w:type="paragraph" w:customStyle="1" w:styleId="25">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character" w:customStyle="1" w:styleId="26">
    <w:name w:val="font112"/>
    <w:basedOn w:val="13"/>
    <w:qFormat/>
    <w:uiPriority w:val="0"/>
    <w:rPr>
      <w:rFonts w:ascii="宋体" w:hAnsi="宋体" w:eastAsia="宋体" w:cs="宋体"/>
      <w:color w:val="000000"/>
      <w:sz w:val="24"/>
      <w:szCs w:val="24"/>
      <w:u w:val="none"/>
    </w:rPr>
  </w:style>
  <w:style w:type="character" w:customStyle="1" w:styleId="27">
    <w:name w:val="font121"/>
    <w:basedOn w:val="13"/>
    <w:qFormat/>
    <w:uiPriority w:val="0"/>
    <w:rPr>
      <w:rFonts w:ascii="宋体" w:hAnsi="宋体" w:eastAsia="宋体" w:cs="宋体"/>
      <w:color w:val="000000"/>
      <w:sz w:val="18"/>
      <w:szCs w:val="18"/>
      <w:u w:val="none"/>
    </w:rPr>
  </w:style>
  <w:style w:type="character" w:customStyle="1" w:styleId="28">
    <w:name w:val="font131"/>
    <w:basedOn w:val="13"/>
    <w:qFormat/>
    <w:uiPriority w:val="0"/>
    <w:rPr>
      <w:rFonts w:ascii="宋体" w:hAnsi="宋体" w:eastAsia="宋体" w:cs="宋体"/>
      <w:i/>
      <w:iCs/>
      <w:color w:val="000000"/>
      <w:sz w:val="18"/>
      <w:szCs w:val="18"/>
      <w:u w:val="single"/>
    </w:rPr>
  </w:style>
  <w:style w:type="character" w:customStyle="1" w:styleId="29">
    <w:name w:val="font141"/>
    <w:basedOn w:val="13"/>
    <w:qFormat/>
    <w:uiPriority w:val="0"/>
    <w:rPr>
      <w:rFonts w:ascii="宋体" w:hAnsi="宋体" w:eastAsia="宋体" w:cs="宋体"/>
      <w:color w:val="000000"/>
      <w:sz w:val="16"/>
      <w:szCs w:val="16"/>
      <w:u w:val="none"/>
    </w:rPr>
  </w:style>
  <w:style w:type="character" w:customStyle="1" w:styleId="30">
    <w:name w:val="font151"/>
    <w:basedOn w:val="13"/>
    <w:qFormat/>
    <w:uiPriority w:val="0"/>
    <w:rPr>
      <w:rFonts w:ascii="宋体" w:hAnsi="宋体" w:eastAsia="宋体" w:cs="宋体"/>
      <w:b/>
      <w:bCs/>
      <w:color w:val="000000"/>
      <w:sz w:val="18"/>
      <w:szCs w:val="18"/>
      <w:u w:val="none"/>
    </w:rPr>
  </w:style>
  <w:style w:type="paragraph" w:customStyle="1" w:styleId="31">
    <w:name w:val="Table Paragraph"/>
    <w:basedOn w:val="1"/>
    <w:qFormat/>
    <w:uiPriority w:val="0"/>
    <w:pPr>
      <w:widowControl w:val="0"/>
    </w:pPr>
    <w:rPr>
      <w:rFonts w:ascii="Calibri" w:hAnsi="Calibri" w:eastAsia="宋体" w:cs="Calibri"/>
      <w:sz w:val="22"/>
      <w:szCs w:val="22"/>
      <w:lang w:eastAsia="en-US"/>
    </w:rPr>
  </w:style>
  <w:style w:type="paragraph" w:customStyle="1" w:styleId="32">
    <w:name w:val="正文文本1"/>
    <w:basedOn w:val="17"/>
    <w:next w:val="33"/>
    <w:autoRedefine/>
    <w:qFormat/>
    <w:uiPriority w:val="0"/>
    <w:pPr>
      <w:spacing w:after="120"/>
    </w:pPr>
    <w:rPr>
      <w:lang w:eastAsia="en-US"/>
    </w:rPr>
  </w:style>
  <w:style w:type="paragraph" w:customStyle="1" w:styleId="33">
    <w:name w:val="一级条标题"/>
    <w:basedOn w:val="34"/>
    <w:next w:val="35"/>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4">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5">
    <w:name w:val="段"/>
    <w:basedOn w:val="17"/>
    <w:next w:val="1"/>
    <w:autoRedefine/>
    <w:qFormat/>
    <w:uiPriority w:val="0"/>
    <w:pPr>
      <w:ind w:firstLine="200"/>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5177</Words>
  <Characters>5652</Characters>
  <Lines>0</Lines>
  <Paragraphs>0</Paragraphs>
  <TotalTime>19</TotalTime>
  <ScaleCrop>false</ScaleCrop>
  <LinksUpToDate>false</LinksUpToDate>
  <CharactersWithSpaces>5736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2024-07-11T11:32:00Z</dcterms:created>
  <dc:creator>rr</dc:creator>
  <cp:lastModifiedBy>江鹏</cp:lastModifiedBy>
  <dcterms:modified xsi:type="dcterms:W3CDTF">2024-12-19T08:35:52Z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7134ED3981F54BAA90F1C3ED9383A973_11</vt:lpwstr>
  </property>
</Properties>
</file>