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240" w:lineRule="auto"/>
        <w:jc w:val="center"/>
        <w:rPr>
          <w:rFonts w:hint="default"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第一部分 项目需求</w:t>
      </w:r>
    </w:p>
    <w:p>
      <w:pPr>
        <w:spacing w:beforeLines="0" w:afterLines="0" w:line="360" w:lineRule="auto"/>
        <w:ind w:firstLine="480" w:firstLineChars="200"/>
        <w:rPr>
          <w:rFonts w:hint="eastAsia" w:ascii="黑体" w:hAnsi="黑体" w:eastAsia="黑体" w:cs="宋体"/>
          <w:color w:val="auto"/>
          <w:lang w:val="en-US" w:eastAsia="zh-CN"/>
        </w:rPr>
      </w:pPr>
      <w:r>
        <w:rPr>
          <w:rFonts w:hint="eastAsia" w:ascii="黑体" w:hAnsi="黑体" w:eastAsia="黑体" w:cs="宋体"/>
          <w:color w:val="auto"/>
          <w:lang w:val="en-US" w:eastAsia="zh-CN"/>
        </w:rPr>
        <w:t>一、服务范围、内容及服务要求</w:t>
      </w:r>
    </w:p>
    <w:p>
      <w:pPr>
        <w:spacing w:beforeLines="0" w:afterLines="0" w:line="360" w:lineRule="auto"/>
        <w:ind w:firstLine="480" w:firstLineChars="200"/>
        <w:rPr>
          <w:rFonts w:hint="eastAsia" w:ascii="黑体" w:hAnsi="黑体" w:eastAsia="黑体" w:cs="宋体"/>
          <w:color w:val="auto"/>
          <w:lang w:val="en-US" w:eastAsia="zh-CN"/>
        </w:rPr>
      </w:pPr>
      <w:r>
        <w:rPr>
          <w:rFonts w:hint="eastAsia" w:ascii="黑体" w:hAnsi="黑体" w:eastAsia="黑体" w:cs="宋体"/>
          <w:color w:val="auto"/>
          <w:lang w:val="en-US" w:eastAsia="zh-CN"/>
        </w:rPr>
        <w:t>1.本项目服务范围：</w:t>
      </w:r>
    </w:p>
    <w:p>
      <w:pPr>
        <w:adjustRightInd w:val="0"/>
        <w:spacing w:beforeLines="0" w:afterLines="0" w:line="360" w:lineRule="auto"/>
        <w:ind w:firstLine="480" w:firstLineChars="200"/>
        <w:contextualSpacing/>
        <w:rPr>
          <w:rFonts w:hint="eastAsia" w:ascii="仿宋" w:hAnsi="仿宋" w:eastAsia="仿宋" w:cs="宋体"/>
          <w:color w:val="auto"/>
          <w:lang w:eastAsia="zh-CN"/>
        </w:rPr>
      </w:pPr>
      <w:r>
        <w:rPr>
          <w:rFonts w:hint="eastAsia" w:ascii="仿宋" w:hAnsi="仿宋" w:eastAsia="仿宋" w:cs="宋体"/>
          <w:color w:val="auto"/>
          <w:lang w:eastAsia="zh-CN"/>
        </w:rPr>
        <w:t>项目涵盖东西区医院污水处理站的全面社会化托管运维，全面接管东西区（含西区科教综合楼）的污水处理设施，并配备人数</w:t>
      </w:r>
      <w:r>
        <w:rPr>
          <w:rFonts w:hint="eastAsia" w:ascii="仿宋" w:hAnsi="仿宋" w:eastAsia="仿宋" w:cs="宋体"/>
          <w:color w:val="FF0000"/>
          <w:lang w:eastAsia="zh-CN"/>
        </w:rPr>
        <w:t>满足24小时</w:t>
      </w:r>
      <w:r>
        <w:rPr>
          <w:rFonts w:hint="eastAsia" w:ascii="仿宋" w:hAnsi="仿宋" w:eastAsia="仿宋" w:cs="宋体"/>
          <w:color w:val="auto"/>
          <w:lang w:eastAsia="zh-CN"/>
        </w:rPr>
        <w:t>驻点运行操作人员</w:t>
      </w:r>
      <w:r>
        <w:rPr>
          <w:rFonts w:hint="eastAsia" w:ascii="仿宋" w:hAnsi="仿宋" w:eastAsia="仿宋" w:cs="宋体"/>
          <w:color w:val="FF0000"/>
          <w:lang w:eastAsia="zh-CN"/>
        </w:rPr>
        <w:t>6名</w:t>
      </w:r>
      <w:r>
        <w:rPr>
          <w:rFonts w:hint="eastAsia" w:ascii="仿宋" w:hAnsi="仿宋" w:eastAsia="仿宋" w:cs="宋体"/>
          <w:color w:val="auto"/>
          <w:lang w:eastAsia="zh-CN"/>
        </w:rPr>
        <w:t>，具有相应资质的项目管理和专业维修人员不低于3名。负责污水处理站的安全运行管理，包括药剂的购置、储存、使用和安全管理，同时负责格栅的定期清理、叠螺机的安装运维及污泥的处置清运工作。承担现有设备的维修、在线监测设备的运维与保养，以及污水处理设备设施的更新任务。</w:t>
      </w:r>
      <w:r>
        <w:rPr>
          <w:rFonts w:hint="eastAsia" w:ascii="仿宋" w:hAnsi="仿宋" w:eastAsia="仿宋" w:cs="宋体"/>
          <w:color w:val="FF0000"/>
          <w:lang w:eastAsia="zh-CN"/>
        </w:rPr>
        <w:t>托管运行期间，乙方更换的所有设备设施，服务期间结束后，资产归甲方所有。</w:t>
      </w:r>
      <w:r>
        <w:rPr>
          <w:rFonts w:hint="eastAsia" w:ascii="仿宋" w:hAnsi="仿宋" w:eastAsia="仿宋" w:cs="宋体"/>
          <w:color w:val="auto"/>
          <w:lang w:eastAsia="zh-CN"/>
        </w:rPr>
        <w:t>实行东西区污水处理7*24小时不间断运行，并保证污水达标排放。</w:t>
      </w:r>
    </w:p>
    <w:p>
      <w:pPr>
        <w:spacing w:beforeLines="0" w:afterLines="0" w:line="360" w:lineRule="auto"/>
        <w:ind w:firstLine="480" w:firstLineChars="200"/>
        <w:rPr>
          <w:rFonts w:hint="eastAsia" w:ascii="黑体" w:hAnsi="黑体" w:eastAsia="黑体" w:cs="宋体"/>
          <w:color w:val="auto"/>
          <w:lang w:val="en-US" w:eastAsia="zh-CN"/>
        </w:rPr>
      </w:pPr>
      <w:r>
        <w:rPr>
          <w:rFonts w:hint="eastAsia" w:ascii="黑体" w:hAnsi="黑体" w:eastAsia="黑体" w:cs="宋体"/>
          <w:color w:val="auto"/>
          <w:lang w:val="en-US" w:eastAsia="zh-CN"/>
        </w:rPr>
        <w:t>2.项目工作内容及服务要求：</w:t>
      </w:r>
    </w:p>
    <w:tbl>
      <w:tblPr>
        <w:tblStyle w:val="12"/>
        <w:tblpPr w:leftFromText="180" w:rightFromText="180" w:vertAnchor="text" w:horzAnchor="page" w:tblpX="1350" w:tblpY="747"/>
        <w:tblOverlap w:val="never"/>
        <w:tblW w:w="9458" w:type="dxa"/>
        <w:tblInd w:w="0" w:type="dxa"/>
        <w:tblLayout w:type="fixed"/>
        <w:tblCellMar>
          <w:top w:w="0" w:type="dxa"/>
          <w:left w:w="108" w:type="dxa"/>
          <w:bottom w:w="0" w:type="dxa"/>
          <w:right w:w="108" w:type="dxa"/>
        </w:tblCellMar>
      </w:tblPr>
      <w:tblGrid>
        <w:gridCol w:w="593"/>
        <w:gridCol w:w="1258"/>
        <w:gridCol w:w="2760"/>
        <w:gridCol w:w="3320"/>
        <w:gridCol w:w="1527"/>
      </w:tblGrid>
      <w:tr>
        <w:tblPrEx>
          <w:tblCellMar>
            <w:top w:w="0" w:type="dxa"/>
            <w:left w:w="108" w:type="dxa"/>
            <w:bottom w:w="0" w:type="dxa"/>
            <w:right w:w="108" w:type="dxa"/>
          </w:tblCellMar>
        </w:tblPrEx>
        <w:trPr>
          <w:trHeight w:val="779" w:hRule="atLeast"/>
        </w:trPr>
        <w:tc>
          <w:tcPr>
            <w:tcW w:w="593" w:type="dxa"/>
            <w:tcBorders>
              <w:top w:val="single" w:color="000000" w:sz="4" w:space="0"/>
              <w:left w:val="single" w:color="000000" w:sz="4" w:space="0"/>
              <w:bottom w:val="single" w:color="000000" w:sz="4" w:space="0"/>
              <w:right w:val="single" w:color="000000" w:sz="4" w:space="0"/>
            </w:tcBorders>
          </w:tcPr>
          <w:p>
            <w:pPr>
              <w:spacing w:before="120" w:beforeLines="50" w:after="120" w:afterLines="50" w:line="240" w:lineRule="auto"/>
              <w:jc w:val="both"/>
              <w:rPr>
                <w:rFonts w:hint="eastAsia" w:ascii="仿宋" w:hAnsi="仿宋" w:eastAsia="仿宋" w:cs="宋体"/>
                <w:color w:val="auto"/>
              </w:rPr>
            </w:pPr>
            <w:r>
              <w:rPr>
                <w:rFonts w:hint="eastAsia" w:ascii="仿宋" w:hAnsi="仿宋" w:eastAsia="仿宋" w:cs="宋体"/>
                <w:color w:val="auto"/>
              </w:rPr>
              <w:t>序号</w:t>
            </w:r>
          </w:p>
        </w:tc>
        <w:tc>
          <w:tcPr>
            <w:tcW w:w="1258" w:type="dxa"/>
            <w:tcBorders>
              <w:top w:val="single" w:color="000000" w:sz="4" w:space="0"/>
              <w:left w:val="single" w:color="000000" w:sz="4" w:space="0"/>
              <w:bottom w:val="single" w:color="000000" w:sz="4" w:space="0"/>
              <w:right w:val="single" w:color="000000" w:sz="4" w:space="0"/>
            </w:tcBorders>
          </w:tcPr>
          <w:p>
            <w:pPr>
              <w:spacing w:before="120" w:beforeLines="50" w:after="120" w:afterLines="50" w:line="240" w:lineRule="auto"/>
              <w:jc w:val="both"/>
              <w:rPr>
                <w:rFonts w:hint="eastAsia" w:ascii="仿宋" w:hAnsi="仿宋" w:eastAsia="仿宋" w:cs="宋体"/>
                <w:color w:val="auto"/>
              </w:rPr>
            </w:pPr>
            <w:r>
              <w:rPr>
                <w:rFonts w:hint="eastAsia" w:ascii="仿宋" w:hAnsi="仿宋" w:eastAsia="仿宋" w:cs="宋体"/>
                <w:color w:val="auto"/>
              </w:rPr>
              <w:t>项目名称</w:t>
            </w:r>
          </w:p>
        </w:tc>
        <w:tc>
          <w:tcPr>
            <w:tcW w:w="2760" w:type="dxa"/>
            <w:tcBorders>
              <w:top w:val="single" w:color="000000" w:sz="4" w:space="0"/>
              <w:left w:val="single" w:color="000000" w:sz="4" w:space="0"/>
              <w:bottom w:val="single" w:color="000000" w:sz="4" w:space="0"/>
              <w:right w:val="single" w:color="000000" w:sz="4" w:space="0"/>
            </w:tcBorders>
          </w:tcPr>
          <w:p>
            <w:pPr>
              <w:spacing w:before="120" w:beforeLines="50" w:after="120" w:afterLines="50" w:line="240" w:lineRule="auto"/>
              <w:jc w:val="both"/>
              <w:rPr>
                <w:rFonts w:hint="eastAsia" w:ascii="仿宋" w:hAnsi="仿宋" w:eastAsia="仿宋" w:cs="宋体"/>
                <w:color w:val="auto"/>
              </w:rPr>
            </w:pPr>
            <w:r>
              <w:rPr>
                <w:rFonts w:hint="eastAsia" w:ascii="仿宋" w:hAnsi="仿宋" w:eastAsia="仿宋" w:cs="宋体"/>
                <w:color w:val="auto"/>
              </w:rPr>
              <w:t>内容</w:t>
            </w:r>
          </w:p>
        </w:tc>
        <w:tc>
          <w:tcPr>
            <w:tcW w:w="3320" w:type="dxa"/>
            <w:tcBorders>
              <w:top w:val="single" w:color="000000" w:sz="4" w:space="0"/>
              <w:left w:val="single" w:color="000000" w:sz="4" w:space="0"/>
              <w:bottom w:val="single" w:color="000000" w:sz="4" w:space="0"/>
              <w:right w:val="single" w:color="000000" w:sz="4" w:space="0"/>
            </w:tcBorders>
          </w:tcPr>
          <w:p>
            <w:pPr>
              <w:spacing w:before="120" w:beforeLines="50" w:after="120" w:afterLines="50" w:line="240" w:lineRule="auto"/>
              <w:jc w:val="both"/>
              <w:rPr>
                <w:rFonts w:hint="eastAsia" w:ascii="仿宋" w:hAnsi="仿宋" w:eastAsia="仿宋" w:cs="宋体"/>
                <w:color w:val="auto"/>
              </w:rPr>
            </w:pPr>
            <w:r>
              <w:rPr>
                <w:rFonts w:hint="eastAsia" w:ascii="仿宋" w:hAnsi="仿宋" w:eastAsia="仿宋" w:cs="宋体"/>
                <w:color w:val="auto"/>
              </w:rPr>
              <w:t>备 注</w:t>
            </w:r>
          </w:p>
        </w:tc>
        <w:tc>
          <w:tcPr>
            <w:tcW w:w="1527" w:type="dxa"/>
            <w:tcBorders>
              <w:top w:val="single" w:color="000000" w:sz="4" w:space="0"/>
              <w:left w:val="single" w:color="000000" w:sz="4" w:space="0"/>
              <w:right w:val="single" w:color="000000" w:sz="4" w:space="0"/>
            </w:tcBorders>
          </w:tcPr>
          <w:p>
            <w:pPr>
              <w:spacing w:before="120" w:beforeLines="50" w:after="120" w:afterLines="50" w:line="240" w:lineRule="auto"/>
              <w:jc w:val="center"/>
              <w:rPr>
                <w:rFonts w:hint="eastAsia" w:ascii="仿宋" w:hAnsi="仿宋" w:eastAsia="仿宋" w:cs="宋体"/>
                <w:color w:val="auto"/>
                <w:lang w:eastAsia="zh-CN"/>
              </w:rPr>
            </w:pPr>
            <w:r>
              <w:rPr>
                <w:rFonts w:hint="eastAsia" w:ascii="仿宋" w:hAnsi="仿宋" w:eastAsia="仿宋" w:cs="宋体"/>
                <w:color w:val="auto"/>
              </w:rPr>
              <w:t>报价</w:t>
            </w:r>
          </w:p>
          <w:p>
            <w:pPr>
              <w:spacing w:before="120" w:beforeLines="50" w:after="120" w:afterLines="50" w:line="240" w:lineRule="auto"/>
              <w:jc w:val="center"/>
              <w:rPr>
                <w:rFonts w:hint="eastAsia" w:ascii="仿宋" w:hAnsi="仿宋" w:eastAsia="仿宋" w:cs="宋体"/>
                <w:color w:val="auto"/>
              </w:rPr>
            </w:pPr>
            <w:r>
              <w:rPr>
                <w:rFonts w:hint="eastAsia" w:ascii="仿宋" w:hAnsi="仿宋" w:eastAsia="仿宋" w:cs="宋体"/>
                <w:color w:val="auto"/>
              </w:rPr>
              <w:t>（元/年）</w:t>
            </w:r>
          </w:p>
        </w:tc>
      </w:tr>
      <w:tr>
        <w:tblPrEx>
          <w:tblCellMar>
            <w:top w:w="0" w:type="dxa"/>
            <w:left w:w="108" w:type="dxa"/>
            <w:bottom w:w="0" w:type="dxa"/>
            <w:right w:w="108" w:type="dxa"/>
          </w:tblCellMar>
        </w:tblPrEx>
        <w:trPr>
          <w:trHeight w:val="1607"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jc w:val="center"/>
              <w:rPr>
                <w:rFonts w:hint="eastAsia" w:ascii="仿宋" w:hAnsi="仿宋" w:eastAsia="仿宋" w:cs="宋体"/>
                <w:color w:val="auto"/>
                <w:lang w:val="en-US" w:eastAsia="zh-CN"/>
              </w:rPr>
            </w:pPr>
            <w:r>
              <w:rPr>
                <w:rFonts w:hint="eastAsia" w:ascii="仿宋" w:hAnsi="仿宋" w:eastAsia="仿宋" w:cs="宋体"/>
                <w:color w:val="auto"/>
                <w:lang w:val="en-US" w:eastAsia="zh-CN"/>
              </w:rPr>
              <w:t>1</w:t>
            </w:r>
          </w:p>
        </w:tc>
        <w:tc>
          <w:tcPr>
            <w:tcW w:w="125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rPr>
                <w:rFonts w:hint="eastAsia" w:ascii="仿宋" w:hAnsi="仿宋" w:eastAsia="仿宋" w:cs="宋体"/>
                <w:color w:val="auto"/>
                <w:lang w:eastAsia="zh-CN"/>
              </w:rPr>
            </w:pPr>
            <w:r>
              <w:rPr>
                <w:rFonts w:hint="eastAsia" w:ascii="仿宋" w:hAnsi="仿宋" w:eastAsia="仿宋" w:cs="宋体"/>
                <w:color w:val="auto"/>
                <w:lang w:eastAsia="zh-CN"/>
              </w:rPr>
              <w:t>人员管理费</w:t>
            </w:r>
          </w:p>
        </w:tc>
        <w:tc>
          <w:tcPr>
            <w:tcW w:w="2760" w:type="dxa"/>
            <w:tcBorders>
              <w:top w:val="nil"/>
              <w:left w:val="single" w:color="000000" w:sz="4" w:space="0"/>
              <w:bottom w:val="single" w:color="000000" w:sz="4" w:space="0"/>
              <w:right w:val="single" w:color="000000" w:sz="4" w:space="0"/>
            </w:tcBorders>
            <w:vAlign w:val="center"/>
          </w:tcPr>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不低于9人，（驻点人员不低于6人，运维人员不低于3人）</w:t>
            </w:r>
          </w:p>
        </w:tc>
        <w:tc>
          <w:tcPr>
            <w:tcW w:w="3320"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1、人员持证上岗；</w:t>
            </w:r>
          </w:p>
          <w:p>
            <w:pPr>
              <w:spacing w:before="120" w:beforeLines="50" w:after="120" w:afterLines="50" w:line="240" w:lineRule="auto"/>
              <w:rPr>
                <w:rFonts w:hint="eastAsia" w:ascii="仿宋" w:hAnsi="仿宋" w:eastAsia="仿宋" w:cs="宋体"/>
                <w:color w:val="auto"/>
                <w:lang w:eastAsia="zh-CN"/>
              </w:rPr>
            </w:pPr>
            <w:r>
              <w:rPr>
                <w:rFonts w:hint="eastAsia" w:ascii="仿宋" w:hAnsi="仿宋" w:eastAsia="仿宋" w:cs="宋体"/>
                <w:color w:val="auto"/>
                <w:lang w:val="en-US" w:eastAsia="zh-CN"/>
              </w:rPr>
              <w:t>2、</w:t>
            </w:r>
            <w:r>
              <w:rPr>
                <w:rFonts w:hint="eastAsia" w:ascii="仿宋" w:hAnsi="仿宋" w:eastAsia="仿宋" w:cs="宋体"/>
                <w:color w:val="auto"/>
                <w:lang w:eastAsia="zh-CN"/>
              </w:rPr>
              <w:t>承担污水处理站日常管理与操作，包括：设备操作运行及运行记录；水质自检及记录；设备日常维护保养及记录、交接班记录；格栅池清理等工作，确保污水水质及废气达标排放</w:t>
            </w:r>
          </w:p>
          <w:p>
            <w:pPr>
              <w:spacing w:before="120" w:beforeLines="50" w:after="120" w:afterLines="50" w:line="240" w:lineRule="auto"/>
              <w:rPr>
                <w:rFonts w:hint="eastAsia" w:ascii="仿宋" w:hAnsi="仿宋" w:eastAsia="仿宋" w:cs="宋体"/>
                <w:color w:val="auto"/>
                <w:lang w:eastAsia="zh-CN"/>
              </w:rPr>
            </w:pPr>
            <w:r>
              <w:rPr>
                <w:rFonts w:hint="eastAsia" w:ascii="仿宋" w:hAnsi="仿宋" w:eastAsia="仿宋" w:cs="宋体"/>
                <w:color w:val="auto"/>
                <w:lang w:val="en-US" w:eastAsia="zh-CN"/>
              </w:rPr>
              <w:t>3</w:t>
            </w:r>
            <w:r>
              <w:rPr>
                <w:rFonts w:hint="eastAsia" w:ascii="仿宋" w:hAnsi="仿宋" w:eastAsia="仿宋" w:cs="宋体"/>
                <w:color w:val="auto"/>
                <w:lang w:eastAsia="zh-CN"/>
              </w:rPr>
              <w:t>、负责污水站环境卫生及安全保障等。</w:t>
            </w:r>
          </w:p>
          <w:p>
            <w:pPr>
              <w:spacing w:before="120" w:beforeLines="50" w:after="120" w:afterLines="50" w:line="240" w:lineRule="auto"/>
              <w:rPr>
                <w:rFonts w:hint="eastAsia" w:ascii="仿宋" w:hAnsi="仿宋" w:eastAsia="仿宋" w:cs="宋体"/>
                <w:color w:val="auto"/>
                <w:lang w:eastAsia="zh-CN"/>
              </w:rPr>
            </w:pPr>
            <w:r>
              <w:rPr>
                <w:rFonts w:hint="eastAsia" w:ascii="仿宋" w:hAnsi="仿宋" w:eastAsia="仿宋" w:cs="宋体"/>
                <w:color w:val="auto"/>
                <w:lang w:val="en-US" w:eastAsia="zh-CN"/>
              </w:rPr>
              <w:t>4、</w:t>
            </w:r>
            <w:r>
              <w:rPr>
                <w:rFonts w:hint="eastAsia" w:ascii="仿宋" w:hAnsi="仿宋" w:eastAsia="仿宋" w:cs="宋体"/>
                <w:color w:val="auto"/>
                <w:lang w:eastAsia="zh-CN"/>
              </w:rPr>
              <w:t>污水站实行全年365天24小时有人值守。</w:t>
            </w:r>
          </w:p>
        </w:tc>
        <w:tc>
          <w:tcPr>
            <w:tcW w:w="1527"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jc w:val="center"/>
              <w:rPr>
                <w:rFonts w:hint="eastAsia" w:ascii="仿宋" w:hAnsi="仿宋" w:eastAsia="仿宋" w:cs="宋体"/>
                <w:color w:val="auto"/>
                <w:lang w:val="en-US" w:eastAsia="zh-CN"/>
              </w:rPr>
            </w:pPr>
          </w:p>
        </w:tc>
      </w:tr>
      <w:tr>
        <w:tblPrEx>
          <w:tblCellMar>
            <w:top w:w="0" w:type="dxa"/>
            <w:left w:w="108" w:type="dxa"/>
            <w:bottom w:w="0" w:type="dxa"/>
            <w:right w:w="108" w:type="dxa"/>
          </w:tblCellMar>
        </w:tblPrEx>
        <w:trPr>
          <w:trHeight w:val="1038"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jc w:val="center"/>
              <w:rPr>
                <w:rFonts w:hint="eastAsia" w:ascii="仿宋" w:hAnsi="仿宋" w:eastAsia="仿宋" w:cs="宋体"/>
                <w:color w:val="auto"/>
                <w:lang w:val="en-US" w:eastAsia="zh-CN"/>
              </w:rPr>
            </w:pPr>
            <w:r>
              <w:rPr>
                <w:rFonts w:hint="eastAsia" w:ascii="仿宋" w:hAnsi="仿宋" w:eastAsia="仿宋" w:cs="宋体"/>
                <w:color w:val="auto"/>
                <w:lang w:val="en-US" w:eastAsia="zh-CN"/>
              </w:rPr>
              <w:t>2</w:t>
            </w:r>
          </w:p>
        </w:tc>
        <w:tc>
          <w:tcPr>
            <w:tcW w:w="125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jc w:val="center"/>
              <w:rPr>
                <w:rFonts w:hint="eastAsia" w:ascii="仿宋" w:hAnsi="仿宋" w:eastAsia="仿宋" w:cs="宋体"/>
                <w:color w:val="auto"/>
                <w:lang w:eastAsia="zh-CN"/>
              </w:rPr>
            </w:pPr>
            <w:r>
              <w:rPr>
                <w:rFonts w:hint="eastAsia" w:ascii="仿宋" w:hAnsi="仿宋" w:eastAsia="仿宋" w:cs="宋体"/>
                <w:color w:val="auto"/>
                <w:lang w:eastAsia="zh-CN"/>
              </w:rPr>
              <w:t>设备</w:t>
            </w:r>
            <w:r>
              <w:rPr>
                <w:rFonts w:hint="eastAsia" w:ascii="仿宋" w:hAnsi="仿宋" w:eastAsia="仿宋" w:cs="宋体"/>
                <w:color w:val="auto"/>
              </w:rPr>
              <w:t>设施</w:t>
            </w:r>
            <w:r>
              <w:rPr>
                <w:rFonts w:hint="eastAsia" w:ascii="仿宋" w:hAnsi="仿宋" w:eastAsia="仿宋" w:cs="宋体"/>
                <w:color w:val="auto"/>
                <w:lang w:eastAsia="zh-CN"/>
              </w:rPr>
              <w:t>维修保养</w:t>
            </w:r>
          </w:p>
        </w:tc>
        <w:tc>
          <w:tcPr>
            <w:tcW w:w="2760" w:type="dxa"/>
            <w:tcBorders>
              <w:top w:val="nil"/>
              <w:left w:val="single" w:color="000000" w:sz="4" w:space="0"/>
              <w:bottom w:val="single" w:color="000000" w:sz="4" w:space="0"/>
              <w:right w:val="single" w:color="000000" w:sz="4" w:space="0"/>
            </w:tcBorders>
            <w:vAlign w:val="center"/>
          </w:tcPr>
          <w:p>
            <w:pPr>
              <w:spacing w:before="120" w:beforeLines="50" w:after="120" w:afterLines="50" w:line="240" w:lineRule="auto"/>
              <w:rPr>
                <w:rFonts w:hint="eastAsia" w:ascii="仿宋" w:hAnsi="仿宋" w:eastAsia="仿宋" w:cs="宋体"/>
                <w:color w:val="auto"/>
                <w:lang w:eastAsia="zh-CN"/>
              </w:rPr>
            </w:pPr>
            <w:r>
              <w:rPr>
                <w:rFonts w:hint="eastAsia" w:ascii="仿宋" w:hAnsi="仿宋" w:eastAsia="仿宋" w:cs="宋体"/>
                <w:color w:val="auto"/>
                <w:lang w:eastAsia="zh-CN"/>
              </w:rPr>
              <w:t>1、主要设备但不限于如风机、水泵、加药计量泵、废气处理设施等</w:t>
            </w:r>
          </w:p>
          <w:p>
            <w:pPr>
              <w:spacing w:before="120" w:beforeLines="50" w:after="120" w:afterLines="50" w:line="240" w:lineRule="auto"/>
              <w:rPr>
                <w:rFonts w:hint="eastAsia" w:ascii="仿宋" w:hAnsi="仿宋" w:eastAsia="仿宋" w:cs="宋体"/>
                <w:color w:val="auto"/>
                <w:lang w:eastAsia="zh-CN"/>
              </w:rPr>
            </w:pPr>
            <w:r>
              <w:rPr>
                <w:rFonts w:hint="eastAsia" w:ascii="仿宋" w:hAnsi="仿宋" w:eastAsia="仿宋" w:cs="宋体"/>
                <w:color w:val="auto"/>
                <w:lang w:eastAsia="zh-CN"/>
              </w:rPr>
              <w:t>2、其余如电控设备、阀门管道、格栅、风机润滑油变频器等硬件均需考虑维护保养及易损件更换。</w:t>
            </w:r>
          </w:p>
          <w:p>
            <w:pPr>
              <w:pStyle w:val="9"/>
              <w:spacing w:before="120" w:beforeLines="50" w:after="120" w:afterLines="50" w:line="240" w:lineRule="auto"/>
              <w:rPr>
                <w:rFonts w:hint="eastAsia" w:ascii="仿宋" w:hAnsi="仿宋" w:eastAsia="仿宋" w:cs="宋体"/>
                <w:color w:val="auto"/>
                <w:lang w:eastAsia="zh-CN"/>
              </w:rPr>
            </w:pPr>
            <w:r>
              <w:rPr>
                <w:rFonts w:hint="eastAsia" w:ascii="仿宋" w:hAnsi="仿宋" w:eastAsia="仿宋" w:cs="宋体"/>
                <w:color w:val="auto"/>
                <w:lang w:val="en-US" w:eastAsia="zh-CN"/>
              </w:rPr>
              <w:t>3、废气处理设施活性炭的更换，每三个月更换一次，确保废气检测符合排污许可自行监测相关要求。</w:t>
            </w:r>
          </w:p>
        </w:tc>
        <w:tc>
          <w:tcPr>
            <w:tcW w:w="3320"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rPr>
                <w:rFonts w:hint="eastAsia" w:ascii="仿宋" w:hAnsi="仿宋" w:eastAsia="仿宋" w:cs="宋体"/>
                <w:color w:val="auto"/>
                <w:lang w:eastAsia="zh-CN"/>
              </w:rPr>
            </w:pPr>
            <w:r>
              <w:rPr>
                <w:rFonts w:hint="eastAsia" w:ascii="仿宋" w:hAnsi="仿宋" w:eastAsia="仿宋" w:cs="宋体"/>
                <w:color w:val="auto"/>
                <w:lang w:val="en-US" w:eastAsia="zh-CN"/>
              </w:rPr>
              <w:t>1、</w:t>
            </w:r>
            <w:r>
              <w:rPr>
                <w:rFonts w:hint="eastAsia" w:ascii="仿宋" w:hAnsi="仿宋" w:eastAsia="仿宋" w:cs="宋体"/>
                <w:color w:val="auto"/>
                <w:lang w:eastAsia="zh-CN"/>
              </w:rPr>
              <w:t>小故障</w:t>
            </w:r>
            <w:r>
              <w:rPr>
                <w:rFonts w:hint="eastAsia" w:ascii="仿宋" w:hAnsi="仿宋" w:eastAsia="仿宋" w:cs="宋体"/>
                <w:color w:val="auto"/>
                <w:lang w:val="en-US" w:eastAsia="zh-CN"/>
              </w:rPr>
              <w:t>4</w:t>
            </w:r>
            <w:r>
              <w:rPr>
                <w:rFonts w:hint="eastAsia" w:ascii="仿宋" w:hAnsi="仿宋" w:eastAsia="仿宋" w:cs="宋体"/>
                <w:color w:val="auto"/>
                <w:lang w:eastAsia="zh-CN"/>
              </w:rPr>
              <w:t>小时内修复，大故障2个工作日内修复。</w:t>
            </w:r>
          </w:p>
          <w:p>
            <w:pPr>
              <w:pStyle w:val="9"/>
              <w:spacing w:before="120" w:beforeLines="50" w:after="120" w:afterLines="50" w:line="240" w:lineRule="auto"/>
              <w:rPr>
                <w:rFonts w:hint="eastAsia" w:ascii="仿宋" w:hAnsi="仿宋" w:eastAsia="仿宋" w:cs="宋体"/>
                <w:color w:val="auto"/>
                <w:kern w:val="2"/>
                <w:lang w:val="en-US" w:eastAsia="zh-CN"/>
              </w:rPr>
            </w:pPr>
            <w:r>
              <w:rPr>
                <w:rFonts w:hint="eastAsia" w:ascii="仿宋" w:hAnsi="仿宋" w:eastAsia="仿宋" w:cs="宋体"/>
                <w:color w:val="auto"/>
                <w:kern w:val="2"/>
                <w:lang w:val="en-US" w:eastAsia="zh-CN"/>
              </w:rPr>
              <w:t>2、含污水站现有所有设备零配件保养，保证设施设备正常运行。</w:t>
            </w:r>
          </w:p>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kern w:val="2"/>
                <w:lang w:val="en-US" w:eastAsia="zh-CN"/>
              </w:rPr>
              <w:t>3、提前准备常用维修备品。</w:t>
            </w:r>
          </w:p>
        </w:tc>
        <w:tc>
          <w:tcPr>
            <w:tcW w:w="1527"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jc w:val="center"/>
              <w:rPr>
                <w:rFonts w:hint="eastAsia" w:ascii="仿宋" w:hAnsi="仿宋" w:eastAsia="仿宋" w:cs="宋体"/>
                <w:color w:val="auto"/>
                <w:lang w:val="en-US" w:eastAsia="zh-CN"/>
              </w:rPr>
            </w:pPr>
          </w:p>
        </w:tc>
      </w:tr>
      <w:tr>
        <w:tblPrEx>
          <w:tblCellMar>
            <w:top w:w="0" w:type="dxa"/>
            <w:left w:w="108" w:type="dxa"/>
            <w:bottom w:w="0" w:type="dxa"/>
            <w:right w:w="108" w:type="dxa"/>
          </w:tblCellMar>
        </w:tblPrEx>
        <w:trPr>
          <w:trHeight w:val="90"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jc w:val="center"/>
              <w:rPr>
                <w:rFonts w:hint="eastAsia" w:ascii="仿宋" w:hAnsi="仿宋" w:eastAsia="仿宋" w:cs="宋体"/>
                <w:color w:val="auto"/>
                <w:lang w:val="en-US" w:eastAsia="zh-CN"/>
              </w:rPr>
            </w:pPr>
            <w:r>
              <w:rPr>
                <w:rFonts w:hint="eastAsia" w:ascii="仿宋" w:hAnsi="仿宋" w:eastAsia="仿宋" w:cs="宋体"/>
                <w:color w:val="auto"/>
                <w:lang w:val="en-US" w:eastAsia="zh-CN"/>
              </w:rPr>
              <w:t>3</w:t>
            </w:r>
          </w:p>
        </w:tc>
        <w:tc>
          <w:tcPr>
            <w:tcW w:w="125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rPr>
                <w:rFonts w:hint="eastAsia" w:ascii="仿宋" w:hAnsi="仿宋" w:eastAsia="仿宋" w:cs="宋体"/>
                <w:color w:val="auto"/>
                <w:lang w:eastAsia="zh-CN"/>
              </w:rPr>
            </w:pPr>
            <w:r>
              <w:rPr>
                <w:rFonts w:hint="eastAsia" w:ascii="仿宋" w:hAnsi="仿宋" w:eastAsia="仿宋" w:cs="宋体"/>
                <w:color w:val="auto"/>
                <w:lang w:eastAsia="zh-CN"/>
              </w:rPr>
              <w:t>水质在线监测设备运维</w:t>
            </w:r>
          </w:p>
        </w:tc>
        <w:tc>
          <w:tcPr>
            <w:tcW w:w="2760"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rPr>
                <w:rFonts w:hint="eastAsia" w:ascii="仿宋" w:hAnsi="仿宋" w:eastAsia="仿宋" w:cs="宋体"/>
                <w:color w:val="auto"/>
                <w:lang w:eastAsia="zh-CN"/>
              </w:rPr>
            </w:pPr>
            <w:r>
              <w:rPr>
                <w:rFonts w:hint="eastAsia" w:ascii="仿宋" w:hAnsi="仿宋" w:eastAsia="仿宋" w:cs="宋体"/>
                <w:color w:val="auto"/>
                <w:lang w:eastAsia="zh-CN"/>
              </w:rPr>
              <w:t>现有在线监测仪器</w:t>
            </w:r>
          </w:p>
          <w:p>
            <w:pPr>
              <w:pStyle w:val="9"/>
              <w:spacing w:before="120" w:beforeLines="50" w:after="120" w:afterLines="50" w:line="240" w:lineRule="auto"/>
              <w:rPr>
                <w:rFonts w:hint="eastAsia" w:ascii="仿宋" w:hAnsi="仿宋" w:eastAsia="仿宋" w:cs="宋体"/>
                <w:color w:val="auto"/>
                <w:lang w:eastAsia="zh-CN"/>
              </w:rPr>
            </w:pPr>
            <w:r>
              <w:rPr>
                <w:rFonts w:hint="eastAsia" w:ascii="仿宋" w:hAnsi="仿宋" w:eastAsia="仿宋" w:cs="宋体"/>
                <w:color w:val="auto"/>
                <w:lang w:eastAsia="zh-CN"/>
              </w:rPr>
              <w:t>1、西区：流量计、PH计、余氯、COD、数采仪。</w:t>
            </w:r>
          </w:p>
          <w:p>
            <w:pPr>
              <w:pStyle w:val="9"/>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eastAsia="zh-CN"/>
              </w:rPr>
              <w:t>2、东区：流量计、PH计、余氯、COD、数采仪</w:t>
            </w:r>
          </w:p>
        </w:tc>
        <w:tc>
          <w:tcPr>
            <w:tcW w:w="3320"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rPr>
                <w:rFonts w:hint="eastAsia" w:ascii="仿宋" w:hAnsi="仿宋" w:eastAsia="仿宋" w:cs="宋体"/>
                <w:color w:val="auto"/>
                <w:lang w:eastAsia="zh-CN"/>
              </w:rPr>
            </w:pPr>
            <w:r>
              <w:rPr>
                <w:rFonts w:hint="eastAsia" w:ascii="仿宋" w:hAnsi="仿宋" w:eastAsia="仿宋" w:cs="宋体"/>
                <w:color w:val="auto"/>
                <w:lang w:eastAsia="zh-CN"/>
              </w:rPr>
              <w:t>1、自动监测运维人员须持证上岗；</w:t>
            </w:r>
          </w:p>
          <w:p>
            <w:pPr>
              <w:spacing w:before="120" w:beforeLines="50" w:after="120" w:afterLines="50" w:line="240" w:lineRule="auto"/>
              <w:rPr>
                <w:rFonts w:hint="eastAsia" w:ascii="仿宋" w:hAnsi="仿宋" w:eastAsia="仿宋" w:cs="宋体"/>
                <w:color w:val="auto"/>
                <w:lang w:eastAsia="zh-CN"/>
              </w:rPr>
            </w:pPr>
            <w:r>
              <w:rPr>
                <w:rFonts w:hint="eastAsia" w:ascii="仿宋" w:hAnsi="仿宋" w:eastAsia="仿宋" w:cs="宋体"/>
                <w:color w:val="auto"/>
                <w:lang w:val="en-US" w:eastAsia="zh-CN"/>
              </w:rPr>
              <w:t>2、</w:t>
            </w:r>
            <w:r>
              <w:rPr>
                <w:rFonts w:hint="eastAsia" w:ascii="仿宋" w:hAnsi="仿宋" w:eastAsia="仿宋" w:cs="宋体"/>
                <w:color w:val="auto"/>
                <w:lang w:eastAsia="zh-CN"/>
              </w:rPr>
              <w:t>水质在线监测设备运维要求执行标准为《水污染源在线监测系统运行技术规范》HJ 355-2019；</w:t>
            </w:r>
          </w:p>
          <w:p>
            <w:pPr>
              <w:spacing w:before="120" w:beforeLines="50" w:after="120" w:afterLines="50" w:line="240" w:lineRule="auto"/>
              <w:rPr>
                <w:rFonts w:hint="eastAsia" w:ascii="仿宋" w:hAnsi="仿宋" w:eastAsia="仿宋" w:cs="宋体"/>
                <w:color w:val="auto"/>
                <w:lang w:eastAsia="zh-CN"/>
              </w:rPr>
            </w:pPr>
            <w:r>
              <w:rPr>
                <w:rFonts w:hint="eastAsia" w:ascii="仿宋" w:hAnsi="仿宋" w:eastAsia="仿宋" w:cs="宋体"/>
                <w:color w:val="auto"/>
                <w:lang w:eastAsia="zh-CN"/>
              </w:rPr>
              <w:t>3、因水质在线运维不规范或数据造假所导致的环保处罚由乙方承担。</w:t>
            </w:r>
          </w:p>
          <w:p>
            <w:pPr>
              <w:pStyle w:val="4"/>
              <w:spacing w:before="120" w:beforeLines="50" w:after="120" w:afterLines="50" w:line="240" w:lineRule="auto"/>
              <w:rPr>
                <w:rFonts w:hint="eastAsia" w:ascii="仿宋" w:hAnsi="仿宋" w:eastAsia="仿宋" w:cs="宋体"/>
                <w:color w:val="auto"/>
                <w:sz w:val="24"/>
                <w:szCs w:val="24"/>
                <w:lang w:eastAsia="zh-CN"/>
              </w:rPr>
            </w:pPr>
            <w:r>
              <w:rPr>
                <w:rFonts w:hint="eastAsia" w:ascii="仿宋" w:hAnsi="仿宋" w:eastAsia="仿宋" w:cs="宋体"/>
                <w:color w:val="auto"/>
                <w:sz w:val="24"/>
                <w:szCs w:val="24"/>
                <w:lang w:val="en-US" w:eastAsia="zh-CN"/>
              </w:rPr>
              <w:t>4、比对监测和校验：在线监测设备按照江苏省污染源自动监测管理办法》（2022年修订）第六章比对校验的要求进行人工比对监测和校验，</w:t>
            </w:r>
            <w:r>
              <w:rPr>
                <w:rFonts w:hint="eastAsia" w:ascii="仿宋" w:hAnsi="仿宋" w:eastAsia="仿宋" w:cs="宋体"/>
                <w:color w:val="auto"/>
                <w:sz w:val="24"/>
                <w:szCs w:val="24"/>
                <w:lang w:eastAsia="zh-CN"/>
              </w:rPr>
              <w:t>确保污水设备正常、稳定，准确检测和处理医疗废水。</w:t>
            </w:r>
          </w:p>
          <w:p>
            <w:pPr>
              <w:pStyle w:val="4"/>
              <w:spacing w:before="120" w:beforeLines="50" w:after="120" w:afterLines="50" w:line="240" w:lineRule="auto"/>
              <w:rPr>
                <w:rFonts w:eastAsiaTheme="minorEastAsia"/>
                <w:lang w:eastAsia="zh-CN"/>
              </w:rPr>
            </w:pPr>
            <w:r>
              <w:rPr>
                <w:rFonts w:hint="eastAsia" w:ascii="仿宋" w:hAnsi="仿宋" w:eastAsia="仿宋" w:cs="宋体"/>
                <w:color w:val="auto"/>
                <w:sz w:val="24"/>
                <w:szCs w:val="24"/>
                <w:lang w:val="en-US" w:eastAsia="zh-CN"/>
              </w:rPr>
              <w:t>5、东区污水在线监测设备监测站房（含监测设备）因我院建设需求预计2025年3月移至污水排水口附近指定区域，乙方应按照《HJ353-2019HJ354-2019水污染源在线监测系统（CODCr等）安装技术规范》及《HJ354-2019水污染源在线监测系统（CODCr等）验收技术规范》要求完成安装验收工作。</w:t>
            </w:r>
          </w:p>
        </w:tc>
        <w:tc>
          <w:tcPr>
            <w:tcW w:w="1527"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jc w:val="center"/>
              <w:rPr>
                <w:rFonts w:hint="eastAsia" w:ascii="仿宋" w:hAnsi="仿宋" w:eastAsia="仿宋" w:cs="宋体"/>
                <w:color w:val="auto"/>
                <w:lang w:val="en-US" w:eastAsia="zh-CN"/>
              </w:rPr>
            </w:pPr>
          </w:p>
        </w:tc>
      </w:tr>
      <w:tr>
        <w:tblPrEx>
          <w:tblCellMar>
            <w:top w:w="0" w:type="dxa"/>
            <w:left w:w="108" w:type="dxa"/>
            <w:bottom w:w="0" w:type="dxa"/>
            <w:right w:w="108" w:type="dxa"/>
          </w:tblCellMar>
        </w:tblPrEx>
        <w:trPr>
          <w:trHeight w:val="302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jc w:val="center"/>
              <w:rPr>
                <w:rFonts w:hint="eastAsia" w:ascii="仿宋" w:hAnsi="仿宋" w:eastAsia="仿宋" w:cs="宋体"/>
                <w:color w:val="auto"/>
                <w:lang w:val="en-US" w:eastAsia="zh-CN"/>
              </w:rPr>
            </w:pPr>
            <w:r>
              <w:rPr>
                <w:rFonts w:hint="eastAsia" w:ascii="仿宋" w:hAnsi="仿宋" w:eastAsia="仿宋" w:cs="宋体"/>
                <w:color w:val="auto"/>
                <w:lang w:val="en-US" w:eastAsia="zh-CN"/>
              </w:rPr>
              <w:t>4</w:t>
            </w:r>
          </w:p>
        </w:tc>
        <w:tc>
          <w:tcPr>
            <w:tcW w:w="125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rPr>
                <w:rFonts w:hint="eastAsia" w:ascii="仿宋" w:hAnsi="仿宋" w:eastAsia="仿宋" w:cs="宋体"/>
                <w:color w:val="auto"/>
              </w:rPr>
            </w:pPr>
            <w:r>
              <w:rPr>
                <w:rFonts w:hint="eastAsia" w:ascii="仿宋" w:hAnsi="仿宋" w:eastAsia="仿宋" w:cs="宋体"/>
                <w:color w:val="auto"/>
                <w:lang w:eastAsia="zh-CN"/>
              </w:rPr>
              <w:t>污泥</w:t>
            </w:r>
            <w:r>
              <w:rPr>
                <w:rFonts w:hint="eastAsia" w:ascii="仿宋" w:hAnsi="仿宋" w:eastAsia="仿宋" w:cs="宋体"/>
                <w:color w:val="auto"/>
              </w:rPr>
              <w:t>处置</w:t>
            </w:r>
          </w:p>
        </w:tc>
        <w:tc>
          <w:tcPr>
            <w:tcW w:w="2760" w:type="dxa"/>
            <w:tcBorders>
              <w:top w:val="single" w:color="000000" w:sz="4" w:space="0"/>
              <w:left w:val="single" w:color="000000" w:sz="4" w:space="0"/>
              <w:bottom w:val="single" w:color="000000" w:sz="4" w:space="0"/>
              <w:right w:val="single" w:color="000000" w:sz="4" w:space="0"/>
            </w:tcBorders>
            <w:vAlign w:val="center"/>
          </w:tcPr>
          <w:p>
            <w:pPr>
              <w:pStyle w:val="4"/>
              <w:spacing w:before="120" w:beforeLines="50" w:after="120" w:afterLines="50" w:line="240" w:lineRule="auto"/>
              <w:rPr>
                <w:rFonts w:hint="eastAsia" w:ascii="仿宋" w:hAnsi="仿宋" w:eastAsia="仿宋" w:cs="宋体"/>
                <w:color w:val="auto"/>
                <w:sz w:val="24"/>
                <w:szCs w:val="24"/>
                <w:lang w:eastAsia="zh-CN"/>
              </w:rPr>
            </w:pPr>
            <w:r>
              <w:rPr>
                <w:rFonts w:hint="eastAsia" w:ascii="仿宋" w:hAnsi="仿宋" w:eastAsia="仿宋" w:cs="宋体"/>
                <w:color w:val="auto"/>
                <w:sz w:val="24"/>
                <w:szCs w:val="24"/>
                <w:lang w:val="en-US" w:eastAsia="zh-CN"/>
              </w:rPr>
              <w:t>1、</w:t>
            </w:r>
            <w:r>
              <w:rPr>
                <w:rFonts w:hint="eastAsia" w:ascii="仿宋" w:hAnsi="仿宋" w:eastAsia="仿宋" w:cs="宋体"/>
                <w:color w:val="auto"/>
                <w:sz w:val="24"/>
                <w:szCs w:val="24"/>
                <w:lang w:eastAsia="zh-CN"/>
              </w:rPr>
              <w:t>负责叠螺机设备的安装和后续维护保养。</w:t>
            </w:r>
          </w:p>
          <w:p>
            <w:pPr>
              <w:pStyle w:val="4"/>
              <w:spacing w:before="120" w:beforeLines="50" w:after="120" w:afterLines="50" w:line="240" w:lineRule="auto"/>
              <w:rPr>
                <w:rFonts w:hint="eastAsia" w:ascii="仿宋" w:hAnsi="仿宋" w:eastAsia="仿宋" w:cs="宋体"/>
                <w:color w:val="auto"/>
                <w:sz w:val="24"/>
                <w:szCs w:val="24"/>
                <w:lang w:eastAsia="zh-CN"/>
              </w:rPr>
            </w:pPr>
            <w:r>
              <w:rPr>
                <w:rFonts w:hint="eastAsia" w:ascii="仿宋" w:hAnsi="仿宋" w:eastAsia="仿宋" w:cs="宋体"/>
                <w:color w:val="auto"/>
                <w:sz w:val="24"/>
                <w:szCs w:val="24"/>
                <w:lang w:val="en-US" w:eastAsia="zh-CN"/>
              </w:rPr>
              <w:t>2、</w:t>
            </w:r>
            <w:r>
              <w:rPr>
                <w:rFonts w:hint="eastAsia" w:ascii="仿宋" w:hAnsi="仿宋" w:eastAsia="仿宋" w:cs="宋体"/>
                <w:color w:val="auto"/>
                <w:sz w:val="24"/>
                <w:szCs w:val="24"/>
                <w:lang w:eastAsia="zh-CN"/>
              </w:rPr>
              <w:t>包括污泥处置前的压滤消毒等工作</w:t>
            </w:r>
          </w:p>
          <w:p>
            <w:pPr>
              <w:pStyle w:val="4"/>
              <w:spacing w:before="120" w:beforeLines="50" w:after="120" w:afterLines="50" w:line="240" w:lineRule="auto"/>
              <w:rPr>
                <w:rFonts w:hint="eastAsia" w:ascii="仿宋" w:hAnsi="仿宋" w:eastAsia="仿宋" w:cs="宋体"/>
                <w:color w:val="auto"/>
                <w:sz w:val="24"/>
                <w:szCs w:val="24"/>
                <w:lang w:eastAsia="zh-CN"/>
              </w:rPr>
            </w:pPr>
            <w:r>
              <w:rPr>
                <w:rFonts w:hint="eastAsia" w:ascii="仿宋" w:hAnsi="仿宋" w:eastAsia="仿宋" w:cs="宋体"/>
                <w:color w:val="auto"/>
                <w:sz w:val="24"/>
                <w:szCs w:val="24"/>
                <w:lang w:val="en-US" w:eastAsia="zh-CN"/>
              </w:rPr>
              <w:t>3、</w:t>
            </w:r>
            <w:r>
              <w:rPr>
                <w:rFonts w:hint="eastAsia" w:ascii="仿宋" w:hAnsi="仿宋" w:eastAsia="仿宋" w:cs="宋体"/>
                <w:color w:val="auto"/>
                <w:sz w:val="24"/>
                <w:szCs w:val="24"/>
                <w:lang w:eastAsia="zh-CN"/>
              </w:rPr>
              <w:t>污泥处置须委托有资质的危废处置第三方公司，且负责环保脸谱“一企一档”危废平台管理（</w:t>
            </w:r>
            <w:r>
              <w:rPr>
                <w:rFonts w:hint="eastAsia" w:ascii="仿宋" w:hAnsi="仿宋" w:eastAsia="仿宋" w:cs="宋体"/>
                <w:color w:val="auto"/>
                <w:sz w:val="24"/>
                <w:szCs w:val="24"/>
                <w:lang w:val="en-US" w:eastAsia="zh-CN"/>
              </w:rPr>
              <w:t>污泥处置费由甲方负责</w:t>
            </w:r>
            <w:r>
              <w:rPr>
                <w:rFonts w:hint="eastAsia" w:ascii="仿宋" w:hAnsi="仿宋" w:eastAsia="仿宋" w:cs="宋体"/>
                <w:color w:val="auto"/>
                <w:sz w:val="24"/>
                <w:szCs w:val="24"/>
                <w:lang w:eastAsia="zh-CN"/>
              </w:rPr>
              <w:t>）</w:t>
            </w:r>
          </w:p>
        </w:tc>
        <w:tc>
          <w:tcPr>
            <w:tcW w:w="332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叠螺机：东西区医院各一台（参考品牌：博一、安尼康、康泰或更高规格）；</w:t>
            </w:r>
          </w:p>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处理量：5-10DSkg/h；</w:t>
            </w:r>
          </w:p>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总功率：1.12kw；</w:t>
            </w:r>
          </w:p>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材质：304不锈钢；</w:t>
            </w:r>
          </w:p>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外形尺寸：</w:t>
            </w:r>
          </w:p>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2200mm×500mm×1500mm。</w:t>
            </w:r>
          </w:p>
          <w:p>
            <w:pPr>
              <w:numPr>
                <w:ilvl w:val="0"/>
                <w:numId w:val="1"/>
              </w:num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PAM加药装置：东西区各一台；</w:t>
            </w:r>
          </w:p>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容积：500L；</w:t>
            </w:r>
          </w:p>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搅拌机：0.37kw；</w:t>
            </w:r>
          </w:p>
          <w:p>
            <w:pPr>
              <w:spacing w:before="120" w:beforeLines="50" w:after="120" w:afterLines="50" w:line="240" w:lineRule="auto"/>
              <w:ind w:left="1200" w:hanging="1200" w:hangingChars="500"/>
              <w:rPr>
                <w:rFonts w:hint="eastAsia" w:ascii="仿宋" w:hAnsi="仿宋" w:eastAsia="仿宋" w:cs="宋体"/>
                <w:color w:val="auto"/>
                <w:lang w:val="en-US" w:eastAsia="zh-CN"/>
              </w:rPr>
            </w:pPr>
            <w:r>
              <w:rPr>
                <w:rFonts w:hint="eastAsia" w:ascii="仿宋" w:hAnsi="仿宋" w:eastAsia="仿宋" w:cs="宋体"/>
                <w:color w:val="auto"/>
                <w:lang w:val="en-US" w:eastAsia="zh-CN"/>
              </w:rPr>
              <w:t>加药泵：Q=50L/h，H=10m，</w:t>
            </w:r>
          </w:p>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N=0.37kw</w:t>
            </w:r>
          </w:p>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3、污泥泵：东西区各一台；流量：6m</w:t>
            </w:r>
            <w:r>
              <w:rPr>
                <w:rFonts w:ascii="Calibri" w:hAnsi="Calibri" w:eastAsia="仿宋" w:cs="Calibri"/>
                <w:color w:val="auto"/>
                <w:lang w:val="en-US" w:eastAsia="zh-CN"/>
              </w:rPr>
              <w:t>³</w:t>
            </w:r>
            <w:r>
              <w:rPr>
                <w:rFonts w:hint="eastAsia" w:ascii="仿宋" w:hAnsi="仿宋" w:eastAsia="仿宋" w:cs="宋体"/>
                <w:color w:val="auto"/>
                <w:lang w:val="en-US" w:eastAsia="zh-CN"/>
              </w:rPr>
              <w:t>/h，扬程：15m，功率：0.75kw。</w:t>
            </w:r>
          </w:p>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4、设备房：西区：现有污水站设备间调整。</w:t>
            </w:r>
          </w:p>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东区：钢结构，尺寸：</w:t>
            </w:r>
          </w:p>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4500mm×3000mm×2800mm；</w:t>
            </w:r>
          </w:p>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需考虑管道等辅材。</w:t>
            </w:r>
          </w:p>
        </w:tc>
        <w:tc>
          <w:tcPr>
            <w:tcW w:w="1527"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jc w:val="center"/>
              <w:rPr>
                <w:rFonts w:hint="eastAsia" w:ascii="仿宋" w:hAnsi="仿宋" w:eastAsia="仿宋" w:cs="宋体"/>
                <w:color w:val="auto"/>
                <w:lang w:val="en-US" w:eastAsia="zh-CN"/>
              </w:rPr>
            </w:pPr>
          </w:p>
        </w:tc>
      </w:tr>
      <w:tr>
        <w:tblPrEx>
          <w:tblCellMar>
            <w:top w:w="0" w:type="dxa"/>
            <w:left w:w="108" w:type="dxa"/>
            <w:bottom w:w="0" w:type="dxa"/>
            <w:right w:w="108" w:type="dxa"/>
          </w:tblCellMar>
        </w:tblPrEx>
        <w:trPr>
          <w:trHeight w:val="3010"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jc w:val="center"/>
              <w:rPr>
                <w:rFonts w:hint="eastAsia" w:ascii="仿宋" w:hAnsi="仿宋" w:eastAsia="仿宋" w:cs="宋体"/>
                <w:color w:val="auto"/>
                <w:lang w:eastAsia="zh-CN"/>
              </w:rPr>
            </w:pPr>
            <w:r>
              <w:rPr>
                <w:rFonts w:hint="eastAsia" w:ascii="仿宋" w:hAnsi="仿宋" w:eastAsia="仿宋" w:cs="宋体"/>
                <w:color w:val="auto"/>
                <w:lang w:val="en-US" w:eastAsia="zh-CN"/>
              </w:rPr>
              <w:t>5</w:t>
            </w:r>
          </w:p>
        </w:tc>
        <w:tc>
          <w:tcPr>
            <w:tcW w:w="125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rPr>
                <w:rFonts w:hint="eastAsia" w:ascii="仿宋" w:hAnsi="仿宋" w:eastAsia="仿宋" w:cs="宋体"/>
                <w:color w:val="auto"/>
                <w:lang w:eastAsia="zh-CN"/>
              </w:rPr>
            </w:pPr>
            <w:r>
              <w:rPr>
                <w:rFonts w:hint="eastAsia" w:ascii="仿宋" w:hAnsi="仿宋" w:eastAsia="仿宋" w:cs="宋体"/>
                <w:color w:val="auto"/>
                <w:lang w:eastAsia="zh-CN"/>
              </w:rPr>
              <w:t>第三方排污许可自行监测</w:t>
            </w:r>
          </w:p>
        </w:tc>
        <w:tc>
          <w:tcPr>
            <w:tcW w:w="2760" w:type="dxa"/>
            <w:tcBorders>
              <w:top w:val="single" w:color="000000" w:sz="4" w:space="0"/>
              <w:left w:val="single" w:color="000000" w:sz="4" w:space="0"/>
              <w:bottom w:val="single" w:color="000000" w:sz="4" w:space="0"/>
              <w:right w:val="single" w:color="000000" w:sz="4" w:space="0"/>
            </w:tcBorders>
            <w:vAlign w:val="center"/>
          </w:tcPr>
          <w:p>
            <w:pPr>
              <w:pStyle w:val="4"/>
              <w:spacing w:before="120" w:beforeLines="50" w:after="120" w:afterLines="50" w:line="240" w:lineRule="auto"/>
              <w:rPr>
                <w:rFonts w:hint="eastAsia" w:ascii="仿宋" w:hAnsi="仿宋" w:eastAsia="仿宋" w:cs="宋体"/>
                <w:color w:val="auto"/>
                <w:sz w:val="24"/>
                <w:szCs w:val="24"/>
                <w:lang w:eastAsia="zh-CN"/>
              </w:rPr>
            </w:pPr>
            <w:r>
              <w:rPr>
                <w:rFonts w:hint="eastAsia" w:ascii="仿宋" w:hAnsi="仿宋" w:eastAsia="仿宋" w:cs="宋体"/>
                <w:color w:val="auto"/>
                <w:sz w:val="24"/>
                <w:szCs w:val="24"/>
                <w:lang w:eastAsia="zh-CN"/>
              </w:rPr>
              <w:t>严格按照排污许可证自行监测要求进行检测，包括频次、样品数、检测周期、分析方法均必须与排污许可证一致。提供具有CMA认证的第三方检测机构</w:t>
            </w:r>
            <w:r>
              <w:rPr>
                <w:rFonts w:hint="eastAsia" w:ascii="仿宋" w:hAnsi="仿宋" w:eastAsia="仿宋" w:cs="宋体"/>
                <w:color w:val="auto"/>
                <w:sz w:val="24"/>
                <w:szCs w:val="24"/>
                <w:lang w:val="en-US" w:eastAsia="zh-CN"/>
              </w:rPr>
              <w:t>环境</w:t>
            </w:r>
            <w:r>
              <w:rPr>
                <w:rFonts w:hint="eastAsia" w:ascii="仿宋" w:hAnsi="仿宋" w:eastAsia="仿宋" w:cs="宋体"/>
                <w:color w:val="auto"/>
                <w:sz w:val="24"/>
                <w:szCs w:val="24"/>
                <w:lang w:eastAsia="zh-CN"/>
              </w:rPr>
              <w:t>检测报告。</w:t>
            </w:r>
          </w:p>
        </w:tc>
        <w:tc>
          <w:tcPr>
            <w:tcW w:w="3320" w:type="dxa"/>
            <w:tcBorders>
              <w:top w:val="single" w:color="000000" w:sz="4" w:space="0"/>
              <w:left w:val="single" w:color="000000" w:sz="4" w:space="0"/>
              <w:bottom w:val="single" w:color="000000" w:sz="4" w:space="0"/>
              <w:right w:val="single" w:color="000000" w:sz="4" w:space="0"/>
            </w:tcBorders>
            <w:vAlign w:val="center"/>
          </w:tcPr>
          <w:p>
            <w:pPr>
              <w:pStyle w:val="9"/>
              <w:spacing w:before="120" w:beforeLines="50" w:after="120" w:afterLines="50" w:line="240" w:lineRule="auto"/>
              <w:rPr>
                <w:rFonts w:hint="eastAsia" w:ascii="仿宋" w:hAnsi="仿宋" w:eastAsia="仿宋" w:cs="宋体"/>
                <w:color w:val="auto"/>
                <w:lang w:eastAsia="zh-CN"/>
              </w:rPr>
            </w:pPr>
            <w:r>
              <w:rPr>
                <w:rFonts w:hint="eastAsia" w:ascii="仿宋" w:hAnsi="仿宋" w:eastAsia="仿宋" w:cs="宋体"/>
                <w:color w:val="auto"/>
                <w:lang w:val="en-US" w:eastAsia="zh-CN"/>
              </w:rPr>
              <w:t>1、</w:t>
            </w:r>
            <w:r>
              <w:rPr>
                <w:rFonts w:hint="eastAsia" w:ascii="仿宋" w:hAnsi="仿宋" w:eastAsia="仿宋" w:cs="宋体"/>
                <w:color w:val="auto"/>
                <w:lang w:eastAsia="zh-CN"/>
              </w:rPr>
              <w:t>负责“一企一档”手工检测数据填报；</w:t>
            </w:r>
          </w:p>
          <w:p>
            <w:pPr>
              <w:pStyle w:val="9"/>
              <w:spacing w:before="120" w:beforeLines="50" w:after="120" w:afterLines="50" w:line="240" w:lineRule="auto"/>
              <w:rPr>
                <w:rFonts w:hint="eastAsia" w:ascii="仿宋" w:hAnsi="仿宋" w:eastAsia="仿宋" w:cs="宋体"/>
                <w:color w:val="auto"/>
                <w:lang w:eastAsia="zh-CN"/>
              </w:rPr>
            </w:pPr>
            <w:r>
              <w:rPr>
                <w:rFonts w:hint="eastAsia" w:ascii="仿宋" w:hAnsi="仿宋" w:eastAsia="仿宋" w:cs="宋体"/>
                <w:color w:val="auto"/>
                <w:lang w:val="en-US" w:eastAsia="zh-CN"/>
              </w:rPr>
              <w:t>2、</w:t>
            </w:r>
            <w:r>
              <w:rPr>
                <w:rFonts w:hint="eastAsia" w:ascii="仿宋" w:hAnsi="仿宋" w:eastAsia="仿宋" w:cs="宋体"/>
                <w:color w:val="auto"/>
                <w:lang w:eastAsia="zh-CN"/>
              </w:rPr>
              <w:t>完成季报</w:t>
            </w:r>
            <w:r>
              <w:rPr>
                <w:rFonts w:hint="eastAsia" w:ascii="仿宋" w:hAnsi="仿宋" w:eastAsia="仿宋" w:cs="宋体"/>
                <w:color w:val="auto"/>
                <w:lang w:val="en-US" w:eastAsia="zh-CN"/>
              </w:rPr>
              <w:t>及</w:t>
            </w:r>
            <w:r>
              <w:rPr>
                <w:rFonts w:hint="eastAsia" w:ascii="仿宋" w:hAnsi="仿宋" w:eastAsia="仿宋" w:cs="宋体"/>
                <w:color w:val="auto"/>
                <w:lang w:eastAsia="zh-CN"/>
              </w:rPr>
              <w:t>年度执行报告；</w:t>
            </w:r>
          </w:p>
          <w:p>
            <w:pPr>
              <w:pStyle w:val="9"/>
              <w:spacing w:before="120" w:beforeLines="50" w:after="120" w:afterLines="50" w:line="240" w:lineRule="auto"/>
              <w:rPr>
                <w:rFonts w:hint="eastAsia" w:ascii="仿宋" w:hAnsi="仿宋" w:eastAsia="仿宋" w:cs="宋体"/>
                <w:color w:val="auto"/>
                <w:lang w:eastAsia="zh-CN"/>
              </w:rPr>
            </w:pPr>
            <w:r>
              <w:rPr>
                <w:rFonts w:hint="eastAsia" w:ascii="仿宋" w:hAnsi="仿宋" w:eastAsia="仿宋" w:cs="宋体"/>
                <w:color w:val="auto"/>
                <w:lang w:val="en-US" w:eastAsia="zh-CN"/>
              </w:rPr>
              <w:t>3、</w:t>
            </w:r>
            <w:r>
              <w:rPr>
                <w:rFonts w:hint="eastAsia" w:ascii="仿宋" w:hAnsi="仿宋" w:eastAsia="仿宋" w:cs="宋体"/>
                <w:color w:val="auto"/>
                <w:lang w:eastAsia="zh-CN"/>
              </w:rPr>
              <w:t>平台其他相关工作；</w:t>
            </w:r>
          </w:p>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4、负责污水数据上传等信息填报。</w:t>
            </w:r>
          </w:p>
        </w:tc>
        <w:tc>
          <w:tcPr>
            <w:tcW w:w="1527" w:type="dxa"/>
            <w:tcBorders>
              <w:top w:val="single" w:color="000000" w:sz="4" w:space="0"/>
              <w:left w:val="single" w:color="000000" w:sz="4" w:space="0"/>
              <w:bottom w:val="single" w:color="000000" w:sz="4" w:space="0"/>
              <w:right w:val="single" w:color="000000" w:sz="4" w:space="0"/>
            </w:tcBorders>
            <w:vAlign w:val="center"/>
          </w:tcPr>
          <w:p>
            <w:pPr>
              <w:pStyle w:val="9"/>
              <w:spacing w:before="120" w:beforeLines="50" w:after="120" w:afterLines="50" w:line="240" w:lineRule="auto"/>
              <w:jc w:val="center"/>
              <w:rPr>
                <w:rFonts w:hint="eastAsia" w:ascii="仿宋" w:hAnsi="仿宋" w:eastAsia="仿宋" w:cs="宋体"/>
                <w:color w:val="auto"/>
                <w:lang w:val="en-US" w:eastAsia="zh-CN"/>
              </w:rPr>
            </w:pPr>
          </w:p>
        </w:tc>
      </w:tr>
      <w:tr>
        <w:tblPrEx>
          <w:tblCellMar>
            <w:top w:w="0" w:type="dxa"/>
            <w:left w:w="108" w:type="dxa"/>
            <w:bottom w:w="0" w:type="dxa"/>
            <w:right w:w="108" w:type="dxa"/>
          </w:tblCellMar>
        </w:tblPrEx>
        <w:trPr>
          <w:trHeight w:val="122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jc w:val="center"/>
              <w:rPr>
                <w:rFonts w:hint="eastAsia" w:ascii="仿宋" w:hAnsi="仿宋" w:eastAsia="仿宋" w:cs="宋体"/>
                <w:color w:val="auto"/>
                <w:lang w:val="en-US" w:eastAsia="zh-CN"/>
              </w:rPr>
            </w:pPr>
            <w:r>
              <w:rPr>
                <w:rFonts w:hint="eastAsia" w:ascii="仿宋" w:hAnsi="仿宋" w:eastAsia="仿宋" w:cs="宋体"/>
                <w:color w:val="auto"/>
                <w:lang w:val="en-US" w:eastAsia="zh-CN"/>
              </w:rPr>
              <w:t>6</w:t>
            </w:r>
          </w:p>
        </w:tc>
        <w:tc>
          <w:tcPr>
            <w:tcW w:w="125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污水消毒剂</w:t>
            </w:r>
          </w:p>
        </w:tc>
        <w:tc>
          <w:tcPr>
            <w:tcW w:w="2760" w:type="dxa"/>
            <w:tcBorders>
              <w:top w:val="single" w:color="000000" w:sz="4" w:space="0"/>
              <w:left w:val="single" w:color="000000" w:sz="4" w:space="0"/>
              <w:bottom w:val="single" w:color="000000" w:sz="4" w:space="0"/>
              <w:right w:val="single" w:color="000000" w:sz="4" w:space="0"/>
            </w:tcBorders>
            <w:vAlign w:val="center"/>
          </w:tcPr>
          <w:p>
            <w:pPr>
              <w:pStyle w:val="4"/>
              <w:spacing w:before="120" w:beforeLines="50" w:after="120" w:afterLines="50" w:line="240" w:lineRule="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 xml:space="preserve">1、全年供应污水消毒剂，消毒剂采用次氯酸钠溶液（由乙方提供） </w:t>
            </w:r>
          </w:p>
          <w:p>
            <w:pPr>
              <w:pStyle w:val="4"/>
              <w:spacing w:before="120" w:beforeLines="50" w:after="120" w:afterLines="50" w:line="240" w:lineRule="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2、若污水检测其他指标超标而采取其他药剂处理，应包含此种情况</w:t>
            </w:r>
          </w:p>
          <w:p>
            <w:pPr>
              <w:pStyle w:val="4"/>
              <w:spacing w:before="120" w:beforeLines="50" w:after="120" w:afterLines="50" w:line="240" w:lineRule="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3、包含污水处理营养剂或菌种费用</w:t>
            </w:r>
          </w:p>
        </w:tc>
        <w:tc>
          <w:tcPr>
            <w:tcW w:w="3320"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1、次氯酸钠溶液浓度约为10%，</w:t>
            </w:r>
          </w:p>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2、排口总余氯须达到2~8mg/L</w:t>
            </w:r>
          </w:p>
        </w:tc>
        <w:tc>
          <w:tcPr>
            <w:tcW w:w="1527" w:type="dxa"/>
            <w:tcBorders>
              <w:top w:val="single" w:color="000000" w:sz="4" w:space="0"/>
              <w:left w:val="single" w:color="000000" w:sz="4" w:space="0"/>
              <w:bottom w:val="single" w:color="000000" w:sz="4" w:space="0"/>
              <w:right w:val="single" w:color="000000" w:sz="4" w:space="0"/>
            </w:tcBorders>
            <w:vAlign w:val="center"/>
          </w:tcPr>
          <w:p>
            <w:pPr>
              <w:pStyle w:val="9"/>
              <w:spacing w:before="120" w:beforeLines="50" w:after="120" w:afterLines="50" w:line="240" w:lineRule="auto"/>
              <w:jc w:val="center"/>
              <w:rPr>
                <w:rFonts w:hint="eastAsia" w:ascii="仿宋" w:hAnsi="仿宋" w:eastAsia="仿宋" w:cs="宋体"/>
                <w:color w:val="auto"/>
                <w:lang w:val="en-US" w:eastAsia="zh-CN"/>
              </w:rPr>
            </w:pPr>
          </w:p>
        </w:tc>
      </w:tr>
      <w:tr>
        <w:tblPrEx>
          <w:tblCellMar>
            <w:top w:w="0" w:type="dxa"/>
            <w:left w:w="108" w:type="dxa"/>
            <w:bottom w:w="0" w:type="dxa"/>
            <w:right w:w="108" w:type="dxa"/>
          </w:tblCellMar>
        </w:tblPrEx>
        <w:trPr>
          <w:trHeight w:val="122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jc w:val="center"/>
              <w:rPr>
                <w:rFonts w:hint="eastAsia" w:ascii="仿宋" w:hAnsi="仿宋" w:eastAsia="仿宋" w:cs="宋体"/>
                <w:color w:val="auto"/>
                <w:lang w:val="en-US" w:eastAsia="zh-CN"/>
              </w:rPr>
            </w:pPr>
            <w:r>
              <w:rPr>
                <w:rFonts w:hint="eastAsia" w:ascii="仿宋" w:hAnsi="仿宋" w:eastAsia="仿宋" w:cs="宋体"/>
                <w:color w:val="auto"/>
                <w:lang w:val="en-US" w:eastAsia="zh-CN"/>
              </w:rPr>
              <w:t>7</w:t>
            </w:r>
          </w:p>
        </w:tc>
        <w:tc>
          <w:tcPr>
            <w:tcW w:w="125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尾气处置</w:t>
            </w:r>
          </w:p>
        </w:tc>
        <w:tc>
          <w:tcPr>
            <w:tcW w:w="2760" w:type="dxa"/>
            <w:tcBorders>
              <w:top w:val="single" w:color="000000" w:sz="4" w:space="0"/>
              <w:left w:val="single" w:color="000000" w:sz="4" w:space="0"/>
              <w:bottom w:val="single" w:color="000000" w:sz="4" w:space="0"/>
              <w:right w:val="single" w:color="000000" w:sz="4" w:space="0"/>
            </w:tcBorders>
            <w:vAlign w:val="center"/>
          </w:tcPr>
          <w:p>
            <w:pPr>
              <w:pStyle w:val="4"/>
              <w:spacing w:before="120" w:beforeLines="50" w:after="120" w:afterLines="50" w:line="240" w:lineRule="auto"/>
              <w:rPr>
                <w:rFonts w:hint="eastAsia" w:ascii="仿宋" w:hAnsi="仿宋" w:eastAsia="仿宋" w:cs="宋体"/>
                <w:color w:val="auto"/>
                <w:sz w:val="24"/>
                <w:szCs w:val="24"/>
                <w:lang w:eastAsia="zh-CN"/>
              </w:rPr>
            </w:pPr>
            <w:r>
              <w:rPr>
                <w:rFonts w:hint="eastAsia" w:ascii="仿宋" w:hAnsi="仿宋" w:eastAsia="仿宋" w:cs="宋体"/>
                <w:color w:val="auto"/>
                <w:sz w:val="24"/>
                <w:szCs w:val="24"/>
                <w:lang w:val="en-US" w:eastAsia="zh-CN"/>
              </w:rPr>
              <w:t>1、</w:t>
            </w:r>
            <w:r>
              <w:rPr>
                <w:rFonts w:hint="eastAsia" w:ascii="仿宋" w:hAnsi="仿宋" w:eastAsia="仿宋" w:cs="宋体"/>
                <w:color w:val="auto"/>
                <w:sz w:val="24"/>
                <w:szCs w:val="24"/>
                <w:lang w:eastAsia="zh-CN"/>
              </w:rPr>
              <w:t>负责</w:t>
            </w:r>
            <w:r>
              <w:rPr>
                <w:rFonts w:hint="eastAsia" w:ascii="仿宋" w:hAnsi="仿宋" w:eastAsia="仿宋" w:cs="宋体"/>
                <w:color w:val="auto"/>
                <w:sz w:val="24"/>
                <w:szCs w:val="24"/>
                <w:lang w:val="en-US" w:eastAsia="zh-CN"/>
              </w:rPr>
              <w:t>尾气处理装置的</w:t>
            </w:r>
            <w:r>
              <w:rPr>
                <w:rFonts w:hint="eastAsia" w:ascii="仿宋" w:hAnsi="仿宋" w:eastAsia="仿宋" w:cs="宋体"/>
                <w:color w:val="auto"/>
                <w:sz w:val="24"/>
                <w:szCs w:val="24"/>
                <w:lang w:eastAsia="zh-CN"/>
              </w:rPr>
              <w:t>设备的</w:t>
            </w:r>
            <w:r>
              <w:rPr>
                <w:rFonts w:hint="eastAsia" w:ascii="仿宋" w:hAnsi="仿宋" w:eastAsia="仿宋" w:cs="宋体"/>
                <w:color w:val="auto"/>
                <w:sz w:val="24"/>
                <w:szCs w:val="24"/>
                <w:lang w:val="en-US" w:eastAsia="zh-CN"/>
              </w:rPr>
              <w:t>运</w:t>
            </w:r>
            <w:r>
              <w:rPr>
                <w:rFonts w:hint="eastAsia" w:ascii="仿宋" w:hAnsi="仿宋" w:eastAsia="仿宋" w:cs="宋体"/>
                <w:color w:val="auto"/>
                <w:sz w:val="24"/>
                <w:szCs w:val="24"/>
                <w:lang w:eastAsia="zh-CN"/>
              </w:rPr>
              <w:t>维</w:t>
            </w:r>
            <w:r>
              <w:rPr>
                <w:rFonts w:hint="eastAsia" w:ascii="仿宋" w:hAnsi="仿宋" w:eastAsia="仿宋" w:cs="宋体"/>
                <w:color w:val="auto"/>
                <w:sz w:val="24"/>
                <w:szCs w:val="24"/>
                <w:lang w:val="en-US" w:eastAsia="zh-CN"/>
              </w:rPr>
              <w:t>与</w:t>
            </w:r>
            <w:r>
              <w:rPr>
                <w:rFonts w:hint="eastAsia" w:ascii="仿宋" w:hAnsi="仿宋" w:eastAsia="仿宋" w:cs="宋体"/>
                <w:color w:val="auto"/>
                <w:sz w:val="24"/>
                <w:szCs w:val="24"/>
                <w:lang w:eastAsia="zh-CN"/>
              </w:rPr>
              <w:t>保养。</w:t>
            </w:r>
          </w:p>
          <w:p>
            <w:pPr>
              <w:pStyle w:val="4"/>
              <w:spacing w:before="120" w:beforeLines="50" w:after="120" w:afterLines="50" w:line="240" w:lineRule="auto"/>
              <w:rPr>
                <w:rFonts w:hint="eastAsia" w:ascii="仿宋" w:hAnsi="仿宋" w:eastAsia="仿宋" w:cs="宋体"/>
                <w:color w:val="auto"/>
                <w:sz w:val="24"/>
                <w:szCs w:val="24"/>
                <w:lang w:eastAsia="zh-CN"/>
              </w:rPr>
            </w:pPr>
            <w:r>
              <w:rPr>
                <w:rFonts w:hint="eastAsia" w:ascii="仿宋" w:hAnsi="仿宋" w:eastAsia="仿宋" w:cs="宋体"/>
                <w:color w:val="auto"/>
                <w:sz w:val="24"/>
                <w:szCs w:val="24"/>
                <w:lang w:val="en-US" w:eastAsia="zh-CN"/>
              </w:rPr>
              <w:t>2、</w:t>
            </w:r>
            <w:r>
              <w:rPr>
                <w:rFonts w:hint="eastAsia" w:ascii="仿宋" w:hAnsi="仿宋" w:eastAsia="仿宋" w:cs="宋体"/>
                <w:color w:val="auto"/>
                <w:sz w:val="24"/>
                <w:szCs w:val="24"/>
                <w:lang w:eastAsia="zh-CN"/>
              </w:rPr>
              <w:t>排放的恶臭污染物浓度执行标准</w:t>
            </w:r>
            <w:r>
              <w:rPr>
                <w:rFonts w:hint="eastAsia" w:ascii="仿宋" w:hAnsi="仿宋" w:eastAsia="仿宋" w:cs="宋体"/>
                <w:color w:val="auto"/>
                <w:sz w:val="24"/>
                <w:szCs w:val="24"/>
                <w:lang w:val="en-US" w:eastAsia="zh-CN"/>
              </w:rPr>
              <w:t>见第三项</w:t>
            </w:r>
            <w:r>
              <w:rPr>
                <w:rFonts w:hint="eastAsia" w:ascii="仿宋" w:hAnsi="仿宋" w:eastAsia="仿宋" w:cs="宋体"/>
                <w:color w:val="auto"/>
                <w:sz w:val="24"/>
                <w:szCs w:val="24"/>
                <w:lang w:eastAsia="zh-CN"/>
              </w:rPr>
              <w:t>检测服务项目内容及要求</w:t>
            </w:r>
            <w:r>
              <w:rPr>
                <w:rFonts w:hint="eastAsia" w:ascii="仿宋" w:hAnsi="仿宋" w:eastAsia="仿宋" w:cs="宋体"/>
                <w:color w:val="auto"/>
                <w:sz w:val="24"/>
                <w:szCs w:val="24"/>
                <w:lang w:val="en-US" w:eastAsia="zh-CN"/>
              </w:rPr>
              <w:t xml:space="preserve">  </w:t>
            </w:r>
          </w:p>
          <w:p>
            <w:pPr>
              <w:pStyle w:val="4"/>
              <w:spacing w:before="120" w:beforeLines="50" w:after="120" w:afterLines="50" w:line="240" w:lineRule="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3、活性炭的更换：尾气处理装置使用的活性炭由乙方负责。</w:t>
            </w:r>
          </w:p>
        </w:tc>
        <w:tc>
          <w:tcPr>
            <w:tcW w:w="3320"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1、根据江苏省生态环境厅文件 苏环办【2021】218号《省生态环境厅关于将排污单位活性炭使用更换纳入排污许可管理的通知》活性炭更换周期为3个月</w:t>
            </w:r>
            <w:r>
              <w:rPr>
                <w:rFonts w:hint="eastAsia" w:ascii="仿宋" w:hAnsi="仿宋" w:eastAsia="仿宋" w:cs="宋体"/>
                <w:color w:val="auto"/>
                <w:lang w:eastAsia="zh-CN"/>
              </w:rPr>
              <w:t>，且负责环保脸谱“一企一档”危废平台管理（</w:t>
            </w:r>
            <w:r>
              <w:rPr>
                <w:rFonts w:hint="eastAsia" w:ascii="仿宋" w:hAnsi="仿宋" w:eastAsia="仿宋" w:cs="宋体"/>
                <w:color w:val="auto"/>
                <w:lang w:val="en-US" w:eastAsia="zh-CN"/>
              </w:rPr>
              <w:t>活性炭处置费由甲方负责</w:t>
            </w:r>
            <w:r>
              <w:rPr>
                <w:rFonts w:hint="eastAsia" w:ascii="仿宋" w:hAnsi="仿宋" w:eastAsia="仿宋" w:cs="宋体"/>
                <w:color w:val="auto"/>
                <w:lang w:eastAsia="zh-CN"/>
              </w:rPr>
              <w:t>）</w:t>
            </w:r>
          </w:p>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2、排放标准见 第三项</w:t>
            </w:r>
            <w:r>
              <w:rPr>
                <w:rFonts w:hint="eastAsia" w:ascii="仿宋" w:hAnsi="仿宋" w:eastAsia="仿宋" w:cs="宋体"/>
                <w:color w:val="auto"/>
                <w:lang w:eastAsia="zh-CN"/>
              </w:rPr>
              <w:t>检测服务项目内容及要求</w:t>
            </w:r>
          </w:p>
        </w:tc>
        <w:tc>
          <w:tcPr>
            <w:tcW w:w="1527" w:type="dxa"/>
            <w:tcBorders>
              <w:top w:val="single" w:color="000000" w:sz="4" w:space="0"/>
              <w:left w:val="single" w:color="000000" w:sz="4" w:space="0"/>
              <w:bottom w:val="single" w:color="000000" w:sz="4" w:space="0"/>
              <w:right w:val="single" w:color="000000" w:sz="4" w:space="0"/>
            </w:tcBorders>
            <w:vAlign w:val="center"/>
          </w:tcPr>
          <w:p>
            <w:pPr>
              <w:pStyle w:val="9"/>
              <w:spacing w:before="120" w:beforeLines="50" w:after="120" w:afterLines="50" w:line="240" w:lineRule="auto"/>
              <w:jc w:val="center"/>
              <w:rPr>
                <w:rFonts w:hint="eastAsia" w:ascii="仿宋" w:hAnsi="仿宋" w:eastAsia="仿宋" w:cs="宋体"/>
                <w:color w:val="auto"/>
                <w:lang w:val="en-US" w:eastAsia="zh-CN"/>
              </w:rPr>
            </w:pPr>
          </w:p>
        </w:tc>
      </w:tr>
      <w:tr>
        <w:tblPrEx>
          <w:tblCellMar>
            <w:top w:w="0" w:type="dxa"/>
            <w:left w:w="108" w:type="dxa"/>
            <w:bottom w:w="0" w:type="dxa"/>
            <w:right w:w="108" w:type="dxa"/>
          </w:tblCellMar>
        </w:tblPrEx>
        <w:trPr>
          <w:trHeight w:val="1435"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jc w:val="center"/>
              <w:rPr>
                <w:rFonts w:hint="eastAsia" w:ascii="仿宋" w:hAnsi="仿宋" w:eastAsia="仿宋" w:cs="宋体"/>
                <w:color w:val="auto"/>
                <w:lang w:val="en-US" w:eastAsia="zh-CN"/>
              </w:rPr>
            </w:pPr>
            <w:r>
              <w:rPr>
                <w:rFonts w:hint="eastAsia" w:ascii="仿宋" w:hAnsi="仿宋" w:eastAsia="仿宋" w:cs="宋体"/>
                <w:color w:val="auto"/>
                <w:lang w:val="en-US" w:eastAsia="zh-CN"/>
              </w:rPr>
              <w:t>8</w:t>
            </w:r>
          </w:p>
        </w:tc>
        <w:tc>
          <w:tcPr>
            <w:tcW w:w="125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rPr>
                <w:rFonts w:hint="eastAsia" w:ascii="仿宋" w:hAnsi="仿宋" w:eastAsia="仿宋" w:cs="宋体"/>
                <w:color w:val="auto"/>
                <w:lang w:val="en-US" w:eastAsia="zh-CN"/>
              </w:rPr>
            </w:pPr>
            <w:r>
              <w:rPr>
                <w:rFonts w:hint="eastAsia" w:ascii="仿宋" w:hAnsi="仿宋" w:eastAsia="仿宋" w:cs="宋体"/>
                <w:color w:val="auto"/>
                <w:lang w:val="en-US" w:eastAsia="zh-CN"/>
              </w:rPr>
              <w:t>公司管理费、风险费、利润及税金等</w:t>
            </w:r>
          </w:p>
        </w:tc>
        <w:tc>
          <w:tcPr>
            <w:tcW w:w="2760" w:type="dxa"/>
            <w:tcBorders>
              <w:top w:val="single" w:color="000000" w:sz="4" w:space="0"/>
              <w:left w:val="single" w:color="000000" w:sz="4" w:space="0"/>
              <w:bottom w:val="single" w:color="000000" w:sz="4" w:space="0"/>
              <w:right w:val="single" w:color="000000" w:sz="4" w:space="0"/>
            </w:tcBorders>
            <w:vAlign w:val="center"/>
          </w:tcPr>
          <w:p>
            <w:pPr>
              <w:pStyle w:val="4"/>
              <w:spacing w:before="120" w:beforeLines="50" w:after="120" w:afterLines="50" w:line="240" w:lineRule="auto"/>
              <w:jc w:val="center"/>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根据项目具体要求判定</w:t>
            </w:r>
          </w:p>
        </w:tc>
        <w:tc>
          <w:tcPr>
            <w:tcW w:w="3320"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rPr>
                <w:rFonts w:hint="eastAsia" w:ascii="仿宋" w:hAnsi="仿宋" w:eastAsia="仿宋" w:cs="宋体"/>
                <w:color w:val="auto"/>
                <w:lang w:eastAsia="zh-CN"/>
              </w:rPr>
            </w:pPr>
          </w:p>
        </w:tc>
        <w:tc>
          <w:tcPr>
            <w:tcW w:w="1527" w:type="dxa"/>
            <w:tcBorders>
              <w:top w:val="single" w:color="000000" w:sz="4" w:space="0"/>
              <w:left w:val="single" w:color="000000" w:sz="4" w:space="0"/>
              <w:bottom w:val="single" w:color="000000" w:sz="4" w:space="0"/>
              <w:right w:val="single" w:color="000000" w:sz="4" w:space="0"/>
            </w:tcBorders>
            <w:vAlign w:val="center"/>
          </w:tcPr>
          <w:p>
            <w:pPr>
              <w:pStyle w:val="9"/>
              <w:spacing w:before="120" w:beforeLines="50" w:after="120" w:afterLines="50" w:line="240" w:lineRule="auto"/>
              <w:jc w:val="center"/>
              <w:rPr>
                <w:rFonts w:hint="eastAsia" w:ascii="仿宋" w:hAnsi="仿宋" w:eastAsia="仿宋" w:cs="宋体"/>
                <w:color w:val="auto"/>
                <w:lang w:val="en-US" w:eastAsia="zh-CN"/>
              </w:rPr>
            </w:pPr>
          </w:p>
        </w:tc>
      </w:tr>
      <w:tr>
        <w:tblPrEx>
          <w:tblCellMar>
            <w:top w:w="0" w:type="dxa"/>
            <w:left w:w="108" w:type="dxa"/>
            <w:bottom w:w="0" w:type="dxa"/>
            <w:right w:w="108" w:type="dxa"/>
          </w:tblCellMar>
        </w:tblPrEx>
        <w:trPr>
          <w:trHeight w:val="632" w:hRule="atLeast"/>
        </w:trPr>
        <w:tc>
          <w:tcPr>
            <w:tcW w:w="7931" w:type="dxa"/>
            <w:gridSpan w:val="4"/>
            <w:tcBorders>
              <w:top w:val="single" w:color="000000" w:sz="4" w:space="0"/>
              <w:left w:val="single" w:color="000000" w:sz="4" w:space="0"/>
              <w:bottom w:val="single" w:color="000000" w:sz="4" w:space="0"/>
              <w:right w:val="single" w:color="000000" w:sz="4" w:space="0"/>
            </w:tcBorders>
            <w:vAlign w:val="center"/>
          </w:tcPr>
          <w:p>
            <w:pPr>
              <w:pStyle w:val="9"/>
              <w:spacing w:before="120" w:beforeLines="50" w:after="120" w:afterLines="50" w:line="240" w:lineRule="auto"/>
              <w:jc w:val="center"/>
              <w:rPr>
                <w:rFonts w:hint="eastAsia" w:ascii="仿宋" w:hAnsi="仿宋" w:eastAsia="仿宋" w:cs="宋体"/>
                <w:color w:val="auto"/>
                <w:lang w:eastAsia="zh-CN"/>
              </w:rPr>
            </w:pPr>
            <w:r>
              <w:rPr>
                <w:rFonts w:hint="eastAsia" w:ascii="仿宋" w:hAnsi="仿宋" w:eastAsia="仿宋" w:cs="宋体"/>
                <w:color w:val="auto"/>
              </w:rPr>
              <w:t>合计</w:t>
            </w:r>
          </w:p>
        </w:tc>
        <w:tc>
          <w:tcPr>
            <w:tcW w:w="1527" w:type="dxa"/>
            <w:tcBorders>
              <w:top w:val="single" w:color="000000" w:sz="4" w:space="0"/>
              <w:left w:val="single" w:color="000000" w:sz="4" w:space="0"/>
              <w:bottom w:val="single" w:color="000000" w:sz="4" w:space="0"/>
              <w:right w:val="single" w:color="000000" w:sz="4" w:space="0"/>
            </w:tcBorders>
            <w:vAlign w:val="center"/>
          </w:tcPr>
          <w:p>
            <w:pPr>
              <w:pStyle w:val="9"/>
              <w:spacing w:before="120" w:beforeLines="50" w:after="120" w:afterLines="50" w:line="240" w:lineRule="auto"/>
              <w:jc w:val="both"/>
              <w:rPr>
                <w:rFonts w:hint="eastAsia" w:ascii="仿宋" w:hAnsi="仿宋" w:eastAsia="仿宋" w:cs="宋体"/>
                <w:color w:val="auto"/>
                <w:lang w:val="en-US" w:eastAsia="zh-CN"/>
              </w:rPr>
            </w:pPr>
          </w:p>
        </w:tc>
      </w:tr>
    </w:tbl>
    <w:p>
      <w:pPr>
        <w:pStyle w:val="11"/>
        <w:spacing w:before="240" w:beforeAutospacing="0" w:after="240" w:afterAutospacing="0" w:line="240" w:lineRule="auto"/>
        <w:rPr>
          <w:rFonts w:hint="eastAsia" w:ascii="仿宋" w:hAnsi="仿宋" w:eastAsia="仿宋" w:cs="宋体"/>
          <w:color w:val="auto"/>
          <w:shd w:val="clear" w:color="FFFFFF" w:fill="auto"/>
          <w:lang w:val="en-US" w:eastAsia="zh-CN"/>
        </w:rPr>
      </w:pPr>
    </w:p>
    <w:p>
      <w:pPr>
        <w:spacing w:beforeLines="0" w:afterLines="0" w:line="360" w:lineRule="auto"/>
        <w:ind w:firstLine="480" w:firstLineChars="200"/>
        <w:rPr>
          <w:rFonts w:hint="eastAsia" w:ascii="黑体" w:hAnsi="黑体" w:eastAsia="黑体" w:cs="宋体"/>
          <w:color w:val="auto"/>
          <w:lang w:val="en-US" w:eastAsia="zh-CN"/>
        </w:rPr>
      </w:pPr>
      <w:r>
        <w:rPr>
          <w:rFonts w:hint="eastAsia" w:ascii="黑体" w:hAnsi="黑体" w:eastAsia="黑体" w:cs="宋体"/>
          <w:color w:val="auto"/>
          <w:lang w:val="en-US" w:eastAsia="zh-CN"/>
        </w:rPr>
        <w:t>二、项目具体要求</w:t>
      </w:r>
    </w:p>
    <w:p>
      <w:pPr>
        <w:spacing w:before="240" w:after="240" w:line="240" w:lineRule="auto"/>
        <w:ind w:firstLine="480" w:firstLineChars="200"/>
        <w:rPr>
          <w:rFonts w:hint="eastAsia" w:ascii="仿宋" w:hAnsi="仿宋" w:eastAsia="仿宋" w:cs="宋体"/>
          <w:color w:val="auto"/>
          <w:lang w:val="en-US" w:eastAsia="zh-CN"/>
        </w:rPr>
      </w:pPr>
      <w:r>
        <w:rPr>
          <w:rFonts w:hint="eastAsia" w:ascii="仿宋" w:hAnsi="仿宋" w:eastAsia="仿宋" w:cs="宋体"/>
          <w:color w:val="auto"/>
          <w:lang w:val="en-US" w:eastAsia="zh-CN"/>
        </w:rPr>
        <w:t>1．</w:t>
      </w:r>
      <w:r>
        <w:rPr>
          <w:rFonts w:hint="eastAsia" w:ascii="仿宋" w:hAnsi="仿宋" w:eastAsia="仿宋" w:cs="宋体"/>
          <w:color w:val="auto"/>
          <w:lang w:eastAsia="zh-CN"/>
        </w:rPr>
        <w:t>负责污水处理系统的日常运行、管理、维修、维护、水质检测和出具水质检测报告等所有工作，确保污水处理规范管理，污水达标排放,污水处理产生的尾气达标排放，</w:t>
      </w:r>
      <w:r>
        <w:rPr>
          <w:rFonts w:hint="eastAsia" w:ascii="仿宋" w:hAnsi="仿宋" w:eastAsia="仿宋" w:cs="宋体"/>
          <w:color w:val="auto"/>
          <w:lang w:val="en-US" w:eastAsia="zh-CN"/>
        </w:rPr>
        <w:t>负责更换废弃处理装置材料，废弃物由甲方处理</w:t>
      </w:r>
      <w:r>
        <w:rPr>
          <w:rFonts w:hint="eastAsia" w:ascii="仿宋" w:hAnsi="仿宋" w:eastAsia="仿宋" w:cs="宋体"/>
          <w:color w:val="auto"/>
          <w:lang w:eastAsia="zh-CN"/>
        </w:rPr>
        <w:t>。</w:t>
      </w:r>
      <w:r>
        <w:rPr>
          <w:rFonts w:hint="eastAsia" w:ascii="仿宋" w:hAnsi="仿宋" w:eastAsia="仿宋" w:cs="宋体"/>
          <w:color w:val="auto"/>
          <w:lang w:val="en-US" w:eastAsia="zh-CN"/>
        </w:rPr>
        <w:t>排放标准见第三项</w:t>
      </w:r>
      <w:r>
        <w:rPr>
          <w:rFonts w:hint="eastAsia" w:ascii="仿宋" w:hAnsi="仿宋" w:eastAsia="仿宋" w:cs="宋体"/>
          <w:color w:val="auto"/>
          <w:lang w:eastAsia="zh-CN"/>
        </w:rPr>
        <w:t>检测服务项目内容及要求</w:t>
      </w:r>
      <w:r>
        <w:rPr>
          <w:rFonts w:hint="eastAsia" w:ascii="仿宋" w:hAnsi="仿宋" w:eastAsia="仿宋" w:cs="宋体"/>
          <w:color w:val="auto"/>
          <w:lang w:val="en-US" w:eastAsia="zh-CN"/>
        </w:rPr>
        <w:t>。</w:t>
      </w:r>
    </w:p>
    <w:p>
      <w:pPr>
        <w:spacing w:before="240" w:after="240" w:line="240" w:lineRule="auto"/>
        <w:ind w:firstLine="480" w:firstLineChars="200"/>
        <w:rPr>
          <w:rFonts w:hint="eastAsia" w:ascii="仿宋" w:hAnsi="仿宋" w:eastAsia="仿宋" w:cs="宋体"/>
          <w:color w:val="auto"/>
          <w:lang w:val="en-US" w:eastAsia="zh-CN"/>
        </w:rPr>
      </w:pPr>
      <w:r>
        <w:rPr>
          <w:rFonts w:hint="eastAsia" w:ascii="仿宋" w:hAnsi="仿宋" w:eastAsia="仿宋" w:cs="宋体"/>
          <w:color w:val="auto"/>
          <w:lang w:val="en-US" w:eastAsia="zh-CN"/>
        </w:rPr>
        <w:t>2．</w:t>
      </w:r>
      <w:r>
        <w:rPr>
          <w:rFonts w:hint="eastAsia" w:ascii="仿宋" w:hAnsi="仿宋" w:eastAsia="仿宋" w:cs="宋体"/>
          <w:color w:val="auto"/>
          <w:lang w:eastAsia="zh-CN"/>
        </w:rPr>
        <w:t>东西区污水处理日常运行、维修、维护需配备</w:t>
      </w:r>
      <w:r>
        <w:rPr>
          <w:rFonts w:hint="eastAsia" w:ascii="仿宋" w:hAnsi="仿宋" w:eastAsia="仿宋" w:cs="宋体"/>
          <w:color w:val="auto"/>
          <w:lang w:val="en-US" w:eastAsia="zh-CN"/>
        </w:rPr>
        <w:t>经过系统培训，有污水处理运维经验</w:t>
      </w:r>
      <w:r>
        <w:rPr>
          <w:rFonts w:hint="eastAsia" w:ascii="仿宋" w:hAnsi="仿宋" w:eastAsia="仿宋" w:cs="宋体"/>
          <w:color w:val="auto"/>
          <w:lang w:eastAsia="zh-CN"/>
        </w:rPr>
        <w:t>的运行、操作管理人员</w:t>
      </w:r>
      <w:r>
        <w:rPr>
          <w:rFonts w:hint="eastAsia" w:ascii="仿宋" w:hAnsi="仿宋" w:eastAsia="仿宋" w:cs="宋体"/>
          <w:color w:val="auto"/>
          <w:lang w:val="en-US" w:eastAsia="zh-CN"/>
        </w:rPr>
        <w:t>。</w:t>
      </w:r>
    </w:p>
    <w:p>
      <w:pPr>
        <w:spacing w:before="240" w:after="240" w:line="240" w:lineRule="auto"/>
        <w:ind w:firstLine="480" w:firstLineChars="200"/>
        <w:rPr>
          <w:rFonts w:hint="eastAsia" w:ascii="仿宋" w:hAnsi="仿宋" w:eastAsia="仿宋" w:cs="宋体"/>
          <w:color w:val="auto"/>
          <w:lang w:eastAsia="zh-CN"/>
        </w:rPr>
      </w:pPr>
      <w:r>
        <w:rPr>
          <w:rFonts w:hint="eastAsia" w:ascii="仿宋" w:hAnsi="仿宋" w:eastAsia="仿宋" w:cs="宋体"/>
          <w:color w:val="auto"/>
          <w:lang w:val="en-US" w:eastAsia="zh-CN"/>
        </w:rPr>
        <w:t>3．</w:t>
      </w:r>
      <w:r>
        <w:rPr>
          <w:rFonts w:hint="eastAsia" w:ascii="仿宋" w:hAnsi="仿宋" w:eastAsia="仿宋" w:cs="宋体"/>
          <w:color w:val="auto"/>
          <w:lang w:eastAsia="zh-CN"/>
        </w:rPr>
        <w:t>负责东西区污水处理消毒药剂的采购、搬运、储存、使用及其安全管理。</w:t>
      </w:r>
    </w:p>
    <w:p>
      <w:pPr>
        <w:spacing w:before="240" w:after="240" w:line="240" w:lineRule="auto"/>
        <w:ind w:firstLine="480" w:firstLineChars="200"/>
        <w:rPr>
          <w:rFonts w:hint="eastAsia" w:ascii="仿宋" w:hAnsi="仿宋" w:eastAsia="仿宋" w:cs="宋体"/>
          <w:color w:val="auto"/>
          <w:lang w:eastAsia="zh-CN"/>
        </w:rPr>
      </w:pPr>
      <w:r>
        <w:rPr>
          <w:rFonts w:hint="eastAsia" w:ascii="仿宋" w:hAnsi="仿宋" w:eastAsia="仿宋" w:cs="宋体"/>
          <w:color w:val="auto"/>
          <w:lang w:val="en-US" w:eastAsia="zh-CN"/>
        </w:rPr>
        <w:t>4．</w:t>
      </w:r>
      <w:r>
        <w:rPr>
          <w:rFonts w:hint="eastAsia" w:ascii="仿宋" w:hAnsi="仿宋" w:eastAsia="仿宋" w:cs="宋体"/>
          <w:color w:val="auto"/>
          <w:lang w:eastAsia="zh-CN"/>
        </w:rPr>
        <w:t>负责污水处理系统日常运行台账资料、污水检测报告和文件的记录、归档、保存、管理并交甲方存档。</w:t>
      </w:r>
    </w:p>
    <w:p>
      <w:pPr>
        <w:spacing w:before="240" w:after="240" w:line="240" w:lineRule="auto"/>
        <w:ind w:firstLine="480" w:firstLineChars="200"/>
        <w:rPr>
          <w:rFonts w:hint="eastAsia" w:ascii="仿宋" w:hAnsi="仿宋" w:eastAsia="仿宋" w:cs="宋体"/>
          <w:color w:val="auto"/>
          <w:lang w:eastAsia="zh-CN"/>
        </w:rPr>
      </w:pPr>
      <w:r>
        <w:rPr>
          <w:rFonts w:hint="eastAsia" w:ascii="仿宋" w:hAnsi="仿宋" w:eastAsia="仿宋" w:cs="宋体"/>
          <w:color w:val="auto"/>
          <w:lang w:val="en-US" w:eastAsia="zh-CN"/>
        </w:rPr>
        <w:t>5．</w:t>
      </w:r>
      <w:r>
        <w:rPr>
          <w:rFonts w:hint="eastAsia" w:ascii="仿宋" w:hAnsi="仿宋" w:eastAsia="仿宋" w:cs="宋体"/>
          <w:color w:val="auto"/>
          <w:lang w:eastAsia="zh-CN"/>
        </w:rPr>
        <w:t>制定合理的污水处理设备设施的维修、保养、巡视、记录、检测</w:t>
      </w:r>
      <w:r>
        <w:rPr>
          <w:rFonts w:hint="eastAsia" w:ascii="仿宋" w:hAnsi="仿宋" w:eastAsia="仿宋" w:cs="宋体"/>
          <w:color w:val="auto"/>
          <w:lang w:val="en-US" w:eastAsia="zh-CN"/>
        </w:rPr>
        <w:t>方案并实施，针对设施运行存在必要的大修</w:t>
      </w:r>
      <w:r>
        <w:rPr>
          <w:rFonts w:hint="eastAsia" w:ascii="仿宋" w:hAnsi="仿宋" w:eastAsia="仿宋" w:cs="宋体"/>
          <w:color w:val="auto"/>
          <w:lang w:eastAsia="zh-CN"/>
        </w:rPr>
        <w:t>、改造、更新</w:t>
      </w:r>
      <w:r>
        <w:rPr>
          <w:rFonts w:hint="eastAsia" w:ascii="仿宋" w:hAnsi="仿宋" w:eastAsia="仿宋" w:cs="宋体"/>
          <w:color w:val="auto"/>
          <w:lang w:val="en-US" w:eastAsia="zh-CN"/>
        </w:rPr>
        <w:t>等情况需及时以书面的形式汇报甲方</w:t>
      </w:r>
      <w:r>
        <w:rPr>
          <w:rFonts w:hint="eastAsia" w:ascii="仿宋" w:hAnsi="仿宋" w:eastAsia="仿宋" w:cs="宋体"/>
          <w:color w:val="auto"/>
          <w:lang w:eastAsia="zh-CN"/>
        </w:rPr>
        <w:t>（含降低运行噪声和气味的措施。</w:t>
      </w:r>
      <w:r>
        <w:rPr>
          <w:rFonts w:hint="eastAsia" w:ascii="仿宋" w:hAnsi="仿宋" w:eastAsia="仿宋" w:cs="宋体"/>
          <w:color w:val="auto"/>
          <w:lang w:val="en-US" w:eastAsia="zh-CN"/>
        </w:rPr>
        <w:t>单次维修费用2000元以下由乙方负责</w:t>
      </w:r>
      <w:r>
        <w:rPr>
          <w:rFonts w:hint="eastAsia" w:ascii="仿宋" w:hAnsi="仿宋" w:eastAsia="仿宋" w:cs="宋体"/>
          <w:color w:val="auto"/>
          <w:lang w:eastAsia="zh-CN"/>
        </w:rPr>
        <w:t>），保证污水处理系统所有设备设施正常运行。</w:t>
      </w:r>
    </w:p>
    <w:p>
      <w:pPr>
        <w:spacing w:before="240" w:after="240" w:line="240" w:lineRule="auto"/>
        <w:ind w:firstLine="480" w:firstLineChars="200"/>
        <w:rPr>
          <w:rFonts w:hint="eastAsia" w:ascii="仿宋" w:hAnsi="仿宋" w:eastAsia="仿宋" w:cs="宋体"/>
          <w:color w:val="auto"/>
          <w:lang w:val="en-US" w:eastAsia="zh-CN"/>
        </w:rPr>
      </w:pPr>
      <w:r>
        <w:rPr>
          <w:rFonts w:hint="eastAsia" w:ascii="仿宋" w:hAnsi="仿宋" w:eastAsia="仿宋" w:cs="宋体"/>
          <w:color w:val="auto"/>
          <w:lang w:val="en-US" w:eastAsia="zh-CN"/>
        </w:rPr>
        <w:t>6．</w:t>
      </w:r>
      <w:r>
        <w:rPr>
          <w:rFonts w:hint="eastAsia" w:ascii="仿宋" w:hAnsi="仿宋" w:eastAsia="仿宋" w:cs="宋体"/>
          <w:color w:val="auto"/>
          <w:lang w:eastAsia="zh-CN"/>
        </w:rPr>
        <w:t>水质检测：按照排污许可证的自行监测方案要求和国家卫生健康委员会标准要求</w:t>
      </w:r>
      <w:r>
        <w:rPr>
          <w:rFonts w:hint="eastAsia" w:ascii="仿宋" w:hAnsi="仿宋" w:eastAsia="仿宋" w:cs="宋体"/>
          <w:color w:val="auto"/>
          <w:lang w:val="en-US" w:eastAsia="zh-CN"/>
        </w:rPr>
        <w:t>委托具有CMA资质的第三方检测单位</w:t>
      </w:r>
      <w:r>
        <w:rPr>
          <w:rFonts w:hint="eastAsia" w:ascii="仿宋" w:hAnsi="仿宋" w:eastAsia="仿宋" w:cs="宋体"/>
          <w:color w:val="auto"/>
          <w:lang w:eastAsia="zh-CN"/>
        </w:rPr>
        <w:t>执行。</w:t>
      </w:r>
      <w:r>
        <w:rPr>
          <w:rFonts w:hint="eastAsia" w:ascii="仿宋" w:hAnsi="仿宋" w:eastAsia="仿宋" w:cs="宋体"/>
          <w:color w:val="auto"/>
          <w:lang w:val="en-US" w:eastAsia="zh-CN"/>
        </w:rPr>
        <w:t>排污许可证监测方案见第三项</w:t>
      </w:r>
      <w:r>
        <w:rPr>
          <w:rFonts w:hint="eastAsia" w:ascii="仿宋" w:hAnsi="仿宋" w:eastAsia="仿宋" w:cs="宋体"/>
          <w:color w:val="auto"/>
          <w:lang w:eastAsia="zh-CN"/>
        </w:rPr>
        <w:t>检测服务项目内容及要求</w:t>
      </w:r>
      <w:r>
        <w:rPr>
          <w:rFonts w:hint="eastAsia" w:ascii="仿宋" w:hAnsi="仿宋" w:eastAsia="仿宋" w:cs="宋体"/>
          <w:color w:val="auto"/>
          <w:lang w:val="en-US" w:eastAsia="zh-CN"/>
        </w:rPr>
        <w:t>。水质检测需及时准确（按第三项</w:t>
      </w:r>
      <w:r>
        <w:rPr>
          <w:rFonts w:hint="eastAsia" w:ascii="仿宋" w:hAnsi="仿宋" w:eastAsia="仿宋" w:cs="宋体"/>
          <w:color w:val="auto"/>
          <w:lang w:eastAsia="zh-CN"/>
        </w:rPr>
        <w:t>检测服务项目内容及要求</w:t>
      </w:r>
      <w:r>
        <w:rPr>
          <w:rFonts w:hint="eastAsia" w:ascii="仿宋" w:hAnsi="仿宋" w:eastAsia="仿宋" w:cs="宋体"/>
          <w:color w:val="auto"/>
          <w:lang w:val="en-US" w:eastAsia="zh-CN"/>
        </w:rPr>
        <w:t>方法时间执行），未按要求提供第三方检测单位出具检测报告的，当月考核扣5分，扣当月运维费5%，需补交检测报告。</w:t>
      </w:r>
    </w:p>
    <w:p>
      <w:pPr>
        <w:spacing w:before="240" w:after="240" w:line="240" w:lineRule="auto"/>
        <w:ind w:firstLine="480" w:firstLineChars="200"/>
        <w:rPr>
          <w:rFonts w:hint="eastAsia" w:ascii="仿宋" w:hAnsi="仿宋" w:eastAsia="仿宋" w:cs="宋体"/>
          <w:color w:val="auto"/>
          <w:lang w:eastAsia="zh-CN"/>
        </w:rPr>
      </w:pPr>
      <w:r>
        <w:rPr>
          <w:rFonts w:hint="eastAsia" w:ascii="仿宋" w:hAnsi="仿宋" w:eastAsia="仿宋" w:cs="宋体"/>
          <w:color w:val="auto"/>
          <w:lang w:val="en-US" w:eastAsia="zh-CN"/>
        </w:rPr>
        <w:t>7．</w:t>
      </w:r>
      <w:r>
        <w:rPr>
          <w:rFonts w:hint="eastAsia" w:ascii="仿宋" w:hAnsi="仿宋" w:eastAsia="仿宋" w:cs="宋体"/>
          <w:color w:val="auto"/>
          <w:lang w:eastAsia="zh-CN"/>
        </w:rPr>
        <w:t>水质检测每天上、下午各一次对污水站出水</w:t>
      </w:r>
      <w:r>
        <w:rPr>
          <w:rFonts w:hint="eastAsia" w:ascii="仿宋" w:hAnsi="仿宋" w:eastAsia="仿宋" w:cs="宋体"/>
          <w:color w:val="auto"/>
          <w:lang w:val="en-US" w:eastAsia="zh-CN"/>
        </w:rPr>
        <w:t>余氯、pH值</w:t>
      </w:r>
      <w:r>
        <w:rPr>
          <w:rFonts w:hint="eastAsia" w:ascii="仿宋" w:hAnsi="仿宋" w:eastAsia="仿宋" w:cs="宋体"/>
          <w:color w:val="auto"/>
          <w:lang w:eastAsia="zh-CN"/>
        </w:rPr>
        <w:t>进行</w:t>
      </w:r>
      <w:r>
        <w:rPr>
          <w:rFonts w:hint="eastAsia" w:ascii="仿宋" w:hAnsi="仿宋" w:eastAsia="仿宋" w:cs="宋体"/>
          <w:color w:val="auto"/>
          <w:lang w:val="en-US" w:eastAsia="zh-CN"/>
        </w:rPr>
        <w:t>自行</w:t>
      </w:r>
      <w:r>
        <w:rPr>
          <w:rFonts w:hint="eastAsia" w:ascii="仿宋" w:hAnsi="仿宋" w:eastAsia="仿宋" w:cs="宋体"/>
          <w:color w:val="auto"/>
          <w:lang w:eastAsia="zh-CN"/>
        </w:rPr>
        <w:t>检测，每年需进行不少</w:t>
      </w:r>
      <w:r>
        <w:rPr>
          <w:rFonts w:hint="eastAsia" w:ascii="仿宋" w:hAnsi="仿宋" w:eastAsia="仿宋" w:cs="宋体"/>
          <w:color w:val="auto"/>
          <w:lang w:val="en-US" w:eastAsia="zh-CN"/>
        </w:rPr>
        <w:t>于</w:t>
      </w:r>
      <w:r>
        <w:rPr>
          <w:rFonts w:hint="eastAsia" w:ascii="仿宋" w:hAnsi="仿宋" w:eastAsia="仿宋" w:cs="宋体"/>
          <w:color w:val="auto"/>
          <w:lang w:eastAsia="zh-CN"/>
        </w:rPr>
        <w:t>环保要求</w:t>
      </w:r>
      <w:r>
        <w:rPr>
          <w:rFonts w:hint="eastAsia" w:ascii="仿宋" w:hAnsi="仿宋" w:eastAsia="仿宋" w:cs="宋体"/>
          <w:color w:val="auto"/>
          <w:lang w:val="en-US" w:eastAsia="zh-CN"/>
        </w:rPr>
        <w:t>的</w:t>
      </w:r>
      <w:r>
        <w:rPr>
          <w:rFonts w:hint="eastAsia" w:ascii="仿宋" w:hAnsi="仿宋" w:eastAsia="仿宋" w:cs="宋体"/>
          <w:color w:val="auto"/>
          <w:lang w:eastAsia="zh-CN"/>
        </w:rPr>
        <w:t>检测，确保污水处理系统出水排放所有指标符合</w:t>
      </w:r>
      <w:r>
        <w:rPr>
          <w:rFonts w:hint="eastAsia" w:ascii="仿宋" w:hAnsi="仿宋" w:eastAsia="仿宋" w:cs="宋体"/>
          <w:color w:val="auto"/>
          <w:lang w:val="en-US" w:eastAsia="zh-CN"/>
        </w:rPr>
        <w:t>医疗机构水污染物排放标准GB18466-2005表2综合医疗机构和其他医疗机构水污染物排放限值</w:t>
      </w:r>
      <w:r>
        <w:rPr>
          <w:rFonts w:hint="eastAsia" w:ascii="仿宋" w:hAnsi="仿宋" w:eastAsia="仿宋" w:cs="宋体"/>
          <w:color w:val="auto"/>
          <w:lang w:eastAsia="zh-CN"/>
        </w:rPr>
        <w:t>（指标和检测要求须随国家标准调整而调整，地方如有更严格标准则按地方执行）。</w:t>
      </w:r>
    </w:p>
    <w:p>
      <w:pPr>
        <w:spacing w:before="240" w:after="240" w:line="240" w:lineRule="auto"/>
        <w:ind w:firstLine="480" w:firstLineChars="200"/>
        <w:rPr>
          <w:rFonts w:hint="eastAsia" w:ascii="仿宋" w:hAnsi="仿宋" w:eastAsia="仿宋" w:cs="宋体"/>
          <w:color w:val="auto"/>
          <w:lang w:val="en-US" w:eastAsia="zh-CN"/>
        </w:rPr>
      </w:pPr>
      <w:r>
        <w:rPr>
          <w:rFonts w:hint="eastAsia" w:ascii="仿宋" w:hAnsi="仿宋" w:eastAsia="仿宋" w:cs="宋体"/>
          <w:color w:val="auto"/>
          <w:lang w:val="en-US" w:eastAsia="zh-CN"/>
        </w:rPr>
        <w:t>8．</w:t>
      </w:r>
      <w:r>
        <w:rPr>
          <w:rFonts w:hint="eastAsia" w:ascii="仿宋" w:hAnsi="仿宋" w:eastAsia="仿宋" w:cs="宋体"/>
          <w:color w:val="auto"/>
          <w:lang w:eastAsia="zh-CN"/>
        </w:rPr>
        <w:t>污水处理日常运行的设施、设备须配置备用设施、设备、消耗品及易损件，如出现设备损坏，小故障</w:t>
      </w:r>
      <w:r>
        <w:rPr>
          <w:rFonts w:hint="eastAsia" w:ascii="仿宋" w:hAnsi="仿宋" w:eastAsia="仿宋" w:cs="宋体"/>
          <w:color w:val="auto"/>
          <w:lang w:val="en-US" w:eastAsia="zh-CN"/>
        </w:rPr>
        <w:t>4</w:t>
      </w:r>
      <w:r>
        <w:rPr>
          <w:rFonts w:hint="eastAsia" w:ascii="仿宋" w:hAnsi="仿宋" w:eastAsia="仿宋" w:cs="宋体"/>
          <w:color w:val="auto"/>
          <w:lang w:eastAsia="zh-CN"/>
        </w:rPr>
        <w:t>小时内修复，大故障2个工作日内修复，并确保不影响甲方污水处理站的正常运行。</w:t>
      </w:r>
      <w:r>
        <w:rPr>
          <w:rFonts w:hint="eastAsia" w:ascii="仿宋" w:hAnsi="仿宋" w:eastAsia="仿宋" w:cs="宋体"/>
          <w:color w:val="auto"/>
          <w:lang w:val="en-US" w:eastAsia="zh-CN"/>
        </w:rPr>
        <w:t>大故障乙方需出具书面情況说明书及整改方案，加盖单位公章送甲方备案。如因乙方对故障未按要求及时处理导致水质超标（扣除当月10%运维费用），当月考核等级为不合格，因污水排放不达标造成的损失，由乙方负责。</w:t>
      </w:r>
    </w:p>
    <w:p>
      <w:pPr>
        <w:spacing w:before="240" w:after="240" w:line="240" w:lineRule="auto"/>
        <w:ind w:firstLine="480" w:firstLineChars="200"/>
        <w:rPr>
          <w:rFonts w:hint="eastAsia" w:ascii="仿宋" w:hAnsi="仿宋" w:eastAsia="仿宋" w:cs="宋体"/>
          <w:color w:val="auto"/>
          <w:lang w:eastAsia="zh-CN"/>
        </w:rPr>
      </w:pPr>
      <w:r>
        <w:rPr>
          <w:rFonts w:hint="eastAsia" w:ascii="仿宋" w:hAnsi="仿宋" w:eastAsia="仿宋" w:cs="宋体"/>
          <w:color w:val="auto"/>
          <w:lang w:val="en-US" w:eastAsia="zh-CN"/>
        </w:rPr>
        <w:t>9．</w:t>
      </w:r>
      <w:r>
        <w:rPr>
          <w:rFonts w:hint="eastAsia" w:ascii="仿宋" w:hAnsi="仿宋" w:eastAsia="仿宋" w:cs="宋体"/>
          <w:color w:val="auto"/>
          <w:lang w:eastAsia="zh-CN"/>
        </w:rPr>
        <w:t>须有东西区污水处理的运行、故障和事故的应急预案。确保东西区污水处理安全、正常运行。应急预案需符合国家应急部门和行业主管部门的相关要求。</w:t>
      </w:r>
    </w:p>
    <w:p>
      <w:pPr>
        <w:spacing w:before="240" w:after="240" w:line="240" w:lineRule="auto"/>
        <w:ind w:firstLine="480" w:firstLineChars="200"/>
        <w:rPr>
          <w:rFonts w:hint="eastAsia" w:ascii="仿宋" w:hAnsi="仿宋" w:eastAsia="仿宋" w:cs="宋体"/>
          <w:color w:val="auto"/>
          <w:lang w:val="en-US" w:eastAsia="zh-CN"/>
        </w:rPr>
      </w:pPr>
      <w:r>
        <w:rPr>
          <w:rFonts w:hint="eastAsia" w:ascii="仿宋" w:hAnsi="仿宋" w:eastAsia="仿宋" w:cs="宋体"/>
          <w:color w:val="auto"/>
          <w:lang w:val="en-US" w:eastAsia="zh-CN"/>
        </w:rPr>
        <w:t>10．</w:t>
      </w:r>
      <w:r>
        <w:rPr>
          <w:rFonts w:hint="eastAsia" w:ascii="仿宋" w:hAnsi="仿宋" w:eastAsia="仿宋" w:cs="宋体"/>
          <w:color w:val="auto"/>
          <w:lang w:eastAsia="zh-CN"/>
        </w:rPr>
        <w:t>负责东西区污水处理全过程工艺和质量管理，应对使用的化验仪器仪表、工艺压力表、流量计、</w:t>
      </w:r>
      <w:r>
        <w:rPr>
          <w:rFonts w:hint="eastAsia" w:ascii="仿宋" w:hAnsi="仿宋" w:eastAsia="仿宋" w:cs="宋体"/>
          <w:color w:val="auto"/>
          <w:lang w:val="en-US" w:eastAsia="zh-CN"/>
        </w:rPr>
        <w:t>pH在线、COD在线、余氯在线</w:t>
      </w:r>
      <w:r>
        <w:rPr>
          <w:rFonts w:hint="eastAsia" w:ascii="仿宋" w:hAnsi="仿宋" w:eastAsia="仿宋" w:cs="宋体"/>
          <w:color w:val="auto"/>
          <w:lang w:eastAsia="zh-CN"/>
        </w:rPr>
        <w:t>等污水</w:t>
      </w:r>
      <w:r>
        <w:rPr>
          <w:rFonts w:hint="eastAsia" w:ascii="仿宋" w:hAnsi="仿宋" w:eastAsia="仿宋" w:cs="宋体"/>
          <w:color w:val="auto"/>
          <w:lang w:val="en-US" w:eastAsia="zh-CN"/>
        </w:rPr>
        <w:t>在线监测设备按照《江苏省污染源自动监测管理办法》（2022年修订）第六章比对校验的要求进行人工比对监测和校验，比对应做好书面记录，</w:t>
      </w:r>
      <w:r>
        <w:rPr>
          <w:rFonts w:hint="eastAsia" w:ascii="仿宋" w:hAnsi="仿宋" w:eastAsia="仿宋" w:cs="宋体"/>
          <w:color w:val="auto"/>
          <w:lang w:eastAsia="zh-CN"/>
        </w:rPr>
        <w:t>确保污水设备正常、稳定，准确检测和处理医疗废水，</w:t>
      </w:r>
      <w:r>
        <w:rPr>
          <w:rFonts w:hint="eastAsia" w:ascii="仿宋" w:hAnsi="仿宋" w:eastAsia="仿宋" w:cs="宋体"/>
          <w:color w:val="auto"/>
          <w:lang w:val="en-US" w:eastAsia="zh-CN"/>
        </w:rPr>
        <w:t>进行比对时应提前通知甲方进行现场监督，在线监测设备产生的废液需及时记录备查并通知甲方负责人员。如因乙方问题当月未按要求对甲方自动在线监测设备进行比对校验，当月运维费用扣5%，对应当月考核扣除5分。</w:t>
      </w:r>
    </w:p>
    <w:p>
      <w:pPr>
        <w:spacing w:before="240" w:after="240" w:line="240" w:lineRule="auto"/>
        <w:ind w:firstLine="480" w:firstLineChars="200"/>
        <w:rPr>
          <w:rFonts w:hint="eastAsia" w:ascii="仿宋" w:hAnsi="仿宋" w:eastAsia="仿宋" w:cs="宋体"/>
          <w:color w:val="auto"/>
          <w:lang w:val="en-US" w:eastAsia="zh-CN"/>
        </w:rPr>
      </w:pPr>
      <w:r>
        <w:rPr>
          <w:rFonts w:hint="eastAsia" w:ascii="仿宋" w:hAnsi="仿宋" w:eastAsia="仿宋" w:cs="宋体"/>
          <w:color w:val="auto"/>
          <w:lang w:val="en-US" w:eastAsia="zh-CN"/>
        </w:rPr>
        <w:t>11．</w:t>
      </w:r>
      <w:r>
        <w:rPr>
          <w:rFonts w:hint="eastAsia" w:ascii="仿宋" w:hAnsi="仿宋" w:eastAsia="仿宋" w:cs="宋体"/>
          <w:color w:val="auto"/>
          <w:lang w:eastAsia="zh-CN"/>
        </w:rPr>
        <w:t>有规范的安全管理制度、安全防护措施和安全操作规范，负责污水处理运行、操作、维修、改造过程中所有设备及人身安全并自行负责并承担一切安全事故责任，每年应进行不少于两次污水处理故障的应急演练，并有记录。</w:t>
      </w:r>
      <w:r>
        <w:rPr>
          <w:rFonts w:hint="eastAsia" w:ascii="仿宋" w:hAnsi="仿宋" w:eastAsia="仿宋" w:cs="宋体"/>
          <w:color w:val="auto"/>
          <w:lang w:val="en-US" w:eastAsia="zh-CN"/>
        </w:rPr>
        <w:t>如出现由于乙方造成的安全事故当月考核不合格，当月运维费用扣除10%。</w:t>
      </w:r>
    </w:p>
    <w:p>
      <w:pPr>
        <w:spacing w:before="240" w:after="240" w:line="240" w:lineRule="auto"/>
        <w:ind w:firstLine="480" w:firstLineChars="200"/>
        <w:rPr>
          <w:rFonts w:hint="eastAsia" w:ascii="仿宋" w:hAnsi="仿宋" w:eastAsia="仿宋" w:cs="宋体"/>
          <w:color w:val="auto"/>
          <w:lang w:val="en-US" w:eastAsia="zh-CN"/>
        </w:rPr>
      </w:pPr>
      <w:r>
        <w:rPr>
          <w:rFonts w:hint="eastAsia" w:ascii="仿宋" w:hAnsi="仿宋" w:eastAsia="仿宋" w:cs="宋体"/>
          <w:color w:val="auto"/>
          <w:lang w:val="en-US" w:eastAsia="zh-CN"/>
        </w:rPr>
        <w:t>12．</w:t>
      </w:r>
      <w:r>
        <w:rPr>
          <w:rFonts w:hint="eastAsia" w:ascii="仿宋" w:hAnsi="仿宋" w:eastAsia="仿宋" w:cs="宋体"/>
          <w:color w:val="auto"/>
          <w:lang w:eastAsia="zh-CN"/>
        </w:rPr>
        <w:t>负责做好东西区污水处理站的整体环境清洁卫生工作，保证周边环境卫生符合甲方管理要求。</w:t>
      </w:r>
      <w:r>
        <w:rPr>
          <w:rFonts w:hint="eastAsia" w:ascii="仿宋" w:hAnsi="仿宋" w:eastAsia="仿宋" w:cs="宋体"/>
          <w:color w:val="auto"/>
          <w:lang w:val="en-US" w:eastAsia="zh-CN"/>
        </w:rPr>
        <w:t>如卫生工作不到位（设备表面有明显灰尘、设备间有蜘蛛网、异味明显等），发现一处月度考核扣1分。</w:t>
      </w:r>
    </w:p>
    <w:p>
      <w:pPr>
        <w:widowControl w:val="0"/>
        <w:spacing w:before="240" w:after="240" w:line="240" w:lineRule="auto"/>
        <w:ind w:firstLine="480" w:firstLineChars="200"/>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13．</w:t>
      </w:r>
      <w:r>
        <w:rPr>
          <w:rFonts w:hint="eastAsia" w:ascii="仿宋" w:hAnsi="仿宋" w:eastAsia="仿宋" w:cs="宋体"/>
          <w:color w:val="auto"/>
          <w:lang w:eastAsia="zh-CN"/>
        </w:rPr>
        <w:t>协助东西区污水处理站运行所需资质材料的办理，环保系统上所需要填报的季度报告、年度报告由乙方负责填报（</w:t>
      </w:r>
      <w:r>
        <w:rPr>
          <w:rFonts w:hint="eastAsia" w:ascii="仿宋" w:hAnsi="仿宋" w:eastAsia="仿宋" w:cs="宋体"/>
          <w:color w:val="auto"/>
          <w:lang w:val="en-US" w:eastAsia="zh-CN"/>
        </w:rPr>
        <w:t>含排污许可证执行报告的填报工作-全国排污许可证管理信息平台，江苏省“一企一档”管理工作，</w:t>
      </w:r>
      <w:r>
        <w:rPr>
          <w:rFonts w:hint="eastAsia" w:ascii="仿宋" w:hAnsi="仿宋" w:eastAsia="仿宋" w:cs="宋体"/>
          <w:color w:val="auto"/>
          <w:lang w:eastAsia="zh-CN"/>
        </w:rPr>
        <w:t>包含在线联网</w:t>
      </w:r>
      <w:r>
        <w:rPr>
          <w:rFonts w:hint="eastAsia" w:ascii="仿宋" w:hAnsi="仿宋" w:eastAsia="仿宋" w:cs="宋体"/>
          <w:color w:val="auto"/>
          <w:lang w:val="en-US" w:eastAsia="zh-CN"/>
        </w:rPr>
        <w:t>设备</w:t>
      </w:r>
      <w:r>
        <w:rPr>
          <w:rFonts w:hint="eastAsia" w:ascii="仿宋" w:hAnsi="仿宋" w:eastAsia="仿宋" w:cs="宋体"/>
          <w:color w:val="auto"/>
          <w:lang w:eastAsia="zh-CN"/>
        </w:rPr>
        <w:t>相关监管平台的数据标记工作）。运维期间排污许可证如有变更由乙方完成，甲方协助提供相关资料，第三方公司的对接、环保相关事件的处理均由乙方负责对接解决，</w:t>
      </w:r>
      <w:r>
        <w:rPr>
          <w:rFonts w:hint="eastAsia" w:ascii="仿宋" w:hAnsi="仿宋" w:eastAsia="仿宋" w:cs="宋体"/>
          <w:color w:val="auto"/>
          <w:lang w:val="en-US" w:eastAsia="zh-CN"/>
        </w:rPr>
        <w:t>由于乙方原因未及时填报被上级主管部门通报的，扣当月运维费2%，月度考核扣5分。</w:t>
      </w:r>
    </w:p>
    <w:p>
      <w:pPr>
        <w:pStyle w:val="11"/>
        <w:spacing w:before="240" w:beforeAutospacing="0" w:after="240" w:afterAutospacing="0" w:line="240" w:lineRule="auto"/>
        <w:ind w:firstLine="480" w:firstLineChars="200"/>
        <w:rPr>
          <w:rFonts w:hint="eastAsia" w:ascii="仿宋" w:hAnsi="仿宋" w:eastAsia="仿宋" w:cs="宋体"/>
          <w:color w:val="auto"/>
          <w:lang w:val="en-US" w:eastAsia="zh-CN"/>
        </w:rPr>
      </w:pPr>
      <w:r>
        <w:rPr>
          <w:rFonts w:hint="eastAsia" w:ascii="仿宋" w:hAnsi="仿宋" w:eastAsia="仿宋" w:cs="宋体"/>
          <w:color w:val="auto"/>
          <w:lang w:eastAsia="zh-CN"/>
        </w:rPr>
        <w:t>14．乙方运行管理人员须遵守医院的各项规章制度，服从甲方的监督和管理；按规定穿着统一的工作</w:t>
      </w:r>
      <w:r>
        <w:rPr>
          <w:rFonts w:hint="eastAsia" w:ascii="仿宋" w:hAnsi="仿宋" w:eastAsia="仿宋" w:cs="宋体"/>
          <w:color w:val="auto"/>
          <w:lang w:val="en-US" w:eastAsia="zh-CN"/>
        </w:rPr>
        <w:t>服（带运维单位标识），</w:t>
      </w:r>
      <w:r>
        <w:rPr>
          <w:rFonts w:hint="eastAsia" w:ascii="仿宋" w:hAnsi="仿宋" w:eastAsia="仿宋" w:cs="宋体"/>
          <w:color w:val="auto"/>
          <w:lang w:eastAsia="zh-CN"/>
        </w:rPr>
        <w:t>着装整洁，佩戴工号牌（</w:t>
      </w:r>
      <w:r>
        <w:rPr>
          <w:rFonts w:hint="eastAsia" w:ascii="仿宋" w:hAnsi="仿宋" w:eastAsia="仿宋" w:cs="宋体"/>
          <w:color w:val="auto"/>
          <w:lang w:val="en-US" w:eastAsia="zh-CN"/>
        </w:rPr>
        <w:t>带照片</w:t>
      </w:r>
      <w:r>
        <w:rPr>
          <w:rFonts w:hint="eastAsia" w:ascii="仿宋" w:hAnsi="仿宋" w:eastAsia="仿宋" w:cs="宋体"/>
          <w:color w:val="auto"/>
          <w:lang w:eastAsia="zh-CN"/>
        </w:rPr>
        <w:t>），配备劳动保护用具，出现</w:t>
      </w:r>
      <w:r>
        <w:rPr>
          <w:rFonts w:hint="eastAsia" w:ascii="仿宋" w:hAnsi="仿宋" w:eastAsia="仿宋" w:cs="宋体"/>
          <w:color w:val="auto"/>
          <w:lang w:val="en-US" w:eastAsia="zh-CN"/>
        </w:rPr>
        <w:t>的</w:t>
      </w:r>
      <w:r>
        <w:rPr>
          <w:rFonts w:hint="eastAsia" w:ascii="仿宋" w:hAnsi="仿宋" w:eastAsia="仿宋" w:cs="宋体"/>
          <w:color w:val="auto"/>
          <w:lang w:eastAsia="zh-CN"/>
        </w:rPr>
        <w:t>任何意外事故由乙方负责，并承担一切费用。</w:t>
      </w:r>
      <w:r>
        <w:rPr>
          <w:rFonts w:hint="eastAsia" w:ascii="仿宋" w:hAnsi="仿宋" w:eastAsia="仿宋" w:cs="宋体"/>
          <w:color w:val="auto"/>
          <w:lang w:val="en-US" w:eastAsia="zh-CN"/>
        </w:rPr>
        <w:t>乙方应如实提供运行管理人员信息（姓名、照片、年龄、手机号），现场运维人员应与乙方提供信息相符合，每违反一项月度考核扣1分，扣当月运维费1%。</w:t>
      </w:r>
      <w:r>
        <w:rPr>
          <w:rFonts w:hint="eastAsia" w:ascii="仿宋" w:hAnsi="仿宋" w:eastAsia="仿宋" w:cs="宋体"/>
          <w:color w:val="auto"/>
          <w:lang w:eastAsia="zh-CN"/>
        </w:rPr>
        <w:t>调换人员须得到甲方认可。如甲方对常驻人员的工作不满意，乙方需立即更换相应人员，更换的人员应满足本文件对项目人员的要求，否则扣除每月运维费用10%。</w:t>
      </w:r>
    </w:p>
    <w:p>
      <w:pPr>
        <w:tabs>
          <w:tab w:val="left" w:pos="6960"/>
          <w:tab w:val="left" w:pos="7200"/>
        </w:tabs>
        <w:spacing w:before="240" w:after="240" w:line="240" w:lineRule="auto"/>
        <w:ind w:firstLine="480" w:firstLineChars="200"/>
        <w:rPr>
          <w:rFonts w:hint="eastAsia" w:ascii="仿宋" w:hAnsi="仿宋" w:eastAsia="仿宋" w:cs="宋体"/>
          <w:color w:val="auto"/>
          <w:lang w:eastAsia="zh-CN"/>
        </w:rPr>
      </w:pPr>
      <w:r>
        <w:rPr>
          <w:rFonts w:hint="eastAsia" w:ascii="仿宋" w:hAnsi="仿宋" w:eastAsia="仿宋" w:cs="宋体"/>
          <w:color w:val="auto"/>
          <w:lang w:eastAsia="zh-CN"/>
        </w:rPr>
        <w:t>1</w:t>
      </w:r>
      <w:r>
        <w:rPr>
          <w:rFonts w:hint="eastAsia" w:ascii="仿宋" w:hAnsi="仿宋" w:eastAsia="仿宋" w:cs="宋体"/>
          <w:color w:val="auto"/>
          <w:lang w:val="en-US" w:eastAsia="zh-CN"/>
        </w:rPr>
        <w:t>5．</w:t>
      </w:r>
      <w:r>
        <w:rPr>
          <w:rFonts w:hint="eastAsia" w:ascii="仿宋" w:hAnsi="仿宋" w:eastAsia="仿宋" w:cs="宋体"/>
          <w:color w:val="auto"/>
          <w:lang w:eastAsia="zh-CN"/>
        </w:rPr>
        <w:t>甲方为乙方的运行人员提供必要的办公场所和出入许可，并指派一名工作人员与乙方进行联络对接，负责监督、管理和考核，乙方应无条件遵守甲方相关管理规定，配合甲方积极做好各种检查、验收和突发事件应对工作。</w:t>
      </w:r>
    </w:p>
    <w:p>
      <w:pPr>
        <w:spacing w:before="240" w:after="240" w:line="240" w:lineRule="auto"/>
        <w:ind w:firstLine="480" w:firstLineChars="200"/>
        <w:rPr>
          <w:rFonts w:hint="eastAsia" w:ascii="仿宋" w:hAnsi="仿宋" w:eastAsia="仿宋" w:cs="宋体"/>
          <w:color w:val="auto"/>
          <w:lang w:val="en-US" w:eastAsia="zh-CN"/>
        </w:rPr>
      </w:pPr>
      <w:r>
        <w:rPr>
          <w:rFonts w:hint="eastAsia" w:ascii="仿宋" w:hAnsi="仿宋" w:eastAsia="仿宋" w:cs="宋体"/>
          <w:color w:val="auto"/>
          <w:lang w:eastAsia="zh-CN"/>
        </w:rPr>
        <w:t>1</w:t>
      </w:r>
      <w:r>
        <w:rPr>
          <w:rFonts w:hint="eastAsia" w:ascii="仿宋" w:hAnsi="仿宋" w:eastAsia="仿宋" w:cs="宋体"/>
          <w:color w:val="auto"/>
          <w:lang w:val="en-US" w:eastAsia="zh-CN"/>
        </w:rPr>
        <w:t>6．乙方提供的驻点人员应有相应的国家或行业认可的岗位证书，如</w:t>
      </w:r>
      <w:r>
        <w:rPr>
          <w:rFonts w:hint="eastAsia" w:ascii="仿宋" w:hAnsi="仿宋" w:eastAsia="仿宋" w:cs="宋体"/>
          <w:lang w:eastAsia="zh-CN"/>
        </w:rPr>
        <w:t>水质检测工或化学分析工、污</w:t>
      </w:r>
      <w:r>
        <w:rPr>
          <w:rFonts w:hint="eastAsia" w:ascii="仿宋" w:hAnsi="仿宋" w:eastAsia="仿宋" w:cs="宋体"/>
          <w:lang w:val="en-US" w:eastAsia="zh-CN"/>
        </w:rPr>
        <w:t>水或污</w:t>
      </w:r>
      <w:r>
        <w:rPr>
          <w:rFonts w:hint="eastAsia" w:ascii="仿宋" w:hAnsi="仿宋" w:eastAsia="仿宋" w:cs="宋体"/>
          <w:lang w:eastAsia="zh-CN"/>
        </w:rPr>
        <w:t>废水处理工、电工、焊工、安全员，</w:t>
      </w:r>
      <w:r>
        <w:rPr>
          <w:rFonts w:hint="eastAsia" w:ascii="仿宋" w:hAnsi="仿宋" w:eastAsia="仿宋" w:cs="宋体"/>
          <w:lang w:val="en-US" w:eastAsia="zh-CN"/>
        </w:rPr>
        <w:t>岗位证书上墙，</w:t>
      </w:r>
      <w:r>
        <w:rPr>
          <w:rFonts w:hint="eastAsia" w:ascii="仿宋" w:hAnsi="仿宋" w:eastAsia="仿宋" w:cs="宋体"/>
          <w:color w:val="auto"/>
          <w:lang w:eastAsia="zh-CN"/>
        </w:rPr>
        <w:t>乙方</w:t>
      </w:r>
      <w:r>
        <w:rPr>
          <w:rFonts w:hint="eastAsia" w:ascii="仿宋" w:hAnsi="仿宋" w:eastAsia="仿宋" w:cs="宋体"/>
          <w:color w:val="auto"/>
          <w:lang w:val="en-US" w:eastAsia="zh-CN"/>
        </w:rPr>
        <w:t>应对驻点</w:t>
      </w:r>
      <w:r>
        <w:rPr>
          <w:rFonts w:hint="eastAsia" w:ascii="仿宋" w:hAnsi="仿宋" w:eastAsia="仿宋" w:cs="宋体"/>
          <w:color w:val="auto"/>
          <w:lang w:eastAsia="zh-CN"/>
        </w:rPr>
        <w:t>运行</w:t>
      </w:r>
      <w:r>
        <w:rPr>
          <w:rFonts w:hint="eastAsia" w:ascii="仿宋" w:hAnsi="仿宋" w:eastAsia="仿宋" w:cs="宋体"/>
          <w:color w:val="auto"/>
          <w:lang w:val="en-US" w:eastAsia="zh-CN"/>
        </w:rPr>
        <w:t>人员进行岗前培训(余氯、pH值人工检测方法、污水处理出现应急事件的处理、穿脱防护服、污水处理设备的维护及保养等)，培训照片，培训合格证书。乙方入场后甲方每季度对照乙方培训记录对驻点人员进行考核，每考核不合格一人月度考核扣5分，当月运维费扣1%。</w:t>
      </w:r>
    </w:p>
    <w:p>
      <w:pPr>
        <w:spacing w:before="240" w:after="240" w:line="240" w:lineRule="auto"/>
        <w:ind w:firstLine="480" w:firstLineChars="200"/>
        <w:rPr>
          <w:rFonts w:hint="eastAsia" w:ascii="仿宋" w:hAnsi="仿宋" w:eastAsia="仿宋" w:cs="宋体"/>
          <w:color w:val="auto"/>
          <w:lang w:eastAsia="zh-CN"/>
        </w:rPr>
      </w:pPr>
      <w:r>
        <w:rPr>
          <w:rFonts w:hint="eastAsia" w:ascii="仿宋" w:hAnsi="仿宋" w:eastAsia="仿宋" w:cs="宋体"/>
          <w:color w:val="auto"/>
          <w:lang w:val="en-US" w:eastAsia="zh-CN"/>
        </w:rPr>
        <w:t>17．</w:t>
      </w:r>
      <w:r>
        <w:rPr>
          <w:rFonts w:hint="eastAsia" w:ascii="仿宋" w:hAnsi="仿宋" w:eastAsia="仿宋" w:cs="宋体"/>
          <w:color w:val="auto"/>
          <w:lang w:eastAsia="zh-CN"/>
        </w:rPr>
        <w:t>执行标准：《医疗机构水污染物排放标准》GB18466-2005预处理标准和《污水排入城镇下水道水质标准》GB/T31962-2015B级标准，地方如有更高标准按地方标准执行。</w:t>
      </w:r>
    </w:p>
    <w:p>
      <w:pPr>
        <w:spacing w:before="240" w:after="240" w:line="240" w:lineRule="auto"/>
        <w:ind w:firstLine="480" w:firstLineChars="200"/>
        <w:rPr>
          <w:rFonts w:hint="eastAsia" w:ascii="仿宋" w:hAnsi="仿宋" w:eastAsia="仿宋" w:cs="宋体"/>
          <w:color w:val="auto"/>
          <w:lang w:eastAsia="zh-CN"/>
        </w:rPr>
      </w:pPr>
      <w:r>
        <w:rPr>
          <w:rFonts w:hint="eastAsia" w:ascii="仿宋" w:hAnsi="仿宋" w:eastAsia="仿宋" w:cs="宋体"/>
          <w:color w:val="auto"/>
          <w:lang w:val="en-US" w:eastAsia="zh-CN"/>
        </w:rPr>
        <w:t>18．</w:t>
      </w:r>
      <w:r>
        <w:rPr>
          <w:rFonts w:hint="eastAsia" w:ascii="仿宋" w:hAnsi="仿宋" w:eastAsia="仿宋" w:cs="宋体"/>
          <w:color w:val="auto"/>
          <w:lang w:eastAsia="zh-CN"/>
        </w:rPr>
        <w:t>发热门诊污水预处理设施</w:t>
      </w:r>
      <w:r>
        <w:rPr>
          <w:rFonts w:hint="eastAsia" w:ascii="仿宋" w:hAnsi="仿宋" w:eastAsia="仿宋" w:cs="宋体"/>
          <w:color w:val="auto"/>
          <w:lang w:val="en-US" w:eastAsia="zh-CN"/>
        </w:rPr>
        <w:t>现已停用，乙方需定期（每月）对发热门诊污水处理设施进行维护并有保养记录备查，保障设备能正常使用，如出现紧急情况需重启发热门诊污水处理保障能立刻启用。</w:t>
      </w:r>
    </w:p>
    <w:p>
      <w:pPr>
        <w:spacing w:beforeLines="0" w:afterLines="0" w:line="360" w:lineRule="auto"/>
        <w:ind w:firstLine="480" w:firstLineChars="200"/>
        <w:rPr>
          <w:rFonts w:hint="eastAsia" w:ascii="黑体" w:hAnsi="黑体" w:eastAsia="黑体" w:cs="宋体"/>
          <w:color w:val="auto"/>
          <w:lang w:val="en-US" w:eastAsia="zh-CN"/>
        </w:rPr>
      </w:pPr>
      <w:r>
        <w:rPr>
          <w:rFonts w:hint="eastAsia" w:ascii="黑体" w:hAnsi="黑体" w:eastAsia="黑体" w:cs="宋体"/>
          <w:color w:val="auto"/>
          <w:lang w:val="en-US" w:eastAsia="zh-CN"/>
        </w:rPr>
        <w:t>三、检测服务项目内容及要求:</w:t>
      </w:r>
    </w:p>
    <w:tbl>
      <w:tblPr>
        <w:tblStyle w:val="13"/>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300"/>
        <w:gridCol w:w="3225"/>
        <w:gridCol w:w="862"/>
        <w:gridCol w:w="875"/>
        <w:gridCol w:w="1025"/>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63"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检测类别</w:t>
            </w: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测试项目</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分析方法</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检出限</w:t>
            </w:r>
          </w:p>
        </w:tc>
        <w:tc>
          <w:tcPr>
            <w:tcW w:w="87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点位</w:t>
            </w:r>
          </w:p>
        </w:tc>
        <w:tc>
          <w:tcPr>
            <w:tcW w:w="10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频次</w:t>
            </w:r>
          </w:p>
        </w:tc>
        <w:tc>
          <w:tcPr>
            <w:tcW w:w="1179"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废水</w:t>
            </w: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PH</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水质PH值的测定 玻璃电极GB6920-1986</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6-9</w:t>
            </w:r>
          </w:p>
        </w:tc>
        <w:tc>
          <w:tcPr>
            <w:tcW w:w="87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色度</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水质色度的测定GB11903-89</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64</w:t>
            </w:r>
          </w:p>
        </w:tc>
        <w:tc>
          <w:tcPr>
            <w:tcW w:w="87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悬浮物</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水质悬浮物的测定 重量法GB11901-1989</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60</w:t>
            </w:r>
          </w:p>
        </w:tc>
        <w:tc>
          <w:tcPr>
            <w:tcW w:w="87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lang w:val="en-US"/>
              </w:rPr>
            </w:pPr>
            <w:r>
              <w:rPr>
                <w:rFonts w:hint="eastAsia" w:ascii="仿宋" w:hAnsi="仿宋" w:eastAsia="仿宋" w:cs="宋体"/>
                <w:color w:val="auto"/>
                <w:lang w:val="en-US" w:eastAsia="zh-CN"/>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五日生化需氧量</w:t>
            </w:r>
          </w:p>
        </w:tc>
        <w:tc>
          <w:tcPr>
            <w:tcW w:w="3225" w:type="dxa"/>
          </w:tcPr>
          <w:p>
            <w:pPr>
              <w:widowControl/>
              <w:spacing w:before="240" w:after="240" w:line="240" w:lineRule="auto"/>
              <w:jc w:val="both"/>
              <w:rPr>
                <w:rFonts w:hint="eastAsia" w:ascii="仿宋" w:hAnsi="仿宋" w:eastAsia="仿宋" w:cs="宋体"/>
                <w:color w:val="auto"/>
                <w:lang w:eastAsia="zh-CN"/>
              </w:rPr>
            </w:pPr>
            <w:r>
              <w:rPr>
                <w:rFonts w:hint="eastAsia" w:ascii="仿宋" w:hAnsi="仿宋" w:eastAsia="仿宋" w:cs="宋体"/>
                <w:color w:val="auto"/>
                <w:lang w:val="en-US" w:eastAsia="zh-CN" w:bidi="ar"/>
              </w:rPr>
              <w:t>水质 五日生化需氧量 （BOD5）的测定 稀释与接种法HJ505-2009</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100</w:t>
            </w:r>
          </w:p>
        </w:tc>
        <w:tc>
          <w:tcPr>
            <w:tcW w:w="87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化学需氧量</w:t>
            </w:r>
          </w:p>
        </w:tc>
        <w:tc>
          <w:tcPr>
            <w:tcW w:w="3225" w:type="dxa"/>
          </w:tcPr>
          <w:p>
            <w:pPr>
              <w:widowControl/>
              <w:spacing w:before="240" w:after="240" w:line="240" w:lineRule="auto"/>
              <w:jc w:val="both"/>
              <w:rPr>
                <w:rFonts w:hint="eastAsia" w:ascii="仿宋" w:hAnsi="仿宋" w:eastAsia="仿宋" w:cs="宋体"/>
                <w:color w:val="auto"/>
                <w:lang w:eastAsia="zh-CN"/>
              </w:rPr>
            </w:pPr>
            <w:r>
              <w:rPr>
                <w:rFonts w:hint="eastAsia" w:ascii="仿宋" w:hAnsi="仿宋" w:eastAsia="仿宋" w:cs="宋体"/>
                <w:color w:val="auto"/>
                <w:lang w:val="en-US" w:eastAsia="zh-CN" w:bidi="ar"/>
              </w:rPr>
              <w:t>水质 化学需氧量的测定重铬酸盐法 HJ 828-2017</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250</w:t>
            </w:r>
          </w:p>
        </w:tc>
        <w:tc>
          <w:tcPr>
            <w:tcW w:w="87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氨氮</w:t>
            </w:r>
          </w:p>
        </w:tc>
        <w:tc>
          <w:tcPr>
            <w:tcW w:w="3225" w:type="dxa"/>
          </w:tcPr>
          <w:p>
            <w:pPr>
              <w:widowControl/>
              <w:spacing w:before="240" w:after="240" w:line="240" w:lineRule="auto"/>
              <w:jc w:val="both"/>
              <w:rPr>
                <w:rFonts w:hint="eastAsia" w:ascii="仿宋" w:hAnsi="仿宋" w:eastAsia="仿宋" w:cs="宋体"/>
                <w:color w:val="auto"/>
                <w:lang w:eastAsia="zh-CN"/>
              </w:rPr>
            </w:pPr>
            <w:r>
              <w:rPr>
                <w:rFonts w:hint="eastAsia" w:ascii="仿宋" w:hAnsi="仿宋" w:eastAsia="仿宋" w:cs="宋体"/>
                <w:color w:val="auto"/>
                <w:lang w:val="en-US" w:eastAsia="zh-CN" w:bidi="ar"/>
              </w:rPr>
              <w:t>水质 氨氮的测定纳氏试剂分光光度法 HJ 535- 2009</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45</w:t>
            </w:r>
          </w:p>
        </w:tc>
        <w:tc>
          <w:tcPr>
            <w:tcW w:w="87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总磷</w:t>
            </w:r>
          </w:p>
        </w:tc>
        <w:tc>
          <w:tcPr>
            <w:tcW w:w="3225" w:type="dxa"/>
          </w:tcPr>
          <w:p>
            <w:pPr>
              <w:widowControl/>
              <w:spacing w:before="240" w:after="240" w:line="240" w:lineRule="auto"/>
              <w:jc w:val="both"/>
              <w:rPr>
                <w:rFonts w:hint="eastAsia" w:ascii="仿宋" w:hAnsi="仿宋" w:eastAsia="仿宋" w:cs="宋体"/>
                <w:color w:val="auto"/>
                <w:lang w:eastAsia="zh-CN"/>
              </w:rPr>
            </w:pPr>
            <w:r>
              <w:rPr>
                <w:rFonts w:hint="eastAsia" w:ascii="仿宋" w:hAnsi="仿宋" w:eastAsia="仿宋" w:cs="宋体"/>
                <w:color w:val="auto"/>
                <w:lang w:val="en-US" w:eastAsia="zh-CN" w:bidi="ar"/>
              </w:rPr>
              <w:t>水质 总磷的测定 钼酸铵分光光度 法 GB 11893- 1989</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8</w:t>
            </w:r>
          </w:p>
        </w:tc>
        <w:tc>
          <w:tcPr>
            <w:tcW w:w="87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粪大肠菌群</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eastAsia="zh-CN"/>
              </w:rPr>
              <w:t>《</w:t>
            </w:r>
            <w:r>
              <w:rPr>
                <w:rFonts w:hint="eastAsia" w:ascii="仿宋" w:hAnsi="仿宋" w:eastAsia="仿宋" w:cs="宋体"/>
                <w:color w:val="auto"/>
                <w:lang w:val="en-US" w:eastAsia="zh-CN"/>
              </w:rPr>
              <w:t>水和废水监测分析方法</w:t>
            </w:r>
            <w:r>
              <w:rPr>
                <w:rFonts w:hint="eastAsia" w:ascii="仿宋" w:hAnsi="仿宋" w:eastAsia="仿宋" w:cs="宋体"/>
                <w:color w:val="auto"/>
                <w:lang w:eastAsia="zh-CN"/>
              </w:rPr>
              <w:t>》（</w:t>
            </w:r>
            <w:r>
              <w:rPr>
                <w:rFonts w:hint="eastAsia" w:ascii="仿宋" w:hAnsi="仿宋" w:eastAsia="仿宋" w:cs="宋体"/>
                <w:color w:val="auto"/>
                <w:lang w:val="en-US" w:eastAsia="zh-CN"/>
              </w:rPr>
              <w:t>第四版增补版</w:t>
            </w:r>
            <w:r>
              <w:rPr>
                <w:rFonts w:hint="eastAsia" w:ascii="仿宋" w:hAnsi="仿宋" w:eastAsia="仿宋" w:cs="宋体"/>
                <w:color w:val="auto"/>
                <w:lang w:eastAsia="zh-CN"/>
              </w:rPr>
              <w:t>）</w:t>
            </w:r>
            <w:r>
              <w:rPr>
                <w:rFonts w:hint="eastAsia" w:ascii="仿宋" w:hAnsi="仿宋" w:eastAsia="仿宋" w:cs="宋体"/>
                <w:color w:val="auto"/>
                <w:lang w:val="en-US" w:eastAsia="zh-CN"/>
              </w:rPr>
              <w:t>国家环保总局（2002）管发酵法5.2.5（1）</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rPr>
              <w:t>≤</w:t>
            </w:r>
            <w:r>
              <w:rPr>
                <w:rFonts w:hint="eastAsia" w:ascii="仿宋" w:hAnsi="仿宋" w:eastAsia="仿宋" w:cs="宋体"/>
                <w:color w:val="auto"/>
                <w:lang w:val="en-US" w:eastAsia="zh-CN"/>
              </w:rPr>
              <w:t>5000</w:t>
            </w:r>
          </w:p>
        </w:tc>
        <w:tc>
          <w:tcPr>
            <w:tcW w:w="87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沙门氏菌</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医疗机构水污染物排放标准GB18466-2005 附录B检测方法</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不得 检出</w:t>
            </w:r>
          </w:p>
        </w:tc>
        <w:tc>
          <w:tcPr>
            <w:tcW w:w="87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志贺氏菌</w:t>
            </w:r>
          </w:p>
        </w:tc>
        <w:tc>
          <w:tcPr>
            <w:tcW w:w="3225" w:type="dxa"/>
          </w:tcPr>
          <w:p>
            <w:pPr>
              <w:widowControl w:val="0"/>
              <w:spacing w:before="240" w:after="240" w:line="240" w:lineRule="auto"/>
              <w:jc w:val="both"/>
              <w:rPr>
                <w:rFonts w:hint="eastAsia" w:ascii="仿宋" w:hAnsi="仿宋" w:eastAsia="仿宋" w:cs="宋体"/>
                <w:color w:val="auto"/>
                <w:lang w:eastAsia="zh-CN"/>
              </w:rPr>
            </w:pPr>
            <w:r>
              <w:rPr>
                <w:rFonts w:hint="eastAsia" w:ascii="仿宋" w:hAnsi="仿宋" w:eastAsia="仿宋" w:cs="宋体"/>
                <w:color w:val="auto"/>
                <w:lang w:val="en-US" w:eastAsia="zh-CN"/>
              </w:rPr>
              <w:t>医疗机构水污染物排放标准GB18466-2005 附录C检测方法</w:t>
            </w:r>
          </w:p>
        </w:tc>
        <w:tc>
          <w:tcPr>
            <w:tcW w:w="862"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不得 检出</w:t>
            </w:r>
          </w:p>
        </w:tc>
        <w:tc>
          <w:tcPr>
            <w:tcW w:w="87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阴离子表面活性剂</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水质阴离子表面活性剂的测定流动注射-亚甲基蓝分光度法 HJ826-2017</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10</w:t>
            </w:r>
          </w:p>
        </w:tc>
        <w:tc>
          <w:tcPr>
            <w:tcW w:w="87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ind w:left="240" w:hanging="240" w:hangingChars="100"/>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总氮 （以N计）</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水质总氮的测定碱性过硫酸钾消解紫外分光光度法HJ636-2012</w:t>
            </w:r>
          </w:p>
        </w:tc>
        <w:tc>
          <w:tcPr>
            <w:tcW w:w="862" w:type="dxa"/>
          </w:tcPr>
          <w:p>
            <w:pPr>
              <w:widowControl w:val="0"/>
              <w:spacing w:before="240" w:after="240" w:line="240" w:lineRule="auto"/>
              <w:jc w:val="both"/>
              <w:rPr>
                <w:rFonts w:hint="eastAsia" w:ascii="仿宋" w:hAnsi="仿宋" w:eastAsia="仿宋" w:cs="宋体"/>
                <w:color w:val="auto"/>
                <w:lang w:eastAsia="zh-CN"/>
              </w:rPr>
            </w:pPr>
          </w:p>
        </w:tc>
        <w:tc>
          <w:tcPr>
            <w:tcW w:w="875" w:type="dxa"/>
          </w:tcPr>
          <w:p>
            <w:pPr>
              <w:widowControl w:val="0"/>
              <w:spacing w:before="240" w:after="240" w:line="240" w:lineRule="auto"/>
              <w:jc w:val="both"/>
              <w:rPr>
                <w:rFonts w:hint="eastAsia" w:ascii="仿宋" w:hAnsi="仿宋" w:eastAsia="仿宋" w:cs="宋体"/>
                <w:color w:val="auto"/>
                <w:lang w:val="en-US"/>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lang w:val="en-US"/>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lang w:val="en-US"/>
              </w:rPr>
            </w:pPr>
            <w:r>
              <w:rPr>
                <w:rFonts w:hint="eastAsia" w:ascii="仿宋" w:hAnsi="仿宋" w:eastAsia="仿宋" w:cs="宋体"/>
                <w:color w:val="auto"/>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石油类</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水质石油类和动物植物油类的测定红外分光光度法GB/T16488-1996</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20</w:t>
            </w:r>
          </w:p>
        </w:tc>
        <w:tc>
          <w:tcPr>
            <w:tcW w:w="87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动植物油</w:t>
            </w:r>
          </w:p>
        </w:tc>
        <w:tc>
          <w:tcPr>
            <w:tcW w:w="3225" w:type="dxa"/>
          </w:tcPr>
          <w:p>
            <w:pPr>
              <w:widowControl w:val="0"/>
              <w:spacing w:before="240" w:after="240" w:line="240" w:lineRule="auto"/>
              <w:jc w:val="both"/>
              <w:rPr>
                <w:rFonts w:hint="eastAsia" w:ascii="仿宋" w:hAnsi="仿宋" w:eastAsia="仿宋" w:cs="宋体"/>
                <w:color w:val="auto"/>
                <w:lang w:eastAsia="zh-CN"/>
              </w:rPr>
            </w:pPr>
            <w:r>
              <w:rPr>
                <w:rFonts w:hint="eastAsia" w:ascii="仿宋" w:hAnsi="仿宋" w:eastAsia="仿宋" w:cs="宋体"/>
                <w:color w:val="auto"/>
                <w:lang w:val="en-US" w:eastAsia="zh-CN"/>
              </w:rPr>
              <w:t>水质石油类和动物植物油类的测定红外分光光度法GB/T16488-1996</w:t>
            </w:r>
          </w:p>
        </w:tc>
        <w:tc>
          <w:tcPr>
            <w:tcW w:w="862"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20</w:t>
            </w:r>
          </w:p>
        </w:tc>
        <w:tc>
          <w:tcPr>
            <w:tcW w:w="87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挥发酚</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水质挥发酚的测定4-氨基安替比林分光光度法HJ503-2009</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1.0</w:t>
            </w:r>
          </w:p>
        </w:tc>
        <w:tc>
          <w:tcPr>
            <w:tcW w:w="87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总氰化物</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水质氰化物的测定 容量法和分光光度法HJ484-2009</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0.5</w:t>
            </w:r>
          </w:p>
        </w:tc>
        <w:tc>
          <w:tcPr>
            <w:tcW w:w="87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总余氯（以Cl计）</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水质游离氯和总氯的测定N,N-二乙基-1，4-苯二胺滴定法GB7468-87</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2-8</w:t>
            </w:r>
          </w:p>
        </w:tc>
        <w:tc>
          <w:tcPr>
            <w:tcW w:w="87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总汞</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水质总汞的测定冷原子吸收分光光度法HJ597-2011代替GB7468-87</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0.05</w:t>
            </w:r>
          </w:p>
        </w:tc>
        <w:tc>
          <w:tcPr>
            <w:tcW w:w="87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总α放射性</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水中总α放射性浓度的测定厚源EJ/T900-1994</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1</w:t>
            </w:r>
          </w:p>
        </w:tc>
        <w:tc>
          <w:tcPr>
            <w:tcW w:w="875" w:type="dxa"/>
          </w:tcPr>
          <w:p>
            <w:pPr>
              <w:widowControl w:val="0"/>
              <w:spacing w:before="240" w:after="240" w:line="240" w:lineRule="auto"/>
              <w:jc w:val="both"/>
              <w:rPr>
                <w:rFonts w:hint="eastAsia" w:ascii="仿宋" w:hAnsi="仿宋" w:eastAsia="仿宋" w:cs="宋体"/>
                <w:color w:val="auto"/>
                <w:lang w:val="en-US"/>
              </w:rPr>
            </w:pPr>
            <w:r>
              <w:rPr>
                <w:rFonts w:hint="eastAsia" w:ascii="仿宋" w:hAnsi="仿宋" w:eastAsia="仿宋" w:cs="宋体"/>
                <w:color w:val="auto"/>
                <w:lang w:val="en-US" w:eastAsia="zh-CN"/>
              </w:rPr>
              <w:t>1点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总β放射性</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水中总β放射性浓度的测定厚源EJ/T900-1994</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10</w:t>
            </w:r>
          </w:p>
        </w:tc>
        <w:tc>
          <w:tcPr>
            <w:tcW w:w="875" w:type="dxa"/>
          </w:tcPr>
          <w:p>
            <w:pPr>
              <w:widowControl w:val="0"/>
              <w:spacing w:before="240" w:after="240" w:line="240" w:lineRule="auto"/>
              <w:jc w:val="both"/>
              <w:rPr>
                <w:rFonts w:hint="eastAsia" w:ascii="仿宋" w:hAnsi="仿宋" w:eastAsia="仿宋" w:cs="宋体"/>
                <w:color w:val="auto"/>
                <w:lang w:val="en-US"/>
              </w:rPr>
            </w:pPr>
            <w:r>
              <w:rPr>
                <w:rFonts w:hint="eastAsia" w:ascii="仿宋" w:hAnsi="仿宋" w:eastAsia="仿宋" w:cs="宋体"/>
                <w:color w:val="auto"/>
                <w:lang w:val="en-US" w:eastAsia="zh-CN"/>
              </w:rPr>
              <w:t>1点</w:t>
            </w:r>
          </w:p>
        </w:tc>
        <w:tc>
          <w:tcPr>
            <w:tcW w:w="1025" w:type="dxa"/>
          </w:tcPr>
          <w:p>
            <w:pPr>
              <w:widowControl w:val="0"/>
              <w:spacing w:before="240" w:after="240" w:line="240" w:lineRule="auto"/>
              <w:jc w:val="both"/>
              <w:rPr>
                <w:rFonts w:hint="eastAsia" w:ascii="仿宋" w:hAnsi="仿宋" w:eastAsia="仿宋" w:cs="宋体"/>
                <w:color w:val="auto"/>
                <w:lang w:val="en-US"/>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lang w:val="en-US"/>
              </w:rPr>
            </w:pPr>
            <w:r>
              <w:rPr>
                <w:rFonts w:hint="eastAsia" w:ascii="仿宋" w:hAnsi="仿宋" w:eastAsia="仿宋" w:cs="宋体"/>
                <w:color w:val="auto"/>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废气</w:t>
            </w: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甲烷（指处理站内最高体积百分数/%）</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环境空气总烃、甲烷和非甲烷总烃的测定直接进样-气相色谱法HJ604-2017</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1</w:t>
            </w:r>
          </w:p>
        </w:tc>
        <w:tc>
          <w:tcPr>
            <w:tcW w:w="87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臭气浓度（无量纲）</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空气质量恶臭的测定三点比较式臭袋法GB T14675-1993</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10</w:t>
            </w:r>
          </w:p>
        </w:tc>
        <w:tc>
          <w:tcPr>
            <w:tcW w:w="87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氨（氨气）</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环境空气氨的测定 次氯酸钠-水杨酸分光光度法HJ534-2009</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1.0</w:t>
            </w:r>
          </w:p>
        </w:tc>
        <w:tc>
          <w:tcPr>
            <w:tcW w:w="87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氯气</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环境空气氯气等有毒有害气体的应急监测 电化学传感器法HJ872-2017</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0.1</w:t>
            </w:r>
          </w:p>
        </w:tc>
        <w:tc>
          <w:tcPr>
            <w:tcW w:w="87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硫化氢</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空气之类硫化氢甲硫醇甲硫醚二甲二硫的测定气象色谱法GB/T14678-1993</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0.03</w:t>
            </w:r>
          </w:p>
        </w:tc>
        <w:tc>
          <w:tcPr>
            <w:tcW w:w="87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rPr>
            </w:pPr>
            <w:r>
              <w:rPr>
                <w:rFonts w:hint="eastAsia" w:ascii="仿宋" w:hAnsi="仿宋" w:eastAsia="仿宋" w:cs="宋体"/>
                <w:color w:val="auto"/>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污泥</w:t>
            </w: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粪大肠菌群数(MPN/g)</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医疗机构水污染物排放标准GB18466-2005附录A（规范性附录）医疗机构污水和污泥中粪大肠菌群的检验方法</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≤100</w:t>
            </w:r>
          </w:p>
        </w:tc>
        <w:tc>
          <w:tcPr>
            <w:tcW w:w="87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widowControl w:val="0"/>
              <w:spacing w:before="240" w:after="240" w:line="240" w:lineRule="auto"/>
              <w:jc w:val="both"/>
              <w:rPr>
                <w:rFonts w:hint="eastAsia" w:ascii="仿宋" w:hAnsi="仿宋" w:eastAsia="仿宋" w:cs="宋体"/>
                <w:color w:val="auto"/>
                <w:lang w:val="en-US" w:eastAsia="zh-CN"/>
              </w:rPr>
            </w:pPr>
          </w:p>
        </w:tc>
        <w:tc>
          <w:tcPr>
            <w:tcW w:w="1300"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蛔虫卵死亡率/%</w:t>
            </w:r>
          </w:p>
        </w:tc>
        <w:tc>
          <w:tcPr>
            <w:tcW w:w="32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医疗机构水污染物排放标准GB18466-2005附录D（规范性附录）医疗机构污泥中蛔虫卵的检验方法</w:t>
            </w:r>
          </w:p>
        </w:tc>
        <w:tc>
          <w:tcPr>
            <w:tcW w:w="862"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 xml:space="preserve"> &gt;95</w:t>
            </w:r>
          </w:p>
        </w:tc>
        <w:tc>
          <w:tcPr>
            <w:tcW w:w="87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2点</w:t>
            </w:r>
          </w:p>
        </w:tc>
        <w:tc>
          <w:tcPr>
            <w:tcW w:w="1025"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1次/天</w:t>
            </w:r>
          </w:p>
        </w:tc>
        <w:tc>
          <w:tcPr>
            <w:tcW w:w="1179" w:type="dxa"/>
          </w:tcPr>
          <w:p>
            <w:pPr>
              <w:widowControl w:val="0"/>
              <w:spacing w:before="240" w:after="240" w:line="240" w:lineRule="auto"/>
              <w:jc w:val="both"/>
              <w:rPr>
                <w:rFonts w:hint="eastAsia" w:ascii="仿宋" w:hAnsi="仿宋" w:eastAsia="仿宋" w:cs="宋体"/>
                <w:color w:val="auto"/>
                <w:lang w:val="en-US" w:eastAsia="zh-CN"/>
              </w:rPr>
            </w:pPr>
            <w:r>
              <w:rPr>
                <w:rFonts w:hint="eastAsia" w:ascii="仿宋" w:hAnsi="仿宋" w:eastAsia="仿宋" w:cs="宋体"/>
                <w:color w:val="auto"/>
                <w:lang w:val="en-US" w:eastAsia="zh-CN"/>
              </w:rPr>
              <w:t>2次/年</w:t>
            </w:r>
          </w:p>
        </w:tc>
      </w:tr>
    </w:tbl>
    <w:p>
      <w:pPr>
        <w:pStyle w:val="22"/>
        <w:spacing w:before="240" w:after="240" w:line="240" w:lineRule="auto"/>
        <w:rPr>
          <w:rFonts w:hint="eastAsia" w:ascii="仿宋" w:hAnsi="仿宋" w:eastAsia="仿宋" w:cs="宋体"/>
          <w:sz w:val="24"/>
          <w:szCs w:val="24"/>
        </w:rPr>
      </w:pPr>
    </w:p>
    <w:p>
      <w:pPr>
        <w:spacing w:before="100" w:beforeLines="0" w:beforeAutospacing="1" w:after="100" w:afterLines="0" w:afterAutospacing="1" w:line="240" w:lineRule="auto"/>
        <w:ind w:firstLine="480" w:firstLineChars="200"/>
        <w:rPr>
          <w:rFonts w:hint="eastAsia" w:ascii="黑体" w:hAnsi="黑体" w:eastAsia="黑体" w:cs="宋体"/>
          <w:color w:val="auto"/>
          <w:lang w:val="en-US" w:eastAsia="zh-CN"/>
        </w:rPr>
      </w:pPr>
      <w:r>
        <w:rPr>
          <w:rFonts w:hint="eastAsia" w:ascii="黑体" w:hAnsi="黑体" w:eastAsia="黑体" w:cs="宋体"/>
          <w:color w:val="auto"/>
          <w:lang w:val="en-US" w:eastAsia="zh-CN"/>
        </w:rPr>
        <w:t>四、主要运行工艺参数</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lang w:eastAsia="zh-CN"/>
        </w:rPr>
        <w:t>1．设计流量：东区25T/h，西区50T/h</w:t>
      </w:r>
    </w:p>
    <w:p>
      <w:pPr>
        <w:spacing w:before="100" w:beforeLines="0" w:beforeAutospacing="1" w:after="100" w:afterLines="0" w:afterAutospacing="1" w:line="240" w:lineRule="auto"/>
        <w:ind w:firstLine="200"/>
        <w:rPr>
          <w:rFonts w:hint="eastAsia" w:ascii="仿宋" w:hAnsi="仿宋" w:eastAsia="仿宋" w:cs="宋体"/>
          <w:color w:val="auto"/>
        </w:rPr>
      </w:pPr>
      <w:r>
        <w:rPr>
          <w:rFonts w:hint="eastAsia" w:ascii="仿宋" w:hAnsi="仿宋" w:eastAsia="仿宋" w:cs="宋体"/>
          <w:color w:val="auto"/>
        </w:rPr>
        <w:t>2</w:t>
      </w:r>
      <w:r>
        <w:rPr>
          <w:rFonts w:hint="eastAsia" w:ascii="仿宋" w:hAnsi="仿宋" w:eastAsia="仿宋" w:cs="宋体"/>
          <w:color w:val="auto"/>
          <w:lang w:eastAsia="zh-CN"/>
        </w:rPr>
        <w:t>．</w:t>
      </w:r>
      <w:r>
        <w:rPr>
          <w:rFonts w:hint="eastAsia" w:ascii="仿宋" w:hAnsi="仿宋" w:eastAsia="仿宋" w:cs="宋体"/>
          <w:color w:val="auto"/>
        </w:rPr>
        <w:t>曝气池溶解氧（DO）：2-4mg/L</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rPr>
        <w:t>3</w:t>
      </w:r>
      <w:r>
        <w:rPr>
          <w:rFonts w:hint="eastAsia" w:ascii="仿宋" w:hAnsi="仿宋" w:eastAsia="仿宋" w:cs="宋体"/>
          <w:color w:val="auto"/>
          <w:lang w:eastAsia="zh-CN"/>
        </w:rPr>
        <w:t>．</w:t>
      </w:r>
      <w:r>
        <w:rPr>
          <w:rFonts w:hint="eastAsia" w:ascii="仿宋" w:hAnsi="仿宋" w:eastAsia="仿宋" w:cs="宋体"/>
          <w:color w:val="auto"/>
        </w:rPr>
        <w:t>污泥沉降比（SV30%）：10-20%</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黑体" w:hAnsi="黑体" w:eastAsia="黑体" w:cs="宋体"/>
          <w:color w:val="auto"/>
          <w:lang w:val="en-US" w:eastAsia="zh-CN"/>
        </w:rPr>
        <w:t>五、日常巡检维护内容</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lang w:eastAsia="zh-CN"/>
        </w:rPr>
        <w:t>1.格栅的清理</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lang w:eastAsia="zh-CN"/>
        </w:rPr>
        <w:t>1.1</w:t>
      </w:r>
      <w:r>
        <w:rPr>
          <w:rFonts w:hint="eastAsia" w:ascii="仿宋" w:hAnsi="仿宋" w:eastAsia="仿宋" w:cs="宋体"/>
          <w:color w:val="auto"/>
          <w:lang w:val="en-US" w:eastAsia="zh-CN"/>
        </w:rPr>
        <w:t>定期（每周或需要时）</w:t>
      </w:r>
      <w:r>
        <w:rPr>
          <w:rFonts w:hint="eastAsia" w:ascii="仿宋" w:hAnsi="仿宋" w:eastAsia="仿宋" w:cs="宋体"/>
          <w:color w:val="auto"/>
          <w:lang w:eastAsia="zh-CN"/>
        </w:rPr>
        <w:t>清理固定格栅上的栅渣，杜绝由于格栅堵塞引起的污水收集管道和化粪池中污水水位过高甚至外溢情况的发生，保证污水顺畅进入调节池,清理的栅渣需做相应记录，栅渣</w:t>
      </w:r>
      <w:r>
        <w:rPr>
          <w:rFonts w:hint="eastAsia" w:ascii="仿宋" w:hAnsi="仿宋" w:eastAsia="仿宋" w:cs="宋体"/>
          <w:color w:val="auto"/>
          <w:lang w:val="en-US" w:eastAsia="zh-CN"/>
        </w:rPr>
        <w:t>应进行消毒预处理后作为生活垃圾处置，处置需有记录</w:t>
      </w:r>
      <w:r>
        <w:rPr>
          <w:rFonts w:hint="eastAsia" w:ascii="仿宋" w:hAnsi="仿宋" w:eastAsia="仿宋" w:cs="宋体"/>
          <w:color w:val="auto"/>
          <w:lang w:eastAsia="zh-CN"/>
        </w:rPr>
        <w:t>。</w:t>
      </w:r>
    </w:p>
    <w:p>
      <w:pPr>
        <w:spacing w:before="100" w:beforeLines="0" w:beforeAutospacing="1" w:after="100" w:afterLines="0" w:afterAutospacing="1" w:line="240" w:lineRule="auto"/>
        <w:ind w:firstLine="200"/>
        <w:rPr>
          <w:rFonts w:hint="eastAsia" w:ascii="仿宋" w:hAnsi="仿宋" w:eastAsia="仿宋" w:cs="宋体"/>
          <w:color w:val="auto"/>
          <w:lang w:val="en-US" w:eastAsia="zh-CN"/>
        </w:rPr>
      </w:pPr>
      <w:r>
        <w:rPr>
          <w:rFonts w:hint="eastAsia" w:ascii="仿宋" w:hAnsi="仿宋" w:eastAsia="仿宋" w:cs="宋体"/>
          <w:color w:val="auto"/>
          <w:lang w:val="en-US" w:eastAsia="zh-CN"/>
        </w:rPr>
        <w:t>1.2东区污水处理站非机械格栅，每周清理两次栅渣，防止因栅渣堵塞造成的事故发生。</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lang w:val="en-US" w:eastAsia="zh-CN"/>
        </w:rPr>
        <w:t>2.</w:t>
      </w:r>
      <w:r>
        <w:rPr>
          <w:rFonts w:hint="eastAsia" w:ascii="仿宋" w:hAnsi="仿宋" w:eastAsia="仿宋" w:cs="宋体"/>
          <w:color w:val="auto"/>
          <w:lang w:eastAsia="zh-CN"/>
        </w:rPr>
        <w:t>调节池的水位观察：保证保持污水收集管道和化粪池中污水水位不会过高的前提下，尽量保持调节池的高水位（可提高水质的均匀度），降低提升泵的提升扬程。</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lang w:val="en-US" w:eastAsia="zh-CN"/>
        </w:rPr>
        <w:t>3.</w:t>
      </w:r>
      <w:r>
        <w:rPr>
          <w:rFonts w:hint="eastAsia" w:ascii="仿宋" w:hAnsi="仿宋" w:eastAsia="仿宋" w:cs="宋体"/>
          <w:color w:val="auto"/>
          <w:lang w:eastAsia="zh-CN"/>
        </w:rPr>
        <w:t>厌氧池运行情况观察</w:t>
      </w:r>
      <w:r>
        <w:rPr>
          <w:rFonts w:hint="eastAsia" w:ascii="仿宋" w:hAnsi="仿宋" w:eastAsia="仿宋" w:cs="宋体"/>
          <w:color w:val="auto"/>
          <w:lang w:val="en-US" w:eastAsia="zh-CN"/>
        </w:rPr>
        <w:t xml:space="preserve"> </w:t>
      </w:r>
      <w:r>
        <w:rPr>
          <w:rFonts w:hint="eastAsia" w:ascii="仿宋" w:hAnsi="仿宋" w:eastAsia="仿宋" w:cs="宋体"/>
          <w:color w:val="auto"/>
          <w:lang w:eastAsia="zh-CN"/>
        </w:rPr>
        <w:t>定时巡查水下搅拌泵运行情况，确保正常运行。</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lang w:val="en-US" w:eastAsia="zh-CN"/>
        </w:rPr>
        <w:t>4.</w:t>
      </w:r>
      <w:r>
        <w:rPr>
          <w:rFonts w:hint="eastAsia" w:ascii="仿宋" w:hAnsi="仿宋" w:eastAsia="仿宋" w:cs="宋体"/>
          <w:color w:val="auto"/>
          <w:lang w:eastAsia="zh-CN"/>
        </w:rPr>
        <w:t>曝气池的观察</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lang w:val="en-US" w:eastAsia="zh-CN"/>
        </w:rPr>
        <w:t>4</w:t>
      </w:r>
      <w:r>
        <w:rPr>
          <w:rFonts w:hint="eastAsia" w:ascii="仿宋" w:hAnsi="仿宋" w:eastAsia="仿宋" w:cs="宋体"/>
          <w:color w:val="auto"/>
          <w:lang w:eastAsia="zh-CN"/>
        </w:rPr>
        <w:t>.1观测曝气池的泡沫发生状况，判断泡沫异常增多原因，并及时采取处理措施。</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lang w:val="en-US" w:eastAsia="zh-CN"/>
        </w:rPr>
        <w:t>4</w:t>
      </w:r>
      <w:r>
        <w:rPr>
          <w:rFonts w:hint="eastAsia" w:ascii="仿宋" w:hAnsi="仿宋" w:eastAsia="仿宋" w:cs="宋体"/>
          <w:color w:val="auto"/>
          <w:lang w:eastAsia="zh-CN"/>
        </w:rPr>
        <w:t>.2及时清除曝气池边角外飘浮的部分浮渣。（注意观察曝气池液面翻腾状况，判断是否有曝气头堵塞或脱落，并及时更换）。</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lang w:val="en-US" w:eastAsia="zh-CN"/>
        </w:rPr>
        <w:t>4</w:t>
      </w:r>
      <w:r>
        <w:rPr>
          <w:rFonts w:hint="eastAsia" w:ascii="仿宋" w:hAnsi="仿宋" w:eastAsia="仿宋" w:cs="宋体"/>
          <w:color w:val="auto"/>
          <w:lang w:eastAsia="zh-CN"/>
        </w:rPr>
        <w:t>.3测定曝气池混合液的溶解氧（DO），并及时调节曝气系统的充氧量。</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lang w:val="en-US" w:eastAsia="zh-CN"/>
        </w:rPr>
        <w:t>5.</w:t>
      </w:r>
      <w:r>
        <w:rPr>
          <w:rFonts w:hint="eastAsia" w:ascii="仿宋" w:hAnsi="仿宋" w:eastAsia="仿宋" w:cs="宋体"/>
          <w:color w:val="auto"/>
          <w:lang w:eastAsia="zh-CN"/>
        </w:rPr>
        <w:t>沉淀池的观察</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lang w:val="en-US" w:eastAsia="zh-CN"/>
        </w:rPr>
        <w:t>5</w:t>
      </w:r>
      <w:r>
        <w:rPr>
          <w:rFonts w:hint="eastAsia" w:ascii="仿宋" w:hAnsi="仿宋" w:eastAsia="仿宋" w:cs="宋体"/>
          <w:color w:val="auto"/>
          <w:lang w:eastAsia="zh-CN"/>
        </w:rPr>
        <w:t>.1检测出水是否带走微小污泥絮粒，造成污泥异常流失。判断污泥异常流失是否有以下原因：污泥负荷偏低且曝气过度，入流污水中有毒物浓度突然升高细菌中毒，污泥活性降低而解絮，并采取针对措施及时解决。</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lang w:val="en-US" w:eastAsia="zh-CN"/>
        </w:rPr>
        <w:t>5</w:t>
      </w:r>
      <w:r>
        <w:rPr>
          <w:rFonts w:hint="eastAsia" w:ascii="仿宋" w:hAnsi="仿宋" w:eastAsia="仿宋" w:cs="宋体"/>
          <w:color w:val="auto"/>
          <w:lang w:eastAsia="zh-CN"/>
        </w:rPr>
        <w:t>.2观察沉定池液面，查看是否有污泥上浮现象。若局部污泥大块上浮且污泥发黑带臭味，则二沉池存在死区;若许多污泥块状上浮又不同上述情况，则为曝气池混合液DO偏低，二沉池中污泥反硝化。应及时采取针对措施避免影响出水水质。</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lang w:val="en-US" w:eastAsia="zh-CN"/>
        </w:rPr>
        <w:t>六、</w:t>
      </w:r>
      <w:r>
        <w:rPr>
          <w:rFonts w:hint="eastAsia" w:ascii="仿宋" w:hAnsi="仿宋" w:eastAsia="仿宋" w:cs="宋体"/>
          <w:color w:val="auto"/>
          <w:lang w:eastAsia="zh-CN"/>
        </w:rPr>
        <w:t>污水处理站污泥处理</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lang w:eastAsia="zh-CN"/>
        </w:rPr>
        <w:t>1．污泥量应根据实际情况及时清理，计划每半年清理1次，处理过程中</w:t>
      </w:r>
      <w:r>
        <w:rPr>
          <w:rFonts w:hint="eastAsia" w:ascii="仿宋" w:hAnsi="仿宋" w:eastAsia="仿宋" w:cs="宋体"/>
          <w:color w:val="auto"/>
          <w:lang w:val="en-US" w:eastAsia="zh-CN"/>
        </w:rPr>
        <w:t>产生费用（如使用药剂絮凝剂等）</w:t>
      </w:r>
      <w:r>
        <w:rPr>
          <w:rFonts w:hint="eastAsia" w:ascii="仿宋" w:hAnsi="仿宋" w:eastAsia="仿宋" w:cs="宋体"/>
          <w:color w:val="auto"/>
          <w:lang w:eastAsia="zh-CN"/>
        </w:rPr>
        <w:t>由乙方承担，甲方负责联系第三方危废处置单位进行转运处理，（如期间由转运系统需要数据填报由乙方负责数据填报，甲方只负责提供数据资料）。</w:t>
      </w:r>
    </w:p>
    <w:p>
      <w:pPr>
        <w:spacing w:before="100" w:beforeLines="0" w:beforeAutospacing="1" w:after="100" w:afterLines="0" w:afterAutospacing="1" w:line="240" w:lineRule="auto"/>
        <w:ind w:firstLine="200"/>
        <w:rPr>
          <w:rFonts w:hint="eastAsia" w:ascii="仿宋" w:hAnsi="仿宋" w:eastAsia="仿宋" w:cs="宋体"/>
          <w:color w:val="auto"/>
          <w:lang w:val="en-US" w:eastAsia="zh-CN"/>
        </w:rPr>
      </w:pPr>
      <w:r>
        <w:rPr>
          <w:rFonts w:hint="eastAsia" w:ascii="仿宋" w:hAnsi="仿宋" w:eastAsia="仿宋" w:cs="宋体"/>
          <w:color w:val="auto"/>
          <w:lang w:val="en-US" w:eastAsia="zh-CN"/>
        </w:rPr>
        <w:t>2．乙方应做好我院污泥处置设施的运维保养工作。</w:t>
      </w:r>
    </w:p>
    <w:p>
      <w:pPr>
        <w:spacing w:before="100" w:beforeLines="0" w:beforeAutospacing="1" w:after="100" w:afterLines="0" w:afterAutospacing="1" w:line="240" w:lineRule="auto"/>
        <w:ind w:firstLine="200"/>
        <w:rPr>
          <w:rFonts w:hint="eastAsia" w:ascii="仿宋" w:hAnsi="仿宋" w:eastAsia="仿宋" w:cs="宋体"/>
          <w:color w:val="auto"/>
          <w:lang w:val="en-US" w:eastAsia="zh-CN"/>
        </w:rPr>
      </w:pPr>
      <w:r>
        <w:rPr>
          <w:rFonts w:hint="eastAsia" w:ascii="仿宋" w:hAnsi="仿宋" w:eastAsia="仿宋" w:cs="宋体"/>
          <w:color w:val="auto"/>
          <w:lang w:val="en-US" w:eastAsia="zh-CN"/>
        </w:rPr>
        <w:t>3．污泥消毒：参照《医院污水处理技术指南》 标准号：环发【2003】197第六章 医院污水处理系统污泥、废气处理技术 6.1.3污泥消毒进行处理消毒。</w:t>
      </w:r>
    </w:p>
    <w:p>
      <w:pPr>
        <w:spacing w:before="100" w:beforeLines="0" w:beforeAutospacing="1" w:after="100" w:afterLines="0" w:afterAutospacing="1" w:line="240" w:lineRule="auto"/>
        <w:ind w:firstLine="200"/>
        <w:rPr>
          <w:rFonts w:hint="eastAsia" w:ascii="仿宋" w:hAnsi="仿宋" w:eastAsia="仿宋" w:cs="宋体"/>
          <w:color w:val="auto"/>
          <w:lang w:val="en-US" w:eastAsia="zh-CN"/>
        </w:rPr>
      </w:pPr>
      <w:r>
        <w:rPr>
          <w:rFonts w:hint="eastAsia" w:ascii="仿宋" w:hAnsi="仿宋" w:eastAsia="仿宋" w:cs="宋体"/>
          <w:color w:val="auto"/>
          <w:lang w:val="en-US" w:eastAsia="zh-CN"/>
        </w:rPr>
        <w:t xml:space="preserve">4．污泥处置前应进行监测，监测标准见 第三项 </w:t>
      </w:r>
      <w:r>
        <w:rPr>
          <w:rFonts w:hint="eastAsia" w:ascii="仿宋" w:hAnsi="仿宋" w:eastAsia="仿宋" w:cs="宋体"/>
          <w:color w:val="auto"/>
          <w:lang w:eastAsia="zh-CN"/>
        </w:rPr>
        <w:t>检测服务项目内容及要求</w:t>
      </w:r>
      <w:r>
        <w:rPr>
          <w:rFonts w:hint="eastAsia" w:ascii="仿宋" w:hAnsi="仿宋" w:eastAsia="仿宋" w:cs="宋体"/>
          <w:color w:val="auto"/>
          <w:lang w:val="en-US" w:eastAsia="zh-CN"/>
        </w:rPr>
        <w:t>。</w:t>
      </w:r>
      <w:r>
        <w:rPr>
          <w:rFonts w:hint="eastAsia" w:ascii="仿宋" w:hAnsi="仿宋" w:eastAsia="仿宋" w:cs="宋体"/>
          <w:color w:val="auto"/>
          <w:lang w:eastAsia="zh-CN"/>
        </w:rPr>
        <w:t>根据环境保护的相关规定污泥处理应具有专业资质的公司承揽，</w:t>
      </w:r>
      <w:r>
        <w:rPr>
          <w:rFonts w:hint="eastAsia" w:ascii="仿宋" w:hAnsi="仿宋" w:eastAsia="仿宋" w:cs="宋体"/>
          <w:color w:val="auto"/>
          <w:lang w:val="en-US" w:eastAsia="zh-CN"/>
        </w:rPr>
        <w:t>处置费用由甲方承担</w:t>
      </w:r>
      <w:r>
        <w:rPr>
          <w:rFonts w:hint="eastAsia" w:ascii="仿宋" w:hAnsi="仿宋" w:eastAsia="仿宋" w:cs="宋体"/>
          <w:color w:val="auto"/>
          <w:lang w:eastAsia="zh-CN"/>
        </w:rPr>
        <w:t>。</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lang w:val="en-US" w:eastAsia="zh-CN"/>
        </w:rPr>
        <w:t>七、</w:t>
      </w:r>
      <w:r>
        <w:rPr>
          <w:rFonts w:hint="eastAsia" w:ascii="仿宋" w:hAnsi="仿宋" w:eastAsia="仿宋" w:cs="宋体"/>
          <w:color w:val="auto"/>
          <w:lang w:eastAsia="zh-CN"/>
        </w:rPr>
        <w:t>污水处理站的设备维护工作</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lang w:eastAsia="zh-CN"/>
        </w:rPr>
        <w:t>1．</w:t>
      </w:r>
      <w:r>
        <w:rPr>
          <w:rFonts w:hint="eastAsia" w:ascii="仿宋" w:hAnsi="仿宋" w:eastAsia="仿宋" w:cs="宋体"/>
          <w:color w:val="auto"/>
          <w:lang w:val="en-US" w:eastAsia="zh-CN"/>
        </w:rPr>
        <w:t>运维人员</w:t>
      </w:r>
      <w:r>
        <w:rPr>
          <w:rFonts w:hint="eastAsia" w:ascii="仿宋" w:hAnsi="仿宋" w:eastAsia="仿宋" w:cs="宋体"/>
          <w:color w:val="auto"/>
          <w:lang w:eastAsia="zh-CN"/>
        </w:rPr>
        <w:t>每班巡检2次，现场操作人员应能及时发现设备运转中的异常情况，并根据规范做好处理，现场无法处理的应立即汇报公司，公司委派专业人员处理。</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lang w:eastAsia="zh-CN"/>
        </w:rPr>
        <w:t>2．保持设备内外整洁，润滑良好，无泄露。</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lang w:eastAsia="zh-CN"/>
        </w:rPr>
        <w:t>3．及时解决跑、冒、滴、漏等工作。</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lang w:eastAsia="zh-CN"/>
        </w:rPr>
        <w:t>4．按照设备周期管理要求，实施设备周期检修维护。</w:t>
      </w:r>
    </w:p>
    <w:p>
      <w:pPr>
        <w:spacing w:before="100" w:beforeLines="0" w:beforeAutospacing="1" w:after="100" w:afterLines="0" w:afterAutospacing="1" w:line="240" w:lineRule="auto"/>
        <w:ind w:firstLine="200"/>
        <w:rPr>
          <w:rFonts w:hint="eastAsia" w:ascii="仿宋" w:hAnsi="仿宋" w:eastAsia="仿宋" w:cs="宋体"/>
          <w:color w:val="auto"/>
          <w:lang w:val="en-US" w:eastAsia="zh-CN"/>
        </w:rPr>
      </w:pPr>
      <w:r>
        <w:rPr>
          <w:rFonts w:hint="eastAsia" w:ascii="仿宋" w:hAnsi="仿宋" w:eastAsia="仿宋" w:cs="宋体"/>
          <w:color w:val="auto"/>
          <w:lang w:eastAsia="zh-CN"/>
        </w:rPr>
        <w:t>5．及时抢修突发设备故障，保证不影响正常污水处理站的正常运行，如果发生影响及时与排污单位沟通，特别是与</w:t>
      </w:r>
      <w:r>
        <w:rPr>
          <w:rFonts w:hint="eastAsia" w:ascii="仿宋" w:hAnsi="仿宋" w:eastAsia="仿宋" w:cs="宋体"/>
          <w:color w:val="auto"/>
          <w:lang w:val="en-US" w:eastAsia="zh-CN"/>
        </w:rPr>
        <w:t>上级主管部门（生态环境局）</w:t>
      </w:r>
      <w:r>
        <w:rPr>
          <w:rFonts w:hint="eastAsia" w:ascii="仿宋" w:hAnsi="仿宋" w:eastAsia="仿宋" w:cs="宋体"/>
          <w:color w:val="auto"/>
          <w:lang w:eastAsia="zh-CN"/>
        </w:rPr>
        <w:t>的通报备案。</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lang w:val="en-US" w:eastAsia="zh-CN"/>
        </w:rPr>
        <w:t>6．</w:t>
      </w:r>
      <w:r>
        <w:rPr>
          <w:rFonts w:hint="eastAsia" w:ascii="仿宋" w:hAnsi="仿宋" w:eastAsia="仿宋" w:cs="宋体"/>
          <w:color w:val="auto"/>
          <w:lang w:eastAsia="zh-CN"/>
        </w:rPr>
        <w:t>运行管理人员须认真做好污水处理站的值班记录、巡查记录、设备运行情况记录、运转数据、分析化验数据记录及报表工作，污水处理站的设备需有相应的运维记录本。技术人员依靠这些数据对工艺进行计算与调整，对设施设备状况进行分析、判断，对运行参数进行调整，以便对可能出现的运行问题进行有针对性的准备与工艺参数调整，同时可据此而提出设施设备维修计划。</w:t>
      </w:r>
    </w:p>
    <w:p>
      <w:pPr>
        <w:pStyle w:val="15"/>
        <w:spacing w:before="100" w:beforeLines="0" w:beforeAutospacing="1" w:after="100" w:afterLines="0" w:afterAutospacing="1" w:line="240" w:lineRule="auto"/>
        <w:ind w:firstLine="200"/>
        <w:rPr>
          <w:rFonts w:hint="eastAsia" w:ascii="仿宋" w:hAnsi="仿宋" w:eastAsia="仿宋"/>
          <w:szCs w:val="24"/>
          <w:lang w:val="en-US" w:eastAsia="zh-CN"/>
        </w:rPr>
      </w:pPr>
      <w:r>
        <w:rPr>
          <w:rFonts w:hint="eastAsia" w:ascii="仿宋" w:hAnsi="仿宋" w:eastAsia="仿宋" w:cs="宋体"/>
          <w:color w:val="auto"/>
          <w:szCs w:val="24"/>
          <w:lang w:val="en-US" w:eastAsia="zh-CN"/>
        </w:rPr>
        <w:t>7．运行管理人员应定时（每2小时）对在线监测设备进行巡查，发现在线监测设备异常及时与运维人员联系，进行故障排除，做到小故障4小时内解决，大故障2个工作日内解决，如因乙方未按约定时间内排查故障导致在线监测数据超标的，发现一次月度考核扣1分，当月运维费扣1%。</w:t>
      </w:r>
    </w:p>
    <w:p>
      <w:pPr>
        <w:spacing w:before="100" w:beforeLines="0" w:beforeAutospacing="1" w:after="100" w:afterLines="0" w:afterAutospacing="1" w:line="240" w:lineRule="auto"/>
        <w:ind w:firstLine="480" w:firstLineChars="200"/>
        <w:rPr>
          <w:rFonts w:hint="eastAsia" w:ascii="黑体" w:hAnsi="黑体" w:eastAsia="黑体" w:cs="宋体"/>
          <w:color w:val="auto"/>
          <w:lang w:val="en-US" w:eastAsia="zh-CN"/>
        </w:rPr>
      </w:pPr>
      <w:r>
        <w:rPr>
          <w:rFonts w:hint="eastAsia" w:ascii="黑体" w:hAnsi="黑体" w:eastAsia="黑体" w:cs="宋体"/>
          <w:color w:val="auto"/>
          <w:lang w:val="en-US" w:eastAsia="zh-CN"/>
        </w:rPr>
        <w:t>八、其他要求</w:t>
      </w:r>
    </w:p>
    <w:p>
      <w:pPr>
        <w:spacing w:before="100" w:beforeLines="0" w:beforeAutospacing="1" w:after="100" w:afterLines="0" w:afterAutospacing="1" w:line="240" w:lineRule="auto"/>
        <w:ind w:firstLine="200"/>
        <w:rPr>
          <w:rFonts w:hint="eastAsia" w:ascii="仿宋" w:hAnsi="仿宋" w:eastAsia="仿宋" w:cs="宋体"/>
          <w:color w:val="auto"/>
          <w:lang w:eastAsia="zh-CN"/>
        </w:rPr>
      </w:pPr>
      <w:r>
        <w:rPr>
          <w:rFonts w:hint="eastAsia" w:ascii="仿宋" w:hAnsi="仿宋" w:eastAsia="仿宋" w:cs="宋体"/>
          <w:color w:val="auto"/>
          <w:lang w:eastAsia="zh-CN"/>
        </w:rPr>
        <w:t>1．运行记录与报表须定时、系统、简练地反映污水处理过程运行管理状况，运行操作人员工作中，一定要按管理技术人员要求及时、清晰、完整、准确做好记录，须交院方存档。</w:t>
      </w:r>
    </w:p>
    <w:p>
      <w:pPr>
        <w:spacing w:before="100" w:beforeLines="0" w:beforeAutospacing="1" w:after="100" w:afterLines="0" w:afterAutospacing="1" w:line="240" w:lineRule="auto"/>
        <w:ind w:firstLine="200"/>
        <w:rPr>
          <w:rFonts w:hint="eastAsia" w:ascii="宋体" w:hAnsi="宋体" w:eastAsia="宋体" w:cs="宋体"/>
          <w:b w:val="0"/>
          <w:bCs w:val="0"/>
          <w:color w:val="auto"/>
          <w:sz w:val="24"/>
          <w:szCs w:val="24"/>
          <w:highlight w:val="none"/>
        </w:rPr>
      </w:pPr>
      <w:r>
        <w:rPr>
          <w:rFonts w:hint="eastAsia" w:ascii="仿宋" w:hAnsi="仿宋" w:eastAsia="仿宋" w:cs="宋体"/>
          <w:color w:val="auto"/>
          <w:lang w:val="en-US" w:eastAsia="zh-CN"/>
        </w:rPr>
        <w:t>2．乙方在运维过程中，如出现在线监测设备数据造假问题，甲方有权向乙方追责，当月考核等级为不合格并予以处罚（扣除当月10%运维费用），禁止再次参与甲方污水处理的招投标活动。</w:t>
      </w:r>
    </w:p>
    <w:p>
      <w:pPr>
        <w:spacing w:before="100" w:beforeLines="0" w:beforeAutospacing="1" w:after="100" w:afterLines="0" w:afterAutospacing="1" w:line="240" w:lineRule="auto"/>
        <w:ind w:firstLine="200"/>
        <w:rPr>
          <w:rFonts w:hint="default" w:ascii="仿宋" w:hAnsi="仿宋" w:eastAsia="仿宋" w:cs="宋体"/>
          <w:color w:val="auto"/>
          <w:lang w:val="en-US" w:eastAsia="zh-CN"/>
        </w:rPr>
      </w:pPr>
      <w:r>
        <w:rPr>
          <w:rFonts w:hint="eastAsia" w:ascii="仿宋" w:hAnsi="仿宋" w:eastAsia="仿宋" w:cs="宋体"/>
          <w:color w:val="auto"/>
          <w:lang w:val="en-US" w:eastAsia="zh-CN"/>
        </w:rPr>
        <w:t>3 医院若发生因环境污染而被行政主管部门处罚的情形，乙方须承担全部损失。乙方须缴纳项目总费用的10%履约保证金，并提供第三方担保机制。</w:t>
      </w:r>
    </w:p>
    <w:p>
      <w:pPr>
        <w:spacing w:before="100" w:beforeLines="0" w:beforeAutospacing="1" w:after="100" w:afterLines="0" w:afterAutospacing="1" w:line="240" w:lineRule="auto"/>
        <w:ind w:firstLine="200"/>
        <w:rPr>
          <w:rFonts w:hint="eastAsia" w:ascii="仿宋" w:hAnsi="仿宋" w:eastAsia="仿宋" w:cs="宋体"/>
          <w:color w:val="auto"/>
          <w:lang w:val="en-US" w:eastAsia="zh-CN"/>
        </w:rPr>
      </w:pPr>
      <w:r>
        <w:rPr>
          <w:rFonts w:hint="eastAsia" w:ascii="仿宋" w:hAnsi="仿宋" w:eastAsia="仿宋" w:cs="宋体"/>
          <w:color w:val="auto"/>
          <w:lang w:val="en-US" w:eastAsia="zh-CN"/>
        </w:rPr>
        <w:t>4在维保合同结束前，乙方需为甲方设备免费进行一次综合性的检查和试验，排除一切存在或可能存在的故障，并向甲方提供详细的工作报告，同时移交与本项目有关的所有资料。甲方将邀请第三方进行检验检测，乙方需检验合格后取得甲方书面交付合格通知书，方能结算剩余价款及履约保证金。合同期满成交乙方应对运维设施及运维资料进行完整交接，否则将扣除相应维保费用。</w:t>
      </w:r>
    </w:p>
    <w:p>
      <w:pPr>
        <w:pStyle w:val="15"/>
        <w:rPr>
          <w:rFonts w:hint="eastAsia" w:ascii="宋体" w:hAnsi="宋体" w:eastAsia="宋体" w:cs="宋体"/>
          <w:b/>
          <w:bCs/>
          <w:kern w:val="0"/>
          <w:sz w:val="21"/>
          <w:szCs w:val="21"/>
        </w:rPr>
      </w:pPr>
    </w:p>
    <w:p>
      <w:pPr>
        <w:pStyle w:val="15"/>
        <w:rPr>
          <w:rFonts w:hint="eastAsia" w:ascii="宋体" w:hAnsi="宋体" w:eastAsia="宋体" w:cs="宋体"/>
          <w:b/>
          <w:bCs/>
          <w:kern w:val="0"/>
          <w:sz w:val="21"/>
          <w:szCs w:val="21"/>
        </w:rPr>
      </w:pPr>
    </w:p>
    <w:p>
      <w:pPr>
        <w:pStyle w:val="15"/>
        <w:rPr>
          <w:rFonts w:hint="eastAsia" w:ascii="宋体" w:hAnsi="宋体" w:eastAsia="宋体" w:cs="宋体"/>
          <w:b/>
          <w:bCs/>
          <w:kern w:val="0"/>
          <w:sz w:val="21"/>
          <w:szCs w:val="21"/>
        </w:rPr>
      </w:pPr>
    </w:p>
    <w:p>
      <w:pPr>
        <w:shd w:val="clear"/>
        <w:spacing w:line="240" w:lineRule="auto"/>
        <w:jc w:val="center"/>
        <w:rPr>
          <w:rFonts w:hint="eastAsia" w:ascii="宋体" w:hAnsi="宋体" w:eastAsia="宋体" w:cs="宋体"/>
          <w:b/>
          <w:bCs/>
          <w:kern w:val="0"/>
          <w:sz w:val="21"/>
          <w:szCs w:val="21"/>
        </w:rPr>
      </w:pPr>
      <w:r>
        <w:rPr>
          <w:rFonts w:hint="eastAsia" w:ascii="宋体" w:hAnsi="宋体" w:eastAsia="宋体" w:cs="宋体"/>
          <w:b/>
          <w:bCs/>
          <w:color w:val="auto"/>
          <w:sz w:val="36"/>
          <w:szCs w:val="36"/>
          <w:lang w:val="en-US" w:eastAsia="zh-CN"/>
        </w:rPr>
        <w:t>第二部分 评分标准</w:t>
      </w:r>
    </w:p>
    <w:tbl>
      <w:tblPr>
        <w:tblStyle w:val="12"/>
        <w:tblW w:w="4833"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1105"/>
        <w:gridCol w:w="5835"/>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303"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240" w:after="240" w:line="300" w:lineRule="auto"/>
              <w:jc w:val="center"/>
              <w:rPr>
                <w:rFonts w:hint="eastAsia" w:ascii="仿宋" w:hAnsi="仿宋" w:eastAsia="仿宋" w:cs="宋体"/>
                <w:b/>
                <w:bCs/>
              </w:rPr>
            </w:pPr>
            <w:r>
              <w:rPr>
                <w:rFonts w:hint="eastAsia" w:ascii="仿宋" w:hAnsi="仿宋" w:eastAsia="仿宋" w:cs="宋体"/>
                <w:b/>
                <w:bCs/>
              </w:rPr>
              <w:t>评分项目</w:t>
            </w:r>
          </w:p>
        </w:tc>
        <w:tc>
          <w:tcPr>
            <w:tcW w:w="3233" w:type="pct"/>
            <w:tcBorders>
              <w:top w:val="single" w:color="auto" w:sz="4" w:space="0"/>
              <w:left w:val="nil"/>
              <w:bottom w:val="single" w:color="auto" w:sz="4" w:space="0"/>
              <w:right w:val="single" w:color="auto" w:sz="4" w:space="0"/>
            </w:tcBorders>
            <w:vAlign w:val="center"/>
          </w:tcPr>
          <w:p>
            <w:pPr>
              <w:adjustRightInd w:val="0"/>
              <w:snapToGrid w:val="0"/>
              <w:spacing w:before="240" w:after="240" w:line="300" w:lineRule="auto"/>
              <w:jc w:val="center"/>
              <w:rPr>
                <w:rFonts w:hint="eastAsia" w:ascii="仿宋" w:hAnsi="仿宋" w:eastAsia="仿宋" w:cs="宋体"/>
                <w:b/>
                <w:bCs/>
              </w:rPr>
            </w:pPr>
            <w:r>
              <w:rPr>
                <w:rFonts w:hint="eastAsia" w:ascii="仿宋" w:hAnsi="仿宋" w:eastAsia="仿宋" w:cs="宋体"/>
                <w:b/>
                <w:bCs/>
              </w:rPr>
              <w:t>评分标准</w:t>
            </w:r>
          </w:p>
        </w:tc>
        <w:tc>
          <w:tcPr>
            <w:tcW w:w="464" w:type="pct"/>
            <w:tcBorders>
              <w:top w:val="single" w:color="auto" w:sz="4" w:space="0"/>
              <w:left w:val="nil"/>
              <w:bottom w:val="single" w:color="auto" w:sz="4" w:space="0"/>
              <w:right w:val="single" w:color="auto" w:sz="4" w:space="0"/>
            </w:tcBorders>
            <w:vAlign w:val="center"/>
          </w:tcPr>
          <w:p>
            <w:pPr>
              <w:adjustRightInd w:val="0"/>
              <w:snapToGrid w:val="0"/>
              <w:spacing w:before="240" w:after="240" w:line="300" w:lineRule="auto"/>
              <w:jc w:val="center"/>
              <w:rPr>
                <w:rFonts w:hint="eastAsia" w:ascii="仿宋" w:hAnsi="仿宋" w:eastAsia="仿宋" w:cs="宋体"/>
                <w:b/>
                <w:bCs/>
              </w:rPr>
            </w:pPr>
            <w:r>
              <w:rPr>
                <w:rFonts w:hint="eastAsia" w:ascii="仿宋" w:hAnsi="仿宋" w:eastAsia="仿宋" w:cs="宋体"/>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240" w:after="240" w:line="300" w:lineRule="auto"/>
              <w:jc w:val="center"/>
              <w:rPr>
                <w:rFonts w:hint="eastAsia" w:ascii="仿宋" w:hAnsi="仿宋" w:eastAsia="仿宋" w:cs="宋体"/>
                <w:color w:val="FF0000"/>
              </w:rPr>
            </w:pPr>
            <w:r>
              <w:rPr>
                <w:rFonts w:hint="eastAsia" w:ascii="仿宋" w:hAnsi="仿宋" w:eastAsia="仿宋" w:cs="宋体"/>
                <w:color w:val="FF0000"/>
              </w:rPr>
              <w:t>价格</w:t>
            </w:r>
          </w:p>
          <w:p>
            <w:pPr>
              <w:adjustRightInd w:val="0"/>
              <w:snapToGrid w:val="0"/>
              <w:spacing w:before="240" w:after="240" w:line="300" w:lineRule="auto"/>
              <w:jc w:val="center"/>
              <w:rPr>
                <w:rFonts w:hint="eastAsia" w:ascii="仿宋" w:hAnsi="仿宋" w:eastAsia="仿宋" w:cs="宋体"/>
                <w:color w:val="FF0000"/>
              </w:rPr>
            </w:pPr>
            <w:r>
              <w:rPr>
                <w:rFonts w:hint="eastAsia" w:ascii="仿宋" w:hAnsi="仿宋" w:eastAsia="仿宋" w:cs="宋体"/>
                <w:color w:val="FF0000"/>
              </w:rPr>
              <w:t>（</w:t>
            </w:r>
            <w:r>
              <w:rPr>
                <w:rFonts w:hint="eastAsia" w:ascii="仿宋" w:hAnsi="仿宋" w:eastAsia="仿宋" w:cs="宋体"/>
                <w:color w:val="FF0000"/>
                <w:lang w:val="en-US" w:eastAsia="zh-CN"/>
              </w:rPr>
              <w:t>30</w:t>
            </w:r>
            <w:r>
              <w:rPr>
                <w:rFonts w:hint="eastAsia" w:ascii="仿宋" w:hAnsi="仿宋" w:eastAsia="仿宋" w:cs="宋体"/>
                <w:color w:val="FF0000"/>
              </w:rPr>
              <w:t>）</w:t>
            </w:r>
          </w:p>
        </w:tc>
        <w:tc>
          <w:tcPr>
            <w:tcW w:w="612" w:type="pct"/>
            <w:tcBorders>
              <w:top w:val="single" w:color="auto" w:sz="4" w:space="0"/>
              <w:left w:val="nil"/>
              <w:bottom w:val="single" w:color="auto" w:sz="4" w:space="0"/>
              <w:right w:val="single" w:color="auto" w:sz="4" w:space="0"/>
            </w:tcBorders>
            <w:vAlign w:val="center"/>
          </w:tcPr>
          <w:p>
            <w:pPr>
              <w:adjustRightInd w:val="0"/>
              <w:snapToGrid w:val="0"/>
              <w:spacing w:before="240" w:after="240" w:line="300" w:lineRule="auto"/>
              <w:jc w:val="center"/>
              <w:rPr>
                <w:rFonts w:hint="eastAsia" w:ascii="仿宋" w:hAnsi="仿宋" w:eastAsia="仿宋" w:cs="宋体"/>
              </w:rPr>
            </w:pPr>
            <w:r>
              <w:rPr>
                <w:rFonts w:hint="eastAsia" w:ascii="仿宋" w:hAnsi="仿宋" w:eastAsia="仿宋" w:cs="宋体"/>
              </w:rPr>
              <w:t>价格</w:t>
            </w:r>
          </w:p>
        </w:tc>
        <w:tc>
          <w:tcPr>
            <w:tcW w:w="3233" w:type="pct"/>
            <w:tcBorders>
              <w:top w:val="single" w:color="auto" w:sz="4" w:space="0"/>
              <w:left w:val="nil"/>
              <w:bottom w:val="single" w:color="auto" w:sz="4" w:space="0"/>
              <w:right w:val="single" w:color="auto" w:sz="4" w:space="0"/>
            </w:tcBorders>
            <w:vAlign w:val="center"/>
          </w:tcPr>
          <w:p>
            <w:pPr>
              <w:adjustRightInd w:val="0"/>
              <w:snapToGrid w:val="0"/>
              <w:spacing w:before="240" w:after="240" w:line="300" w:lineRule="auto"/>
              <w:rPr>
                <w:rFonts w:hint="eastAsia" w:ascii="仿宋" w:hAnsi="仿宋" w:eastAsia="仿宋" w:cs="宋体"/>
                <w:lang w:eastAsia="zh-CN"/>
              </w:rPr>
            </w:pPr>
            <w:r>
              <w:rPr>
                <w:rFonts w:hint="eastAsia" w:ascii="仿宋" w:hAnsi="仿宋" w:eastAsia="仿宋" w:cs="宋体"/>
                <w:lang w:eastAsia="zh-CN"/>
              </w:rPr>
              <w:t>满足招标文件要求且投标价格最低的投标报价为基准价，其价格分为满分。报价得分＝（评标基准价/投标报价）×30。</w:t>
            </w:r>
          </w:p>
        </w:tc>
        <w:tc>
          <w:tcPr>
            <w:tcW w:w="464" w:type="pct"/>
            <w:tcBorders>
              <w:top w:val="single" w:color="auto" w:sz="4" w:space="0"/>
              <w:left w:val="nil"/>
              <w:bottom w:val="single" w:color="auto" w:sz="4" w:space="0"/>
              <w:right w:val="single" w:color="auto" w:sz="4" w:space="0"/>
            </w:tcBorders>
            <w:vAlign w:val="center"/>
          </w:tcPr>
          <w:p>
            <w:pPr>
              <w:adjustRightInd w:val="0"/>
              <w:snapToGrid w:val="0"/>
              <w:spacing w:before="240" w:after="240" w:line="300" w:lineRule="auto"/>
              <w:jc w:val="center"/>
              <w:rPr>
                <w:rFonts w:hint="eastAsia" w:ascii="仿宋" w:hAnsi="仿宋" w:eastAsia="仿宋" w:cs="宋体"/>
              </w:rPr>
            </w:pPr>
            <w:r>
              <w:rPr>
                <w:rFonts w:hint="eastAsia" w:ascii="仿宋" w:hAnsi="仿宋" w:eastAsia="仿宋" w:cs="宋体"/>
                <w:color w:val="FF0000"/>
                <w:lang w:val="en-US" w:eastAsia="zh-CN"/>
              </w:rPr>
              <w:t>30</w:t>
            </w:r>
            <w:r>
              <w:rPr>
                <w:rFonts w:hint="eastAsia" w:ascii="仿宋" w:hAnsi="仿宋" w:eastAsia="仿宋" w:cs="宋体"/>
                <w:color w:val="FF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pct"/>
            <w:vMerge w:val="restart"/>
            <w:tcBorders>
              <w:top w:val="nil"/>
              <w:left w:val="single" w:color="auto" w:sz="4" w:space="0"/>
              <w:bottom w:val="single" w:color="auto" w:sz="4" w:space="0"/>
              <w:right w:val="single" w:color="auto" w:sz="4" w:space="0"/>
            </w:tcBorders>
            <w:vAlign w:val="center"/>
          </w:tcPr>
          <w:p>
            <w:pPr>
              <w:adjustRightInd w:val="0"/>
              <w:snapToGrid w:val="0"/>
              <w:spacing w:before="240" w:after="240" w:line="300" w:lineRule="auto"/>
              <w:jc w:val="center"/>
              <w:rPr>
                <w:rFonts w:hint="eastAsia" w:ascii="仿宋" w:hAnsi="仿宋" w:eastAsia="仿宋" w:cs="宋体"/>
              </w:rPr>
            </w:pPr>
            <w:r>
              <w:rPr>
                <w:rFonts w:hint="eastAsia" w:ascii="仿宋" w:hAnsi="仿宋" w:eastAsia="仿宋" w:cs="宋体"/>
              </w:rPr>
              <w:t>技术方案</w:t>
            </w:r>
          </w:p>
          <w:p>
            <w:pPr>
              <w:adjustRightInd w:val="0"/>
              <w:snapToGrid w:val="0"/>
              <w:spacing w:before="240" w:after="240" w:line="300" w:lineRule="auto"/>
              <w:jc w:val="center"/>
              <w:rPr>
                <w:rFonts w:hint="eastAsia" w:ascii="仿宋" w:hAnsi="仿宋" w:eastAsia="仿宋" w:cs="宋体"/>
              </w:rPr>
            </w:pPr>
            <w:r>
              <w:rPr>
                <w:rFonts w:hint="eastAsia" w:ascii="仿宋" w:hAnsi="仿宋" w:eastAsia="仿宋" w:cs="宋体"/>
              </w:rPr>
              <w:t>（</w:t>
            </w:r>
            <w:r>
              <w:rPr>
                <w:rFonts w:hint="eastAsia" w:ascii="仿宋" w:hAnsi="仿宋" w:eastAsia="仿宋" w:cs="宋体"/>
                <w:lang w:val="en-US" w:eastAsia="zh-CN"/>
              </w:rPr>
              <w:t>36</w:t>
            </w:r>
            <w:r>
              <w:rPr>
                <w:rFonts w:hint="eastAsia" w:ascii="仿宋" w:hAnsi="仿宋" w:eastAsia="仿宋" w:cs="宋体"/>
              </w:rPr>
              <w:t>）</w:t>
            </w:r>
          </w:p>
        </w:tc>
        <w:tc>
          <w:tcPr>
            <w:tcW w:w="612" w:type="pct"/>
            <w:tcBorders>
              <w:top w:val="single" w:color="auto" w:sz="4" w:space="0"/>
              <w:left w:val="nil"/>
              <w:bottom w:val="single" w:color="auto" w:sz="4" w:space="0"/>
              <w:right w:val="single" w:color="auto" w:sz="4" w:space="0"/>
            </w:tcBorders>
            <w:vAlign w:val="center"/>
          </w:tcPr>
          <w:p>
            <w:pPr>
              <w:adjustRightInd w:val="0"/>
              <w:snapToGrid w:val="0"/>
              <w:spacing w:before="240" w:after="240" w:line="300" w:lineRule="auto"/>
              <w:jc w:val="center"/>
              <w:rPr>
                <w:rFonts w:hint="eastAsia" w:ascii="仿宋" w:hAnsi="仿宋" w:eastAsia="仿宋" w:cs="宋体"/>
              </w:rPr>
            </w:pPr>
            <w:r>
              <w:rPr>
                <w:rFonts w:hint="eastAsia" w:ascii="仿宋" w:hAnsi="仿宋" w:eastAsia="仿宋" w:cs="宋体"/>
              </w:rPr>
              <w:t>运维实施方案</w:t>
            </w:r>
          </w:p>
        </w:tc>
        <w:tc>
          <w:tcPr>
            <w:tcW w:w="3233" w:type="pct"/>
            <w:tcBorders>
              <w:top w:val="single" w:color="auto" w:sz="4" w:space="0"/>
              <w:left w:val="nil"/>
              <w:bottom w:val="single" w:color="auto" w:sz="4" w:space="0"/>
              <w:right w:val="single" w:color="auto" w:sz="4" w:space="0"/>
            </w:tcBorders>
            <w:vAlign w:val="center"/>
          </w:tcPr>
          <w:p>
            <w:pPr>
              <w:adjustRightInd w:val="0"/>
              <w:snapToGrid w:val="0"/>
              <w:spacing w:before="240" w:after="240" w:line="300" w:lineRule="auto"/>
              <w:rPr>
                <w:rFonts w:hint="eastAsia" w:ascii="仿宋" w:hAnsi="仿宋" w:eastAsia="仿宋" w:cs="宋体"/>
                <w:lang w:eastAsia="zh-CN"/>
              </w:rPr>
            </w:pPr>
            <w:r>
              <w:rPr>
                <w:rFonts w:hint="eastAsia" w:ascii="仿宋" w:hAnsi="仿宋" w:eastAsia="仿宋" w:cs="宋体"/>
                <w:lang w:val="en-US" w:eastAsia="zh-CN"/>
              </w:rPr>
              <w:t>1.</w:t>
            </w:r>
            <w:r>
              <w:rPr>
                <w:rFonts w:hint="eastAsia" w:ascii="仿宋" w:hAnsi="仿宋" w:eastAsia="仿宋" w:cs="宋体"/>
                <w:lang w:eastAsia="zh-CN"/>
              </w:rPr>
              <w:t>供应商提出的运维技术方案应包含：污水处理设施日常运营管理服务内容、投入运营服务人员数量及分工、运维服务的设备设施保障（维修工具、备品备件、采样化验仪器等）、运维管理制度、质控管理等。运维技术方案内容全面、合理，得</w:t>
            </w:r>
            <w:r>
              <w:rPr>
                <w:rFonts w:hint="eastAsia" w:ascii="仿宋" w:hAnsi="仿宋" w:eastAsia="仿宋" w:cs="宋体"/>
                <w:lang w:val="en-US" w:eastAsia="zh-CN"/>
              </w:rPr>
              <w:t>6</w:t>
            </w:r>
            <w:r>
              <w:rPr>
                <w:rFonts w:hint="eastAsia" w:ascii="仿宋" w:hAnsi="仿宋" w:eastAsia="仿宋" w:cs="宋体"/>
                <w:lang w:eastAsia="zh-CN"/>
              </w:rPr>
              <w:t>分；技术方案内容较全面，得</w:t>
            </w:r>
            <w:r>
              <w:rPr>
                <w:rFonts w:hint="eastAsia" w:ascii="仿宋" w:hAnsi="仿宋" w:eastAsia="仿宋" w:cs="宋体"/>
                <w:lang w:val="en-US" w:eastAsia="zh-CN"/>
              </w:rPr>
              <w:t>3</w:t>
            </w:r>
            <w:r>
              <w:rPr>
                <w:rFonts w:hint="eastAsia" w:ascii="仿宋" w:hAnsi="仿宋" w:eastAsia="仿宋" w:cs="宋体"/>
                <w:lang w:eastAsia="zh-CN"/>
              </w:rPr>
              <w:t>分；技术方案内容欠全面，得</w:t>
            </w:r>
            <w:r>
              <w:rPr>
                <w:rFonts w:hint="eastAsia" w:ascii="仿宋" w:hAnsi="仿宋" w:eastAsia="仿宋" w:cs="宋体"/>
                <w:lang w:val="en-US" w:eastAsia="zh-CN"/>
              </w:rPr>
              <w:t>1</w:t>
            </w:r>
            <w:r>
              <w:rPr>
                <w:rFonts w:hint="eastAsia" w:ascii="仿宋" w:hAnsi="仿宋" w:eastAsia="仿宋" w:cs="宋体"/>
                <w:lang w:eastAsia="zh-CN"/>
              </w:rPr>
              <w:t>分；无相关内容或以与本项目不相干的内容充数的得0分。</w:t>
            </w:r>
          </w:p>
          <w:p>
            <w:pPr>
              <w:adjustRightInd w:val="0"/>
              <w:snapToGrid w:val="0"/>
              <w:spacing w:before="240" w:after="240" w:line="300" w:lineRule="auto"/>
              <w:rPr>
                <w:rFonts w:hint="eastAsia" w:ascii="仿宋" w:hAnsi="仿宋" w:eastAsia="仿宋" w:cs="宋体"/>
                <w:lang w:eastAsia="zh-CN"/>
              </w:rPr>
            </w:pPr>
            <w:r>
              <w:rPr>
                <w:rFonts w:hint="eastAsia" w:ascii="仿宋" w:hAnsi="仿宋" w:eastAsia="仿宋" w:cs="宋体"/>
                <w:lang w:val="en-US" w:eastAsia="zh-CN"/>
              </w:rPr>
              <w:t>2</w:t>
            </w:r>
            <w:r>
              <w:rPr>
                <w:rFonts w:hint="eastAsia" w:ascii="仿宋" w:hAnsi="仿宋" w:eastAsia="仿宋" w:cs="宋体"/>
                <w:lang w:eastAsia="zh-CN"/>
              </w:rPr>
              <w:t>、供应商提出的运维工作安全专篇应包括不限于：受限空间安全作业管理、维修维护安全管理、用电安全管理、处理设施生态安全等。安全专篇工作思路清晰，技术路线正确，得</w:t>
            </w:r>
            <w:r>
              <w:rPr>
                <w:rFonts w:hint="eastAsia" w:ascii="仿宋" w:hAnsi="仿宋" w:eastAsia="仿宋" w:cs="宋体"/>
                <w:lang w:val="en-US" w:eastAsia="zh-CN"/>
              </w:rPr>
              <w:t>6</w:t>
            </w:r>
            <w:r>
              <w:rPr>
                <w:rFonts w:hint="eastAsia" w:ascii="仿宋" w:hAnsi="仿宋" w:eastAsia="仿宋" w:cs="宋体"/>
                <w:lang w:eastAsia="zh-CN"/>
              </w:rPr>
              <w:t>分；工作思路较清晰，技术路线较正确，得</w:t>
            </w:r>
            <w:r>
              <w:rPr>
                <w:rFonts w:hint="eastAsia" w:ascii="仿宋" w:hAnsi="仿宋" w:eastAsia="仿宋" w:cs="宋体"/>
                <w:lang w:val="en-US" w:eastAsia="zh-CN"/>
              </w:rPr>
              <w:t>3</w:t>
            </w:r>
            <w:r>
              <w:rPr>
                <w:rFonts w:hint="eastAsia" w:ascii="仿宋" w:hAnsi="仿宋" w:eastAsia="仿宋" w:cs="宋体"/>
                <w:lang w:eastAsia="zh-CN"/>
              </w:rPr>
              <w:t>分；工作思路欠清晰，技术路线欠合理，得</w:t>
            </w:r>
            <w:r>
              <w:rPr>
                <w:rFonts w:hint="eastAsia" w:ascii="仿宋" w:hAnsi="仿宋" w:eastAsia="仿宋" w:cs="宋体"/>
                <w:lang w:val="en-US" w:eastAsia="zh-CN"/>
              </w:rPr>
              <w:t>1</w:t>
            </w:r>
            <w:r>
              <w:rPr>
                <w:rFonts w:hint="eastAsia" w:ascii="仿宋" w:hAnsi="仿宋" w:eastAsia="仿宋" w:cs="宋体"/>
                <w:lang w:eastAsia="zh-CN"/>
              </w:rPr>
              <w:t>分；无相关内容或以与本项目不相干的内容充数的得0分。</w:t>
            </w:r>
          </w:p>
          <w:p>
            <w:pPr>
              <w:adjustRightInd w:val="0"/>
              <w:snapToGrid w:val="0"/>
              <w:spacing w:before="240" w:after="240" w:line="300" w:lineRule="auto"/>
              <w:rPr>
                <w:rFonts w:hint="eastAsia" w:ascii="仿宋" w:hAnsi="仿宋" w:eastAsia="仿宋" w:cs="宋体"/>
                <w:lang w:eastAsia="zh-CN"/>
              </w:rPr>
            </w:pPr>
            <w:r>
              <w:rPr>
                <w:rFonts w:hint="eastAsia" w:ascii="仿宋" w:hAnsi="仿宋" w:eastAsia="仿宋" w:cs="宋体"/>
                <w:lang w:val="en-US" w:eastAsia="zh-CN"/>
              </w:rPr>
              <w:t>3</w:t>
            </w:r>
            <w:r>
              <w:rPr>
                <w:rFonts w:hint="eastAsia" w:ascii="仿宋" w:hAnsi="仿宋" w:eastAsia="仿宋" w:cs="宋体"/>
                <w:lang w:eastAsia="zh-CN"/>
              </w:rPr>
              <w:t>、供应商提出的突发环境事件应急预案符合本项目实际情况和工作开展要求的，得</w:t>
            </w:r>
            <w:r>
              <w:rPr>
                <w:rFonts w:hint="eastAsia" w:ascii="仿宋" w:hAnsi="仿宋" w:eastAsia="仿宋" w:cs="宋体"/>
                <w:lang w:val="en-US" w:eastAsia="zh-CN"/>
              </w:rPr>
              <w:t>6</w:t>
            </w:r>
            <w:r>
              <w:rPr>
                <w:rFonts w:hint="eastAsia" w:ascii="仿宋" w:hAnsi="仿宋" w:eastAsia="仿宋" w:cs="宋体"/>
                <w:lang w:eastAsia="zh-CN"/>
              </w:rPr>
              <w:t>分；工作重点把握较准确，得</w:t>
            </w:r>
            <w:r>
              <w:rPr>
                <w:rFonts w:hint="eastAsia" w:ascii="仿宋" w:hAnsi="仿宋" w:eastAsia="仿宋" w:cs="宋体"/>
                <w:lang w:val="en-US" w:eastAsia="zh-CN"/>
              </w:rPr>
              <w:t>3</w:t>
            </w:r>
            <w:r>
              <w:rPr>
                <w:rFonts w:hint="eastAsia" w:ascii="仿宋" w:hAnsi="仿宋" w:eastAsia="仿宋" w:cs="宋体"/>
                <w:lang w:eastAsia="zh-CN"/>
              </w:rPr>
              <w:t>分；工作重点把握不准确，得</w:t>
            </w:r>
            <w:r>
              <w:rPr>
                <w:rFonts w:hint="eastAsia" w:ascii="仿宋" w:hAnsi="仿宋" w:eastAsia="仿宋" w:cs="宋体"/>
                <w:lang w:val="en-US" w:eastAsia="zh-CN"/>
              </w:rPr>
              <w:t>1</w:t>
            </w:r>
            <w:r>
              <w:rPr>
                <w:rFonts w:hint="eastAsia" w:ascii="仿宋" w:hAnsi="仿宋" w:eastAsia="仿宋" w:cs="宋体"/>
                <w:lang w:eastAsia="zh-CN"/>
              </w:rPr>
              <w:t>分；其它</w:t>
            </w:r>
            <w:r>
              <w:rPr>
                <w:rFonts w:hint="eastAsia" w:ascii="仿宋" w:hAnsi="仿宋" w:eastAsia="仿宋" w:cs="宋体"/>
                <w:lang w:val="en-US" w:eastAsia="zh-CN"/>
              </w:rPr>
              <w:t>不得分</w:t>
            </w:r>
            <w:r>
              <w:rPr>
                <w:rFonts w:hint="eastAsia" w:ascii="仿宋" w:hAnsi="仿宋" w:eastAsia="仿宋" w:cs="宋体"/>
                <w:lang w:eastAsia="zh-CN"/>
              </w:rPr>
              <w:t>。</w:t>
            </w:r>
          </w:p>
          <w:p>
            <w:pPr>
              <w:adjustRightInd w:val="0"/>
              <w:snapToGrid w:val="0"/>
              <w:spacing w:before="240" w:after="240" w:line="300" w:lineRule="auto"/>
              <w:rPr>
                <w:rFonts w:hint="eastAsia" w:ascii="仿宋" w:hAnsi="仿宋" w:eastAsia="仿宋" w:cs="宋体"/>
                <w:lang w:eastAsia="zh-CN"/>
              </w:rPr>
            </w:pPr>
            <w:r>
              <w:rPr>
                <w:rFonts w:hint="eastAsia" w:ascii="仿宋" w:hAnsi="仿宋" w:eastAsia="仿宋" w:cs="宋体"/>
                <w:lang w:val="en-US" w:eastAsia="zh-CN"/>
              </w:rPr>
              <w:t>4</w:t>
            </w:r>
            <w:r>
              <w:rPr>
                <w:rFonts w:hint="eastAsia" w:ascii="仿宋" w:hAnsi="仿宋" w:eastAsia="仿宋" w:cs="宋体"/>
                <w:lang w:eastAsia="zh-CN"/>
              </w:rPr>
              <w:t>、分析本项目污水设施特点及难点，存在的问题，并提供解决方案。解决方案合理、切实的得</w:t>
            </w:r>
            <w:r>
              <w:rPr>
                <w:rFonts w:hint="eastAsia" w:ascii="仿宋" w:hAnsi="仿宋" w:eastAsia="仿宋" w:cs="宋体"/>
                <w:lang w:val="en-US" w:eastAsia="zh-CN"/>
              </w:rPr>
              <w:t>6</w:t>
            </w:r>
            <w:r>
              <w:rPr>
                <w:rFonts w:hint="eastAsia" w:ascii="仿宋" w:hAnsi="仿宋" w:eastAsia="仿宋" w:cs="宋体"/>
                <w:lang w:eastAsia="zh-CN"/>
              </w:rPr>
              <w:t>分；较合理的得</w:t>
            </w:r>
            <w:r>
              <w:rPr>
                <w:rFonts w:hint="eastAsia" w:ascii="仿宋" w:hAnsi="仿宋" w:eastAsia="仿宋" w:cs="宋体"/>
                <w:lang w:val="en-US" w:eastAsia="zh-CN"/>
              </w:rPr>
              <w:t>3</w:t>
            </w:r>
            <w:r>
              <w:rPr>
                <w:rFonts w:hint="eastAsia" w:ascii="仿宋" w:hAnsi="仿宋" w:eastAsia="仿宋" w:cs="宋体"/>
                <w:lang w:eastAsia="zh-CN"/>
              </w:rPr>
              <w:t>分；欠缺或不完善得</w:t>
            </w:r>
            <w:r>
              <w:rPr>
                <w:rFonts w:hint="eastAsia" w:ascii="仿宋" w:hAnsi="仿宋" w:eastAsia="仿宋" w:cs="宋体"/>
                <w:lang w:val="en-US" w:eastAsia="zh-CN"/>
              </w:rPr>
              <w:t>1</w:t>
            </w:r>
            <w:r>
              <w:rPr>
                <w:rFonts w:hint="eastAsia" w:ascii="仿宋" w:hAnsi="仿宋" w:eastAsia="仿宋" w:cs="宋体"/>
                <w:lang w:eastAsia="zh-CN"/>
              </w:rPr>
              <w:t>分；其它</w:t>
            </w:r>
            <w:r>
              <w:rPr>
                <w:rFonts w:hint="eastAsia" w:ascii="仿宋" w:hAnsi="仿宋" w:eastAsia="仿宋" w:cs="宋体"/>
                <w:lang w:val="en-US" w:eastAsia="zh-CN"/>
              </w:rPr>
              <w:t>不得分</w:t>
            </w:r>
            <w:r>
              <w:rPr>
                <w:rFonts w:hint="eastAsia" w:ascii="仿宋" w:hAnsi="仿宋" w:eastAsia="仿宋" w:cs="宋体"/>
                <w:lang w:eastAsia="zh-CN"/>
              </w:rPr>
              <w:t>。</w:t>
            </w:r>
          </w:p>
          <w:p>
            <w:pPr>
              <w:adjustRightInd w:val="0"/>
              <w:snapToGrid w:val="0"/>
              <w:spacing w:before="240" w:after="240" w:line="300" w:lineRule="auto"/>
              <w:rPr>
                <w:rFonts w:hint="eastAsia" w:ascii="仿宋" w:hAnsi="仿宋" w:eastAsia="仿宋" w:cs="宋体"/>
                <w:lang w:val="en-US" w:eastAsia="zh-CN"/>
              </w:rPr>
            </w:pPr>
            <w:r>
              <w:rPr>
                <w:rFonts w:hint="eastAsia" w:ascii="仿宋" w:hAnsi="仿宋" w:eastAsia="仿宋" w:cs="宋体"/>
                <w:lang w:val="en-US" w:eastAsia="zh-CN"/>
              </w:rPr>
              <w:t>5</w:t>
            </w:r>
            <w:r>
              <w:rPr>
                <w:rFonts w:hint="eastAsia" w:ascii="仿宋" w:hAnsi="仿宋" w:eastAsia="仿宋" w:cs="宋体"/>
                <w:lang w:eastAsia="zh-CN"/>
              </w:rPr>
              <w:t>、根据供应商针对本项目进度安排与采购需求切合性，节点之间细化合理性综合打分，进度控制措施科学合理的得</w:t>
            </w:r>
            <w:r>
              <w:rPr>
                <w:rFonts w:hint="eastAsia" w:ascii="仿宋" w:hAnsi="仿宋" w:eastAsia="仿宋" w:cs="宋体"/>
                <w:lang w:val="en-US" w:eastAsia="zh-CN"/>
              </w:rPr>
              <w:t>6</w:t>
            </w:r>
            <w:r>
              <w:rPr>
                <w:rFonts w:hint="eastAsia" w:ascii="仿宋" w:hAnsi="仿宋" w:eastAsia="仿宋" w:cs="宋体"/>
                <w:lang w:eastAsia="zh-CN"/>
              </w:rPr>
              <w:t>分；较合理的得</w:t>
            </w:r>
            <w:r>
              <w:rPr>
                <w:rFonts w:hint="eastAsia" w:ascii="仿宋" w:hAnsi="仿宋" w:eastAsia="仿宋" w:cs="宋体"/>
                <w:lang w:val="en-US" w:eastAsia="zh-CN"/>
              </w:rPr>
              <w:t>3</w:t>
            </w:r>
            <w:r>
              <w:rPr>
                <w:rFonts w:hint="eastAsia" w:ascii="仿宋" w:hAnsi="仿宋" w:eastAsia="仿宋" w:cs="宋体"/>
                <w:lang w:eastAsia="zh-CN"/>
              </w:rPr>
              <w:t>分；进度方案欠佳或进度方案存在明显缺陷得</w:t>
            </w:r>
            <w:r>
              <w:rPr>
                <w:rFonts w:hint="eastAsia" w:ascii="仿宋" w:hAnsi="仿宋" w:eastAsia="仿宋" w:cs="宋体"/>
                <w:lang w:val="en-US" w:eastAsia="zh-CN"/>
              </w:rPr>
              <w:t>1</w:t>
            </w:r>
            <w:r>
              <w:rPr>
                <w:rFonts w:hint="eastAsia" w:ascii="仿宋" w:hAnsi="仿宋" w:eastAsia="仿宋" w:cs="宋体"/>
                <w:lang w:eastAsia="zh-CN"/>
              </w:rPr>
              <w:t>分；无相关内容或以与本项目不相干的内容充数的得0分。</w:t>
            </w:r>
          </w:p>
        </w:tc>
        <w:tc>
          <w:tcPr>
            <w:tcW w:w="464" w:type="pct"/>
            <w:tcBorders>
              <w:top w:val="single" w:color="auto" w:sz="4" w:space="0"/>
              <w:left w:val="nil"/>
              <w:bottom w:val="single" w:color="auto" w:sz="4" w:space="0"/>
              <w:right w:val="single" w:color="auto" w:sz="4" w:space="0"/>
            </w:tcBorders>
            <w:vAlign w:val="center"/>
          </w:tcPr>
          <w:p>
            <w:pPr>
              <w:adjustRightInd w:val="0"/>
              <w:snapToGrid w:val="0"/>
              <w:spacing w:before="240" w:after="240" w:line="300" w:lineRule="auto"/>
              <w:jc w:val="center"/>
              <w:rPr>
                <w:rFonts w:hint="eastAsia" w:ascii="仿宋" w:hAnsi="仿宋" w:eastAsia="仿宋" w:cs="宋体"/>
              </w:rPr>
            </w:pPr>
            <w:r>
              <w:rPr>
                <w:rFonts w:hint="eastAsia" w:ascii="仿宋" w:hAnsi="仿宋" w:eastAsia="仿宋" w:cs="宋体"/>
                <w:lang w:val="en-US" w:eastAsia="zh-CN"/>
              </w:rPr>
              <w:t>30</w:t>
            </w:r>
            <w:r>
              <w:rPr>
                <w:rFonts w:hint="eastAsia" w:ascii="仿宋" w:hAnsi="仿宋" w:eastAsia="仿宋"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adjustRightInd w:val="0"/>
              <w:snapToGrid w:val="0"/>
              <w:spacing w:before="240" w:after="240" w:line="300" w:lineRule="auto"/>
              <w:rPr>
                <w:rFonts w:hint="eastAsia" w:ascii="仿宋" w:hAnsi="仿宋" w:eastAsia="仿宋" w:cs="宋体"/>
              </w:rPr>
            </w:pPr>
          </w:p>
        </w:tc>
        <w:tc>
          <w:tcPr>
            <w:tcW w:w="612" w:type="pct"/>
            <w:tcBorders>
              <w:top w:val="single" w:color="auto" w:sz="4" w:space="0"/>
              <w:left w:val="nil"/>
              <w:bottom w:val="single" w:color="auto" w:sz="4" w:space="0"/>
              <w:right w:val="single" w:color="auto" w:sz="4" w:space="0"/>
            </w:tcBorders>
            <w:vAlign w:val="center"/>
          </w:tcPr>
          <w:p>
            <w:pPr>
              <w:adjustRightInd w:val="0"/>
              <w:snapToGrid w:val="0"/>
              <w:spacing w:before="240" w:after="240" w:line="300" w:lineRule="auto"/>
              <w:jc w:val="center"/>
              <w:rPr>
                <w:rFonts w:hint="eastAsia" w:ascii="仿宋" w:hAnsi="仿宋" w:eastAsia="仿宋" w:cs="宋体"/>
              </w:rPr>
            </w:pPr>
            <w:r>
              <w:rPr>
                <w:rFonts w:hint="eastAsia" w:ascii="仿宋" w:hAnsi="仿宋" w:eastAsia="仿宋" w:cs="宋体"/>
              </w:rPr>
              <w:t>质量保证方案及措施</w:t>
            </w:r>
          </w:p>
        </w:tc>
        <w:tc>
          <w:tcPr>
            <w:tcW w:w="3233" w:type="pct"/>
            <w:tcBorders>
              <w:top w:val="single" w:color="auto" w:sz="4" w:space="0"/>
              <w:left w:val="nil"/>
              <w:bottom w:val="single" w:color="auto" w:sz="4" w:space="0"/>
              <w:right w:val="single" w:color="auto" w:sz="4" w:space="0"/>
            </w:tcBorders>
            <w:vAlign w:val="center"/>
          </w:tcPr>
          <w:p>
            <w:pPr>
              <w:adjustRightInd w:val="0"/>
              <w:snapToGrid w:val="0"/>
              <w:spacing w:before="240" w:after="240" w:line="300" w:lineRule="auto"/>
              <w:rPr>
                <w:rFonts w:hint="eastAsia" w:ascii="仿宋" w:hAnsi="仿宋" w:eastAsia="仿宋" w:cs="宋体"/>
                <w:lang w:eastAsia="zh-CN"/>
              </w:rPr>
            </w:pPr>
            <w:r>
              <w:rPr>
                <w:rFonts w:hint="eastAsia" w:ascii="仿宋" w:hAnsi="仿宋" w:eastAsia="仿宋" w:cs="宋体"/>
                <w:lang w:eastAsia="zh-CN"/>
              </w:rPr>
              <w:t>项目实施具有明确的管理组织构架、监督体系，并具有详细可行的实施内容，能实现本项目的全程管理和质量保证的措施的合理、有效的得</w:t>
            </w:r>
            <w:r>
              <w:rPr>
                <w:rFonts w:hint="eastAsia" w:ascii="仿宋" w:hAnsi="仿宋" w:eastAsia="仿宋" w:cs="宋体"/>
                <w:lang w:val="en-US" w:eastAsia="zh-CN"/>
              </w:rPr>
              <w:t>6</w:t>
            </w:r>
            <w:r>
              <w:rPr>
                <w:rFonts w:hint="eastAsia" w:ascii="仿宋" w:hAnsi="仿宋" w:eastAsia="仿宋" w:cs="宋体"/>
                <w:lang w:eastAsia="zh-CN"/>
              </w:rPr>
              <w:t>分；较合理的得</w:t>
            </w:r>
            <w:r>
              <w:rPr>
                <w:rFonts w:hint="eastAsia" w:ascii="仿宋" w:hAnsi="仿宋" w:eastAsia="仿宋" w:cs="宋体"/>
                <w:lang w:val="en-US" w:eastAsia="zh-CN"/>
              </w:rPr>
              <w:t>3</w:t>
            </w:r>
            <w:r>
              <w:rPr>
                <w:rFonts w:hint="eastAsia" w:ascii="仿宋" w:hAnsi="仿宋" w:eastAsia="仿宋" w:cs="宋体"/>
                <w:lang w:eastAsia="zh-CN"/>
              </w:rPr>
              <w:t>分；欠缺或不完善得</w:t>
            </w:r>
            <w:r>
              <w:rPr>
                <w:rFonts w:hint="eastAsia" w:ascii="仿宋" w:hAnsi="仿宋" w:eastAsia="仿宋" w:cs="宋体"/>
                <w:lang w:val="en-US" w:eastAsia="zh-CN"/>
              </w:rPr>
              <w:t>1</w:t>
            </w:r>
            <w:r>
              <w:rPr>
                <w:rFonts w:hint="eastAsia" w:ascii="仿宋" w:hAnsi="仿宋" w:eastAsia="仿宋" w:cs="宋体"/>
                <w:lang w:eastAsia="zh-CN"/>
              </w:rPr>
              <w:t>分；无相关内容或以与本项目不相干的内容充数的得0分。</w:t>
            </w:r>
          </w:p>
        </w:tc>
        <w:tc>
          <w:tcPr>
            <w:tcW w:w="464" w:type="pct"/>
            <w:tcBorders>
              <w:top w:val="single" w:color="auto" w:sz="4" w:space="0"/>
              <w:left w:val="nil"/>
              <w:bottom w:val="single" w:color="auto" w:sz="4" w:space="0"/>
              <w:right w:val="single" w:color="auto" w:sz="4" w:space="0"/>
            </w:tcBorders>
            <w:vAlign w:val="center"/>
          </w:tcPr>
          <w:p>
            <w:pPr>
              <w:adjustRightInd w:val="0"/>
              <w:snapToGrid w:val="0"/>
              <w:spacing w:before="240" w:after="240" w:line="300" w:lineRule="auto"/>
              <w:jc w:val="center"/>
              <w:rPr>
                <w:rFonts w:hint="eastAsia" w:ascii="仿宋" w:hAnsi="仿宋" w:eastAsia="仿宋" w:cs="宋体"/>
              </w:rPr>
            </w:pPr>
            <w:r>
              <w:rPr>
                <w:rFonts w:hint="eastAsia" w:ascii="仿宋" w:hAnsi="仿宋" w:eastAsia="仿宋" w:cs="宋体"/>
                <w:lang w:val="en-US" w:eastAsia="zh-CN"/>
              </w:rPr>
              <w:t>6</w:t>
            </w:r>
            <w:r>
              <w:rPr>
                <w:rFonts w:hint="eastAsia" w:ascii="仿宋" w:hAnsi="仿宋" w:eastAsia="仿宋"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9" w:hRule="atLeast"/>
        </w:trPr>
        <w:tc>
          <w:tcPr>
            <w:tcW w:w="691" w:type="pct"/>
            <w:tcBorders>
              <w:top w:val="single" w:color="auto" w:sz="4" w:space="0"/>
              <w:left w:val="single" w:color="auto" w:sz="4" w:space="0"/>
              <w:right w:val="single" w:color="auto" w:sz="4" w:space="0"/>
            </w:tcBorders>
            <w:vAlign w:val="center"/>
          </w:tcPr>
          <w:p>
            <w:pPr>
              <w:adjustRightInd w:val="0"/>
              <w:snapToGrid w:val="0"/>
              <w:spacing w:before="240" w:after="240" w:line="300" w:lineRule="auto"/>
              <w:jc w:val="center"/>
              <w:rPr>
                <w:rFonts w:hint="eastAsia" w:ascii="仿宋" w:hAnsi="仿宋" w:eastAsia="仿宋" w:cs="宋体"/>
                <w:lang w:val="en-US" w:eastAsia="zh-CN"/>
              </w:rPr>
            </w:pPr>
            <w:r>
              <w:rPr>
                <w:rFonts w:hint="eastAsia" w:ascii="仿宋" w:hAnsi="仿宋" w:eastAsia="仿宋" w:cs="宋体"/>
              </w:rPr>
              <w:t>人员配备（</w:t>
            </w:r>
            <w:r>
              <w:rPr>
                <w:rFonts w:hint="eastAsia" w:ascii="仿宋" w:hAnsi="仿宋" w:eastAsia="仿宋" w:cs="宋体"/>
                <w:lang w:val="en-US" w:eastAsia="zh-CN"/>
              </w:rPr>
              <w:t>12</w:t>
            </w:r>
            <w:r>
              <w:rPr>
                <w:rFonts w:hint="eastAsia" w:ascii="仿宋" w:hAnsi="仿宋" w:eastAsia="仿宋" w:cs="宋体"/>
              </w:rPr>
              <w:t>）</w:t>
            </w:r>
          </w:p>
        </w:tc>
        <w:tc>
          <w:tcPr>
            <w:tcW w:w="612" w:type="pct"/>
            <w:tcBorders>
              <w:top w:val="single" w:color="auto" w:sz="4" w:space="0"/>
              <w:left w:val="nil"/>
              <w:right w:val="single" w:color="auto" w:sz="4" w:space="0"/>
            </w:tcBorders>
            <w:vAlign w:val="center"/>
          </w:tcPr>
          <w:p>
            <w:pPr>
              <w:adjustRightInd w:val="0"/>
              <w:snapToGrid w:val="0"/>
              <w:spacing w:before="240" w:after="240" w:line="300" w:lineRule="auto"/>
              <w:jc w:val="center"/>
              <w:rPr>
                <w:rFonts w:hint="eastAsia" w:ascii="仿宋" w:hAnsi="仿宋" w:eastAsia="仿宋" w:cs="宋体"/>
              </w:rPr>
            </w:pPr>
            <w:r>
              <w:rPr>
                <w:rFonts w:hint="eastAsia" w:ascii="仿宋" w:hAnsi="仿宋" w:eastAsia="仿宋" w:cs="宋体"/>
              </w:rPr>
              <w:t>项目组成员实力</w:t>
            </w:r>
          </w:p>
        </w:tc>
        <w:tc>
          <w:tcPr>
            <w:tcW w:w="3233" w:type="pct"/>
            <w:tcBorders>
              <w:top w:val="single" w:color="auto" w:sz="4" w:space="0"/>
              <w:left w:val="nil"/>
              <w:right w:val="single" w:color="auto" w:sz="4" w:space="0"/>
            </w:tcBorders>
            <w:vAlign w:val="center"/>
          </w:tcPr>
          <w:p>
            <w:pPr>
              <w:adjustRightInd w:val="0"/>
              <w:snapToGrid w:val="0"/>
              <w:spacing w:before="240" w:after="240" w:line="300" w:lineRule="auto"/>
              <w:rPr>
                <w:rFonts w:hint="eastAsia" w:ascii="仿宋" w:hAnsi="仿宋" w:eastAsia="仿宋" w:cs="宋体"/>
                <w:lang w:eastAsia="zh-CN"/>
              </w:rPr>
            </w:pPr>
            <w:r>
              <w:rPr>
                <w:rFonts w:hint="eastAsia" w:ascii="仿宋" w:hAnsi="仿宋" w:eastAsia="仿宋" w:cs="宋体"/>
                <w:lang w:eastAsia="zh-CN"/>
              </w:rPr>
              <w:t>1.项目负责人需不低于本科学历（否则不得分），项目负责人具有政府部门认定的环保类</w:t>
            </w:r>
            <w:r>
              <w:rPr>
                <w:rFonts w:hint="eastAsia" w:ascii="仿宋" w:hAnsi="仿宋" w:eastAsia="仿宋" w:cs="宋体"/>
                <w:lang w:val="en-US" w:eastAsia="zh-CN"/>
              </w:rPr>
              <w:t>高</w:t>
            </w:r>
            <w:r>
              <w:rPr>
                <w:rFonts w:hint="eastAsia" w:ascii="仿宋" w:hAnsi="仿宋" w:eastAsia="仿宋" w:cs="宋体"/>
                <w:lang w:eastAsia="zh-CN"/>
              </w:rPr>
              <w:t>级职称证书的得</w:t>
            </w:r>
            <w:r>
              <w:rPr>
                <w:rFonts w:hint="eastAsia" w:ascii="仿宋" w:hAnsi="仿宋" w:eastAsia="仿宋" w:cs="宋体"/>
                <w:lang w:val="en-US" w:eastAsia="zh-CN"/>
              </w:rPr>
              <w:t>3</w:t>
            </w:r>
            <w:r>
              <w:rPr>
                <w:rFonts w:hint="eastAsia" w:ascii="仿宋" w:hAnsi="仿宋" w:eastAsia="仿宋" w:cs="宋体"/>
                <w:lang w:eastAsia="zh-CN"/>
              </w:rPr>
              <w:t>分，</w:t>
            </w:r>
            <w:r>
              <w:rPr>
                <w:rFonts w:hint="eastAsia" w:ascii="仿宋" w:hAnsi="仿宋" w:eastAsia="仿宋" w:cs="宋体"/>
                <w:lang w:val="en-US" w:eastAsia="zh-CN"/>
              </w:rPr>
              <w:t>中级职称证书得2分，初级职称证书的得1分，</w:t>
            </w:r>
            <w:r>
              <w:rPr>
                <w:rFonts w:hint="eastAsia" w:ascii="仿宋" w:hAnsi="仿宋" w:eastAsia="仿宋" w:cs="宋体"/>
                <w:lang w:eastAsia="zh-CN"/>
              </w:rPr>
              <w:t>其他不得分。</w:t>
            </w:r>
          </w:p>
          <w:p>
            <w:pPr>
              <w:adjustRightInd w:val="0"/>
              <w:snapToGrid w:val="0"/>
              <w:spacing w:before="240" w:after="240" w:line="300" w:lineRule="auto"/>
              <w:rPr>
                <w:rFonts w:hint="eastAsia" w:ascii="仿宋" w:hAnsi="仿宋" w:eastAsia="仿宋" w:cs="宋体"/>
                <w:lang w:eastAsia="zh-CN"/>
              </w:rPr>
            </w:pPr>
            <w:r>
              <w:rPr>
                <w:rFonts w:hint="eastAsia" w:ascii="仿宋" w:hAnsi="仿宋" w:eastAsia="仿宋" w:cs="宋体"/>
                <w:lang w:eastAsia="zh-CN"/>
              </w:rPr>
              <w:t>2.根据本项目特点配备一定数量的运维人员，运维人员应具备相应专业资格，一人一岗，至少应包含以下人员：水质检测工或化学分析工证</w:t>
            </w:r>
            <w:r>
              <w:rPr>
                <w:rFonts w:hint="eastAsia" w:ascii="仿宋" w:hAnsi="仿宋" w:eastAsia="仿宋" w:cs="宋体"/>
                <w:lang w:val="en-US" w:eastAsia="zh-CN"/>
              </w:rPr>
              <w:t>1</w:t>
            </w:r>
            <w:r>
              <w:rPr>
                <w:rFonts w:hint="eastAsia" w:ascii="仿宋" w:hAnsi="仿宋" w:eastAsia="仿宋" w:cs="宋体"/>
                <w:lang w:eastAsia="zh-CN"/>
              </w:rPr>
              <w:t>人、污</w:t>
            </w:r>
            <w:r>
              <w:rPr>
                <w:rFonts w:hint="eastAsia" w:ascii="仿宋" w:hAnsi="仿宋" w:eastAsia="仿宋" w:cs="宋体"/>
                <w:lang w:val="en-US" w:eastAsia="zh-CN"/>
              </w:rPr>
              <w:t>水或污</w:t>
            </w:r>
            <w:r>
              <w:rPr>
                <w:rFonts w:hint="eastAsia" w:ascii="仿宋" w:hAnsi="仿宋" w:eastAsia="仿宋" w:cs="宋体"/>
                <w:lang w:eastAsia="zh-CN"/>
              </w:rPr>
              <w:t>废水处理工证6人、电工证1人、安全管理员证</w:t>
            </w:r>
            <w:r>
              <w:rPr>
                <w:rFonts w:hint="eastAsia" w:ascii="仿宋" w:hAnsi="仿宋" w:eastAsia="仿宋" w:cs="宋体"/>
                <w:lang w:val="en-US" w:eastAsia="zh-CN"/>
              </w:rPr>
              <w:t>1</w:t>
            </w:r>
            <w:r>
              <w:rPr>
                <w:rFonts w:hint="eastAsia" w:ascii="仿宋" w:hAnsi="仿宋" w:eastAsia="仿宋" w:cs="宋体"/>
                <w:lang w:eastAsia="zh-CN"/>
              </w:rPr>
              <w:t>人；</w:t>
            </w:r>
            <w:r>
              <w:rPr>
                <w:rFonts w:hint="eastAsia" w:ascii="仿宋" w:hAnsi="仿宋" w:eastAsia="仿宋" w:cs="宋体"/>
                <w:lang w:val="en-US" w:eastAsia="zh-CN"/>
              </w:rPr>
              <w:t>对应人员，提供相关证书，1人得1分，最多得9分</w:t>
            </w:r>
            <w:r>
              <w:rPr>
                <w:rFonts w:hint="eastAsia" w:ascii="仿宋" w:hAnsi="仿宋" w:eastAsia="仿宋" w:cs="宋体"/>
                <w:lang w:eastAsia="zh-CN"/>
              </w:rPr>
              <w:t>。</w:t>
            </w:r>
          </w:p>
          <w:p>
            <w:pPr>
              <w:adjustRightInd w:val="0"/>
              <w:snapToGrid w:val="0"/>
              <w:spacing w:before="240" w:after="240" w:line="300" w:lineRule="auto"/>
              <w:rPr>
                <w:rFonts w:hint="eastAsia" w:ascii="仿宋" w:hAnsi="仿宋" w:eastAsia="仿宋" w:cs="宋体"/>
                <w:lang w:eastAsia="zh-CN"/>
              </w:rPr>
            </w:pPr>
            <w:r>
              <w:rPr>
                <w:rFonts w:hint="eastAsia" w:ascii="仿宋" w:hAnsi="仿宋" w:eastAsia="仿宋" w:cs="宋体"/>
                <w:lang w:eastAsia="zh-CN"/>
              </w:rPr>
              <w:t>3.投标文件中须同时提供项目组有效的人员证书及投标人为其近期缴纳的养老保险原件复印件，否则不得分。</w:t>
            </w:r>
          </w:p>
        </w:tc>
        <w:tc>
          <w:tcPr>
            <w:tcW w:w="464" w:type="pct"/>
            <w:tcBorders>
              <w:top w:val="single" w:color="auto" w:sz="4" w:space="0"/>
              <w:left w:val="nil"/>
              <w:right w:val="single" w:color="auto" w:sz="4" w:space="0"/>
            </w:tcBorders>
            <w:vAlign w:val="center"/>
          </w:tcPr>
          <w:p>
            <w:pPr>
              <w:adjustRightInd w:val="0"/>
              <w:snapToGrid w:val="0"/>
              <w:spacing w:before="240" w:after="240" w:line="300" w:lineRule="auto"/>
              <w:jc w:val="center"/>
              <w:rPr>
                <w:rFonts w:hint="eastAsia" w:ascii="仿宋" w:hAnsi="仿宋" w:eastAsia="仿宋" w:cs="宋体"/>
              </w:rPr>
            </w:pPr>
            <w:r>
              <w:rPr>
                <w:rFonts w:hint="eastAsia" w:ascii="仿宋" w:hAnsi="仿宋" w:eastAsia="仿宋" w:cs="宋体"/>
                <w:color w:val="auto"/>
                <w:lang w:val="en-US" w:eastAsia="zh-CN"/>
              </w:rPr>
              <w:t>12</w:t>
            </w:r>
            <w:r>
              <w:rPr>
                <w:rFonts w:hint="eastAsia" w:ascii="仿宋" w:hAnsi="仿宋" w:eastAsia="仿宋"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pct"/>
            <w:vMerge w:val="restart"/>
            <w:tcBorders>
              <w:top w:val="nil"/>
              <w:left w:val="single" w:color="auto" w:sz="4" w:space="0"/>
              <w:bottom w:val="single" w:color="auto" w:sz="4" w:space="0"/>
              <w:right w:val="single" w:color="auto" w:sz="4" w:space="0"/>
            </w:tcBorders>
            <w:vAlign w:val="center"/>
          </w:tcPr>
          <w:p>
            <w:pPr>
              <w:adjustRightInd w:val="0"/>
              <w:snapToGrid w:val="0"/>
              <w:spacing w:before="240" w:after="240" w:line="300" w:lineRule="auto"/>
              <w:rPr>
                <w:rFonts w:hint="eastAsia" w:ascii="仿宋" w:hAnsi="仿宋" w:eastAsia="仿宋" w:cs="宋体"/>
              </w:rPr>
            </w:pPr>
            <w:r>
              <w:rPr>
                <w:rFonts w:hint="eastAsia" w:ascii="仿宋" w:hAnsi="仿宋" w:eastAsia="仿宋" w:cs="宋体"/>
              </w:rPr>
              <w:t>综合实力</w:t>
            </w:r>
          </w:p>
          <w:p>
            <w:pPr>
              <w:adjustRightInd w:val="0"/>
              <w:snapToGrid w:val="0"/>
              <w:spacing w:before="240" w:after="240" w:line="300" w:lineRule="auto"/>
              <w:rPr>
                <w:rFonts w:hint="eastAsia" w:ascii="仿宋" w:hAnsi="仿宋" w:eastAsia="仿宋" w:cs="宋体"/>
              </w:rPr>
            </w:pPr>
            <w:r>
              <w:rPr>
                <w:rFonts w:hint="eastAsia" w:ascii="仿宋" w:hAnsi="仿宋" w:eastAsia="仿宋" w:cs="宋体"/>
              </w:rPr>
              <w:t>（</w:t>
            </w:r>
            <w:r>
              <w:rPr>
                <w:rFonts w:hint="eastAsia" w:ascii="仿宋" w:hAnsi="仿宋" w:eastAsia="仿宋" w:cs="宋体"/>
                <w:lang w:val="en-US" w:eastAsia="zh-CN"/>
              </w:rPr>
              <w:t>22</w:t>
            </w:r>
            <w:r>
              <w:rPr>
                <w:rFonts w:hint="eastAsia" w:ascii="仿宋" w:hAnsi="仿宋" w:eastAsia="仿宋" w:cs="宋体"/>
              </w:rPr>
              <w:t>）</w:t>
            </w:r>
          </w:p>
        </w:tc>
        <w:tc>
          <w:tcPr>
            <w:tcW w:w="612" w:type="pct"/>
            <w:tcBorders>
              <w:top w:val="single" w:color="auto" w:sz="4" w:space="0"/>
              <w:left w:val="nil"/>
              <w:bottom w:val="single" w:color="auto" w:sz="4" w:space="0"/>
              <w:right w:val="single" w:color="auto" w:sz="4" w:space="0"/>
            </w:tcBorders>
            <w:vAlign w:val="center"/>
          </w:tcPr>
          <w:p>
            <w:pPr>
              <w:adjustRightInd w:val="0"/>
              <w:snapToGrid w:val="0"/>
              <w:spacing w:before="240" w:after="240" w:line="300" w:lineRule="auto"/>
              <w:jc w:val="center"/>
              <w:rPr>
                <w:rFonts w:hint="eastAsia" w:ascii="仿宋" w:hAnsi="仿宋" w:eastAsia="仿宋" w:cs="宋体"/>
              </w:rPr>
            </w:pPr>
            <w:r>
              <w:rPr>
                <w:rFonts w:hint="eastAsia" w:ascii="仿宋" w:hAnsi="仿宋" w:eastAsia="仿宋" w:cs="宋体"/>
              </w:rPr>
              <w:t>供应商业绩</w:t>
            </w:r>
          </w:p>
        </w:tc>
        <w:tc>
          <w:tcPr>
            <w:tcW w:w="3233" w:type="pct"/>
            <w:tcBorders>
              <w:top w:val="single" w:color="auto" w:sz="4" w:space="0"/>
              <w:left w:val="nil"/>
              <w:bottom w:val="single" w:color="auto" w:sz="4" w:space="0"/>
              <w:right w:val="single" w:color="auto" w:sz="4" w:space="0"/>
            </w:tcBorders>
            <w:vAlign w:val="center"/>
          </w:tcPr>
          <w:p>
            <w:pPr>
              <w:pStyle w:val="23"/>
              <w:adjustRightInd w:val="0"/>
              <w:snapToGrid w:val="0"/>
              <w:spacing w:before="240" w:beforeAutospacing="0" w:after="240" w:line="300" w:lineRule="auto"/>
              <w:ind w:firstLine="0" w:firstLineChars="0"/>
              <w:jc w:val="both"/>
              <w:rPr>
                <w:rFonts w:hint="eastAsia" w:ascii="仿宋" w:hAnsi="仿宋" w:eastAsia="仿宋" w:cs="宋体"/>
                <w:bCs/>
                <w:szCs w:val="24"/>
                <w:lang w:val="en-US" w:eastAsia="zh-CN"/>
              </w:rPr>
            </w:pPr>
            <w:r>
              <w:rPr>
                <w:rFonts w:hint="eastAsia" w:ascii="仿宋" w:hAnsi="仿宋" w:eastAsia="仿宋" w:cs="宋体"/>
                <w:bCs/>
                <w:szCs w:val="24"/>
                <w:lang w:val="en-US" w:eastAsia="zh-CN"/>
              </w:rPr>
              <w:t>1、供应商自20</w:t>
            </w:r>
            <w:r>
              <w:rPr>
                <w:rFonts w:ascii="仿宋" w:hAnsi="仿宋" w:eastAsia="仿宋" w:cs="宋体"/>
                <w:bCs/>
                <w:szCs w:val="24"/>
                <w:lang w:val="en-US" w:eastAsia="zh-CN"/>
              </w:rPr>
              <w:t>2</w:t>
            </w:r>
            <w:r>
              <w:rPr>
                <w:rFonts w:hint="eastAsia" w:ascii="仿宋" w:hAnsi="仿宋" w:eastAsia="仿宋" w:cs="宋体"/>
                <w:bCs/>
                <w:szCs w:val="24"/>
                <w:lang w:val="en-US" w:eastAsia="zh-CN"/>
              </w:rPr>
              <w:t>1年1月1日（以合同签订时间为准）至今，承担医院类似项目，每提供1个业绩合同得</w:t>
            </w:r>
            <w:r>
              <w:rPr>
                <w:rFonts w:hint="eastAsia" w:ascii="仿宋" w:hAnsi="仿宋" w:eastAsia="仿宋" w:cs="宋体"/>
                <w:bCs/>
                <w:color w:val="FF0000"/>
                <w:szCs w:val="24"/>
                <w:lang w:val="en-US" w:eastAsia="zh-CN"/>
              </w:rPr>
              <w:t>1分</w:t>
            </w:r>
            <w:r>
              <w:rPr>
                <w:rFonts w:hint="eastAsia" w:ascii="仿宋" w:hAnsi="仿宋" w:eastAsia="仿宋" w:cs="宋体"/>
                <w:bCs/>
                <w:szCs w:val="24"/>
                <w:lang w:val="en-US" w:eastAsia="zh-CN"/>
              </w:rPr>
              <w:t>，最多得6分。（需提供合同首页、合同金额所在页、签字盖章页等复印件及合同金额30%以上供货发票或者收款证明加盖投标人公章）</w:t>
            </w:r>
          </w:p>
          <w:p>
            <w:pPr>
              <w:pStyle w:val="23"/>
              <w:adjustRightInd w:val="0"/>
              <w:snapToGrid w:val="0"/>
              <w:spacing w:before="240" w:beforeAutospacing="0" w:after="240" w:line="300" w:lineRule="auto"/>
              <w:ind w:firstLine="0" w:firstLineChars="0"/>
              <w:jc w:val="both"/>
              <w:rPr>
                <w:rFonts w:hint="eastAsia" w:ascii="仿宋" w:hAnsi="仿宋" w:eastAsia="仿宋" w:cs="宋体"/>
                <w:b/>
                <w:bCs/>
                <w:szCs w:val="24"/>
              </w:rPr>
            </w:pPr>
            <w:r>
              <w:rPr>
                <w:rFonts w:hint="eastAsia" w:ascii="仿宋" w:hAnsi="仿宋" w:eastAsia="仿宋" w:cs="宋体"/>
                <w:bCs/>
                <w:szCs w:val="24"/>
                <w:lang w:val="en-US" w:eastAsia="zh-CN"/>
              </w:rPr>
              <w:t>2、投标人2021年1月1日以来承担的</w:t>
            </w:r>
            <w:r>
              <w:rPr>
                <w:rFonts w:hint="eastAsia" w:ascii="仿宋" w:hAnsi="仿宋" w:eastAsia="仿宋" w:cs="宋体"/>
                <w:bCs/>
                <w:color w:val="FF0000"/>
                <w:szCs w:val="24"/>
                <w:lang w:val="en-US" w:eastAsia="zh-CN"/>
              </w:rPr>
              <w:t>类似</w:t>
            </w:r>
            <w:r>
              <w:rPr>
                <w:rFonts w:hint="eastAsia" w:ascii="仿宋" w:hAnsi="仿宋" w:eastAsia="仿宋" w:cs="宋体"/>
                <w:bCs/>
                <w:szCs w:val="24"/>
                <w:lang w:val="en-US" w:eastAsia="zh-CN"/>
              </w:rPr>
              <w:t>污水处理运营项目获得考核成绩优秀证明的（经单位或者主管部门盖章），有一项得2分，最高得6分（需提供相关合同复印件，否则不得分。）</w:t>
            </w:r>
          </w:p>
        </w:tc>
        <w:tc>
          <w:tcPr>
            <w:tcW w:w="464" w:type="pct"/>
            <w:tcBorders>
              <w:top w:val="single" w:color="auto" w:sz="4" w:space="0"/>
              <w:left w:val="nil"/>
              <w:bottom w:val="single" w:color="auto" w:sz="4" w:space="0"/>
              <w:right w:val="single" w:color="auto" w:sz="4" w:space="0"/>
            </w:tcBorders>
            <w:vAlign w:val="center"/>
          </w:tcPr>
          <w:p>
            <w:pPr>
              <w:adjustRightInd w:val="0"/>
              <w:snapToGrid w:val="0"/>
              <w:spacing w:before="240" w:after="240" w:line="300" w:lineRule="auto"/>
              <w:jc w:val="center"/>
              <w:rPr>
                <w:rFonts w:hint="eastAsia" w:ascii="仿宋" w:hAnsi="仿宋" w:eastAsia="仿宋" w:cs="宋体"/>
              </w:rPr>
            </w:pPr>
            <w:r>
              <w:rPr>
                <w:rFonts w:hint="eastAsia" w:ascii="仿宋" w:hAnsi="仿宋" w:eastAsia="仿宋" w:cs="宋体"/>
                <w:lang w:val="en-US" w:eastAsia="zh-CN"/>
              </w:rPr>
              <w:t>12</w:t>
            </w:r>
            <w:r>
              <w:rPr>
                <w:rFonts w:hint="eastAsia" w:ascii="仿宋" w:hAnsi="仿宋" w:eastAsia="仿宋"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0" w:type="auto"/>
            <w:vMerge w:val="continue"/>
            <w:tcBorders>
              <w:top w:val="nil"/>
              <w:left w:val="single" w:color="auto" w:sz="4" w:space="0"/>
              <w:bottom w:val="single" w:color="auto" w:sz="4" w:space="0"/>
              <w:right w:val="single" w:color="auto" w:sz="4" w:space="0"/>
            </w:tcBorders>
            <w:vAlign w:val="center"/>
          </w:tcPr>
          <w:p>
            <w:pPr>
              <w:adjustRightInd w:val="0"/>
              <w:snapToGrid w:val="0"/>
              <w:spacing w:before="240" w:after="240" w:line="300" w:lineRule="auto"/>
              <w:rPr>
                <w:rFonts w:hint="eastAsia" w:ascii="仿宋" w:hAnsi="仿宋" w:eastAsia="仿宋" w:cs="宋体"/>
              </w:rPr>
            </w:pPr>
          </w:p>
        </w:tc>
        <w:tc>
          <w:tcPr>
            <w:tcW w:w="612" w:type="pct"/>
            <w:tcBorders>
              <w:top w:val="single" w:color="auto" w:sz="4" w:space="0"/>
              <w:left w:val="nil"/>
              <w:right w:val="single" w:color="auto" w:sz="4" w:space="0"/>
            </w:tcBorders>
            <w:vAlign w:val="center"/>
          </w:tcPr>
          <w:p>
            <w:pPr>
              <w:adjustRightInd w:val="0"/>
              <w:snapToGrid w:val="0"/>
              <w:spacing w:before="240" w:after="240" w:line="300" w:lineRule="auto"/>
              <w:jc w:val="center"/>
              <w:rPr>
                <w:rFonts w:hint="eastAsia" w:ascii="仿宋" w:hAnsi="仿宋" w:eastAsia="仿宋" w:cs="宋体"/>
              </w:rPr>
            </w:pPr>
            <w:r>
              <w:rPr>
                <w:rFonts w:hint="eastAsia" w:ascii="仿宋" w:hAnsi="仿宋" w:eastAsia="仿宋" w:cs="宋体"/>
              </w:rPr>
              <w:t>供应商荣誉和实力</w:t>
            </w:r>
          </w:p>
        </w:tc>
        <w:tc>
          <w:tcPr>
            <w:tcW w:w="3233" w:type="pct"/>
            <w:tcBorders>
              <w:top w:val="single" w:color="auto" w:sz="4" w:space="0"/>
              <w:left w:val="nil"/>
              <w:bottom w:val="single" w:color="auto" w:sz="4" w:space="0"/>
              <w:right w:val="single" w:color="auto" w:sz="4" w:space="0"/>
            </w:tcBorders>
            <w:vAlign w:val="center"/>
          </w:tcPr>
          <w:p>
            <w:pPr>
              <w:pStyle w:val="15"/>
              <w:spacing w:before="240" w:after="240"/>
              <w:rPr>
                <w:rFonts w:hint="eastAsia" w:ascii="仿宋" w:hAnsi="仿宋" w:eastAsia="仿宋" w:cs="宋体"/>
                <w:szCs w:val="24"/>
                <w:lang w:eastAsia="zh-CN"/>
              </w:rPr>
            </w:pPr>
            <w:r>
              <w:rPr>
                <w:rFonts w:hint="eastAsia" w:ascii="仿宋" w:hAnsi="仿宋" w:eastAsia="仿宋" w:cs="宋体"/>
                <w:szCs w:val="24"/>
                <w:lang w:val="en-US" w:eastAsia="zh-CN"/>
              </w:rPr>
              <w:t>1、投标人至2021年以来，获得过政府部门颁发的国家级荣誉的一份得3分；省级荣誉的一份得2分，市区级荣誉的一份得1分；</w:t>
            </w:r>
            <w:r>
              <w:rPr>
                <w:rFonts w:hint="eastAsia" w:ascii="仿宋" w:hAnsi="仿宋" w:eastAsia="仿宋" w:cs="宋体"/>
                <w:szCs w:val="24"/>
                <w:lang w:eastAsia="zh-CN"/>
              </w:rPr>
              <w:t>（最多得6分。须提供证书或发文文件的原件扫描件备查，未提供不得分）</w:t>
            </w:r>
          </w:p>
          <w:p>
            <w:pPr>
              <w:pStyle w:val="15"/>
              <w:spacing w:before="240" w:after="240"/>
              <w:rPr>
                <w:rFonts w:hint="eastAsia" w:ascii="仿宋" w:hAnsi="仿宋" w:eastAsia="仿宋" w:cs="宋体"/>
                <w:szCs w:val="24"/>
                <w:lang w:val="en-US" w:eastAsia="zh-CN"/>
              </w:rPr>
            </w:pPr>
            <w:r>
              <w:rPr>
                <w:rFonts w:hint="eastAsia" w:ascii="仿宋" w:hAnsi="仿宋" w:eastAsia="仿宋" w:cs="宋体"/>
                <w:szCs w:val="24"/>
                <w:lang w:val="en-US" w:eastAsia="zh-CN"/>
              </w:rPr>
              <w:t>2</w:t>
            </w:r>
            <w:r>
              <w:rPr>
                <w:rFonts w:ascii="仿宋" w:hAnsi="仿宋" w:eastAsia="仿宋" w:cs="宋体"/>
                <w:szCs w:val="24"/>
                <w:lang w:val="en-US" w:eastAsia="zh-CN"/>
              </w:rPr>
              <w:t>.</w:t>
            </w:r>
            <w:r>
              <w:rPr>
                <w:rFonts w:hint="eastAsia" w:ascii="仿宋" w:hAnsi="仿宋" w:eastAsia="仿宋" w:cs="宋体"/>
                <w:szCs w:val="24"/>
                <w:lang w:val="en-US" w:eastAsia="zh-CN"/>
              </w:rPr>
              <w:t>投标人具有有效期内的质量管理体系证书、环境管理体系证书、职业健康安全管理体系证书、诚信经营示范单位证书的，每有一类得</w:t>
            </w:r>
            <w:r>
              <w:rPr>
                <w:rFonts w:ascii="仿宋" w:hAnsi="仿宋" w:eastAsia="仿宋" w:cs="宋体"/>
                <w:szCs w:val="24"/>
                <w:lang w:val="en-US" w:eastAsia="zh-CN"/>
              </w:rPr>
              <w:t>1</w:t>
            </w:r>
            <w:r>
              <w:rPr>
                <w:rFonts w:hint="eastAsia" w:ascii="仿宋" w:hAnsi="仿宋" w:eastAsia="仿宋" w:cs="宋体"/>
                <w:szCs w:val="24"/>
                <w:lang w:val="en-US" w:eastAsia="zh-CN"/>
              </w:rPr>
              <w:t>分，本项最高得</w:t>
            </w:r>
            <w:r>
              <w:rPr>
                <w:rFonts w:ascii="仿宋" w:hAnsi="仿宋" w:eastAsia="仿宋" w:cs="宋体"/>
                <w:szCs w:val="24"/>
                <w:lang w:val="en-US" w:eastAsia="zh-CN"/>
              </w:rPr>
              <w:t>4</w:t>
            </w:r>
            <w:r>
              <w:rPr>
                <w:rFonts w:hint="eastAsia" w:ascii="仿宋" w:hAnsi="仿宋" w:eastAsia="仿宋" w:cs="宋体"/>
                <w:szCs w:val="24"/>
                <w:lang w:val="en-US" w:eastAsia="zh-CN"/>
              </w:rPr>
              <w:t>分。</w:t>
            </w:r>
            <w:bookmarkStart w:id="0" w:name="_GoBack"/>
            <w:bookmarkEnd w:id="0"/>
          </w:p>
          <w:p>
            <w:pPr>
              <w:pStyle w:val="15"/>
              <w:spacing w:before="240" w:after="240"/>
              <w:rPr>
                <w:rFonts w:hint="eastAsia" w:ascii="仿宋" w:hAnsi="仿宋" w:eastAsia="仿宋" w:cs="宋体"/>
                <w:szCs w:val="24"/>
                <w:lang w:eastAsia="zh-CN"/>
              </w:rPr>
            </w:pPr>
            <w:r>
              <w:rPr>
                <w:rFonts w:hint="eastAsia" w:ascii="仿宋" w:hAnsi="仿宋" w:eastAsia="仿宋" w:cs="宋体"/>
                <w:szCs w:val="24"/>
                <w:lang w:val="en-US" w:eastAsia="zh-CN"/>
              </w:rPr>
              <w:t>（投标文件中须提供有效的证书原件复印件，否则不得分。）</w:t>
            </w:r>
          </w:p>
        </w:tc>
        <w:tc>
          <w:tcPr>
            <w:tcW w:w="464" w:type="pct"/>
            <w:tcBorders>
              <w:top w:val="single" w:color="auto" w:sz="4" w:space="0"/>
              <w:left w:val="nil"/>
              <w:right w:val="single" w:color="auto" w:sz="4" w:space="0"/>
            </w:tcBorders>
            <w:vAlign w:val="center"/>
          </w:tcPr>
          <w:p>
            <w:pPr>
              <w:adjustRightInd w:val="0"/>
              <w:snapToGrid w:val="0"/>
              <w:spacing w:before="240" w:after="240" w:line="300" w:lineRule="auto"/>
              <w:jc w:val="center"/>
              <w:rPr>
                <w:rFonts w:hint="eastAsia" w:ascii="仿宋" w:hAnsi="仿宋" w:eastAsia="仿宋" w:cs="宋体"/>
              </w:rPr>
            </w:pPr>
            <w:r>
              <w:rPr>
                <w:rFonts w:hint="eastAsia" w:ascii="仿宋" w:hAnsi="仿宋" w:eastAsia="仿宋" w:cs="宋体"/>
                <w:color w:val="C00000"/>
                <w:lang w:val="en-US" w:eastAsia="zh-CN"/>
              </w:rPr>
              <w:t>10</w:t>
            </w:r>
            <w:r>
              <w:rPr>
                <w:rFonts w:hint="eastAsia" w:ascii="仿宋" w:hAnsi="仿宋" w:eastAsia="仿宋" w:cs="宋体"/>
              </w:rPr>
              <w:t>分</w:t>
            </w:r>
          </w:p>
        </w:tc>
      </w:tr>
    </w:tbl>
    <w:p>
      <w:pPr>
        <w:pStyle w:val="5"/>
        <w:rPr>
          <w:rFonts w:hint="eastAsia"/>
          <w:lang w:val="en-US" w:eastAsia="zh-CN"/>
        </w:rPr>
      </w:pPr>
    </w:p>
    <w:sectPr>
      <w:pgSz w:w="12240" w:h="15840"/>
      <w:pgMar w:top="1440" w:right="168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华文中宋;宋体">
    <w:altName w:val="宋体"/>
    <w:panose1 w:val="00000000000000000000"/>
    <w:charset w:val="7A"/>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E0D1F"/>
    <w:multiLevelType w:val="singleLevel"/>
    <w:tmpl w:val="ABCE0D1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000000"/>
    <w:rsid w:val="00603A46"/>
    <w:rsid w:val="00F2404D"/>
    <w:rsid w:val="019E53DD"/>
    <w:rsid w:val="01F114A6"/>
    <w:rsid w:val="023615AF"/>
    <w:rsid w:val="026F6986"/>
    <w:rsid w:val="02D47275"/>
    <w:rsid w:val="03127926"/>
    <w:rsid w:val="0313544C"/>
    <w:rsid w:val="0381685A"/>
    <w:rsid w:val="03FC4A2B"/>
    <w:rsid w:val="04115E30"/>
    <w:rsid w:val="04E945CF"/>
    <w:rsid w:val="05B7132B"/>
    <w:rsid w:val="07A11524"/>
    <w:rsid w:val="086E55FF"/>
    <w:rsid w:val="09AB533D"/>
    <w:rsid w:val="09F558AC"/>
    <w:rsid w:val="0A0855DF"/>
    <w:rsid w:val="0B542FDE"/>
    <w:rsid w:val="0B560FA3"/>
    <w:rsid w:val="0C4848AC"/>
    <w:rsid w:val="0C9E047D"/>
    <w:rsid w:val="0ECD7647"/>
    <w:rsid w:val="0FDD306A"/>
    <w:rsid w:val="11537A88"/>
    <w:rsid w:val="11D230A2"/>
    <w:rsid w:val="125C296C"/>
    <w:rsid w:val="14726477"/>
    <w:rsid w:val="148F7029"/>
    <w:rsid w:val="1585667E"/>
    <w:rsid w:val="15AB60E4"/>
    <w:rsid w:val="16CA07EC"/>
    <w:rsid w:val="16ED0036"/>
    <w:rsid w:val="18381785"/>
    <w:rsid w:val="195720DF"/>
    <w:rsid w:val="1A8E1B30"/>
    <w:rsid w:val="1A902F10"/>
    <w:rsid w:val="1B097409"/>
    <w:rsid w:val="1BF40C6F"/>
    <w:rsid w:val="1BFE5719"/>
    <w:rsid w:val="1C142509"/>
    <w:rsid w:val="1D036806"/>
    <w:rsid w:val="1D992CC6"/>
    <w:rsid w:val="1DB7314C"/>
    <w:rsid w:val="1E9B0CC0"/>
    <w:rsid w:val="1F470500"/>
    <w:rsid w:val="1F5F584A"/>
    <w:rsid w:val="20476A09"/>
    <w:rsid w:val="211F3762"/>
    <w:rsid w:val="212B632B"/>
    <w:rsid w:val="21BC3427"/>
    <w:rsid w:val="21ED538F"/>
    <w:rsid w:val="22CC1448"/>
    <w:rsid w:val="23130E25"/>
    <w:rsid w:val="23290648"/>
    <w:rsid w:val="23297616"/>
    <w:rsid w:val="254C4AC2"/>
    <w:rsid w:val="25990149"/>
    <w:rsid w:val="27392E24"/>
    <w:rsid w:val="27E15995"/>
    <w:rsid w:val="280B656E"/>
    <w:rsid w:val="28305FD5"/>
    <w:rsid w:val="28433F5A"/>
    <w:rsid w:val="28B27332"/>
    <w:rsid w:val="28C01A4F"/>
    <w:rsid w:val="29B175E9"/>
    <w:rsid w:val="2AC507FE"/>
    <w:rsid w:val="2C321EF9"/>
    <w:rsid w:val="2C624BCB"/>
    <w:rsid w:val="2CBA67B5"/>
    <w:rsid w:val="2CC338BC"/>
    <w:rsid w:val="2E3F51C4"/>
    <w:rsid w:val="2E89643F"/>
    <w:rsid w:val="2F3E7229"/>
    <w:rsid w:val="2F464330"/>
    <w:rsid w:val="2F6A6FF5"/>
    <w:rsid w:val="300631C6"/>
    <w:rsid w:val="30A9726C"/>
    <w:rsid w:val="30B04157"/>
    <w:rsid w:val="30C05066"/>
    <w:rsid w:val="30D51E0F"/>
    <w:rsid w:val="31C0486E"/>
    <w:rsid w:val="31E93542"/>
    <w:rsid w:val="328A09D8"/>
    <w:rsid w:val="32DC14B0"/>
    <w:rsid w:val="336254B1"/>
    <w:rsid w:val="33A855B9"/>
    <w:rsid w:val="33B26438"/>
    <w:rsid w:val="347E631A"/>
    <w:rsid w:val="351C1918"/>
    <w:rsid w:val="35363B2B"/>
    <w:rsid w:val="355157DD"/>
    <w:rsid w:val="365D08DD"/>
    <w:rsid w:val="36A22655"/>
    <w:rsid w:val="370E7BF9"/>
    <w:rsid w:val="37452EE6"/>
    <w:rsid w:val="37B71F14"/>
    <w:rsid w:val="37DA6B21"/>
    <w:rsid w:val="37DC1573"/>
    <w:rsid w:val="3836588A"/>
    <w:rsid w:val="38B13162"/>
    <w:rsid w:val="38B14F10"/>
    <w:rsid w:val="38D155B2"/>
    <w:rsid w:val="39311BAD"/>
    <w:rsid w:val="39553AED"/>
    <w:rsid w:val="39D57DFB"/>
    <w:rsid w:val="3CE53865"/>
    <w:rsid w:val="3CE753A4"/>
    <w:rsid w:val="3D7E4729"/>
    <w:rsid w:val="3E5C147A"/>
    <w:rsid w:val="3E990920"/>
    <w:rsid w:val="3EDF3E59"/>
    <w:rsid w:val="3F5D752E"/>
    <w:rsid w:val="3F636838"/>
    <w:rsid w:val="406B3BF6"/>
    <w:rsid w:val="4183706D"/>
    <w:rsid w:val="421A7ECF"/>
    <w:rsid w:val="43623086"/>
    <w:rsid w:val="44240C8C"/>
    <w:rsid w:val="442F7354"/>
    <w:rsid w:val="44560DFC"/>
    <w:rsid w:val="45611A6C"/>
    <w:rsid w:val="459E05CA"/>
    <w:rsid w:val="468974CC"/>
    <w:rsid w:val="46BD7176"/>
    <w:rsid w:val="47DC529C"/>
    <w:rsid w:val="47EA7AF7"/>
    <w:rsid w:val="48917549"/>
    <w:rsid w:val="48DA400F"/>
    <w:rsid w:val="48EC3D42"/>
    <w:rsid w:val="48FC21D7"/>
    <w:rsid w:val="49483D67"/>
    <w:rsid w:val="49C03205"/>
    <w:rsid w:val="4A652DF4"/>
    <w:rsid w:val="4B0435C5"/>
    <w:rsid w:val="4B44381C"/>
    <w:rsid w:val="4BC52D55"/>
    <w:rsid w:val="4BE807F1"/>
    <w:rsid w:val="4BF2341E"/>
    <w:rsid w:val="4D0E7075"/>
    <w:rsid w:val="4D3006A2"/>
    <w:rsid w:val="4DBA61BD"/>
    <w:rsid w:val="4DE44FE8"/>
    <w:rsid w:val="4E41243B"/>
    <w:rsid w:val="4F145B00"/>
    <w:rsid w:val="50F43794"/>
    <w:rsid w:val="526A5D8C"/>
    <w:rsid w:val="52F757BE"/>
    <w:rsid w:val="532F73AB"/>
    <w:rsid w:val="54091C4C"/>
    <w:rsid w:val="54BA0218"/>
    <w:rsid w:val="55CE6CAA"/>
    <w:rsid w:val="55E02539"/>
    <w:rsid w:val="55F707DF"/>
    <w:rsid w:val="560D5F76"/>
    <w:rsid w:val="56277DBE"/>
    <w:rsid w:val="564451BE"/>
    <w:rsid w:val="56BD76A4"/>
    <w:rsid w:val="571B5F1F"/>
    <w:rsid w:val="57EA3B43"/>
    <w:rsid w:val="58136BF6"/>
    <w:rsid w:val="58BE6C60"/>
    <w:rsid w:val="58D04AE7"/>
    <w:rsid w:val="59967ADE"/>
    <w:rsid w:val="59BD150F"/>
    <w:rsid w:val="59C02DAD"/>
    <w:rsid w:val="5A0E3B19"/>
    <w:rsid w:val="5AAD1584"/>
    <w:rsid w:val="5B75038D"/>
    <w:rsid w:val="5B995664"/>
    <w:rsid w:val="5BCA7FDA"/>
    <w:rsid w:val="5DAB687E"/>
    <w:rsid w:val="5DAF67CF"/>
    <w:rsid w:val="5F0A212D"/>
    <w:rsid w:val="5FC627A0"/>
    <w:rsid w:val="61BC3E5A"/>
    <w:rsid w:val="63065CD5"/>
    <w:rsid w:val="66430FEE"/>
    <w:rsid w:val="66867795"/>
    <w:rsid w:val="66A202A8"/>
    <w:rsid w:val="66AD6467"/>
    <w:rsid w:val="66D63C10"/>
    <w:rsid w:val="67E4235D"/>
    <w:rsid w:val="680F642E"/>
    <w:rsid w:val="689478DF"/>
    <w:rsid w:val="69F34168"/>
    <w:rsid w:val="6B674B73"/>
    <w:rsid w:val="6BDB7F16"/>
    <w:rsid w:val="6E1B015A"/>
    <w:rsid w:val="6E543E74"/>
    <w:rsid w:val="6E922B12"/>
    <w:rsid w:val="6F305E87"/>
    <w:rsid w:val="6FE5312D"/>
    <w:rsid w:val="7011663B"/>
    <w:rsid w:val="705A140E"/>
    <w:rsid w:val="705F07D2"/>
    <w:rsid w:val="71121CE9"/>
    <w:rsid w:val="716D5171"/>
    <w:rsid w:val="72712A3F"/>
    <w:rsid w:val="72EC791B"/>
    <w:rsid w:val="733012BA"/>
    <w:rsid w:val="73337CF4"/>
    <w:rsid w:val="73C05A2C"/>
    <w:rsid w:val="74051691"/>
    <w:rsid w:val="7487654A"/>
    <w:rsid w:val="74CC7FCC"/>
    <w:rsid w:val="757E5B9F"/>
    <w:rsid w:val="75874327"/>
    <w:rsid w:val="77B5318E"/>
    <w:rsid w:val="780F6F82"/>
    <w:rsid w:val="78570929"/>
    <w:rsid w:val="785C3C25"/>
    <w:rsid w:val="788A0834"/>
    <w:rsid w:val="78AC6806"/>
    <w:rsid w:val="792B6A91"/>
    <w:rsid w:val="79C6156C"/>
    <w:rsid w:val="79F930D1"/>
    <w:rsid w:val="7A8F7F06"/>
    <w:rsid w:val="7B2965AD"/>
    <w:rsid w:val="7B2C3178"/>
    <w:rsid w:val="7C6F72CD"/>
    <w:rsid w:val="7CF95B0B"/>
    <w:rsid w:val="7CFF66F6"/>
    <w:rsid w:val="7D0821F2"/>
    <w:rsid w:val="7D0A7D18"/>
    <w:rsid w:val="7D2A2168"/>
    <w:rsid w:val="7DCC76C3"/>
    <w:rsid w:val="7FEA5BDF"/>
    <w:rsid w:val="7FFD59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Lines="100" w:after="0" w:afterLines="100" w:line="288" w:lineRule="atLeast"/>
      <w:jc w:val="left"/>
    </w:pPr>
    <w:rPr>
      <w:rFonts w:ascii="Cambria" w:hAnsi="Cambria" w:eastAsia="Cambria" w:cs="Cambria"/>
      <w:color w:val="000000"/>
      <w:spacing w:val="0"/>
      <w:sz w:val="24"/>
      <w:szCs w:val="24"/>
      <w:u w:val="none"/>
      <w:shd w:val="clear" w:fill="auto"/>
      <w:vertAlign w:val="baseline"/>
      <w:lang w:val="en" w:eastAsia="en" w:bidi="en"/>
    </w:rPr>
  </w:style>
  <w:style w:type="paragraph" w:styleId="2">
    <w:name w:val="heading 1"/>
    <w:basedOn w:val="1"/>
    <w:autoRedefine/>
    <w:qFormat/>
    <w:uiPriority w:val="0"/>
    <w:pPr>
      <w:spacing w:beforeLines="83" w:afterLines="83" w:line="408" w:lineRule="atLeast"/>
      <w:outlineLvl w:val="1"/>
    </w:pPr>
    <w:rPr>
      <w:b/>
      <w:bCs/>
      <w:sz w:val="34"/>
      <w:szCs w:val="34"/>
    </w:rPr>
  </w:style>
  <w:style w:type="paragraph" w:styleId="3">
    <w:name w:val="heading 2"/>
    <w:basedOn w:val="1"/>
    <w:autoRedefine/>
    <w:qFormat/>
    <w:uiPriority w:val="0"/>
    <w:pPr>
      <w:spacing w:line="324" w:lineRule="atLeast"/>
      <w:outlineLvl w:val="2"/>
    </w:pPr>
    <w:rPr>
      <w:b/>
      <w:bCs/>
      <w:sz w:val="27"/>
      <w:szCs w:val="27"/>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rPr>
      <w:rFonts w:ascii="楷体_GB2312" w:hAnsi="Arial" w:eastAsia="楷体_GB2312"/>
      <w:kern w:val="0"/>
      <w:sz w:val="28"/>
      <w:szCs w:val="28"/>
    </w:rPr>
  </w:style>
  <w:style w:type="paragraph" w:styleId="5">
    <w:name w:val="Body Text 2"/>
    <w:basedOn w:val="1"/>
    <w:autoRedefine/>
    <w:qFormat/>
    <w:uiPriority w:val="0"/>
    <w:pPr>
      <w:spacing w:after="120" w:line="480" w:lineRule="auto"/>
    </w:pPr>
  </w:style>
  <w:style w:type="paragraph" w:styleId="6">
    <w:name w:val="Body Text Indent"/>
    <w:basedOn w:val="1"/>
    <w:next w:val="7"/>
    <w:autoRedefine/>
    <w:unhideWhenUsed/>
    <w:qFormat/>
    <w:uiPriority w:val="99"/>
    <w:pPr>
      <w:spacing w:line="400" w:lineRule="exact"/>
      <w:ind w:firstLine="540" w:firstLineChars="225"/>
    </w:pPr>
    <w:rPr>
      <w:sz w:val="24"/>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0"/>
    <w:rPr>
      <w:rFonts w:hAnsi="Courier New" w:cs="Times New Roman"/>
      <w:sz w:val="21"/>
      <w:szCs w:val="20"/>
    </w:rPr>
  </w:style>
  <w:style w:type="paragraph" w:styleId="9">
    <w:name w:val="toc 1"/>
    <w:basedOn w:val="1"/>
    <w:next w:val="1"/>
    <w:autoRedefine/>
    <w:unhideWhenUsed/>
    <w:qFormat/>
    <w:uiPriority w:val="39"/>
  </w:style>
  <w:style w:type="paragraph" w:styleId="10">
    <w:name w:val="index 9"/>
    <w:basedOn w:val="1"/>
    <w:next w:val="1"/>
    <w:autoRedefine/>
    <w:qFormat/>
    <w:uiPriority w:val="0"/>
    <w:pPr>
      <w:ind w:left="1600"/>
    </w:pPr>
    <w:rPr>
      <w:rFonts w:ascii="Times New Roman" w:hAnsi="Times New Roman" w:eastAsia="宋体" w:cs="Times New Roman"/>
    </w:rPr>
  </w:style>
  <w:style w:type="paragraph" w:styleId="11">
    <w:name w:val="Normal (Web)"/>
    <w:basedOn w:val="1"/>
    <w:autoRedefine/>
    <w:qFormat/>
    <w:uiPriority w:val="0"/>
    <w:pPr>
      <w:spacing w:beforeAutospacing="1" w:afterAutospacing="1"/>
      <w:jc w:val="left"/>
    </w:pPr>
    <w:rPr>
      <w:rFonts w:cs="Times New Roman"/>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1"/>
    <w:basedOn w:val="1"/>
    <w:next w:val="16"/>
    <w:autoRedefine/>
    <w:qFormat/>
    <w:uiPriority w:val="0"/>
    <w:pPr>
      <w:spacing w:line="360" w:lineRule="atLeast"/>
      <w:jc w:val="left"/>
    </w:pPr>
    <w:rPr>
      <w:rFonts w:ascii="宋体" w:hAnsi="Calibri" w:eastAsia="宋体" w:cs="Times New Roman"/>
      <w:sz w:val="24"/>
      <w:szCs w:val="20"/>
    </w:rPr>
  </w:style>
  <w:style w:type="paragraph" w:customStyle="1" w:styleId="16">
    <w:name w:val="正文文本1"/>
    <w:basedOn w:val="15"/>
    <w:next w:val="17"/>
    <w:autoRedefine/>
    <w:qFormat/>
    <w:uiPriority w:val="0"/>
    <w:pPr>
      <w:spacing w:after="120"/>
    </w:pPr>
    <w:rPr>
      <w:lang w:val="en-US" w:eastAsia="en-US"/>
    </w:rPr>
  </w:style>
  <w:style w:type="paragraph" w:customStyle="1" w:styleId="17">
    <w:name w:val="一级条标题"/>
    <w:basedOn w:val="18"/>
    <w:next w:val="19"/>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8">
    <w:name w:val="章标题"/>
    <w:next w:val="1"/>
    <w:autoRedefine/>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19">
    <w:name w:val="段"/>
    <w:next w:val="1"/>
    <w:autoRedefine/>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20">
    <w:name w:val="Para 2"/>
    <w:basedOn w:val="1"/>
    <w:autoRedefine/>
    <w:qFormat/>
    <w:uiPriority w:val="0"/>
    <w:pPr>
      <w:spacing w:beforeLines="100" w:afterLines="100" w:line="288" w:lineRule="atLeast"/>
      <w:jc w:val="left"/>
    </w:pPr>
    <w:rPr>
      <w:b/>
      <w:bCs/>
    </w:rPr>
  </w:style>
  <w:style w:type="character" w:customStyle="1" w:styleId="21">
    <w:name w:val="0 Text"/>
    <w:autoRedefine/>
    <w:qFormat/>
    <w:uiPriority w:val="0"/>
    <w:rPr>
      <w:b/>
      <w:bCs/>
    </w:rPr>
  </w:style>
  <w:style w:type="paragraph" w:customStyle="1" w:styleId="22">
    <w:name w:val="0 Block"/>
    <w:autoRedefine/>
    <w:qFormat/>
    <w:uiPriority w:val="0"/>
    <w:pPr>
      <w:spacing w:beforeLines="100" w:after="0" w:afterLines="100" w:line="288" w:lineRule="atLeast"/>
      <w:jc w:val="left"/>
    </w:pPr>
    <w:rPr>
      <w:rFonts w:asciiTheme="minorHAnsi" w:hAnsiTheme="minorHAnsi" w:eastAsiaTheme="minorEastAsia" w:cstheme="minorBidi"/>
      <w:sz w:val="22"/>
      <w:szCs w:val="22"/>
      <w:lang w:val="en" w:eastAsia="en" w:bidi="en"/>
    </w:rPr>
  </w:style>
  <w:style w:type="paragraph" w:customStyle="1" w:styleId="23">
    <w:name w:val="正文首行缩进 21"/>
    <w:basedOn w:val="6"/>
    <w:autoRedefine/>
    <w:qFormat/>
    <w:uiPriority w:val="0"/>
    <w:pPr>
      <w:spacing w:before="100" w:beforeAutospacing="1" w:line="360" w:lineRule="auto"/>
      <w:ind w:left="0" w:leftChars="0" w:firstLine="420"/>
      <w:jc w:val="left"/>
    </w:pPr>
    <w:rPr>
      <w:rFonts w:ascii="宋体" w:hAnsi="Courier New" w:eastAsia="华文中宋;宋体"/>
      <w:spacing w:val="-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7674</Words>
  <Characters>8262</Characters>
  <TotalTime>3</TotalTime>
  <ScaleCrop>false</ScaleCrop>
  <LinksUpToDate>false</LinksUpToDate>
  <CharactersWithSpaces>8312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2024-11-13T00:23:00Z</dcterms:created>
  <dc:creator>野丫头</dc:creator>
  <cp:lastModifiedBy>胡永田</cp:lastModifiedBy>
  <cp:lastPrinted>2024-12-12T02:56:00Z</cp:lastPrinted>
  <dcterms:modified xsi:type="dcterms:W3CDTF">2025-01-08T07:48:41Z</dcterms:modified>
  <dc:title>（带重复水印）扬大附院污水处理服务项目合同（二次）YDFYZW-2022023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94D5C85580784B1BB8F85AF13A076DB7_13</vt:lpwstr>
  </property>
  <property fmtid="{D5CDD505-2E9C-101B-9397-08002B2CF9AE}" pid="4" name="KSOTemplateDocerSaveRecord">
    <vt:lpwstr>eyJoZGlkIjoiMjAzNWIxMjExZDFiZjdkNzkyY2YwZTU2YWJhYzY1MTYifQ==</vt:lpwstr>
  </property>
</Properties>
</file>