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2025004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36"/>
          <w:szCs w:val="36"/>
        </w:rPr>
      </w:pPr>
      <w:r>
        <w:rPr>
          <w:rFonts w:hint="eastAsia"/>
          <w:b/>
          <w:sz w:val="36"/>
          <w:szCs w:val="36"/>
        </w:rPr>
        <w:t>扬州大学附属医院</w:t>
      </w:r>
    </w:p>
    <w:p>
      <w:pPr>
        <w:adjustRightInd w:val="0"/>
        <w:snapToGrid w:val="0"/>
        <w:spacing w:line="800" w:lineRule="exact"/>
        <w:contextualSpacing/>
        <w:jc w:val="center"/>
        <w:rPr>
          <w:rFonts w:hint="eastAsia" w:ascii="宋体" w:hAnsi="宋体" w:cs="宋体"/>
          <w:b/>
          <w:snapToGrid w:val="0"/>
          <w:kern w:val="0"/>
          <w:sz w:val="36"/>
          <w:szCs w:val="36"/>
          <w:highlight w:val="none"/>
          <w:lang w:val="en-US" w:eastAsia="zh-CN"/>
        </w:rPr>
      </w:pPr>
      <w:r>
        <w:rPr>
          <w:rFonts w:hint="eastAsia" w:ascii="宋体" w:hAnsi="宋体" w:cs="宋体"/>
          <w:b/>
          <w:snapToGrid w:val="0"/>
          <w:kern w:val="0"/>
          <w:sz w:val="36"/>
          <w:szCs w:val="36"/>
          <w:highlight w:val="none"/>
          <w:lang w:val="en-US" w:eastAsia="zh-CN"/>
        </w:rPr>
        <w:t>东西区电瓶车棚干粉悬挂灭火装置采购安装项目</w:t>
      </w:r>
    </w:p>
    <w:p>
      <w:pPr>
        <w:adjustRightInd w:val="0"/>
        <w:snapToGrid w:val="0"/>
        <w:spacing w:line="800" w:lineRule="exact"/>
        <w:contextualSpacing/>
        <w:jc w:val="center"/>
        <w:rPr>
          <w:b/>
          <w:sz w:val="36"/>
          <w:szCs w:val="36"/>
        </w:rPr>
      </w:pPr>
      <w:r>
        <w:rPr>
          <w:rFonts w:hint="eastAsia"/>
          <w:b/>
          <w:sz w:val="36"/>
          <w:szCs w:val="36"/>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highlight w:val="none"/>
          <w:lang w:eastAsia="zh-CN"/>
        </w:rPr>
        <w:t>2025</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w w:val="90"/>
          <w:kern w:val="0"/>
          <w:sz w:val="32"/>
          <w:szCs w:val="32"/>
          <w:highlight w:val="none"/>
          <w:lang w:val="en-US" w:eastAsia="zh-CN"/>
        </w:rPr>
        <w:t>1</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15</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东西区电瓶车棚干粉悬挂灭火装置采购安装项目</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2025004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东西区电瓶车棚干粉悬挂灭火装置采购安装项目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4.1投标人应具备《中华人民共和国政府采购法》第二十二条规定的条件。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2025</w:t>
      </w:r>
      <w:r>
        <w:rPr>
          <w:rFonts w:hint="eastAsia" w:ascii="宋体" w:hAnsi="宋体"/>
          <w:b/>
          <w:sz w:val="24"/>
          <w:highlight w:val="none"/>
        </w:rPr>
        <w:t>年</w:t>
      </w:r>
      <w:r>
        <w:rPr>
          <w:rFonts w:hint="eastAsia" w:ascii="宋体" w:hAnsi="宋体"/>
          <w:b/>
          <w:sz w:val="24"/>
          <w:highlight w:val="none"/>
          <w:lang w:val="en-US" w:eastAsia="zh-CN"/>
        </w:rPr>
        <w:t>1</w:t>
      </w:r>
      <w:r>
        <w:rPr>
          <w:rFonts w:hint="eastAsia" w:ascii="宋体" w:hAnsi="宋体"/>
          <w:b/>
          <w:sz w:val="24"/>
          <w:highlight w:val="none"/>
        </w:rPr>
        <w:t>月</w:t>
      </w:r>
      <w:r>
        <w:rPr>
          <w:rFonts w:hint="eastAsia" w:ascii="宋体" w:hAnsi="宋体"/>
          <w:b/>
          <w:sz w:val="24"/>
          <w:highlight w:val="none"/>
          <w:lang w:val="en-US" w:eastAsia="zh-CN"/>
        </w:rPr>
        <w:t>21</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东西区电瓶车棚干粉悬挂灭火装置采购安装项目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东西区电瓶车棚干粉悬挂灭火装置采购安装项目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w:t>
      </w:r>
      <w:r>
        <w:rPr>
          <w:rFonts w:hint="eastAsia" w:ascii="宋体" w:hAnsi="宋体" w:cs="宋体"/>
          <w:snapToGrid w:val="0"/>
          <w:kern w:val="0"/>
          <w:sz w:val="24"/>
          <w:lang w:val="en-US" w:eastAsia="zh-CN"/>
        </w:rPr>
        <w:t>单价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lang w:eastAsia="zh-CN"/>
        </w:rPr>
        <w:t>：</w:t>
      </w:r>
      <w:bookmarkStart w:id="1" w:name="OLE_LINK1"/>
      <w:r>
        <w:rPr>
          <w:rFonts w:hint="eastAsia" w:ascii="宋体" w:hAnsi="宋体" w:cs="宋体"/>
          <w:sz w:val="24"/>
          <w:highlight w:val="none"/>
        </w:rPr>
        <w:t>付款方式为按甲方要求</w:t>
      </w:r>
      <w:r>
        <w:rPr>
          <w:rFonts w:hint="eastAsia" w:ascii="宋体" w:hAnsi="宋体" w:cs="宋体"/>
          <w:sz w:val="24"/>
          <w:highlight w:val="none"/>
          <w:lang w:val="en-US" w:eastAsia="zh-CN"/>
        </w:rPr>
        <w:t>安装交付使用后，乙方凭开具的正规增值税发票等材料向甲方办理付款手续，甲方凭手续齐全的票据向乙方支付合同价的100%</w:t>
      </w:r>
      <w:r>
        <w:rPr>
          <w:rFonts w:hint="eastAsia" w:ascii="宋体" w:hAnsi="宋体" w:cs="宋体"/>
          <w:sz w:val="24"/>
          <w:highlight w:val="none"/>
        </w:rPr>
        <w:t>。</w:t>
      </w:r>
      <w:r>
        <w:rPr>
          <w:rFonts w:hint="eastAsia" w:ascii="宋体" w:hAnsi="宋体" w:cs="宋体"/>
          <w:snapToGrid w:val="0"/>
          <w:kern w:val="0"/>
          <w:sz w:val="24"/>
          <w:highlight w:val="none"/>
          <w:lang w:val="en-US" w:eastAsia="zh-CN"/>
        </w:rPr>
        <w:t>（以上均不计息）</w:t>
      </w:r>
      <w:bookmarkEnd w:id="1"/>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2025</w:t>
      </w:r>
      <w:r>
        <w:rPr>
          <w:rFonts w:hint="eastAsia" w:cs="微软雅黑"/>
          <w:b/>
          <w:highlight w:val="none"/>
        </w:rPr>
        <w:t>年</w:t>
      </w:r>
      <w:r>
        <w:rPr>
          <w:rFonts w:hint="eastAsia" w:cs="微软雅黑"/>
          <w:b/>
          <w:highlight w:val="none"/>
          <w:lang w:val="en-US" w:eastAsia="zh-CN"/>
        </w:rPr>
        <w:t>1</w:t>
      </w:r>
      <w:r>
        <w:rPr>
          <w:rFonts w:hint="eastAsia" w:cs="微软雅黑"/>
          <w:b/>
          <w:highlight w:val="none"/>
        </w:rPr>
        <w:t>月</w:t>
      </w:r>
      <w:r>
        <w:rPr>
          <w:rFonts w:hint="eastAsia" w:cs="微软雅黑"/>
          <w:b/>
          <w:highlight w:val="none"/>
          <w:lang w:val="en-US" w:eastAsia="zh-CN"/>
        </w:rPr>
        <w:t>21</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bookmarkStart w:id="2" w:name="OLE_LINK2"/>
      <w:r>
        <w:rPr>
          <w:rFonts w:hint="eastAsia" w:ascii="宋体" w:hAnsi="宋体"/>
          <w:sz w:val="24"/>
        </w:rPr>
        <w:t>扬州市邗江中路368号</w:t>
      </w:r>
      <w:r>
        <w:rPr>
          <w:rFonts w:hint="eastAsia" w:cs="微软雅黑"/>
          <w:color w:val="000000"/>
        </w:rPr>
        <w:t>扬州大学附属医院（西区医院）</w:t>
      </w:r>
      <w:r>
        <w:rPr>
          <w:rFonts w:hint="eastAsia" w:cs="微软雅黑"/>
          <w:color w:val="000000"/>
          <w:lang w:eastAsia="zh-CN"/>
        </w:rPr>
        <w:t>行政楼</w:t>
      </w:r>
      <w:r>
        <w:rPr>
          <w:rFonts w:hint="eastAsia" w:cs="微软雅黑"/>
          <w:color w:val="000000"/>
        </w:rPr>
        <w:t>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bookmarkEnd w:id="2"/>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hint="eastAsia" w:ascii="宋体" w:hAnsi="宋体"/>
          <w:b/>
          <w:sz w:val="24"/>
          <w:highlight w:val="none"/>
          <w:lang w:eastAsia="zh-CN"/>
        </w:rPr>
        <w:t>2025</w:t>
      </w:r>
      <w:r>
        <w:rPr>
          <w:rStyle w:val="32"/>
          <w:rFonts w:ascii="宋体" w:hAnsi="宋体"/>
          <w:b/>
          <w:sz w:val="24"/>
          <w:highlight w:val="none"/>
        </w:rPr>
        <w:t>年</w:t>
      </w:r>
      <w:r>
        <w:rPr>
          <w:rStyle w:val="32"/>
          <w:rFonts w:hint="eastAsia" w:ascii="宋体" w:hAnsi="宋体"/>
          <w:b/>
          <w:sz w:val="24"/>
          <w:highlight w:val="none"/>
          <w:lang w:val="en-US" w:eastAsia="zh-CN"/>
        </w:rPr>
        <w:t>1</w:t>
      </w:r>
      <w:r>
        <w:rPr>
          <w:rStyle w:val="32"/>
          <w:rFonts w:ascii="宋体" w:hAnsi="宋体"/>
          <w:b/>
          <w:sz w:val="24"/>
          <w:highlight w:val="none"/>
        </w:rPr>
        <w:t>月</w:t>
      </w:r>
      <w:r>
        <w:rPr>
          <w:rStyle w:val="32"/>
          <w:rFonts w:hint="eastAsia" w:ascii="宋体" w:hAnsi="宋体"/>
          <w:b/>
          <w:sz w:val="24"/>
          <w:highlight w:val="none"/>
          <w:lang w:val="en-US" w:eastAsia="zh-CN"/>
        </w:rPr>
        <w:t>21</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扬州市邗江中路368号扬州大学附属医院（西区医院）</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412</w:t>
      </w:r>
      <w:bookmarkStart w:id="6" w:name="_GoBack"/>
      <w:bookmarkEnd w:id="6"/>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.com），同时需与采购经办人（联系电话：0514-82099555）确认是否收到《供应商参加投标确认函》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hint="eastAsia" w:ascii="宋体" w:hAnsi="宋体" w:cs="宋体"/>
          <w:snapToGrid w:val="0"/>
          <w:spacing w:val="-4"/>
          <w:kern w:val="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2025</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21</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w:t>
      </w:r>
      <w:r>
        <w:rPr>
          <w:rFonts w:hint="eastAsia" w:ascii="宋体" w:hAnsi="宋体" w:cs="宋体"/>
          <w:snapToGrid w:val="0"/>
          <w:kern w:val="0"/>
          <w:sz w:val="24"/>
          <w:lang w:val="en-US" w:eastAsia="zh-CN"/>
        </w:rPr>
        <w:t>0</w:t>
      </w:r>
      <w:r>
        <w:rPr>
          <w:rFonts w:hint="eastAsia" w:ascii="宋体" w:hAnsi="宋体" w:cs="宋体"/>
          <w:snapToGrid w:val="0"/>
          <w:kern w:val="0"/>
          <w:sz w:val="24"/>
        </w:rPr>
        <w:t>.如有疑问，请贵方与采购人联络。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东西区电瓶车棚干粉悬挂灭火装置采购安装项目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2025004</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yellow"/>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tbl>
      <w:tblPr>
        <w:tblStyle w:val="1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325"/>
        <w:gridCol w:w="1630"/>
        <w:gridCol w:w="1438"/>
        <w:gridCol w:w="194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25"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序号</w:t>
            </w:r>
          </w:p>
        </w:tc>
        <w:tc>
          <w:tcPr>
            <w:tcW w:w="1325"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名称</w:t>
            </w:r>
          </w:p>
        </w:tc>
        <w:tc>
          <w:tcPr>
            <w:tcW w:w="1630"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型号</w:t>
            </w:r>
          </w:p>
        </w:tc>
        <w:tc>
          <w:tcPr>
            <w:tcW w:w="1438"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数量</w:t>
            </w:r>
          </w:p>
        </w:tc>
        <w:tc>
          <w:tcPr>
            <w:tcW w:w="1948"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参考图</w:t>
            </w:r>
          </w:p>
        </w:tc>
        <w:tc>
          <w:tcPr>
            <w:tcW w:w="1370"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1325"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1</w:t>
            </w:r>
          </w:p>
        </w:tc>
        <w:tc>
          <w:tcPr>
            <w:tcW w:w="1325"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干粉悬挂灭火装置</w:t>
            </w:r>
          </w:p>
        </w:tc>
        <w:tc>
          <w:tcPr>
            <w:tcW w:w="1630"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FZX-APT6</w:t>
            </w:r>
          </w:p>
        </w:tc>
        <w:tc>
          <w:tcPr>
            <w:tcW w:w="1438"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200</w:t>
            </w:r>
          </w:p>
        </w:tc>
        <w:tc>
          <w:tcPr>
            <w:tcW w:w="1948" w:type="dxa"/>
            <w:vAlign w:val="center"/>
          </w:tcPr>
          <w:p>
            <w:pPr>
              <w:adjustRightInd w:val="0"/>
              <w:snapToGrid w:val="0"/>
              <w:spacing w:line="440" w:lineRule="exact"/>
              <w:ind w:firstLine="480" w:firstLineChars="200"/>
              <w:contextualSpacing/>
              <w:jc w:val="center"/>
              <w:rPr>
                <w:rFonts w:hint="eastAsia" w:ascii="宋体" w:hAnsi="宋体"/>
                <w:sz w:val="24"/>
                <w:lang w:val="en-US" w:eastAsia="zh-CN"/>
              </w:rPr>
            </w:pPr>
            <w:r>
              <w:rPr>
                <w:rFonts w:hint="eastAsia" w:ascii="宋体" w:hAnsi="宋体"/>
                <w:sz w:val="24"/>
                <w:lang w:val="en-US"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136525</wp:posOffset>
                  </wp:positionV>
                  <wp:extent cx="1090295" cy="1938655"/>
                  <wp:effectExtent l="0" t="0" r="14605" b="4445"/>
                  <wp:wrapTopAndBottom/>
                  <wp:docPr id="1" name="图片 1" descr="ad6234a1fd51b54f842cd7f7fbaa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6234a1fd51b54f842cd7f7fbaa966"/>
                          <pic:cNvPicPr>
                            <a:picLocks noChangeAspect="1"/>
                          </pic:cNvPicPr>
                        </pic:nvPicPr>
                        <pic:blipFill>
                          <a:blip r:embed="rId6"/>
                          <a:stretch>
                            <a:fillRect/>
                          </a:stretch>
                        </pic:blipFill>
                        <pic:spPr>
                          <a:xfrm>
                            <a:off x="0" y="0"/>
                            <a:ext cx="1090295" cy="1938655"/>
                          </a:xfrm>
                          <a:prstGeom prst="rect">
                            <a:avLst/>
                          </a:prstGeom>
                        </pic:spPr>
                      </pic:pic>
                    </a:graphicData>
                  </a:graphic>
                </wp:anchor>
              </w:drawing>
            </w:r>
          </w:p>
        </w:tc>
        <w:tc>
          <w:tcPr>
            <w:tcW w:w="1370" w:type="dxa"/>
            <w:vAlign w:val="center"/>
          </w:tcPr>
          <w:p>
            <w:pPr>
              <w:adjustRightInd w:val="0"/>
              <w:snapToGrid w:val="0"/>
              <w:spacing w:line="440" w:lineRule="exact"/>
              <w:contextualSpacing/>
              <w:jc w:val="center"/>
              <w:rPr>
                <w:rFonts w:hint="default" w:ascii="宋体" w:hAnsi="宋体"/>
                <w:sz w:val="24"/>
                <w:lang w:val="en-US" w:eastAsia="zh-CN"/>
              </w:rPr>
            </w:pPr>
            <w:r>
              <w:rPr>
                <w:rFonts w:hint="eastAsia" w:ascii="宋体" w:hAnsi="宋体"/>
                <w:sz w:val="24"/>
                <w:lang w:val="en-US" w:eastAsia="zh-CN"/>
              </w:rPr>
              <w:t>包安装，含辅材，产品日期不得超过生产日期1个月</w:t>
            </w:r>
          </w:p>
        </w:tc>
      </w:tr>
    </w:tbl>
    <w:p>
      <w:pPr>
        <w:pStyle w:val="14"/>
        <w:shd w:val="clear" w:color="auto" w:fill="FFFFFF"/>
        <w:spacing w:before="0" w:beforeAutospacing="0" w:after="0" w:afterAutospacing="0"/>
        <w:rPr>
          <w:rFonts w:hint="default" w:ascii="宋体" w:hAnsi="宋体" w:eastAsia="宋体" w:cs="宋体"/>
          <w:b/>
          <w:bCs/>
          <w:snapToGrid w:val="0"/>
          <w:kern w:val="0"/>
          <w:sz w:val="24"/>
          <w:szCs w:val="24"/>
          <w:lang w:val="en-US" w:eastAsia="zh-CN" w:bidi="ar-SA"/>
        </w:rPr>
      </w:pPr>
      <w:r>
        <w:rPr>
          <w:rFonts w:hint="eastAsia" w:cs="宋体"/>
          <w:b/>
          <w:bCs/>
          <w:snapToGrid w:val="0"/>
          <w:kern w:val="0"/>
          <w:sz w:val="24"/>
          <w:szCs w:val="24"/>
          <w:lang w:val="en-US" w:eastAsia="zh-CN" w:bidi="ar-SA"/>
        </w:rPr>
        <w:t>现场勘察联系人：朱老师15905272227</w:t>
      </w:r>
    </w:p>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东西区电瓶车棚干粉悬挂灭火装置采购安装项目</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2025004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2025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3" w:name="_Toc513029243"/>
      <w:bookmarkStart w:id="4" w:name="_Toc20823315"/>
      <w:bookmarkStart w:id="5" w:name="_Toc16938559"/>
    </w:p>
    <w:bookmarkEnd w:id="3"/>
    <w:bookmarkEnd w:id="4"/>
    <w:bookmarkEnd w:id="5"/>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东西区电瓶车棚干粉悬挂灭火装置采购安装项目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2025004</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东西区电瓶车棚干粉悬挂灭火装置采购安装项目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东西区电瓶车棚干粉悬挂灭火装置采购安装项目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付款方式为按甲方要求安装交付使用后，乙方凭开具的正规增值税发票等材料向甲方办理付款手续，甲方凭手续齐全的票据向乙方支付合同价的100%。（</w:t>
      </w:r>
      <w:r>
        <w:rPr>
          <w:rFonts w:hint="eastAsia" w:ascii="宋体" w:hAnsi="宋体" w:cs="宋体"/>
          <w:b/>
          <w:bCs/>
          <w:sz w:val="24"/>
          <w:highlight w:val="none"/>
        </w:rPr>
        <w:t>以上均不计息</w:t>
      </w:r>
      <w:r>
        <w:rPr>
          <w:rFonts w:hint="eastAsia" w:ascii="宋体" w:hAnsi="宋体" w:cs="宋体"/>
          <w:sz w:val="24"/>
          <w:highlight w:val="none"/>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1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5</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w:t>
      </w:r>
      <w:r>
        <w:rPr>
          <w:rFonts w:hint="eastAsia" w:ascii="宋体" w:hAnsi="宋体" w:cs="宋体"/>
          <w:color w:val="000000"/>
          <w:kern w:val="0"/>
          <w:sz w:val="24"/>
          <w:lang w:val="en-US" w:eastAsia="zh-CN"/>
        </w:rPr>
        <w:t>供货完成安装</w:t>
      </w:r>
      <w:r>
        <w:rPr>
          <w:rFonts w:hint="eastAsia" w:ascii="宋体" w:hAnsi="宋体" w:cs="宋体"/>
          <w:color w:val="000000"/>
          <w:kern w:val="0"/>
          <w:sz w:val="24"/>
        </w:rPr>
        <w:t>。</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2025</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2025</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365871"/>
    <w:rsid w:val="034D4BC8"/>
    <w:rsid w:val="03886DDC"/>
    <w:rsid w:val="04E61983"/>
    <w:rsid w:val="04F93EF7"/>
    <w:rsid w:val="053E3F8C"/>
    <w:rsid w:val="06835001"/>
    <w:rsid w:val="07CD3AA2"/>
    <w:rsid w:val="08E8612B"/>
    <w:rsid w:val="0907213E"/>
    <w:rsid w:val="09B15BCC"/>
    <w:rsid w:val="0BE47D69"/>
    <w:rsid w:val="0C067990"/>
    <w:rsid w:val="0C4A2728"/>
    <w:rsid w:val="0CF140C8"/>
    <w:rsid w:val="0D2E16CF"/>
    <w:rsid w:val="0D4515B4"/>
    <w:rsid w:val="0E126F52"/>
    <w:rsid w:val="0E2A13BF"/>
    <w:rsid w:val="0EE42777"/>
    <w:rsid w:val="110961DE"/>
    <w:rsid w:val="145A2EDB"/>
    <w:rsid w:val="15D76399"/>
    <w:rsid w:val="172469D5"/>
    <w:rsid w:val="17407202"/>
    <w:rsid w:val="186D5CBC"/>
    <w:rsid w:val="19826916"/>
    <w:rsid w:val="1A965BFC"/>
    <w:rsid w:val="1B6D7D2D"/>
    <w:rsid w:val="1C94789B"/>
    <w:rsid w:val="1D762024"/>
    <w:rsid w:val="1E525F06"/>
    <w:rsid w:val="1E63111B"/>
    <w:rsid w:val="1EAC0AAC"/>
    <w:rsid w:val="1FF236E2"/>
    <w:rsid w:val="205648A9"/>
    <w:rsid w:val="21C93434"/>
    <w:rsid w:val="22EC14F1"/>
    <w:rsid w:val="23735059"/>
    <w:rsid w:val="2466755A"/>
    <w:rsid w:val="24782FEE"/>
    <w:rsid w:val="270244AF"/>
    <w:rsid w:val="279829B9"/>
    <w:rsid w:val="27F03E2A"/>
    <w:rsid w:val="28795CAE"/>
    <w:rsid w:val="28CF6D5C"/>
    <w:rsid w:val="28D728FE"/>
    <w:rsid w:val="290E1224"/>
    <w:rsid w:val="2A6C65F7"/>
    <w:rsid w:val="2A781EB5"/>
    <w:rsid w:val="2AA6133D"/>
    <w:rsid w:val="2AB36F4B"/>
    <w:rsid w:val="2BCB5B07"/>
    <w:rsid w:val="2CAB39DC"/>
    <w:rsid w:val="2E026BA2"/>
    <w:rsid w:val="2EE7735A"/>
    <w:rsid w:val="2EF50EC3"/>
    <w:rsid w:val="2F716810"/>
    <w:rsid w:val="2F877A0A"/>
    <w:rsid w:val="30DF7E8F"/>
    <w:rsid w:val="318E7998"/>
    <w:rsid w:val="32542738"/>
    <w:rsid w:val="32961BEB"/>
    <w:rsid w:val="334D2131"/>
    <w:rsid w:val="3453768D"/>
    <w:rsid w:val="349B0B50"/>
    <w:rsid w:val="375A406B"/>
    <w:rsid w:val="38E54464"/>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AC543C"/>
    <w:rsid w:val="4ACD2A51"/>
    <w:rsid w:val="4B4053E3"/>
    <w:rsid w:val="4B8D08A2"/>
    <w:rsid w:val="4BD6274F"/>
    <w:rsid w:val="4C2279B2"/>
    <w:rsid w:val="4C3E33DE"/>
    <w:rsid w:val="4C472E7D"/>
    <w:rsid w:val="4CB85CB5"/>
    <w:rsid w:val="4E295D4C"/>
    <w:rsid w:val="4F717F10"/>
    <w:rsid w:val="501519DD"/>
    <w:rsid w:val="507C6263"/>
    <w:rsid w:val="508A0E56"/>
    <w:rsid w:val="510F701A"/>
    <w:rsid w:val="51673008"/>
    <w:rsid w:val="518C4687"/>
    <w:rsid w:val="5199638E"/>
    <w:rsid w:val="51BD509B"/>
    <w:rsid w:val="537760B9"/>
    <w:rsid w:val="54AC3518"/>
    <w:rsid w:val="560560AD"/>
    <w:rsid w:val="56410E61"/>
    <w:rsid w:val="57DA3AB3"/>
    <w:rsid w:val="58A415C5"/>
    <w:rsid w:val="591C0A3A"/>
    <w:rsid w:val="5B063544"/>
    <w:rsid w:val="5B3A3011"/>
    <w:rsid w:val="5B445318"/>
    <w:rsid w:val="5BD053AF"/>
    <w:rsid w:val="5BE11FCF"/>
    <w:rsid w:val="5C3E22E0"/>
    <w:rsid w:val="5C63055C"/>
    <w:rsid w:val="5C936A98"/>
    <w:rsid w:val="5C9D5DDF"/>
    <w:rsid w:val="5CA1516C"/>
    <w:rsid w:val="5CA23409"/>
    <w:rsid w:val="5CDB0A62"/>
    <w:rsid w:val="5D1C5531"/>
    <w:rsid w:val="5D9E4640"/>
    <w:rsid w:val="5E584ED9"/>
    <w:rsid w:val="5E8C2BB5"/>
    <w:rsid w:val="5EE94B54"/>
    <w:rsid w:val="60186A28"/>
    <w:rsid w:val="60446E43"/>
    <w:rsid w:val="60A754A5"/>
    <w:rsid w:val="60DB4EA5"/>
    <w:rsid w:val="612E05C2"/>
    <w:rsid w:val="616C3D5B"/>
    <w:rsid w:val="61806483"/>
    <w:rsid w:val="619072D4"/>
    <w:rsid w:val="61F801D2"/>
    <w:rsid w:val="626E3CB0"/>
    <w:rsid w:val="63473929"/>
    <w:rsid w:val="65F2258C"/>
    <w:rsid w:val="668F553E"/>
    <w:rsid w:val="66A07C1E"/>
    <w:rsid w:val="66AF19DA"/>
    <w:rsid w:val="6710513C"/>
    <w:rsid w:val="673E62A6"/>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85767A4"/>
    <w:rsid w:val="79AC4BB9"/>
    <w:rsid w:val="79CC0928"/>
    <w:rsid w:val="79F04F34"/>
    <w:rsid w:val="7ABB1C53"/>
    <w:rsid w:val="7BF34C08"/>
    <w:rsid w:val="7C6460D0"/>
    <w:rsid w:val="7E0A21D4"/>
    <w:rsid w:val="7E4401E2"/>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楷体_GB2312" w:hAnsi="Arial" w:eastAsia="楷体_GB2312"/>
      <w:kern w:val="0"/>
      <w:sz w:val="28"/>
      <w:szCs w:val="28"/>
    </w:rPr>
  </w:style>
  <w:style w:type="paragraph" w:styleId="3">
    <w:name w:val="Body Text 3"/>
    <w:basedOn w:val="1"/>
    <w:next w:val="1"/>
    <w:autoRedefine/>
    <w:qFormat/>
    <w:uiPriority w:val="0"/>
    <w:pPr>
      <w:spacing w:after="120" w:afterLines="0"/>
    </w:pPr>
    <w:rPr>
      <w:sz w:val="16"/>
      <w:szCs w:val="16"/>
    </w:rPr>
  </w:style>
  <w:style w:type="paragraph" w:styleId="4">
    <w:name w:val="table of authorities"/>
    <w:basedOn w:val="1"/>
    <w:next w:val="1"/>
    <w:autoRedefine/>
    <w:qFormat/>
    <w:uiPriority w:val="0"/>
    <w:pPr>
      <w:ind w:left="420" w:leftChars="200"/>
    </w:pPr>
  </w:style>
  <w:style w:type="paragraph" w:styleId="5">
    <w:name w:val="Normal Indent"/>
    <w:basedOn w:val="1"/>
    <w:link w:val="31"/>
    <w:autoRedefine/>
    <w:unhideWhenUsed/>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Indent"/>
    <w:basedOn w:val="1"/>
    <w:autoRedefine/>
    <w:qFormat/>
    <w:uiPriority w:val="0"/>
    <w:pPr>
      <w:ind w:firstLine="576"/>
    </w:pPr>
    <w:rPr>
      <w:b/>
      <w:sz w:val="30"/>
    </w:rPr>
  </w:style>
  <w:style w:type="paragraph" w:styleId="8">
    <w:name w:val="List Bullet 2"/>
    <w:basedOn w:val="1"/>
    <w:autoRedefine/>
    <w:unhideWhenUsed/>
    <w:qFormat/>
    <w:uiPriority w:val="0"/>
    <w:pPr>
      <w:numPr>
        <w:ilvl w:val="0"/>
        <w:numId w:val="1"/>
      </w:numPr>
      <w:contextualSpacing/>
    </w:pPr>
    <w:rPr>
      <w:rFonts w:ascii="Calibri" w:hAnsi="Calibri"/>
    </w:rPr>
  </w:style>
  <w:style w:type="paragraph" w:styleId="9">
    <w:name w:val="Plain Text"/>
    <w:basedOn w:val="1"/>
    <w:link w:val="26"/>
    <w:autoRedefine/>
    <w:qFormat/>
    <w:uiPriority w:val="99"/>
    <w:rPr>
      <w:rFonts w:ascii="宋体" w:hAnsi="Courier New"/>
      <w:szCs w:val="20"/>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autoRedefine/>
    <w:qFormat/>
    <w:uiPriority w:val="0"/>
    <w:pPr>
      <w:ind w:firstLine="42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semiHidden/>
    <w:unhideWhenUsed/>
    <w:qFormat/>
    <w:uiPriority w:val="99"/>
    <w:rPr>
      <w:color w:val="222222"/>
      <w:u w:val="none"/>
    </w:rPr>
  </w:style>
  <w:style w:type="character" w:styleId="20">
    <w:name w:val="Hyperlink"/>
    <w:basedOn w:val="18"/>
    <w:autoRedefine/>
    <w:unhideWhenUsed/>
    <w:qFormat/>
    <w:uiPriority w:val="99"/>
    <w:rPr>
      <w:color w:val="0000FF" w:themeColor="hyperlink"/>
      <w:u w:val="single"/>
    </w:rPr>
  </w:style>
  <w:style w:type="paragraph" w:customStyle="1" w:styleId="21">
    <w:name w:val="正文（缩进）"/>
    <w:basedOn w:val="1"/>
    <w:autoRedefine/>
    <w:qFormat/>
    <w:uiPriority w:val="0"/>
    <w:pPr>
      <w:ind w:firstLine="480" w:firstLineChars="200"/>
    </w:pPr>
  </w:style>
  <w:style w:type="paragraph" w:customStyle="1" w:styleId="22">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autoRedefine/>
    <w:semiHidden/>
    <w:qFormat/>
    <w:uiPriority w:val="99"/>
    <w:rPr>
      <w:rFonts w:eastAsia="宋体"/>
      <w:kern w:val="2"/>
      <w:sz w:val="18"/>
      <w:szCs w:val="18"/>
    </w:rPr>
  </w:style>
  <w:style w:type="character" w:customStyle="1" w:styleId="24">
    <w:name w:val="页脚 Char"/>
    <w:basedOn w:val="18"/>
    <w:link w:val="11"/>
    <w:autoRedefine/>
    <w:semiHidden/>
    <w:qFormat/>
    <w:uiPriority w:val="99"/>
    <w:rPr>
      <w:rFonts w:eastAsia="宋体"/>
      <w:kern w:val="2"/>
      <w:sz w:val="18"/>
      <w:szCs w:val="18"/>
    </w:rPr>
  </w:style>
  <w:style w:type="character" w:customStyle="1" w:styleId="25">
    <w:name w:val="批注框文本 Char"/>
    <w:basedOn w:val="18"/>
    <w:link w:val="10"/>
    <w:autoRedefine/>
    <w:semiHidden/>
    <w:qFormat/>
    <w:uiPriority w:val="99"/>
    <w:rPr>
      <w:rFonts w:eastAsia="宋体"/>
      <w:kern w:val="2"/>
      <w:sz w:val="18"/>
      <w:szCs w:val="18"/>
    </w:rPr>
  </w:style>
  <w:style w:type="character" w:customStyle="1" w:styleId="26">
    <w:name w:val="纯文本 Char"/>
    <w:basedOn w:val="18"/>
    <w:link w:val="9"/>
    <w:autoRedefine/>
    <w:qFormat/>
    <w:uiPriority w:val="99"/>
    <w:rPr>
      <w:rFonts w:ascii="宋体" w:hAnsi="Courier New" w:eastAsia="宋体"/>
      <w:kern w:val="2"/>
      <w:sz w:val="21"/>
    </w:rPr>
  </w:style>
  <w:style w:type="character" w:customStyle="1" w:styleId="27">
    <w:name w:val="副标题 Char"/>
    <w:autoRedefine/>
    <w:qFormat/>
    <w:uiPriority w:val="0"/>
    <w:rPr>
      <w:rFonts w:ascii="Cambria" w:hAnsi="Cambria"/>
      <w:b/>
      <w:bCs/>
      <w:kern w:val="28"/>
      <w:sz w:val="32"/>
      <w:szCs w:val="32"/>
    </w:rPr>
  </w:style>
  <w:style w:type="character" w:customStyle="1" w:styleId="28">
    <w:name w:val="副标题 Char1"/>
    <w:basedOn w:val="18"/>
    <w:link w:val="13"/>
    <w:autoRedefine/>
    <w:qFormat/>
    <w:uiPriority w:val="0"/>
    <w:rPr>
      <w:rFonts w:eastAsia="宋体" w:asciiTheme="majorHAnsi" w:hAnsiTheme="majorHAnsi" w:cstheme="majorBidi"/>
      <w:b/>
      <w:bCs/>
      <w:kern w:val="28"/>
      <w:sz w:val="32"/>
      <w:szCs w:val="32"/>
    </w:rPr>
  </w:style>
  <w:style w:type="paragraph" w:styleId="29">
    <w:name w:val="List Paragraph"/>
    <w:basedOn w:val="1"/>
    <w:autoRedefine/>
    <w:unhideWhenUsed/>
    <w:qFormat/>
    <w:uiPriority w:val="99"/>
    <w:pPr>
      <w:ind w:firstLine="420" w:firstLineChars="200"/>
    </w:pPr>
  </w:style>
  <w:style w:type="paragraph" w:customStyle="1" w:styleId="30">
    <w:name w:val="普通文字"/>
    <w:basedOn w:val="1"/>
    <w:next w:val="1"/>
    <w:autoRedefine/>
    <w:qFormat/>
    <w:uiPriority w:val="0"/>
    <w:rPr>
      <w:rFonts w:ascii="宋体"/>
      <w:kern w:val="0"/>
      <w:sz w:val="24"/>
      <w:u w:color="000000"/>
    </w:rPr>
  </w:style>
  <w:style w:type="character" w:customStyle="1" w:styleId="31">
    <w:name w:val="正文缩进 Char"/>
    <w:link w:val="5"/>
    <w:autoRedefine/>
    <w:qFormat/>
    <w:uiPriority w:val="0"/>
    <w:rPr>
      <w:kern w:val="2"/>
      <w:sz w:val="21"/>
      <w:szCs w:val="24"/>
    </w:rPr>
  </w:style>
  <w:style w:type="character" w:customStyle="1" w:styleId="32">
    <w:name w:val="NormalCharacter"/>
    <w:autoRedefine/>
    <w:qFormat/>
    <w:uiPriority w:val="0"/>
  </w:style>
  <w:style w:type="character" w:customStyle="1" w:styleId="33">
    <w:name w:val="font11"/>
    <w:basedOn w:val="18"/>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4734</Words>
  <Characters>5097</Characters>
  <Lines>70</Lines>
  <Paragraphs>19</Paragraphs>
  <TotalTime>8</TotalTime>
  <ScaleCrop>false</ScaleCrop>
  <LinksUpToDate>false</LinksUpToDate>
  <CharactersWithSpaces>5749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2025-01-15T02:29:42Z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A1DAC28A50F347B68D0C2A2E30B9C7D5</vt:lpwstr>
  </property>
</Properties>
</file>