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AC1F3">
      <w:pPr>
        <w:spacing w:after="312" w:afterLines="100" w:line="560" w:lineRule="exact"/>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rPr>
        <w:t>扬州大学附属医院</w:t>
      </w:r>
      <w:r>
        <w:rPr>
          <w:rFonts w:hint="eastAsia" w:ascii="华文中宋" w:hAnsi="华文中宋" w:eastAsia="华文中宋"/>
          <w:sz w:val="32"/>
          <w:szCs w:val="32"/>
          <w:lang w:val="en-US" w:eastAsia="zh-CN"/>
        </w:rPr>
        <w:t>高血压病因筛查质谱法外送检验</w:t>
      </w:r>
    </w:p>
    <w:p w14:paraId="4BA1E8DE">
      <w:pPr>
        <w:spacing w:after="312" w:afterLines="100" w:line="560" w:lineRule="exact"/>
        <w:jc w:val="center"/>
        <w:rPr>
          <w:rFonts w:ascii="华文中宋" w:hAnsi="华文中宋" w:eastAsia="华文中宋"/>
          <w:sz w:val="32"/>
          <w:szCs w:val="32"/>
        </w:rPr>
      </w:pPr>
      <w:r>
        <w:rPr>
          <w:rFonts w:hint="eastAsia" w:ascii="华文中宋" w:hAnsi="华文中宋" w:eastAsia="华文中宋"/>
          <w:sz w:val="32"/>
          <w:szCs w:val="32"/>
          <w:lang w:val="en-US" w:eastAsia="zh-CN"/>
        </w:rPr>
        <w:t>服务项目</w:t>
      </w:r>
      <w:r>
        <w:rPr>
          <w:rFonts w:hint="eastAsia" w:ascii="华文中宋" w:hAnsi="华文中宋" w:eastAsia="华文中宋"/>
          <w:sz w:val="32"/>
          <w:szCs w:val="32"/>
        </w:rPr>
        <w:t>院内谈判文件</w:t>
      </w:r>
    </w:p>
    <w:p w14:paraId="5055876C">
      <w:pPr>
        <w:spacing w:line="560" w:lineRule="exact"/>
        <w:ind w:firstLine="560" w:firstLineChars="200"/>
        <w:rPr>
          <w:rFonts w:ascii="黑体" w:hAnsi="黑体" w:eastAsia="黑体" w:cs="宋体"/>
          <w:color w:val="333333"/>
          <w:kern w:val="0"/>
          <w:sz w:val="28"/>
          <w:szCs w:val="28"/>
        </w:rPr>
      </w:pPr>
      <w:r>
        <w:rPr>
          <w:rFonts w:hint="eastAsia" w:ascii="黑体" w:hAnsi="黑体" w:eastAsia="黑体" w:cs="宋体"/>
          <w:color w:val="333333"/>
          <w:kern w:val="0"/>
          <w:sz w:val="28"/>
          <w:szCs w:val="28"/>
        </w:rPr>
        <w:t>一、项目简介</w:t>
      </w:r>
    </w:p>
    <w:p w14:paraId="449E80E9">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项目名称：扬州大学附属医院</w:t>
      </w:r>
      <w:r>
        <w:rPr>
          <w:rFonts w:hint="eastAsia" w:ascii="仿宋_GB2312" w:hAnsi="仿宋" w:eastAsia="仿宋_GB2312"/>
          <w:color w:val="333333"/>
          <w:sz w:val="28"/>
          <w:szCs w:val="28"/>
          <w:lang w:val="en-US" w:eastAsia="zh-CN"/>
        </w:rPr>
        <w:t>高血压病因筛查质谱法外送检验</w:t>
      </w:r>
      <w:r>
        <w:rPr>
          <w:rFonts w:hint="eastAsia" w:ascii="仿宋_GB2312" w:hAnsi="仿宋" w:eastAsia="仿宋_GB2312"/>
          <w:color w:val="333333"/>
          <w:sz w:val="28"/>
          <w:szCs w:val="28"/>
        </w:rPr>
        <w:t>服务项目。</w:t>
      </w:r>
    </w:p>
    <w:p w14:paraId="602B09AC">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项目内容：</w:t>
      </w:r>
      <w:r>
        <w:rPr>
          <w:rFonts w:hint="eastAsia" w:ascii="仿宋" w:hAnsi="仿宋" w:eastAsia="仿宋" w:cs="仿宋"/>
          <w:sz w:val="28"/>
          <w:szCs w:val="28"/>
        </w:rPr>
        <w:t>本项目包括</w:t>
      </w:r>
      <w:r>
        <w:rPr>
          <w:rFonts w:hint="eastAsia" w:ascii="仿宋_GB2312" w:hAnsi="仿宋" w:eastAsia="仿宋_GB2312"/>
          <w:color w:val="333333"/>
          <w:sz w:val="28"/>
          <w:szCs w:val="28"/>
          <w:lang w:val="en-US" w:eastAsia="zh-CN"/>
        </w:rPr>
        <w:t>高血压病因筛查质谱法外送检验</w:t>
      </w:r>
      <w:r>
        <w:rPr>
          <w:rFonts w:hint="eastAsia" w:ascii="仿宋" w:hAnsi="仿宋" w:eastAsia="仿宋" w:cs="仿宋"/>
          <w:sz w:val="28"/>
          <w:szCs w:val="28"/>
        </w:rPr>
        <w:t>项目。</w:t>
      </w:r>
    </w:p>
    <w:p w14:paraId="6CFB18BD">
      <w:pPr>
        <w:spacing w:line="560" w:lineRule="exact"/>
        <w:ind w:firstLine="560" w:firstLineChars="200"/>
        <w:rPr>
          <w:rFonts w:ascii="仿宋" w:hAnsi="仿宋" w:eastAsia="仿宋"/>
          <w:color w:val="333333"/>
          <w:sz w:val="28"/>
          <w:szCs w:val="28"/>
        </w:rPr>
      </w:pPr>
      <w:r>
        <w:rPr>
          <w:rFonts w:ascii="黑体" w:hAnsi="黑体" w:eastAsia="黑体" w:cs="宋体"/>
          <w:color w:val="333333"/>
          <w:kern w:val="0"/>
          <w:sz w:val="28"/>
          <w:szCs w:val="28"/>
        </w:rPr>
        <w:t>二、资质要求</w:t>
      </w:r>
    </w:p>
    <w:p w14:paraId="350025E6">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供应商符合《中华人民共和国政府采购法》第二章第二十二条以及《中华人民共和国政府采购法实施条例》第十七条的相关规定及以下要求：</w:t>
      </w:r>
    </w:p>
    <w:p w14:paraId="7F330991">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1. 在中华人民共和国境内注册，具有合法经营资格的独立企业法人，须具备本次项目所需服务能力；</w:t>
      </w:r>
    </w:p>
    <w:p w14:paraId="024476B8">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2. 投标人须具有有效的医疗机构执业许可证；</w:t>
      </w:r>
    </w:p>
    <w:p w14:paraId="1BE36AA6">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 xml:space="preserve">3. 投标人必须具有国内或省内相关检验审核资格认证； </w:t>
      </w:r>
    </w:p>
    <w:p w14:paraId="796D789B">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4. 投标人未被“信用中国”网站列入失信执行人、重大税收违法案件当事人名单、政府采购严重违法失信行为记录名单；（“信用中国”网站的信息查询记录，需加盖公章）。</w:t>
      </w:r>
    </w:p>
    <w:p w14:paraId="28FEB197">
      <w:pPr>
        <w:pStyle w:val="14"/>
        <w:spacing w:before="0" w:beforeAutospacing="0" w:after="0" w:afterAutospacing="0" w:line="560" w:lineRule="exact"/>
        <w:ind w:firstLine="560" w:firstLineChars="200"/>
        <w:jc w:val="both"/>
        <w:rPr>
          <w:rFonts w:ascii="仿宋_GB2312" w:hAnsi="仿宋" w:eastAsia="仿宋_GB2312"/>
          <w:color w:val="333333"/>
          <w:sz w:val="28"/>
          <w:szCs w:val="28"/>
        </w:rPr>
      </w:pPr>
      <w:r>
        <w:rPr>
          <w:rFonts w:hint="eastAsia" w:ascii="仿宋_GB2312" w:hAnsi="仿宋" w:eastAsia="仿宋_GB2312"/>
          <w:color w:val="333333"/>
          <w:sz w:val="28"/>
          <w:szCs w:val="28"/>
        </w:rPr>
        <w:t>5.本项目不接受联合体报名。</w:t>
      </w:r>
    </w:p>
    <w:p w14:paraId="34A33CA9">
      <w:pPr>
        <w:spacing w:line="360" w:lineRule="auto"/>
        <w:ind w:firstLine="551" w:firstLineChars="196"/>
        <w:rPr>
          <w:rFonts w:ascii="宋体" w:hAnsi="宋体" w:eastAsia="宋体" w:cs="Calibri"/>
          <w:b/>
          <w:color w:val="000000" w:themeColor="text1"/>
          <w:kern w:val="0"/>
          <w:sz w:val="28"/>
          <w:szCs w:val="28"/>
          <w14:textFill>
            <w14:solidFill>
              <w14:schemeClr w14:val="tx1"/>
            </w14:solidFill>
          </w14:textFill>
        </w:rPr>
      </w:pPr>
      <w:r>
        <w:rPr>
          <w:rFonts w:hint="eastAsia" w:ascii="宋体" w:hAnsi="宋体" w:cs="Calibri"/>
          <w:b/>
          <w:color w:val="333333"/>
          <w:kern w:val="0"/>
          <w:sz w:val="28"/>
          <w:szCs w:val="28"/>
        </w:rPr>
        <w:t>三、</w:t>
      </w:r>
      <w:r>
        <w:rPr>
          <w:rFonts w:hint="eastAsia" w:ascii="宋体" w:hAnsi="宋体" w:eastAsia="宋体" w:cs="Calibri"/>
          <w:b/>
          <w:color w:val="333333"/>
          <w:kern w:val="0"/>
          <w:sz w:val="28"/>
          <w:szCs w:val="28"/>
        </w:rPr>
        <w:t>投标人投标时，</w:t>
      </w:r>
      <w:r>
        <w:rPr>
          <w:rFonts w:hint="eastAsia" w:ascii="宋体" w:hAnsi="宋体" w:eastAsia="宋体" w:cs="Calibri"/>
          <w:b/>
          <w:color w:val="000000" w:themeColor="text1"/>
          <w:kern w:val="0"/>
          <w:sz w:val="28"/>
          <w:szCs w:val="28"/>
          <w14:textFill>
            <w14:solidFill>
              <w14:schemeClr w14:val="tx1"/>
            </w14:solidFill>
          </w14:textFill>
        </w:rPr>
        <w:t>标书内容须含有但不限于以下内容：</w:t>
      </w:r>
    </w:p>
    <w:p w14:paraId="7F3A67EE">
      <w:pPr>
        <w:spacing w:line="360" w:lineRule="auto"/>
        <w:ind w:firstLine="560" w:firstLineChars="200"/>
        <w:jc w:val="left"/>
        <w:rPr>
          <w:rFonts w:ascii="仿宋_GB2312" w:hAnsi="仿宋" w:eastAsia="仿宋_GB2312" w:cs="宋体"/>
          <w:color w:val="333333"/>
          <w:kern w:val="0"/>
          <w:sz w:val="28"/>
          <w:szCs w:val="28"/>
        </w:rPr>
      </w:pPr>
      <w:r>
        <w:rPr>
          <w:rFonts w:hint="eastAsia" w:ascii="仿宋_GB2312" w:hAnsi="仿宋" w:eastAsia="仿宋_GB2312" w:cs="宋体"/>
          <w:color w:val="333333"/>
          <w:kern w:val="0"/>
          <w:sz w:val="28"/>
          <w:szCs w:val="28"/>
        </w:rPr>
        <w:t>1. 《</w:t>
      </w:r>
      <w:r>
        <w:rPr>
          <w:rFonts w:hint="eastAsia" w:ascii="仿宋_GB2312" w:hAnsi="宋体" w:eastAsia="仿宋_GB2312"/>
          <w:b/>
          <w:bCs/>
          <w:sz w:val="28"/>
          <w:szCs w:val="28"/>
        </w:rPr>
        <w:t>报价一览表</w:t>
      </w:r>
      <w:r>
        <w:rPr>
          <w:rFonts w:hint="eastAsia" w:ascii="仿宋_GB2312" w:hAnsi="仿宋" w:eastAsia="仿宋_GB2312" w:cs="宋体"/>
          <w:color w:val="333333"/>
          <w:kern w:val="0"/>
          <w:sz w:val="28"/>
          <w:szCs w:val="28"/>
        </w:rPr>
        <w:t>》</w:t>
      </w:r>
      <w:r>
        <w:rPr>
          <w:rFonts w:hint="eastAsia" w:ascii="仿宋_GB2312" w:hAnsi="宋体" w:eastAsia="仿宋_GB2312"/>
          <w:b/>
          <w:bCs/>
          <w:sz w:val="28"/>
          <w:szCs w:val="28"/>
        </w:rPr>
        <w:t>：</w:t>
      </w:r>
      <w:r>
        <w:rPr>
          <w:rFonts w:hint="eastAsia" w:ascii="仿宋_GB2312" w:hAnsi="仿宋" w:eastAsia="仿宋_GB2312" w:cs="宋体"/>
          <w:color w:val="333333"/>
          <w:kern w:val="0"/>
          <w:sz w:val="28"/>
          <w:szCs w:val="28"/>
        </w:rPr>
        <w:t>委托检验项目的综合检测服务费</w:t>
      </w:r>
      <w:r>
        <w:rPr>
          <w:rFonts w:hint="eastAsia" w:ascii="仿宋_GB2312" w:hAnsi="仿宋" w:eastAsia="仿宋_GB2312" w:cs="宋体"/>
          <w:color w:val="333333"/>
          <w:kern w:val="0"/>
          <w:sz w:val="28"/>
          <w:szCs w:val="28"/>
          <w:lang w:eastAsia="zh-CN"/>
        </w:rPr>
        <w:t>，</w:t>
      </w:r>
      <w:r>
        <w:rPr>
          <w:rFonts w:hint="eastAsia" w:ascii="仿宋_GB2312" w:hAnsi="仿宋" w:eastAsia="仿宋_GB2312" w:cs="宋体"/>
          <w:color w:val="333333"/>
          <w:kern w:val="0"/>
          <w:sz w:val="28"/>
          <w:szCs w:val="28"/>
        </w:rPr>
        <w:t>乙方按照江苏省物价部门规定的收费标准的</w:t>
      </w:r>
      <w:r>
        <w:rPr>
          <w:rFonts w:hint="eastAsia" w:ascii="仿宋_GB2312" w:hAnsi="仿宋" w:eastAsia="仿宋_GB2312" w:cs="宋体"/>
          <w:color w:val="333333"/>
          <w:kern w:val="0"/>
          <w:sz w:val="28"/>
          <w:szCs w:val="28"/>
          <w:u w:val="single"/>
        </w:rPr>
        <w:t xml:space="preserve">    </w:t>
      </w:r>
      <w:r>
        <w:rPr>
          <w:rFonts w:hint="eastAsia" w:ascii="仿宋_GB2312" w:hAnsi="仿宋" w:eastAsia="仿宋_GB2312" w:cs="宋体"/>
          <w:color w:val="333333"/>
          <w:kern w:val="0"/>
          <w:sz w:val="28"/>
          <w:szCs w:val="28"/>
        </w:rPr>
        <w:t>%向甲方结算检测服务费。结算方式：以投标费率*实际收费单价*数量按实结算。</w:t>
      </w:r>
    </w:p>
    <w:p w14:paraId="29C42063">
      <w:pPr>
        <w:tabs>
          <w:tab w:val="left" w:pos="426"/>
        </w:tabs>
        <w:spacing w:line="400" w:lineRule="exact"/>
        <w:jc w:val="left"/>
        <w:rPr>
          <w:rFonts w:ascii="仿宋_GB2312" w:hAnsi="宋体" w:eastAsia="仿宋_GB2312"/>
          <w:sz w:val="28"/>
          <w:szCs w:val="28"/>
        </w:rPr>
      </w:pPr>
      <w:r>
        <w:rPr>
          <w:rFonts w:hint="eastAsia" w:ascii="宋体" w:hAnsi="宋体"/>
          <w:sz w:val="28"/>
          <w:szCs w:val="28"/>
        </w:rPr>
        <w:t xml:space="preserve">   </w:t>
      </w:r>
      <w:r>
        <w:rPr>
          <w:rFonts w:hint="eastAsia" w:ascii="宋体" w:hAnsi="宋体"/>
          <w:b/>
          <w:sz w:val="28"/>
          <w:szCs w:val="28"/>
        </w:rPr>
        <w:t xml:space="preserve"> </w:t>
      </w:r>
      <w:r>
        <w:rPr>
          <w:rFonts w:hint="eastAsia" w:ascii="仿宋_GB2312" w:hAnsi="宋体" w:eastAsia="仿宋_GB2312"/>
          <w:b/>
          <w:sz w:val="28"/>
          <w:szCs w:val="28"/>
        </w:rPr>
        <w:t>2.</w:t>
      </w:r>
      <w:r>
        <w:rPr>
          <w:rFonts w:hint="eastAsia" w:ascii="仿宋_GB2312" w:hAnsi="宋体" w:eastAsia="仿宋_GB2312"/>
          <w:b/>
          <w:bCs/>
          <w:sz w:val="28"/>
          <w:szCs w:val="28"/>
        </w:rPr>
        <w:t xml:space="preserve"> 《服务承诺书》：</w:t>
      </w:r>
      <w:r>
        <w:rPr>
          <w:rFonts w:hint="eastAsia" w:ascii="仿宋_GB2312" w:hAnsi="宋体" w:eastAsia="仿宋_GB2312"/>
          <w:sz w:val="28"/>
          <w:szCs w:val="28"/>
        </w:rPr>
        <w:t>对检验项目的服务时间及服务质量承诺。</w:t>
      </w:r>
    </w:p>
    <w:p w14:paraId="09965D1D">
      <w:pPr>
        <w:ind w:firstLine="560" w:firstLineChars="200"/>
        <w:jc w:val="left"/>
        <w:outlineLvl w:val="0"/>
        <w:rPr>
          <w:rFonts w:ascii="仿宋_GB2312" w:hAnsi="宋体" w:eastAsia="仿宋_GB2312"/>
          <w:sz w:val="28"/>
          <w:szCs w:val="28"/>
        </w:rPr>
      </w:pPr>
      <w:r>
        <w:rPr>
          <w:rFonts w:hint="eastAsia" w:ascii="仿宋_GB2312" w:hAnsi="宋体" w:eastAsia="仿宋_GB2312"/>
          <w:sz w:val="28"/>
          <w:szCs w:val="28"/>
        </w:rPr>
        <w:t xml:space="preserve">3. </w:t>
      </w:r>
      <w:r>
        <w:rPr>
          <w:rFonts w:hint="eastAsia" w:ascii="仿宋_GB2312" w:hAnsi="宋体" w:eastAsia="仿宋_GB2312"/>
          <w:b/>
          <w:sz w:val="28"/>
          <w:szCs w:val="28"/>
        </w:rPr>
        <w:t>《</w:t>
      </w:r>
      <w:r>
        <w:rPr>
          <w:rFonts w:hint="eastAsia" w:ascii="仿宋_GB2312" w:hAnsi="宋体" w:eastAsia="仿宋_GB2312"/>
          <w:b/>
          <w:bCs/>
          <w:sz w:val="28"/>
          <w:szCs w:val="28"/>
        </w:rPr>
        <w:t>法定代表人授权委托书</w:t>
      </w:r>
      <w:r>
        <w:rPr>
          <w:rFonts w:hint="eastAsia" w:ascii="仿宋_GB2312" w:hAnsi="宋体" w:eastAsia="仿宋_GB2312"/>
          <w:b/>
          <w:sz w:val="28"/>
          <w:szCs w:val="28"/>
        </w:rPr>
        <w:t>》</w:t>
      </w:r>
      <w:r>
        <w:rPr>
          <w:rFonts w:hint="eastAsia" w:ascii="仿宋_GB2312" w:hAnsi="宋体" w:eastAsia="仿宋_GB2312"/>
          <w:sz w:val="28"/>
          <w:szCs w:val="28"/>
        </w:rPr>
        <w:t>：谈判人员需提供法人签署的法人代表授权书、身份证复印件等。</w:t>
      </w:r>
    </w:p>
    <w:p w14:paraId="109790C6">
      <w:pPr>
        <w:ind w:firstLine="560" w:firstLineChars="200"/>
        <w:jc w:val="left"/>
        <w:outlineLvl w:val="0"/>
        <w:rPr>
          <w:rFonts w:hint="eastAsia" w:ascii="仿宋_GB2312" w:hAnsi="宋体" w:eastAsia="仿宋_GB2312"/>
          <w:sz w:val="28"/>
          <w:szCs w:val="28"/>
          <w:lang w:eastAsia="zh-CN"/>
        </w:rPr>
      </w:pPr>
      <w:r>
        <w:rPr>
          <w:rFonts w:hint="eastAsia" w:ascii="仿宋_GB2312" w:hAnsi="宋体" w:eastAsia="仿宋_GB2312"/>
          <w:sz w:val="28"/>
          <w:szCs w:val="28"/>
        </w:rPr>
        <w:t>4.公司资格证件《营业执照》《医疗机构执业许可证》、投标人法定代表人身份证复印件（需加盖公章）</w:t>
      </w:r>
      <w:r>
        <w:rPr>
          <w:rFonts w:hint="eastAsia" w:ascii="仿宋_GB2312" w:hAnsi="宋体" w:eastAsia="仿宋_GB2312"/>
          <w:sz w:val="28"/>
          <w:szCs w:val="28"/>
          <w:lang w:eastAsia="zh-CN"/>
        </w:rPr>
        <w:t>。</w:t>
      </w:r>
    </w:p>
    <w:p w14:paraId="6A369601">
      <w:pPr>
        <w:ind w:firstLine="560" w:firstLineChars="200"/>
        <w:jc w:val="left"/>
        <w:outlineLvl w:val="0"/>
        <w:rPr>
          <w:rFonts w:ascii="仿宋_GB2312" w:hAnsi="宋体" w:eastAsia="仿宋_GB2312"/>
          <w:sz w:val="28"/>
          <w:szCs w:val="28"/>
        </w:rPr>
      </w:pPr>
      <w:r>
        <w:rPr>
          <w:rFonts w:hint="eastAsia" w:ascii="仿宋_GB2312" w:hAnsi="宋体" w:eastAsia="仿宋_GB2312"/>
          <w:sz w:val="28"/>
          <w:szCs w:val="28"/>
        </w:rPr>
        <w:t>5. 上文“二、资质要求”中需提供的相关证件资料等（需加盖公章）。</w:t>
      </w:r>
    </w:p>
    <w:p w14:paraId="35FE9768">
      <w:pPr>
        <w:ind w:firstLine="560" w:firstLineChars="200"/>
        <w:jc w:val="left"/>
        <w:outlineLvl w:val="0"/>
        <w:rPr>
          <w:rFonts w:hint="eastAsia" w:ascii="仿宋_GB2312" w:hAnsi="宋体" w:eastAsia="仿宋_GB2312"/>
          <w:sz w:val="28"/>
          <w:szCs w:val="28"/>
          <w:lang w:eastAsia="zh-CN"/>
        </w:rPr>
      </w:pPr>
      <w:r>
        <w:rPr>
          <w:rFonts w:hint="eastAsia" w:ascii="仿宋_GB2312" w:hAnsi="宋体" w:eastAsia="仿宋_GB2312"/>
          <w:sz w:val="28"/>
          <w:szCs w:val="28"/>
        </w:rPr>
        <w:t>6.本次外送检验项目的报告时限</w:t>
      </w:r>
      <w:r>
        <w:rPr>
          <w:rFonts w:hint="eastAsia" w:ascii="仿宋_GB2312" w:hAnsi="宋体" w:eastAsia="仿宋_GB2312"/>
          <w:sz w:val="28"/>
          <w:szCs w:val="28"/>
          <w:lang w:eastAsia="zh-CN"/>
        </w:rPr>
        <w:t>。</w:t>
      </w:r>
    </w:p>
    <w:p w14:paraId="7C1EC379">
      <w:pPr>
        <w:ind w:firstLine="560" w:firstLineChars="200"/>
        <w:jc w:val="left"/>
        <w:outlineLvl w:val="0"/>
        <w:rPr>
          <w:rFonts w:ascii="仿宋_GB2312" w:hAnsi="宋体" w:eastAsia="仿宋_GB2312"/>
          <w:sz w:val="28"/>
          <w:szCs w:val="28"/>
        </w:rPr>
      </w:pPr>
      <w:r>
        <w:rPr>
          <w:rFonts w:hint="eastAsia" w:ascii="仿宋_GB2312" w:hAnsi="宋体" w:eastAsia="仿宋_GB2312"/>
          <w:sz w:val="28"/>
          <w:szCs w:val="28"/>
        </w:rPr>
        <w:t>7.服务方案与评分标准中所要求提供的资料。</w:t>
      </w:r>
    </w:p>
    <w:p w14:paraId="62DBD7C4">
      <w:pPr>
        <w:ind w:firstLine="560" w:firstLineChars="200"/>
        <w:jc w:val="left"/>
        <w:outlineLvl w:val="0"/>
        <w:rPr>
          <w:rFonts w:ascii="仿宋_GB2312" w:hAnsi="宋体" w:eastAsia="仿宋_GB2312"/>
          <w:sz w:val="28"/>
          <w:szCs w:val="28"/>
        </w:rPr>
      </w:pPr>
      <w:r>
        <w:rPr>
          <w:rFonts w:hint="eastAsia" w:ascii="仿宋_GB2312" w:hAnsi="宋体" w:eastAsia="仿宋_GB2312"/>
          <w:sz w:val="28"/>
          <w:szCs w:val="28"/>
        </w:rPr>
        <w:t>8. 投标人认为需要提供的资料。</w:t>
      </w:r>
    </w:p>
    <w:p w14:paraId="2E1986CE">
      <w:pPr>
        <w:spacing w:line="360" w:lineRule="auto"/>
        <w:ind w:firstLine="562" w:firstLineChars="200"/>
        <w:jc w:val="left"/>
        <w:rPr>
          <w:rFonts w:ascii="宋体" w:hAnsi="宋体"/>
          <w:b/>
          <w:sz w:val="28"/>
          <w:szCs w:val="28"/>
        </w:rPr>
      </w:pPr>
      <w:r>
        <w:rPr>
          <w:rFonts w:hint="eastAsia" w:ascii="宋体" w:hAnsi="宋体"/>
          <w:b/>
          <w:sz w:val="28"/>
          <w:szCs w:val="28"/>
        </w:rPr>
        <w:t>上述材料请在投标文件中呈现，并编出目录与页码。</w:t>
      </w:r>
    </w:p>
    <w:p w14:paraId="66CCD7FD">
      <w:pPr>
        <w:spacing w:line="360" w:lineRule="auto"/>
        <w:ind w:firstLine="562" w:firstLineChars="200"/>
        <w:jc w:val="left"/>
        <w:rPr>
          <w:rFonts w:ascii="宋体" w:hAnsi="宋体"/>
          <w:b/>
          <w:sz w:val="28"/>
          <w:szCs w:val="28"/>
        </w:rPr>
      </w:pPr>
      <w:r>
        <w:rPr>
          <w:rFonts w:hint="eastAsia" w:ascii="宋体" w:hAnsi="宋体"/>
          <w:b/>
          <w:sz w:val="28"/>
          <w:szCs w:val="28"/>
        </w:rPr>
        <w:t>四、拒绝下述供应商参加本次采购活动：</w:t>
      </w:r>
    </w:p>
    <w:p w14:paraId="2360B185">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1.供应商单位负责人为同一人或者存在直接控股、管理关系的不同供应商，不得参加同一合同项下的采购活动。</w:t>
      </w:r>
    </w:p>
    <w:p w14:paraId="59BA67EE">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2. 供应商被“信用中国”网站（www.creditchina.gov.cn）、“中国政府采购网"(www.ccgp.gov.cn)列入失信被执行人、重大税收违法案件当事人名单、政府采购严重违法失信行为记录名单。</w:t>
      </w:r>
    </w:p>
    <w:p w14:paraId="74BA033F">
      <w:pPr>
        <w:spacing w:line="360" w:lineRule="auto"/>
        <w:ind w:firstLine="562" w:firstLineChars="200"/>
        <w:jc w:val="left"/>
        <w:rPr>
          <w:rFonts w:ascii="宋体" w:hAnsi="宋体"/>
          <w:b/>
          <w:sz w:val="28"/>
          <w:szCs w:val="28"/>
        </w:rPr>
      </w:pPr>
      <w:r>
        <w:rPr>
          <w:rFonts w:hint="eastAsia" w:ascii="宋体" w:hAnsi="宋体"/>
          <w:b/>
          <w:sz w:val="28"/>
          <w:szCs w:val="28"/>
        </w:rPr>
        <w:t>五、服务方案与评分标准：</w:t>
      </w:r>
    </w:p>
    <w:p w14:paraId="39C097D1">
      <w:pPr>
        <w:spacing w:line="36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1.投标报价： 30分</w:t>
      </w:r>
    </w:p>
    <w:p w14:paraId="1F73621D">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即满足招标文件要求且报价费率最低的供应商报价为评标基准费率价，其价格分为满分，其他投标人的价格分统一按照以下公式计算：投标报价得分=（评标基准费率报价/该投标人的投标费率报价）*30。</w:t>
      </w:r>
    </w:p>
    <w:p w14:paraId="2578C9AF">
      <w:pPr>
        <w:spacing w:line="520" w:lineRule="exact"/>
        <w:ind w:firstLine="551" w:firstLineChars="196"/>
        <w:rPr>
          <w:rFonts w:ascii="仿宋_GB2312" w:hAnsi="宋体" w:eastAsia="仿宋_GB2312"/>
          <w:b/>
          <w:bCs/>
          <w:color w:val="000000"/>
          <w:sz w:val="28"/>
          <w:szCs w:val="28"/>
        </w:rPr>
      </w:pPr>
      <w:r>
        <w:rPr>
          <w:rFonts w:hint="eastAsia" w:ascii="仿宋_GB2312" w:hAnsi="宋体" w:eastAsia="仿宋_GB2312"/>
          <w:b/>
          <w:bCs/>
          <w:color w:val="000000"/>
          <w:sz w:val="28"/>
          <w:szCs w:val="28"/>
        </w:rPr>
        <w:t>2.服务方案与评分标准：70分</w:t>
      </w:r>
    </w:p>
    <w:p w14:paraId="688474C2">
      <w:pPr>
        <w:spacing w:line="520" w:lineRule="exact"/>
        <w:ind w:firstLine="548" w:firstLineChars="196"/>
        <w:rPr>
          <w:rFonts w:ascii="宋体" w:hAnsi="宋体"/>
          <w:bCs/>
          <w:color w:val="000000"/>
          <w:sz w:val="28"/>
          <w:szCs w:val="28"/>
        </w:rPr>
      </w:pPr>
      <w:r>
        <w:rPr>
          <w:rFonts w:hint="eastAsia" w:ascii="仿宋_GB2312" w:hAnsi="宋体" w:eastAsia="仿宋_GB2312"/>
          <w:bCs/>
          <w:color w:val="000000"/>
          <w:sz w:val="28"/>
          <w:szCs w:val="28"/>
        </w:rPr>
        <w:t>根据投标人提供的服务方案</w:t>
      </w:r>
      <w:r>
        <w:rPr>
          <w:rFonts w:hint="eastAsia" w:ascii="仿宋_GB2312" w:hAnsi="宋体" w:eastAsia="仿宋_GB2312"/>
          <w:bCs/>
          <w:color w:val="000000"/>
          <w:sz w:val="28"/>
          <w:szCs w:val="28"/>
          <w:lang w:val="en-US" w:eastAsia="zh-CN"/>
        </w:rPr>
        <w:t>进行</w:t>
      </w:r>
      <w:r>
        <w:rPr>
          <w:rFonts w:hint="eastAsia" w:ascii="仿宋_GB2312" w:hAnsi="宋体" w:eastAsia="仿宋_GB2312"/>
          <w:bCs/>
          <w:color w:val="000000"/>
          <w:sz w:val="28"/>
          <w:szCs w:val="28"/>
        </w:rPr>
        <w:t>打分。方案包含以下内容：</w:t>
      </w:r>
      <w:r>
        <w:rPr>
          <w:rFonts w:hint="eastAsia" w:ascii="宋体" w:hAnsi="宋体"/>
          <w:bCs/>
          <w:color w:val="000000"/>
          <w:sz w:val="28"/>
          <w:szCs w:val="28"/>
        </w:rPr>
        <w:t xml:space="preserve"> </w:t>
      </w:r>
    </w:p>
    <w:tbl>
      <w:tblPr>
        <w:tblStyle w:val="16"/>
        <w:tblW w:w="505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2"/>
        <w:gridCol w:w="1558"/>
        <w:gridCol w:w="879"/>
        <w:gridCol w:w="2916"/>
        <w:gridCol w:w="2228"/>
      </w:tblGrid>
      <w:tr w14:paraId="108FA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042" w:type="dxa"/>
            <w:noWrap w:val="0"/>
            <w:vAlign w:val="center"/>
          </w:tcPr>
          <w:p w14:paraId="39D56577">
            <w:pPr>
              <w:widowControl/>
              <w:ind w:left="0" w:leftChars="0" w:firstLine="0" w:firstLineChars="0"/>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558" w:type="dxa"/>
            <w:noWrap w:val="0"/>
            <w:vAlign w:val="center"/>
          </w:tcPr>
          <w:p w14:paraId="045B8263">
            <w:pPr>
              <w:widowControl/>
              <w:ind w:left="0" w:leftChars="0" w:firstLine="0" w:firstLineChars="0"/>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评分因素</w:t>
            </w:r>
          </w:p>
        </w:tc>
        <w:tc>
          <w:tcPr>
            <w:tcW w:w="879" w:type="dxa"/>
            <w:noWrap w:val="0"/>
            <w:vAlign w:val="center"/>
          </w:tcPr>
          <w:p w14:paraId="10354FA1">
            <w:pPr>
              <w:widowControl/>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分值</w:t>
            </w:r>
          </w:p>
        </w:tc>
        <w:tc>
          <w:tcPr>
            <w:tcW w:w="2916" w:type="dxa"/>
            <w:noWrap w:val="0"/>
            <w:vAlign w:val="center"/>
          </w:tcPr>
          <w:p w14:paraId="40C497D5">
            <w:pPr>
              <w:widowControl/>
              <w:ind w:firstLine="663" w:firstLineChars="275"/>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评分标准</w:t>
            </w:r>
          </w:p>
        </w:tc>
        <w:tc>
          <w:tcPr>
            <w:tcW w:w="2228" w:type="dxa"/>
            <w:noWrap w:val="0"/>
            <w:vAlign w:val="center"/>
          </w:tcPr>
          <w:p w14:paraId="1F20EF9A">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说明</w:t>
            </w:r>
          </w:p>
        </w:tc>
      </w:tr>
      <w:tr w14:paraId="0B13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042" w:type="dxa"/>
            <w:tcBorders>
              <w:top w:val="single" w:color="auto" w:sz="4" w:space="0"/>
            </w:tcBorders>
            <w:noWrap w:val="0"/>
            <w:vAlign w:val="center"/>
          </w:tcPr>
          <w:p w14:paraId="23007B1C">
            <w:pPr>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p>
        </w:tc>
        <w:tc>
          <w:tcPr>
            <w:tcW w:w="1558" w:type="dxa"/>
            <w:tcBorders>
              <w:top w:val="single" w:color="auto" w:sz="4" w:space="0"/>
            </w:tcBorders>
            <w:noWrap w:val="0"/>
            <w:vAlign w:val="center"/>
          </w:tcPr>
          <w:p w14:paraId="49DF6575">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业绩</w:t>
            </w:r>
          </w:p>
        </w:tc>
        <w:tc>
          <w:tcPr>
            <w:tcW w:w="879" w:type="dxa"/>
            <w:tcBorders>
              <w:top w:val="single" w:color="auto" w:sz="4" w:space="0"/>
            </w:tcBorders>
            <w:noWrap w:val="0"/>
            <w:vAlign w:val="center"/>
          </w:tcPr>
          <w:p w14:paraId="6482EDFE">
            <w:pPr>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w:t>
            </w:r>
          </w:p>
        </w:tc>
        <w:tc>
          <w:tcPr>
            <w:tcW w:w="2916" w:type="dxa"/>
            <w:tcBorders>
              <w:top w:val="single" w:color="auto" w:sz="4" w:space="0"/>
            </w:tcBorders>
            <w:noWrap w:val="0"/>
            <w:vAlign w:val="center"/>
          </w:tcPr>
          <w:p w14:paraId="07669069">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自202</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年1月1日以来具有</w:t>
            </w:r>
            <w:r>
              <w:rPr>
                <w:rFonts w:hint="eastAsia" w:ascii="宋体" w:hAnsi="宋体" w:eastAsia="宋体" w:cs="宋体"/>
                <w:color w:val="auto"/>
                <w:kern w:val="0"/>
                <w:sz w:val="21"/>
                <w:szCs w:val="21"/>
                <w:highlight w:val="none"/>
                <w:lang w:val="en-US" w:eastAsia="zh-CN" w:bidi="ar"/>
              </w:rPr>
              <w:t>同类</w:t>
            </w:r>
            <w:r>
              <w:rPr>
                <w:rFonts w:hint="eastAsia" w:ascii="宋体" w:hAnsi="宋体" w:eastAsia="宋体" w:cs="宋体"/>
                <w:color w:val="auto"/>
                <w:kern w:val="0"/>
                <w:sz w:val="21"/>
                <w:szCs w:val="21"/>
                <w:highlight w:val="none"/>
                <w:lang w:bidi="ar"/>
              </w:rPr>
              <w:t>项目业绩，每有一个得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分，本项最高得</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w:t>
            </w:r>
          </w:p>
        </w:tc>
        <w:tc>
          <w:tcPr>
            <w:tcW w:w="2228" w:type="dxa"/>
            <w:tcBorders>
              <w:top w:val="single" w:color="auto" w:sz="4" w:space="0"/>
            </w:tcBorders>
            <w:noWrap w:val="0"/>
            <w:vAlign w:val="center"/>
          </w:tcPr>
          <w:p w14:paraId="7AB746EB">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提供合同</w:t>
            </w:r>
            <w:r>
              <w:rPr>
                <w:rFonts w:hint="eastAsia" w:ascii="宋体" w:hAnsi="宋体" w:eastAsia="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bidi="ar"/>
              </w:rPr>
              <w:t>件加盖</w:t>
            </w: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公章</w:t>
            </w:r>
          </w:p>
        </w:tc>
      </w:tr>
      <w:tr w14:paraId="732F8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042" w:type="dxa"/>
            <w:noWrap w:val="0"/>
            <w:vAlign w:val="center"/>
          </w:tcPr>
          <w:p w14:paraId="7571B81F">
            <w:pPr>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558" w:type="dxa"/>
            <w:noWrap w:val="0"/>
            <w:vAlign w:val="center"/>
          </w:tcPr>
          <w:p w14:paraId="299A832B">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履约能力</w:t>
            </w:r>
          </w:p>
        </w:tc>
        <w:tc>
          <w:tcPr>
            <w:tcW w:w="879" w:type="dxa"/>
            <w:noWrap w:val="0"/>
            <w:vAlign w:val="center"/>
          </w:tcPr>
          <w:p w14:paraId="445D63ED">
            <w:pPr>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p>
        </w:tc>
        <w:tc>
          <w:tcPr>
            <w:tcW w:w="2916" w:type="dxa"/>
            <w:noWrap w:val="0"/>
            <w:vAlign w:val="center"/>
          </w:tcPr>
          <w:p w14:paraId="79BC0ED9">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具有有效期内的ISO15189认证证书得</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p>
        </w:tc>
        <w:tc>
          <w:tcPr>
            <w:tcW w:w="2228" w:type="dxa"/>
            <w:noWrap w:val="0"/>
            <w:vAlign w:val="center"/>
          </w:tcPr>
          <w:p w14:paraId="3A87D024">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提供证书</w:t>
            </w:r>
            <w:r>
              <w:rPr>
                <w:rFonts w:hint="eastAsia" w:ascii="宋体" w:hAnsi="宋体" w:eastAsia="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bidi="ar"/>
              </w:rPr>
              <w:t>件及认监委网站“有效”截图</w:t>
            </w:r>
          </w:p>
        </w:tc>
      </w:tr>
      <w:tr w14:paraId="1160A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042" w:type="dxa"/>
            <w:noWrap w:val="0"/>
            <w:vAlign w:val="center"/>
          </w:tcPr>
          <w:p w14:paraId="361F5A02">
            <w:pPr>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1558" w:type="dxa"/>
            <w:noWrap w:val="0"/>
            <w:vAlign w:val="center"/>
          </w:tcPr>
          <w:p w14:paraId="61AF4712">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检测人员</w:t>
            </w:r>
            <w:r>
              <w:rPr>
                <w:rFonts w:hint="eastAsia" w:ascii="宋体" w:hAnsi="宋体" w:eastAsia="宋体" w:cs="宋体"/>
                <w:color w:val="auto"/>
                <w:kern w:val="0"/>
                <w:sz w:val="21"/>
                <w:szCs w:val="21"/>
                <w:highlight w:val="none"/>
                <w:lang w:bidi="ar"/>
              </w:rPr>
              <w:t>能力</w:t>
            </w:r>
          </w:p>
        </w:tc>
        <w:tc>
          <w:tcPr>
            <w:tcW w:w="879" w:type="dxa"/>
            <w:noWrap w:val="0"/>
            <w:vAlign w:val="center"/>
          </w:tcPr>
          <w:p w14:paraId="13A547B4">
            <w:pPr>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分</w:t>
            </w:r>
          </w:p>
        </w:tc>
        <w:tc>
          <w:tcPr>
            <w:tcW w:w="2916" w:type="dxa"/>
            <w:noWrap w:val="0"/>
            <w:vAlign w:val="center"/>
          </w:tcPr>
          <w:p w14:paraId="3110933D">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具备高级以上相关专业技术职称人员，每有一人得</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分，具备中级以上技术职称人员，每有一人得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分，最高得</w:t>
            </w: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分。</w:t>
            </w:r>
          </w:p>
        </w:tc>
        <w:tc>
          <w:tcPr>
            <w:tcW w:w="2228" w:type="dxa"/>
            <w:noWrap w:val="0"/>
            <w:vAlign w:val="center"/>
          </w:tcPr>
          <w:p w14:paraId="26DCC761">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提供人员职称证书</w:t>
            </w:r>
            <w:r>
              <w:rPr>
                <w:rFonts w:hint="eastAsia" w:ascii="宋体" w:hAnsi="宋体" w:eastAsia="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bidi="ar"/>
              </w:rPr>
              <w:t>件并加盖公章以及</w:t>
            </w: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为上述人员缴纳的近三个月中任意一个月的社保证明</w:t>
            </w:r>
            <w:r>
              <w:rPr>
                <w:rFonts w:hint="eastAsia" w:ascii="宋体" w:hAnsi="宋体" w:eastAsia="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bidi="ar"/>
              </w:rPr>
              <w:t>件（如所聘人员为退休返聘人员，须提供退休返聘员工劳动合同）。</w:t>
            </w:r>
          </w:p>
        </w:tc>
      </w:tr>
      <w:tr w14:paraId="439F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042" w:type="dxa"/>
            <w:vMerge w:val="restart"/>
            <w:noWrap w:val="0"/>
            <w:vAlign w:val="center"/>
          </w:tcPr>
          <w:p w14:paraId="02F95F49">
            <w:pPr>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558" w:type="dxa"/>
            <w:vMerge w:val="restart"/>
            <w:noWrap w:val="0"/>
            <w:vAlign w:val="center"/>
          </w:tcPr>
          <w:p w14:paraId="01798C61">
            <w:pPr>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物流保障能力</w:t>
            </w:r>
          </w:p>
        </w:tc>
        <w:tc>
          <w:tcPr>
            <w:tcW w:w="879" w:type="dxa"/>
            <w:vMerge w:val="restart"/>
            <w:noWrap w:val="0"/>
            <w:vAlign w:val="center"/>
          </w:tcPr>
          <w:p w14:paraId="63D0845E">
            <w:pPr>
              <w:ind w:left="0" w:leftChars="0" w:firstLine="220" w:firstLineChars="1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2916" w:type="dxa"/>
            <w:noWrap w:val="0"/>
            <w:vAlign w:val="center"/>
          </w:tcPr>
          <w:p w14:paraId="3C287947">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（或其全资控股或属同一母公司全资控股，提供相关证明材料）具有冷链运输资质，能提供冷链物流运输《营业执照》、《道路运输经营许可证》者得3分。</w:t>
            </w:r>
          </w:p>
        </w:tc>
        <w:tc>
          <w:tcPr>
            <w:tcW w:w="2228" w:type="dxa"/>
            <w:noWrap w:val="0"/>
            <w:vAlign w:val="center"/>
          </w:tcPr>
          <w:p w14:paraId="2F6EF4D9">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提供冷链物流运输《营业执照》、《道路运输经营许可证》</w:t>
            </w:r>
          </w:p>
        </w:tc>
      </w:tr>
      <w:tr w14:paraId="6BB6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042" w:type="dxa"/>
            <w:vMerge w:val="continue"/>
            <w:noWrap w:val="0"/>
            <w:vAlign w:val="center"/>
          </w:tcPr>
          <w:p w14:paraId="41B8021B">
            <w:pPr>
              <w:ind w:left="0" w:leftChars="0" w:firstLine="0" w:firstLineChars="0"/>
              <w:jc w:val="center"/>
              <w:rPr>
                <w:rFonts w:hint="eastAsia" w:ascii="宋体" w:hAnsi="宋体" w:eastAsia="宋体" w:cs="宋体"/>
                <w:color w:val="auto"/>
                <w:sz w:val="22"/>
                <w:szCs w:val="22"/>
                <w:highlight w:val="none"/>
              </w:rPr>
            </w:pPr>
          </w:p>
        </w:tc>
        <w:tc>
          <w:tcPr>
            <w:tcW w:w="1558" w:type="dxa"/>
            <w:vMerge w:val="continue"/>
            <w:noWrap w:val="0"/>
            <w:vAlign w:val="center"/>
          </w:tcPr>
          <w:p w14:paraId="4CCCF5B4">
            <w:pPr>
              <w:ind w:left="0" w:leftChars="0" w:firstLine="0" w:firstLineChars="0"/>
              <w:rPr>
                <w:rFonts w:hint="eastAsia" w:ascii="宋体" w:hAnsi="宋体" w:eastAsia="宋体" w:cs="宋体"/>
                <w:color w:val="auto"/>
                <w:sz w:val="22"/>
                <w:szCs w:val="22"/>
                <w:highlight w:val="none"/>
                <w:lang w:val="en-US" w:eastAsia="zh-CN"/>
              </w:rPr>
            </w:pPr>
          </w:p>
        </w:tc>
        <w:tc>
          <w:tcPr>
            <w:tcW w:w="879" w:type="dxa"/>
            <w:vMerge w:val="continue"/>
            <w:noWrap w:val="0"/>
            <w:vAlign w:val="center"/>
          </w:tcPr>
          <w:p w14:paraId="48DFD08A">
            <w:pPr>
              <w:ind w:left="0" w:leftChars="0" w:firstLine="0" w:firstLineChars="0"/>
              <w:jc w:val="center"/>
              <w:rPr>
                <w:rFonts w:hint="eastAsia" w:ascii="宋体" w:hAnsi="宋体" w:eastAsia="宋体" w:cs="宋体"/>
                <w:color w:val="auto"/>
                <w:sz w:val="22"/>
                <w:szCs w:val="22"/>
                <w:highlight w:val="none"/>
                <w:lang w:val="en-US" w:eastAsia="zh-CN"/>
              </w:rPr>
            </w:pPr>
          </w:p>
        </w:tc>
        <w:tc>
          <w:tcPr>
            <w:tcW w:w="2916" w:type="dxa"/>
            <w:noWrap w:val="0"/>
            <w:vAlign w:val="center"/>
          </w:tcPr>
          <w:p w14:paraId="190B2DA4">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具备完善的冷链运输体系及服务说明，拟在本地区投入专用运输冷链车，每提供一辆得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分，最高不超过</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c>
          <w:tcPr>
            <w:tcW w:w="2228" w:type="dxa"/>
            <w:noWrap w:val="0"/>
            <w:vAlign w:val="center"/>
          </w:tcPr>
          <w:p w14:paraId="1FAE93F5">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提供车辆行驶证、车辆照片及采购发票或采购合同、租赁合同</w:t>
            </w:r>
            <w:r>
              <w:rPr>
                <w:rFonts w:hint="eastAsia" w:ascii="宋体" w:hAnsi="宋体" w:eastAsia="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bidi="ar"/>
              </w:rPr>
              <w:t>件加盖</w:t>
            </w: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公章</w:t>
            </w:r>
          </w:p>
        </w:tc>
      </w:tr>
      <w:tr w14:paraId="463A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042" w:type="dxa"/>
            <w:noWrap w:val="0"/>
            <w:vAlign w:val="center"/>
          </w:tcPr>
          <w:p w14:paraId="25EE6528">
            <w:pPr>
              <w:widowControl/>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558" w:type="dxa"/>
            <w:noWrap w:val="0"/>
            <w:vAlign w:val="center"/>
          </w:tcPr>
          <w:p w14:paraId="3F24F2E8">
            <w:pPr>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1"/>
                <w:szCs w:val="21"/>
                <w:highlight w:val="none"/>
                <w:lang w:val="en-US" w:eastAsia="zh-CN" w:bidi="ar"/>
              </w:rPr>
              <w:t>科研能力</w:t>
            </w:r>
          </w:p>
        </w:tc>
        <w:tc>
          <w:tcPr>
            <w:tcW w:w="879" w:type="dxa"/>
            <w:noWrap w:val="0"/>
            <w:vAlign w:val="center"/>
          </w:tcPr>
          <w:p w14:paraId="61D73FE6">
            <w:pPr>
              <w:ind w:left="0" w:leftChars="0" w:firstLine="220" w:firstLineChars="1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2916" w:type="dxa"/>
            <w:noWrap w:val="0"/>
            <w:vAlign w:val="center"/>
          </w:tcPr>
          <w:p w14:paraId="70BAE2BD">
            <w:pPr>
              <w:ind w:firstLine="42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1"/>
                <w:szCs w:val="21"/>
                <w:highlight w:val="none"/>
                <w:lang w:bidi="ar"/>
              </w:rPr>
              <w:t>根据供应商</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bidi="ar"/>
              </w:rPr>
              <w:t>科研能力进行评分，有科研合作基础，科研能力强，主持或以合作单位参与的科研项目</w:t>
            </w:r>
            <w:r>
              <w:rPr>
                <w:rFonts w:hint="eastAsia" w:ascii="宋体" w:hAnsi="宋体" w:eastAsia="宋体" w:cs="宋体"/>
                <w:color w:val="auto"/>
                <w:kern w:val="0"/>
                <w:sz w:val="21"/>
                <w:szCs w:val="21"/>
                <w:highlight w:val="none"/>
                <w:lang w:val="en-US" w:eastAsia="zh-CN" w:bidi="ar"/>
              </w:rPr>
              <w:t>经验丰富，</w:t>
            </w:r>
            <w:r>
              <w:rPr>
                <w:rFonts w:hint="eastAsia" w:ascii="宋体" w:hAnsi="宋体" w:eastAsia="宋体" w:cs="宋体"/>
                <w:color w:val="auto"/>
                <w:kern w:val="0"/>
                <w:sz w:val="21"/>
                <w:szCs w:val="21"/>
                <w:highlight w:val="none"/>
                <w:lang w:bidi="ar"/>
              </w:rPr>
              <w:t>且承诺如采购人有需求可与采购人共同合作开展科研项目的，得</w:t>
            </w: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bidi="ar"/>
              </w:rPr>
              <w:t>分；投标人科研能力较强，主持或以合作单位参与的科研项目</w:t>
            </w:r>
            <w:r>
              <w:rPr>
                <w:rFonts w:hint="eastAsia" w:ascii="宋体" w:hAnsi="宋体" w:eastAsia="宋体" w:cs="宋体"/>
                <w:color w:val="auto"/>
                <w:kern w:val="0"/>
                <w:sz w:val="21"/>
                <w:szCs w:val="21"/>
                <w:highlight w:val="none"/>
                <w:lang w:val="en-US" w:eastAsia="zh-CN" w:bidi="ar"/>
              </w:rPr>
              <w:t>经验较多</w:t>
            </w:r>
            <w:r>
              <w:rPr>
                <w:rFonts w:hint="eastAsia" w:ascii="宋体" w:hAnsi="宋体" w:eastAsia="宋体" w:cs="宋体"/>
                <w:color w:val="auto"/>
                <w:kern w:val="0"/>
                <w:sz w:val="21"/>
                <w:szCs w:val="21"/>
                <w:highlight w:val="none"/>
                <w:lang w:bidi="ar"/>
              </w:rPr>
              <w:t>，承诺如采购人有需求可与采购人共同合作开展科研项目的，得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分；投标人科研能力一般，主持或以合作单位参与的科研项目</w:t>
            </w:r>
            <w:r>
              <w:rPr>
                <w:rFonts w:hint="eastAsia" w:ascii="宋体" w:hAnsi="宋体" w:eastAsia="宋体" w:cs="宋体"/>
                <w:color w:val="auto"/>
                <w:kern w:val="0"/>
                <w:sz w:val="21"/>
                <w:szCs w:val="21"/>
                <w:highlight w:val="none"/>
                <w:lang w:val="en-US" w:eastAsia="zh-CN" w:bidi="ar"/>
              </w:rPr>
              <w:t>经验较少</w:t>
            </w:r>
            <w:r>
              <w:rPr>
                <w:rFonts w:hint="eastAsia" w:ascii="宋体" w:hAnsi="宋体" w:eastAsia="宋体" w:cs="宋体"/>
                <w:color w:val="auto"/>
                <w:kern w:val="0"/>
                <w:sz w:val="21"/>
                <w:szCs w:val="21"/>
                <w:highlight w:val="none"/>
                <w:lang w:bidi="ar"/>
              </w:rPr>
              <w:t>，承诺如采购人有需求可与采购人共同合作开展科研项目的，得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分；投标人</w:t>
            </w:r>
            <w:r>
              <w:rPr>
                <w:rFonts w:hint="eastAsia" w:ascii="宋体" w:hAnsi="宋体" w:eastAsia="宋体" w:cs="宋体"/>
                <w:color w:val="auto"/>
                <w:kern w:val="0"/>
                <w:sz w:val="21"/>
                <w:szCs w:val="21"/>
                <w:highlight w:val="none"/>
                <w:lang w:val="en-US" w:eastAsia="zh-CN" w:bidi="ar"/>
              </w:rPr>
              <w:t>无相关</w:t>
            </w:r>
            <w:r>
              <w:rPr>
                <w:rFonts w:hint="eastAsia" w:ascii="宋体" w:hAnsi="宋体" w:eastAsia="宋体" w:cs="宋体"/>
                <w:color w:val="auto"/>
                <w:kern w:val="0"/>
                <w:sz w:val="21"/>
                <w:szCs w:val="21"/>
                <w:highlight w:val="none"/>
                <w:lang w:bidi="ar"/>
              </w:rPr>
              <w:t>科研能力，无主持或以合作单位参与的科研项目的，不得分。</w:t>
            </w:r>
          </w:p>
        </w:tc>
        <w:tc>
          <w:tcPr>
            <w:tcW w:w="2228" w:type="dxa"/>
            <w:noWrap w:val="0"/>
            <w:vAlign w:val="center"/>
          </w:tcPr>
          <w:p w14:paraId="7CD2AEEF">
            <w:pPr>
              <w:ind w:firstLine="42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1"/>
                <w:szCs w:val="21"/>
                <w:highlight w:val="none"/>
                <w:lang w:bidi="ar"/>
              </w:rPr>
              <w:t>提供科研合作研究项目等证明材料</w:t>
            </w:r>
            <w:r>
              <w:rPr>
                <w:rFonts w:hint="eastAsia" w:ascii="宋体" w:hAnsi="宋体" w:eastAsia="宋体" w:cs="宋体"/>
                <w:color w:val="auto"/>
                <w:kern w:val="0"/>
                <w:sz w:val="21"/>
                <w:szCs w:val="21"/>
                <w:highlight w:val="none"/>
                <w:lang w:val="en-US" w:eastAsia="zh-CN" w:bidi="ar"/>
              </w:rPr>
              <w:t>及承诺函</w:t>
            </w:r>
            <w:r>
              <w:rPr>
                <w:rFonts w:hint="eastAsia" w:ascii="宋体" w:hAnsi="宋体" w:eastAsia="宋体" w:cs="宋体"/>
                <w:color w:val="auto"/>
                <w:kern w:val="0"/>
                <w:sz w:val="21"/>
                <w:szCs w:val="21"/>
                <w:highlight w:val="none"/>
                <w:lang w:bidi="ar"/>
              </w:rPr>
              <w:t>，必须体现投标人单位名称，否则不得分</w:t>
            </w:r>
          </w:p>
        </w:tc>
      </w:tr>
      <w:tr w14:paraId="17BF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0" w:hRule="atLeast"/>
          <w:jc w:val="center"/>
        </w:trPr>
        <w:tc>
          <w:tcPr>
            <w:tcW w:w="1042" w:type="dxa"/>
            <w:noWrap w:val="0"/>
            <w:vAlign w:val="center"/>
          </w:tcPr>
          <w:p w14:paraId="13B8B91A">
            <w:pPr>
              <w:ind w:firstLine="42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p>
        </w:tc>
        <w:tc>
          <w:tcPr>
            <w:tcW w:w="1558" w:type="dxa"/>
            <w:noWrap w:val="0"/>
            <w:vAlign w:val="center"/>
          </w:tcPr>
          <w:p w14:paraId="2779D858">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检测方案</w:t>
            </w:r>
          </w:p>
        </w:tc>
        <w:tc>
          <w:tcPr>
            <w:tcW w:w="879" w:type="dxa"/>
            <w:noWrap w:val="0"/>
            <w:vAlign w:val="center"/>
          </w:tcPr>
          <w:p w14:paraId="7224F73F">
            <w:pPr>
              <w:ind w:left="0" w:leftChars="0" w:firstLine="210"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tc>
        <w:tc>
          <w:tcPr>
            <w:tcW w:w="2916" w:type="dxa"/>
            <w:noWrap w:val="0"/>
            <w:vAlign w:val="top"/>
          </w:tcPr>
          <w:p w14:paraId="69506E9C">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根据本项目实际需求及自身情况提供检测方案，包括服务流程、特色服务、安全保障等。</w:t>
            </w:r>
          </w:p>
          <w:p w14:paraId="4F9B6F19">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检测方案详细完整，科学合理，实施方法可行性强的得</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 xml:space="preserve">分； </w:t>
            </w:r>
          </w:p>
          <w:p w14:paraId="36BEB48F">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检测方案较为详细案完整，较为科学合理，实施方法可行性较强的得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p w14:paraId="765B1FC8">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检测方案一般，科学合理性一般，实施方法可行性一般的得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1A1291D6">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未提供不得分。</w:t>
            </w:r>
          </w:p>
        </w:tc>
        <w:tc>
          <w:tcPr>
            <w:tcW w:w="2228" w:type="dxa"/>
            <w:noWrap w:val="0"/>
            <w:vAlign w:val="center"/>
          </w:tcPr>
          <w:p w14:paraId="5A03DC49">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w:t>
            </w:r>
          </w:p>
        </w:tc>
      </w:tr>
      <w:tr w14:paraId="375D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0" w:hRule="atLeast"/>
          <w:jc w:val="center"/>
        </w:trPr>
        <w:tc>
          <w:tcPr>
            <w:tcW w:w="1042" w:type="dxa"/>
            <w:noWrap w:val="0"/>
            <w:vAlign w:val="center"/>
          </w:tcPr>
          <w:p w14:paraId="499CA511">
            <w:pPr>
              <w:ind w:firstLine="42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p>
        </w:tc>
        <w:tc>
          <w:tcPr>
            <w:tcW w:w="1558" w:type="dxa"/>
            <w:noWrap w:val="0"/>
            <w:vAlign w:val="center"/>
          </w:tcPr>
          <w:p w14:paraId="721E6387">
            <w:pPr>
              <w:ind w:left="0" w:leftChars="0"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质量控制方案</w:t>
            </w:r>
          </w:p>
        </w:tc>
        <w:tc>
          <w:tcPr>
            <w:tcW w:w="879" w:type="dxa"/>
            <w:noWrap w:val="0"/>
            <w:vAlign w:val="center"/>
          </w:tcPr>
          <w:p w14:paraId="0DE8C423">
            <w:pPr>
              <w:ind w:left="0" w:leftChars="0" w:firstLine="210"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tc>
        <w:tc>
          <w:tcPr>
            <w:tcW w:w="2916" w:type="dxa"/>
            <w:noWrap w:val="0"/>
            <w:vAlign w:val="center"/>
          </w:tcPr>
          <w:p w14:paraId="5309A4A9">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根据本项目实际需求及自身情况提供质量控制方案，包括结果报告质量控制体系、保障措施、异常报告和报告异议处理流程、解决措施等。</w:t>
            </w:r>
          </w:p>
          <w:p w14:paraId="35656EFB">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方案内容具体可行得</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p w14:paraId="46FF99D3">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方案内容比较详细可行性一般得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p w14:paraId="79436F68">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方案内容一般得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35A3DED2">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未提供不得分。</w:t>
            </w:r>
          </w:p>
        </w:tc>
        <w:tc>
          <w:tcPr>
            <w:tcW w:w="2228" w:type="dxa"/>
            <w:noWrap w:val="0"/>
            <w:vAlign w:val="center"/>
          </w:tcPr>
          <w:p w14:paraId="54349CE6">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w:t>
            </w:r>
          </w:p>
        </w:tc>
      </w:tr>
      <w:tr w14:paraId="715C8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1042" w:type="dxa"/>
            <w:noWrap w:val="0"/>
            <w:vAlign w:val="center"/>
          </w:tcPr>
          <w:p w14:paraId="2E9636C3">
            <w:pPr>
              <w:ind w:firstLine="42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p>
        </w:tc>
        <w:tc>
          <w:tcPr>
            <w:tcW w:w="1558" w:type="dxa"/>
            <w:noWrap w:val="0"/>
            <w:vAlign w:val="center"/>
          </w:tcPr>
          <w:p w14:paraId="3AFD818C">
            <w:pPr>
              <w:ind w:left="0" w:leftChars="0" w:firstLine="210" w:firstLineChars="1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医疗风险方案</w:t>
            </w:r>
          </w:p>
        </w:tc>
        <w:tc>
          <w:tcPr>
            <w:tcW w:w="879" w:type="dxa"/>
            <w:noWrap w:val="0"/>
            <w:vAlign w:val="center"/>
          </w:tcPr>
          <w:p w14:paraId="4196329C">
            <w:pPr>
              <w:ind w:left="0" w:leftChars="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tc>
        <w:tc>
          <w:tcPr>
            <w:tcW w:w="2916" w:type="dxa"/>
            <w:noWrap w:val="0"/>
            <w:vAlign w:val="center"/>
          </w:tcPr>
          <w:p w14:paraId="7E9BFA59">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根据本项目实际需求及自身情况提供医疗风险方案，包括差错事故及意外事件处理流程、处罚结果等。</w:t>
            </w:r>
          </w:p>
          <w:p w14:paraId="00AE4C3B">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方案合理，拟定的事故发生概率高，与之相对的处理方案可行合理，响应时间最短的得</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p w14:paraId="43495BE0">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方案较合理可行，拟定的事故发生概率较高，与之相对的处理方案较可行合理，响应时间较短得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p w14:paraId="0FD1E6A3">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方案一般简略得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5280E3B1">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未提供不得分。</w:t>
            </w:r>
          </w:p>
        </w:tc>
        <w:tc>
          <w:tcPr>
            <w:tcW w:w="2228" w:type="dxa"/>
            <w:noWrap w:val="0"/>
            <w:vAlign w:val="center"/>
          </w:tcPr>
          <w:p w14:paraId="1227EB02">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w:t>
            </w:r>
          </w:p>
        </w:tc>
      </w:tr>
      <w:tr w14:paraId="706A3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1042" w:type="dxa"/>
            <w:noWrap w:val="0"/>
            <w:vAlign w:val="center"/>
          </w:tcPr>
          <w:p w14:paraId="43B5E677">
            <w:pPr>
              <w:ind w:firstLine="42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p>
        </w:tc>
        <w:tc>
          <w:tcPr>
            <w:tcW w:w="1558" w:type="dxa"/>
            <w:noWrap w:val="0"/>
            <w:vAlign w:val="center"/>
          </w:tcPr>
          <w:p w14:paraId="2DEC2034">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应急预案</w:t>
            </w:r>
          </w:p>
        </w:tc>
        <w:tc>
          <w:tcPr>
            <w:tcW w:w="879" w:type="dxa"/>
            <w:noWrap w:val="0"/>
            <w:vAlign w:val="center"/>
          </w:tcPr>
          <w:p w14:paraId="07CDC0DA">
            <w:pPr>
              <w:ind w:left="0" w:leftChars="0" w:firstLine="0" w:firstLineChars="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tc>
        <w:tc>
          <w:tcPr>
            <w:tcW w:w="2916" w:type="dxa"/>
            <w:noWrap w:val="0"/>
            <w:vAlign w:val="center"/>
          </w:tcPr>
          <w:p w14:paraId="452EEABB">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根据本项目实际需求及自身情况提供应急预案，包括加急标本、突发事件等。</w:t>
            </w:r>
          </w:p>
          <w:p w14:paraId="3739C66D">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方案合理，拟定的事故发生概率高，与之相对的处理方案可行合理，响应时间最短的得</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p w14:paraId="5C361786">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方案较合理可行，拟定的事故发生概率较高，与之相对的处理方案较可行合理，响应时间较短得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p w14:paraId="265D712B">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方案一般简略得1分；</w:t>
            </w:r>
          </w:p>
          <w:p w14:paraId="4B0429AE">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未提供不得分。</w:t>
            </w:r>
          </w:p>
        </w:tc>
        <w:tc>
          <w:tcPr>
            <w:tcW w:w="2228" w:type="dxa"/>
            <w:noWrap w:val="0"/>
            <w:vAlign w:val="center"/>
          </w:tcPr>
          <w:p w14:paraId="0656D589">
            <w:pPr>
              <w:ind w:firstLine="420" w:firstLineChars="0"/>
              <w:rPr>
                <w:rFonts w:hint="eastAsia" w:ascii="宋体" w:hAnsi="宋体" w:eastAsia="宋体" w:cs="宋体"/>
                <w:color w:val="auto"/>
                <w:kern w:val="0"/>
                <w:sz w:val="21"/>
                <w:szCs w:val="21"/>
                <w:highlight w:val="none"/>
                <w:lang w:bidi="ar"/>
              </w:rPr>
            </w:pPr>
          </w:p>
        </w:tc>
      </w:tr>
      <w:tr w14:paraId="5703E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1042" w:type="dxa"/>
            <w:noWrap w:val="0"/>
            <w:vAlign w:val="center"/>
          </w:tcPr>
          <w:p w14:paraId="1349D5F3">
            <w:pPr>
              <w:ind w:firstLine="42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1558" w:type="dxa"/>
            <w:noWrap w:val="0"/>
            <w:vAlign w:val="center"/>
          </w:tcPr>
          <w:p w14:paraId="53B85DB1">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信息化服务</w:t>
            </w:r>
          </w:p>
        </w:tc>
        <w:tc>
          <w:tcPr>
            <w:tcW w:w="879" w:type="dxa"/>
            <w:noWrap w:val="0"/>
            <w:vAlign w:val="center"/>
          </w:tcPr>
          <w:p w14:paraId="0068CD4B">
            <w:pPr>
              <w:ind w:left="0" w:leftChars="0" w:firstLine="210"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tc>
        <w:tc>
          <w:tcPr>
            <w:tcW w:w="2916" w:type="dxa"/>
            <w:noWrap w:val="0"/>
            <w:vAlign w:val="center"/>
          </w:tcPr>
          <w:p w14:paraId="762AB0D9">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信息化服务方案</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包括但不限于通过各种手段查询检测结果、可提供电子检测报告、检测结果同步上传相关平台等信息化手段</w:t>
            </w:r>
          </w:p>
          <w:p w14:paraId="059F253E">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案中体现的检测结果查询手段多、信息化水平高、可操作性强得</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p w14:paraId="21E6ECF3">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方案中检测结果查询手段较多、信息化水平较高、可操作性较强得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p w14:paraId="5B1E7352">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方案基本满足项目需求、具备可操作性得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519F8B91">
            <w:pPr>
              <w:ind w:firstLine="42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未提供不得分</w:t>
            </w:r>
            <w:r>
              <w:rPr>
                <w:rFonts w:hint="eastAsia" w:ascii="宋体" w:hAnsi="宋体" w:eastAsia="宋体" w:cs="宋体"/>
                <w:color w:val="auto"/>
                <w:kern w:val="0"/>
                <w:sz w:val="21"/>
                <w:szCs w:val="21"/>
                <w:highlight w:val="none"/>
                <w:lang w:bidi="ar"/>
              </w:rPr>
              <w:t>。</w:t>
            </w:r>
          </w:p>
        </w:tc>
        <w:tc>
          <w:tcPr>
            <w:tcW w:w="2228" w:type="dxa"/>
            <w:noWrap w:val="0"/>
            <w:vAlign w:val="center"/>
          </w:tcPr>
          <w:p w14:paraId="37C640B7">
            <w:pPr>
              <w:ind w:firstLine="420" w:firstLineChars="0"/>
              <w:rPr>
                <w:rFonts w:hint="eastAsia" w:ascii="宋体" w:hAnsi="宋体" w:eastAsia="宋体" w:cs="宋体"/>
                <w:color w:val="auto"/>
                <w:kern w:val="0"/>
                <w:sz w:val="21"/>
                <w:szCs w:val="21"/>
                <w:highlight w:val="none"/>
                <w:lang w:bidi="ar"/>
              </w:rPr>
            </w:pPr>
          </w:p>
        </w:tc>
      </w:tr>
      <w:tr w14:paraId="0BD8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2600" w:type="dxa"/>
            <w:gridSpan w:val="2"/>
            <w:noWrap w:val="0"/>
            <w:vAlign w:val="center"/>
          </w:tcPr>
          <w:p w14:paraId="6D89FFF2">
            <w:pPr>
              <w:ind w:firstLine="42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合计</w:t>
            </w:r>
          </w:p>
        </w:tc>
        <w:tc>
          <w:tcPr>
            <w:tcW w:w="879" w:type="dxa"/>
            <w:noWrap w:val="0"/>
            <w:vAlign w:val="center"/>
          </w:tcPr>
          <w:p w14:paraId="68F20B44">
            <w:pPr>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70分</w:t>
            </w:r>
          </w:p>
        </w:tc>
        <w:tc>
          <w:tcPr>
            <w:tcW w:w="2916" w:type="dxa"/>
            <w:noWrap w:val="0"/>
            <w:vAlign w:val="center"/>
          </w:tcPr>
          <w:p w14:paraId="05C9174C">
            <w:pPr>
              <w:ind w:firstLine="420" w:firstLineChars="0"/>
              <w:rPr>
                <w:rFonts w:hint="eastAsia" w:ascii="宋体" w:hAnsi="宋体" w:eastAsia="宋体" w:cs="宋体"/>
                <w:color w:val="auto"/>
                <w:kern w:val="0"/>
                <w:sz w:val="21"/>
                <w:szCs w:val="21"/>
                <w:highlight w:val="none"/>
                <w:lang w:val="en-US" w:eastAsia="zh-CN" w:bidi="ar"/>
              </w:rPr>
            </w:pPr>
          </w:p>
        </w:tc>
        <w:tc>
          <w:tcPr>
            <w:tcW w:w="2228" w:type="dxa"/>
            <w:noWrap w:val="0"/>
            <w:vAlign w:val="center"/>
          </w:tcPr>
          <w:p w14:paraId="0A0050EC">
            <w:pPr>
              <w:ind w:firstLine="420" w:firstLineChars="0"/>
              <w:rPr>
                <w:rFonts w:hint="eastAsia" w:ascii="宋体" w:hAnsi="宋体" w:eastAsia="宋体" w:cs="宋体"/>
                <w:color w:val="auto"/>
                <w:kern w:val="0"/>
                <w:sz w:val="21"/>
                <w:szCs w:val="21"/>
                <w:highlight w:val="none"/>
                <w:lang w:bidi="ar"/>
              </w:rPr>
            </w:pPr>
          </w:p>
        </w:tc>
      </w:tr>
    </w:tbl>
    <w:p w14:paraId="6D9BB0A5">
      <w:pPr>
        <w:spacing w:line="360" w:lineRule="auto"/>
        <w:ind w:firstLine="562" w:firstLineChars="200"/>
        <w:jc w:val="left"/>
        <w:rPr>
          <w:rFonts w:ascii="宋体" w:hAnsi="宋体"/>
          <w:b/>
          <w:sz w:val="28"/>
          <w:szCs w:val="28"/>
        </w:rPr>
      </w:pPr>
    </w:p>
    <w:p w14:paraId="7C679F4F">
      <w:pPr>
        <w:spacing w:line="360" w:lineRule="auto"/>
        <w:ind w:firstLine="562" w:firstLineChars="200"/>
        <w:jc w:val="left"/>
        <w:rPr>
          <w:rFonts w:ascii="仿宋_GB2312" w:hAnsi="宋体" w:eastAsia="仿宋_GB2312"/>
          <w:sz w:val="28"/>
          <w:szCs w:val="28"/>
        </w:rPr>
      </w:pPr>
      <w:r>
        <w:rPr>
          <w:rFonts w:hint="eastAsia" w:ascii="仿宋_GB2312" w:hAnsi="宋体" w:eastAsia="仿宋_GB2312"/>
          <w:b/>
          <w:sz w:val="28"/>
          <w:szCs w:val="28"/>
        </w:rPr>
        <w:t>六、付款方式：</w:t>
      </w:r>
      <w:r>
        <w:rPr>
          <w:rFonts w:hint="eastAsia" w:ascii="仿宋_GB2312" w:hAnsi="宋体" w:eastAsia="仿宋_GB2312"/>
          <w:sz w:val="28"/>
          <w:szCs w:val="28"/>
        </w:rPr>
        <w:t>按月凭有关检测证据结算。</w:t>
      </w:r>
    </w:p>
    <w:p w14:paraId="32DA3242">
      <w:pPr>
        <w:spacing w:line="360" w:lineRule="auto"/>
        <w:ind w:firstLine="562" w:firstLineChars="200"/>
        <w:jc w:val="left"/>
        <w:rPr>
          <w:rFonts w:ascii="仿宋_GB2312" w:hAnsi="宋体" w:eastAsia="仿宋_GB2312"/>
          <w:sz w:val="28"/>
          <w:szCs w:val="28"/>
        </w:rPr>
      </w:pPr>
      <w:r>
        <w:rPr>
          <w:rFonts w:hint="eastAsia" w:ascii="仿宋_GB2312" w:hAnsi="宋体" w:eastAsia="仿宋_GB2312"/>
          <w:b/>
          <w:sz w:val="28"/>
          <w:szCs w:val="28"/>
        </w:rPr>
        <w:t>七、</w:t>
      </w:r>
      <w:r>
        <w:rPr>
          <w:rFonts w:hint="eastAsia" w:ascii="仿宋_GB2312" w:hAnsi="宋体" w:eastAsia="仿宋_GB2312"/>
          <w:sz w:val="28"/>
          <w:szCs w:val="28"/>
        </w:rPr>
        <w:t>以上条款，请认真阅读，标书请提供正本一份，副本四份标</w:t>
      </w:r>
      <w:bookmarkStart w:id="0" w:name="_GoBack"/>
      <w:bookmarkEnd w:id="0"/>
      <w:r>
        <w:rPr>
          <w:rFonts w:hint="eastAsia" w:ascii="仿宋_GB2312" w:hAnsi="宋体" w:eastAsia="仿宋_GB2312"/>
          <w:sz w:val="28"/>
          <w:szCs w:val="28"/>
        </w:rPr>
        <w:t>书在202</w:t>
      </w:r>
      <w:r>
        <w:rPr>
          <w:rFonts w:hint="eastAsia" w:ascii="仿宋_GB2312" w:hAnsi="宋体" w:eastAsia="仿宋_GB2312"/>
          <w:sz w:val="28"/>
          <w:szCs w:val="28"/>
          <w:lang w:val="en-US" w:eastAsia="zh-CN"/>
        </w:rPr>
        <w:t>5</w:t>
      </w:r>
      <w:r>
        <w:rPr>
          <w:rFonts w:hint="eastAsia" w:ascii="仿宋_GB2312" w:hAnsi="宋体" w:eastAsia="仿宋_GB2312"/>
          <w:sz w:val="28"/>
          <w:szCs w:val="28"/>
        </w:rPr>
        <w:t>年</w:t>
      </w:r>
      <w:r>
        <w:rPr>
          <w:rFonts w:hint="eastAsia" w:ascii="仿宋_GB2312" w:hAnsi="宋体" w:eastAsia="仿宋_GB2312"/>
          <w:sz w:val="28"/>
          <w:szCs w:val="28"/>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lang w:val="en-US" w:eastAsia="zh-CN"/>
        </w:rPr>
        <w:t>24</w:t>
      </w:r>
      <w:r>
        <w:rPr>
          <w:rFonts w:hint="eastAsia" w:ascii="仿宋_GB2312" w:hAnsi="宋体" w:eastAsia="仿宋_GB2312"/>
          <w:sz w:val="28"/>
          <w:szCs w:val="28"/>
        </w:rPr>
        <w:t>日下午</w:t>
      </w:r>
      <w:r>
        <w:rPr>
          <w:rFonts w:hint="eastAsia" w:ascii="仿宋_GB2312" w:hAnsi="宋体" w:eastAsia="仿宋_GB2312"/>
          <w:sz w:val="28"/>
          <w:szCs w:val="28"/>
          <w:lang w:val="en-US" w:eastAsia="zh-CN"/>
        </w:rPr>
        <w:t>14</w:t>
      </w:r>
      <w:r>
        <w:rPr>
          <w:rFonts w:hint="eastAsia" w:ascii="仿宋_GB2312" w:hAnsi="宋体" w:eastAsia="仿宋_GB2312"/>
          <w:sz w:val="28"/>
          <w:szCs w:val="28"/>
        </w:rPr>
        <w:t>:00前密封盖章送达谈判地点扬州大学附属医院西区医院行政楼</w:t>
      </w:r>
      <w:r>
        <w:rPr>
          <w:rFonts w:hint="eastAsia" w:ascii="仿宋_GB2312" w:hAnsi="宋体" w:eastAsia="仿宋_GB2312"/>
          <w:sz w:val="28"/>
          <w:szCs w:val="28"/>
          <w:lang w:val="en-US" w:eastAsia="zh-CN"/>
        </w:rPr>
        <w:t>407</w:t>
      </w:r>
      <w:r>
        <w:rPr>
          <w:rFonts w:hint="eastAsia" w:ascii="仿宋_GB2312" w:hAnsi="宋体" w:eastAsia="仿宋_GB2312"/>
          <w:sz w:val="28"/>
          <w:szCs w:val="28"/>
        </w:rPr>
        <w:t>会议室，逾期将不予接收。</w:t>
      </w:r>
    </w:p>
    <w:p w14:paraId="45644B13">
      <w:pPr>
        <w:spacing w:line="36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八、以上所需资料如需在</w:t>
      </w:r>
      <w:r>
        <w:rPr>
          <w:rFonts w:hint="eastAsia" w:ascii="仿宋_GB2312" w:hAnsi="宋体" w:eastAsia="仿宋_GB2312"/>
          <w:b/>
          <w:sz w:val="28"/>
          <w:szCs w:val="28"/>
          <w:lang w:val="en-US" w:eastAsia="zh-CN"/>
        </w:rPr>
        <w:t>谈判</w:t>
      </w:r>
      <w:r>
        <w:rPr>
          <w:rFonts w:hint="eastAsia" w:ascii="仿宋_GB2312" w:hAnsi="宋体" w:eastAsia="仿宋_GB2312"/>
          <w:b/>
          <w:sz w:val="28"/>
          <w:szCs w:val="28"/>
        </w:rPr>
        <w:t>后补正均须能够提供原件备查，</w:t>
      </w:r>
      <w:r>
        <w:rPr>
          <w:rFonts w:hint="eastAsia" w:ascii="仿宋_GB2312" w:hAnsi="宋体" w:eastAsia="仿宋_GB2312"/>
          <w:b/>
          <w:sz w:val="28"/>
          <w:szCs w:val="28"/>
          <w:lang w:val="en-US" w:eastAsia="zh-CN"/>
        </w:rPr>
        <w:t>谈判文件</w:t>
      </w:r>
      <w:r>
        <w:rPr>
          <w:rFonts w:hint="eastAsia" w:ascii="仿宋_GB2312" w:hAnsi="宋体" w:eastAsia="仿宋_GB2312"/>
          <w:b/>
          <w:sz w:val="28"/>
          <w:szCs w:val="28"/>
        </w:rPr>
        <w:t>内容不全或不能满足采购要求的作无效</w:t>
      </w:r>
      <w:r>
        <w:rPr>
          <w:rFonts w:hint="eastAsia" w:ascii="仿宋_GB2312" w:hAnsi="宋体" w:eastAsia="仿宋_GB2312"/>
          <w:b/>
          <w:sz w:val="28"/>
          <w:szCs w:val="28"/>
          <w:lang w:val="en-US" w:eastAsia="zh-CN"/>
        </w:rPr>
        <w:t>谈判</w:t>
      </w:r>
      <w:r>
        <w:rPr>
          <w:rFonts w:hint="eastAsia" w:ascii="仿宋_GB2312" w:hAnsi="宋体" w:eastAsia="仿宋_GB2312"/>
          <w:b/>
          <w:sz w:val="28"/>
          <w:szCs w:val="28"/>
        </w:rPr>
        <w:t>文件。</w:t>
      </w:r>
    </w:p>
    <w:p w14:paraId="408461F0">
      <w:pPr>
        <w:widowControl/>
        <w:shd w:val="clear" w:color="auto" w:fill="FFFFFF"/>
        <w:spacing w:line="440" w:lineRule="atLeast"/>
        <w:ind w:firstLine="420" w:firstLineChars="200"/>
        <w:jc w:val="left"/>
        <w:rPr>
          <w:rFonts w:ascii="Calibri" w:hAnsi="Calibri" w:eastAsia="微软雅黑" w:cs="Calibri"/>
          <w:color w:val="333333"/>
          <w:kern w:val="0"/>
          <w:szCs w:val="21"/>
        </w:rPr>
      </w:pPr>
    </w:p>
    <w:p w14:paraId="586CC855">
      <w:pPr>
        <w:jc w:val="both"/>
        <w:outlineLvl w:val="0"/>
        <w:rPr>
          <w:rFonts w:ascii="宋体" w:hAnsi="宋体"/>
          <w:b/>
          <w:bCs/>
          <w:sz w:val="28"/>
          <w:szCs w:val="28"/>
        </w:rPr>
      </w:pPr>
    </w:p>
    <w:p w14:paraId="433F2D0C">
      <w:pPr>
        <w:jc w:val="center"/>
        <w:outlineLvl w:val="0"/>
        <w:rPr>
          <w:rFonts w:ascii="宋体" w:hAnsi="宋体"/>
          <w:b/>
          <w:bCs/>
          <w:sz w:val="28"/>
          <w:szCs w:val="28"/>
        </w:rPr>
      </w:pPr>
    </w:p>
    <w:p w14:paraId="318ADF08">
      <w:pPr>
        <w:jc w:val="center"/>
        <w:outlineLvl w:val="0"/>
        <w:rPr>
          <w:rFonts w:ascii="宋体" w:hAnsi="宋体"/>
          <w:b/>
          <w:bCs/>
          <w:sz w:val="28"/>
          <w:szCs w:val="28"/>
        </w:rPr>
      </w:pPr>
      <w:r>
        <w:rPr>
          <w:rFonts w:hint="eastAsia" w:ascii="宋体" w:hAnsi="宋体"/>
          <w:b/>
          <w:bCs/>
          <w:sz w:val="28"/>
          <w:szCs w:val="28"/>
        </w:rPr>
        <w:t>报价一览表</w:t>
      </w:r>
    </w:p>
    <w:p w14:paraId="0477948F">
      <w:pPr>
        <w:jc w:val="center"/>
        <w:outlineLvl w:val="0"/>
        <w:rPr>
          <w:rFonts w:ascii="宋体" w:hAnsi="宋体"/>
          <w:b/>
          <w:bCs/>
          <w:sz w:val="28"/>
          <w:szCs w:val="28"/>
        </w:rPr>
      </w:pPr>
    </w:p>
    <w:tbl>
      <w:tblPr>
        <w:tblStyle w:val="16"/>
        <w:tblW w:w="9220" w:type="dxa"/>
        <w:tblInd w:w="93" w:type="dxa"/>
        <w:tblLayout w:type="fixed"/>
        <w:tblCellMar>
          <w:top w:w="0" w:type="dxa"/>
          <w:left w:w="108" w:type="dxa"/>
          <w:bottom w:w="0" w:type="dxa"/>
          <w:right w:w="108" w:type="dxa"/>
        </w:tblCellMar>
      </w:tblPr>
      <w:tblGrid>
        <w:gridCol w:w="819"/>
        <w:gridCol w:w="1834"/>
        <w:gridCol w:w="4347"/>
        <w:gridCol w:w="2220"/>
      </w:tblGrid>
      <w:tr w14:paraId="45DF45BF">
        <w:tblPrEx>
          <w:tblCellMar>
            <w:top w:w="0" w:type="dxa"/>
            <w:left w:w="108" w:type="dxa"/>
            <w:bottom w:w="0" w:type="dxa"/>
            <w:right w:w="108" w:type="dxa"/>
          </w:tblCellMar>
        </w:tblPrEx>
        <w:trPr>
          <w:trHeight w:val="121" w:hRule="atLeast"/>
        </w:trPr>
        <w:tc>
          <w:tcPr>
            <w:tcW w:w="2653" w:type="dxa"/>
            <w:gridSpan w:val="2"/>
            <w:tcBorders>
              <w:top w:val="single" w:color="auto" w:sz="4" w:space="0"/>
              <w:left w:val="single" w:color="auto" w:sz="4" w:space="0"/>
              <w:bottom w:val="single" w:color="auto" w:sz="4" w:space="0"/>
              <w:right w:val="single" w:color="auto" w:sz="4" w:space="0"/>
            </w:tcBorders>
            <w:vAlign w:val="center"/>
          </w:tcPr>
          <w:p w14:paraId="7358BA3F">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项目名称</w:t>
            </w:r>
          </w:p>
        </w:tc>
        <w:tc>
          <w:tcPr>
            <w:tcW w:w="6567" w:type="dxa"/>
            <w:gridSpan w:val="2"/>
            <w:tcBorders>
              <w:top w:val="single" w:color="auto" w:sz="4" w:space="0"/>
              <w:left w:val="nil"/>
              <w:bottom w:val="single" w:color="auto" w:sz="4" w:space="0"/>
              <w:right w:val="single" w:color="auto" w:sz="4" w:space="0"/>
            </w:tcBorders>
            <w:vAlign w:val="center"/>
          </w:tcPr>
          <w:p w14:paraId="05E4C003">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扬州大学附属医院临床检验外送服务项目</w:t>
            </w:r>
          </w:p>
        </w:tc>
      </w:tr>
      <w:tr w14:paraId="69C7BF9A">
        <w:tblPrEx>
          <w:tblCellMar>
            <w:top w:w="0" w:type="dxa"/>
            <w:left w:w="108" w:type="dxa"/>
            <w:bottom w:w="0" w:type="dxa"/>
            <w:right w:w="108" w:type="dxa"/>
          </w:tblCellMar>
        </w:tblPrEx>
        <w:trPr>
          <w:trHeight w:val="543" w:hRule="atLeast"/>
        </w:trPr>
        <w:tc>
          <w:tcPr>
            <w:tcW w:w="819" w:type="dxa"/>
            <w:tcBorders>
              <w:top w:val="nil"/>
              <w:left w:val="single" w:color="auto" w:sz="4" w:space="0"/>
              <w:bottom w:val="single" w:color="auto" w:sz="4" w:space="0"/>
              <w:right w:val="single" w:color="auto" w:sz="4" w:space="0"/>
            </w:tcBorders>
            <w:vAlign w:val="center"/>
          </w:tcPr>
          <w:p w14:paraId="414BCAB4">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1834" w:type="dxa"/>
            <w:tcBorders>
              <w:top w:val="nil"/>
              <w:left w:val="nil"/>
              <w:bottom w:val="single" w:color="auto" w:sz="4" w:space="0"/>
              <w:right w:val="single" w:color="auto" w:sz="4" w:space="0"/>
            </w:tcBorders>
            <w:vAlign w:val="center"/>
          </w:tcPr>
          <w:p w14:paraId="008F5DC8">
            <w:pPr>
              <w:spacing w:line="360" w:lineRule="auto"/>
              <w:jc w:val="center"/>
              <w:rPr>
                <w:rFonts w:ascii="宋体" w:hAnsi="宋体" w:cs="宋体"/>
                <w:bCs/>
                <w:color w:val="000000"/>
                <w:kern w:val="0"/>
                <w:sz w:val="24"/>
              </w:rPr>
            </w:pPr>
            <w:r>
              <w:rPr>
                <w:rFonts w:hint="eastAsia" w:ascii="宋体" w:hAnsi="宋体" w:cs="宋体"/>
                <w:bCs/>
                <w:color w:val="000000"/>
                <w:kern w:val="0"/>
                <w:sz w:val="24"/>
              </w:rPr>
              <w:t>投标项目</w:t>
            </w:r>
          </w:p>
        </w:tc>
        <w:tc>
          <w:tcPr>
            <w:tcW w:w="4347" w:type="dxa"/>
            <w:tcBorders>
              <w:top w:val="nil"/>
              <w:left w:val="nil"/>
              <w:bottom w:val="single" w:color="auto" w:sz="4" w:space="0"/>
              <w:right w:val="single" w:color="auto" w:sz="4" w:space="0"/>
            </w:tcBorders>
            <w:vAlign w:val="center"/>
          </w:tcPr>
          <w:p w14:paraId="050BD0E9">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服务费率</w:t>
            </w:r>
          </w:p>
        </w:tc>
        <w:tc>
          <w:tcPr>
            <w:tcW w:w="2220" w:type="dxa"/>
            <w:tcBorders>
              <w:top w:val="nil"/>
              <w:left w:val="nil"/>
              <w:bottom w:val="single" w:color="auto" w:sz="4" w:space="0"/>
              <w:right w:val="single" w:color="auto" w:sz="4" w:space="0"/>
            </w:tcBorders>
            <w:vAlign w:val="center"/>
          </w:tcPr>
          <w:p w14:paraId="58152E50">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服务周期</w:t>
            </w:r>
          </w:p>
        </w:tc>
      </w:tr>
      <w:tr w14:paraId="5AE94B28">
        <w:tblPrEx>
          <w:tblCellMar>
            <w:top w:w="0" w:type="dxa"/>
            <w:left w:w="108" w:type="dxa"/>
            <w:bottom w:w="0" w:type="dxa"/>
            <w:right w:w="108" w:type="dxa"/>
          </w:tblCellMar>
        </w:tblPrEx>
        <w:trPr>
          <w:trHeight w:val="1282" w:hRule="atLeast"/>
        </w:trPr>
        <w:tc>
          <w:tcPr>
            <w:tcW w:w="819" w:type="dxa"/>
            <w:tcBorders>
              <w:top w:val="single" w:color="auto" w:sz="4" w:space="0"/>
              <w:left w:val="single" w:color="auto" w:sz="4" w:space="0"/>
              <w:bottom w:val="single" w:color="auto" w:sz="4" w:space="0"/>
              <w:right w:val="single" w:color="auto" w:sz="4" w:space="0"/>
            </w:tcBorders>
            <w:vAlign w:val="center"/>
          </w:tcPr>
          <w:p w14:paraId="01D29BF1">
            <w:pPr>
              <w:spacing w:line="360" w:lineRule="auto"/>
              <w:jc w:val="center"/>
              <w:rPr>
                <w:rFonts w:hint="eastAsia" w:ascii="宋体" w:hAnsi="宋体" w:cs="宋体" w:eastAsiaTheme="minorEastAsia"/>
                <w:bCs/>
                <w:color w:val="000000"/>
                <w:kern w:val="0"/>
                <w:sz w:val="24"/>
                <w:lang w:eastAsia="zh-CN"/>
              </w:rPr>
            </w:pPr>
            <w:r>
              <w:rPr>
                <w:rFonts w:hint="eastAsia" w:ascii="宋体" w:hAnsi="宋体" w:cs="宋体"/>
                <w:bCs/>
                <w:color w:val="000000"/>
                <w:kern w:val="0"/>
                <w:sz w:val="24"/>
                <w:lang w:val="en-US" w:eastAsia="zh-CN"/>
              </w:rPr>
              <w:t>1</w:t>
            </w:r>
          </w:p>
        </w:tc>
        <w:tc>
          <w:tcPr>
            <w:tcW w:w="1834" w:type="dxa"/>
            <w:tcBorders>
              <w:top w:val="single" w:color="auto" w:sz="4" w:space="0"/>
              <w:left w:val="single" w:color="auto" w:sz="4" w:space="0"/>
              <w:bottom w:val="single" w:color="auto" w:sz="4" w:space="0"/>
              <w:right w:val="single" w:color="auto" w:sz="4" w:space="0"/>
            </w:tcBorders>
            <w:vAlign w:val="center"/>
          </w:tcPr>
          <w:p w14:paraId="134001CD">
            <w:pPr>
              <w:spacing w:line="360" w:lineRule="auto"/>
              <w:jc w:val="center"/>
              <w:rPr>
                <w:rFonts w:ascii="宋体" w:hAnsi="宋体" w:cs="宋体"/>
                <w:bCs/>
                <w:color w:val="000000"/>
                <w:kern w:val="0"/>
                <w:szCs w:val="21"/>
              </w:rPr>
            </w:pPr>
            <w:r>
              <w:rPr>
                <w:rFonts w:hint="eastAsia" w:ascii="仿宋_GB2312" w:hAnsi="仿宋" w:eastAsia="仿宋_GB2312"/>
                <w:color w:val="333333"/>
                <w:sz w:val="24"/>
                <w:szCs w:val="24"/>
                <w:lang w:val="en-US" w:eastAsia="zh-CN"/>
              </w:rPr>
              <w:t>高血压病因筛查质谱法外送检验</w:t>
            </w:r>
            <w:r>
              <w:rPr>
                <w:rFonts w:hint="eastAsia" w:ascii="仿宋" w:hAnsi="仿宋" w:eastAsia="仿宋" w:cs="仿宋"/>
                <w:sz w:val="24"/>
                <w:szCs w:val="24"/>
              </w:rPr>
              <w:t>项目</w:t>
            </w:r>
          </w:p>
        </w:tc>
        <w:tc>
          <w:tcPr>
            <w:tcW w:w="4347" w:type="dxa"/>
            <w:tcBorders>
              <w:top w:val="single" w:color="auto" w:sz="4" w:space="0"/>
              <w:left w:val="single" w:color="auto" w:sz="4" w:space="0"/>
              <w:bottom w:val="single" w:color="auto" w:sz="4" w:space="0"/>
              <w:right w:val="single" w:color="auto" w:sz="4" w:space="0"/>
            </w:tcBorders>
            <w:vAlign w:val="center"/>
          </w:tcPr>
          <w:p w14:paraId="5D13650E">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 xml:space="preserve">物价收费标准的 </w:t>
            </w:r>
            <w:r>
              <w:rPr>
                <w:rFonts w:hint="eastAsia" w:ascii="宋体" w:hAnsi="宋体" w:cs="宋体"/>
                <w:bCs/>
                <w:color w:val="000000"/>
                <w:kern w:val="0"/>
                <w:sz w:val="24"/>
                <w:u w:val="single"/>
              </w:rPr>
              <w:t xml:space="preserve">  　 </w:t>
            </w:r>
            <w:r>
              <w:rPr>
                <w:rFonts w:hint="eastAsia" w:ascii="宋体" w:hAnsi="宋体" w:cs="宋体"/>
                <w:bCs/>
                <w:color w:val="000000"/>
                <w:kern w:val="0"/>
                <w:sz w:val="24"/>
              </w:rPr>
              <w:t>（小写）</w:t>
            </w:r>
          </w:p>
          <w:p w14:paraId="756F2FA7">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 xml:space="preserve">物价收费标准的 </w:t>
            </w:r>
            <w:r>
              <w:rPr>
                <w:rFonts w:hint="eastAsia" w:ascii="宋体" w:hAnsi="宋体" w:cs="宋体"/>
                <w:bCs/>
                <w:color w:val="000000"/>
                <w:kern w:val="0"/>
                <w:sz w:val="24"/>
                <w:u w:val="single"/>
              </w:rPr>
              <w:t xml:space="preserve">  　 </w:t>
            </w:r>
            <w:r>
              <w:rPr>
                <w:rFonts w:hint="eastAsia" w:ascii="宋体" w:hAnsi="宋体" w:cs="宋体"/>
                <w:bCs/>
                <w:color w:val="000000"/>
                <w:kern w:val="0"/>
                <w:sz w:val="24"/>
              </w:rPr>
              <w:t>（大写）</w:t>
            </w:r>
          </w:p>
        </w:tc>
        <w:tc>
          <w:tcPr>
            <w:tcW w:w="2220" w:type="dxa"/>
            <w:tcBorders>
              <w:top w:val="single" w:color="auto" w:sz="4" w:space="0"/>
              <w:left w:val="single" w:color="auto" w:sz="4" w:space="0"/>
              <w:bottom w:val="single" w:color="auto" w:sz="4" w:space="0"/>
              <w:right w:val="single" w:color="auto" w:sz="4" w:space="0"/>
            </w:tcBorders>
            <w:vAlign w:val="center"/>
          </w:tcPr>
          <w:p w14:paraId="54F17CD9">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2年</w:t>
            </w:r>
          </w:p>
        </w:tc>
      </w:tr>
      <w:tr w14:paraId="18A11293">
        <w:tblPrEx>
          <w:tblCellMar>
            <w:top w:w="0" w:type="dxa"/>
            <w:left w:w="108" w:type="dxa"/>
            <w:bottom w:w="0" w:type="dxa"/>
            <w:right w:w="108" w:type="dxa"/>
          </w:tblCellMar>
        </w:tblPrEx>
        <w:trPr>
          <w:trHeight w:val="1282" w:hRule="atLeast"/>
        </w:trPr>
        <w:tc>
          <w:tcPr>
            <w:tcW w:w="819" w:type="dxa"/>
            <w:tcBorders>
              <w:top w:val="single" w:color="auto" w:sz="4" w:space="0"/>
              <w:left w:val="single" w:color="auto" w:sz="4" w:space="0"/>
              <w:bottom w:val="single" w:color="auto" w:sz="4" w:space="0"/>
              <w:right w:val="single" w:color="auto" w:sz="4" w:space="0"/>
            </w:tcBorders>
            <w:vAlign w:val="center"/>
          </w:tcPr>
          <w:p w14:paraId="38593A37">
            <w:pPr>
              <w:spacing w:line="360" w:lineRule="auto"/>
              <w:jc w:val="center"/>
              <w:rPr>
                <w:rFonts w:ascii="宋体" w:hAnsi="宋体" w:cs="宋体"/>
                <w:bCs/>
                <w:color w:val="000000"/>
                <w:kern w:val="0"/>
                <w:sz w:val="24"/>
              </w:rPr>
            </w:pPr>
          </w:p>
        </w:tc>
        <w:tc>
          <w:tcPr>
            <w:tcW w:w="1834" w:type="dxa"/>
            <w:tcBorders>
              <w:top w:val="single" w:color="auto" w:sz="4" w:space="0"/>
              <w:left w:val="single" w:color="auto" w:sz="4" w:space="0"/>
              <w:bottom w:val="single" w:color="auto" w:sz="4" w:space="0"/>
              <w:right w:val="single" w:color="auto" w:sz="4" w:space="0"/>
            </w:tcBorders>
            <w:vAlign w:val="center"/>
          </w:tcPr>
          <w:p w14:paraId="38BFFCD1">
            <w:pPr>
              <w:spacing w:line="360" w:lineRule="auto"/>
              <w:jc w:val="center"/>
              <w:rPr>
                <w:rFonts w:ascii="仿宋" w:hAnsi="仿宋" w:eastAsia="仿宋"/>
                <w:color w:val="333333"/>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179BA8D6">
            <w:pPr>
              <w:widowControl/>
              <w:spacing w:line="360" w:lineRule="auto"/>
              <w:jc w:val="center"/>
              <w:rPr>
                <w:rFonts w:ascii="宋体" w:hAnsi="宋体" w:cs="宋体"/>
                <w:bCs/>
                <w:color w:val="000000"/>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41E58C94">
            <w:pPr>
              <w:widowControl/>
              <w:spacing w:line="360" w:lineRule="auto"/>
              <w:jc w:val="center"/>
              <w:rPr>
                <w:rFonts w:ascii="宋体" w:hAnsi="宋体" w:cs="宋体"/>
                <w:bCs/>
                <w:color w:val="000000"/>
                <w:kern w:val="0"/>
                <w:sz w:val="24"/>
              </w:rPr>
            </w:pPr>
          </w:p>
        </w:tc>
      </w:tr>
      <w:tr w14:paraId="1E680657">
        <w:tblPrEx>
          <w:tblCellMar>
            <w:top w:w="0" w:type="dxa"/>
            <w:left w:w="108" w:type="dxa"/>
            <w:bottom w:w="0" w:type="dxa"/>
            <w:right w:w="108" w:type="dxa"/>
          </w:tblCellMar>
        </w:tblPrEx>
        <w:trPr>
          <w:trHeight w:val="1282" w:hRule="atLeast"/>
        </w:trPr>
        <w:tc>
          <w:tcPr>
            <w:tcW w:w="819" w:type="dxa"/>
            <w:tcBorders>
              <w:top w:val="single" w:color="auto" w:sz="4" w:space="0"/>
              <w:left w:val="single" w:color="auto" w:sz="4" w:space="0"/>
              <w:bottom w:val="single" w:color="auto" w:sz="4" w:space="0"/>
              <w:right w:val="single" w:color="auto" w:sz="4" w:space="0"/>
            </w:tcBorders>
            <w:vAlign w:val="center"/>
          </w:tcPr>
          <w:p w14:paraId="1410F35C">
            <w:pPr>
              <w:spacing w:line="360" w:lineRule="auto"/>
              <w:jc w:val="center"/>
              <w:rPr>
                <w:rFonts w:ascii="宋体" w:hAnsi="宋体" w:cs="宋体"/>
                <w:bCs/>
                <w:color w:val="000000"/>
                <w:kern w:val="0"/>
                <w:sz w:val="24"/>
              </w:rPr>
            </w:pPr>
          </w:p>
        </w:tc>
        <w:tc>
          <w:tcPr>
            <w:tcW w:w="1834" w:type="dxa"/>
            <w:tcBorders>
              <w:top w:val="single" w:color="auto" w:sz="4" w:space="0"/>
              <w:left w:val="single" w:color="auto" w:sz="4" w:space="0"/>
              <w:bottom w:val="single" w:color="auto" w:sz="4" w:space="0"/>
              <w:right w:val="single" w:color="auto" w:sz="4" w:space="0"/>
            </w:tcBorders>
            <w:vAlign w:val="center"/>
          </w:tcPr>
          <w:p w14:paraId="281C0EE3">
            <w:pPr>
              <w:spacing w:line="360" w:lineRule="auto"/>
              <w:jc w:val="center"/>
              <w:rPr>
                <w:rFonts w:ascii="仿宋" w:hAnsi="仿宋" w:eastAsia="仿宋"/>
                <w:color w:val="333333"/>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6A2AA34D">
            <w:pPr>
              <w:widowControl/>
              <w:spacing w:line="360" w:lineRule="auto"/>
              <w:jc w:val="center"/>
              <w:rPr>
                <w:rFonts w:ascii="宋体" w:hAnsi="宋体" w:cs="宋体"/>
                <w:bCs/>
                <w:color w:val="000000"/>
                <w:kern w:val="0"/>
                <w:sz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730DD7CE">
            <w:pPr>
              <w:widowControl/>
              <w:spacing w:line="360" w:lineRule="auto"/>
              <w:jc w:val="center"/>
              <w:rPr>
                <w:rFonts w:ascii="宋体" w:hAnsi="宋体" w:cs="宋体"/>
                <w:bCs/>
                <w:color w:val="000000"/>
                <w:kern w:val="0"/>
                <w:sz w:val="24"/>
              </w:rPr>
            </w:pPr>
          </w:p>
        </w:tc>
      </w:tr>
    </w:tbl>
    <w:p w14:paraId="1A1CDFAD">
      <w:pPr>
        <w:adjustRightInd w:val="0"/>
        <w:spacing w:line="400" w:lineRule="exact"/>
        <w:jc w:val="left"/>
        <w:rPr>
          <w:rFonts w:ascii="宋体" w:hAnsi="宋体" w:eastAsia="宋体" w:cs="宋体"/>
          <w:b/>
          <w:bCs/>
          <w:kern w:val="0"/>
          <w:sz w:val="24"/>
          <w:szCs w:val="24"/>
        </w:rPr>
      </w:pPr>
    </w:p>
    <w:p w14:paraId="6C3B041E">
      <w:pPr>
        <w:adjustRightInd w:val="0"/>
        <w:spacing w:line="400" w:lineRule="exact"/>
        <w:ind w:firstLine="3960" w:firstLineChars="1650"/>
        <w:jc w:val="left"/>
        <w:rPr>
          <w:rFonts w:ascii="宋体" w:hAnsi="宋体"/>
          <w:color w:val="000000"/>
          <w:sz w:val="24"/>
        </w:rPr>
      </w:pPr>
      <w:r>
        <w:rPr>
          <w:rFonts w:hint="eastAsia" w:ascii="宋体" w:hAnsi="宋体"/>
          <w:color w:val="000000"/>
          <w:sz w:val="24"/>
        </w:rPr>
        <w:t>投标人：              （盖章）</w:t>
      </w:r>
    </w:p>
    <w:p w14:paraId="02393635">
      <w:pPr>
        <w:adjustRightInd w:val="0"/>
        <w:spacing w:line="400" w:lineRule="exact"/>
        <w:ind w:firstLine="3960" w:firstLineChars="1650"/>
        <w:jc w:val="left"/>
        <w:rPr>
          <w:rFonts w:ascii="宋体" w:hAnsi="宋体"/>
          <w:color w:val="000000"/>
          <w:sz w:val="24"/>
        </w:rPr>
      </w:pPr>
      <w:r>
        <w:rPr>
          <w:rFonts w:hint="eastAsia" w:ascii="宋体" w:hAnsi="宋体"/>
          <w:color w:val="000000"/>
          <w:sz w:val="24"/>
        </w:rPr>
        <w:t>法定代表人或代理人：    （签字或盖章）</w:t>
      </w:r>
    </w:p>
    <w:p w14:paraId="52620D98">
      <w:pPr>
        <w:adjustRightInd w:val="0"/>
        <w:spacing w:line="400" w:lineRule="exact"/>
        <w:ind w:firstLine="6120" w:firstLineChars="2550"/>
        <w:jc w:val="left"/>
        <w:rPr>
          <w:rFonts w:ascii="宋体" w:hAnsi="宋体"/>
          <w:color w:val="000000"/>
          <w:sz w:val="24"/>
        </w:rPr>
      </w:pPr>
      <w:r>
        <w:rPr>
          <w:rFonts w:hint="eastAsia" w:ascii="宋体" w:hAnsi="宋体"/>
          <w:color w:val="000000"/>
          <w:sz w:val="24"/>
        </w:rPr>
        <w:t>日期：</w:t>
      </w:r>
    </w:p>
    <w:p w14:paraId="2D9D99AE">
      <w:pPr>
        <w:spacing w:line="400" w:lineRule="exact"/>
        <w:jc w:val="center"/>
        <w:rPr>
          <w:rFonts w:ascii="宋体" w:hAnsi="宋体"/>
          <w:b/>
          <w:bCs/>
          <w:sz w:val="28"/>
          <w:szCs w:val="28"/>
        </w:rPr>
      </w:pPr>
    </w:p>
    <w:p w14:paraId="3323DC80">
      <w:pPr>
        <w:spacing w:line="400" w:lineRule="exact"/>
        <w:jc w:val="center"/>
        <w:rPr>
          <w:rFonts w:ascii="宋体" w:hAnsi="宋体"/>
          <w:b/>
          <w:bCs/>
          <w:sz w:val="28"/>
          <w:szCs w:val="28"/>
        </w:rPr>
      </w:pPr>
    </w:p>
    <w:p w14:paraId="21F90828">
      <w:pPr>
        <w:spacing w:line="400" w:lineRule="exact"/>
        <w:jc w:val="center"/>
        <w:rPr>
          <w:rFonts w:ascii="宋体" w:hAnsi="宋体"/>
          <w:b/>
          <w:bCs/>
          <w:sz w:val="28"/>
          <w:szCs w:val="28"/>
        </w:rPr>
      </w:pPr>
    </w:p>
    <w:p w14:paraId="5553A08C">
      <w:pPr>
        <w:spacing w:line="400" w:lineRule="exact"/>
        <w:jc w:val="center"/>
        <w:rPr>
          <w:rFonts w:ascii="宋体" w:hAnsi="宋体"/>
          <w:b/>
          <w:bCs/>
          <w:sz w:val="28"/>
          <w:szCs w:val="28"/>
        </w:rPr>
      </w:pPr>
    </w:p>
    <w:p w14:paraId="3A8D0369">
      <w:pPr>
        <w:spacing w:line="400" w:lineRule="exact"/>
        <w:jc w:val="both"/>
        <w:rPr>
          <w:rFonts w:ascii="宋体" w:hAnsi="宋体"/>
          <w:b/>
          <w:bCs/>
          <w:sz w:val="28"/>
          <w:szCs w:val="28"/>
        </w:rPr>
      </w:pPr>
    </w:p>
    <w:p w14:paraId="5E4E9EA8">
      <w:pPr>
        <w:spacing w:line="400" w:lineRule="exact"/>
        <w:jc w:val="center"/>
        <w:rPr>
          <w:rFonts w:ascii="宋体" w:hAnsi="宋体"/>
          <w:b/>
          <w:bCs/>
          <w:sz w:val="28"/>
          <w:szCs w:val="28"/>
        </w:rPr>
      </w:pPr>
    </w:p>
    <w:p w14:paraId="31670940">
      <w:pPr>
        <w:spacing w:line="400" w:lineRule="exact"/>
        <w:jc w:val="center"/>
        <w:rPr>
          <w:rFonts w:ascii="宋体" w:hAnsi="宋体"/>
          <w:b/>
          <w:bCs/>
          <w:sz w:val="28"/>
          <w:szCs w:val="28"/>
        </w:rPr>
      </w:pPr>
    </w:p>
    <w:p w14:paraId="2CB41ED6">
      <w:pPr>
        <w:spacing w:line="400" w:lineRule="exact"/>
        <w:jc w:val="center"/>
        <w:rPr>
          <w:rFonts w:ascii="宋体" w:hAnsi="宋体"/>
          <w:b/>
          <w:bCs/>
          <w:sz w:val="28"/>
          <w:szCs w:val="28"/>
        </w:rPr>
      </w:pPr>
    </w:p>
    <w:p w14:paraId="6A3DC557">
      <w:pPr>
        <w:spacing w:line="400" w:lineRule="exact"/>
        <w:jc w:val="center"/>
        <w:rPr>
          <w:rFonts w:ascii="宋体" w:hAnsi="宋体"/>
          <w:b/>
          <w:sz w:val="28"/>
          <w:szCs w:val="28"/>
        </w:rPr>
      </w:pPr>
      <w:r>
        <w:rPr>
          <w:rFonts w:hint="eastAsia" w:ascii="宋体" w:hAnsi="宋体"/>
          <w:b/>
          <w:bCs/>
          <w:sz w:val="28"/>
          <w:szCs w:val="28"/>
        </w:rPr>
        <w:t>服务承诺书</w:t>
      </w:r>
    </w:p>
    <w:p w14:paraId="4B48C0D5">
      <w:pPr>
        <w:spacing w:line="400" w:lineRule="exact"/>
        <w:rPr>
          <w:rFonts w:ascii="宋体" w:hAnsi="宋体" w:cs="宋体"/>
          <w:u w:val="single"/>
        </w:rPr>
      </w:pPr>
    </w:p>
    <w:p w14:paraId="0639321E">
      <w:pPr>
        <w:spacing w:line="520" w:lineRule="exact"/>
        <w:rPr>
          <w:rFonts w:ascii="宋体" w:hAnsi="宋体" w:cs="宋体"/>
          <w:sz w:val="24"/>
        </w:rPr>
      </w:pPr>
      <w:r>
        <w:rPr>
          <w:rFonts w:hint="eastAsia" w:ascii="宋体" w:hAnsi="宋体" w:cs="宋体"/>
          <w:sz w:val="24"/>
        </w:rPr>
        <w:t>扬州大学附属医院：</w:t>
      </w:r>
    </w:p>
    <w:p w14:paraId="24ACC078">
      <w:pPr>
        <w:spacing w:line="520" w:lineRule="exact"/>
        <w:ind w:firstLine="480" w:firstLineChars="200"/>
        <w:rPr>
          <w:rFonts w:ascii="宋体" w:hAnsi="宋体" w:cs="宋体"/>
          <w:sz w:val="24"/>
        </w:rPr>
      </w:pPr>
      <w:r>
        <w:rPr>
          <w:rFonts w:hint="eastAsia" w:ascii="宋体" w:hAnsi="宋体" w:cs="宋体"/>
          <w:sz w:val="24"/>
        </w:rPr>
        <w:t>我单位郑重承诺以下事项：</w:t>
      </w:r>
    </w:p>
    <w:p w14:paraId="30D1D2EE">
      <w:pPr>
        <w:spacing w:line="520" w:lineRule="exact"/>
        <w:ind w:firstLine="480" w:firstLineChars="200"/>
        <w:rPr>
          <w:rFonts w:ascii="宋体" w:hAnsi="宋体" w:cs="宋体"/>
          <w:sz w:val="24"/>
        </w:rPr>
      </w:pPr>
      <w:r>
        <w:rPr>
          <w:rFonts w:hint="eastAsia" w:ascii="宋体" w:hAnsi="宋体" w:cs="宋体"/>
          <w:sz w:val="24"/>
        </w:rPr>
        <w:t>一、我单位同意并响应扬州大学附属医院临床检验外送服务项目采购招标文件的所有内容。</w:t>
      </w:r>
    </w:p>
    <w:p w14:paraId="5E890F3B">
      <w:pPr>
        <w:spacing w:line="520" w:lineRule="exact"/>
        <w:ind w:firstLine="480" w:firstLineChars="200"/>
        <w:rPr>
          <w:rFonts w:ascii="宋体" w:hAnsi="宋体" w:cs="宋体"/>
          <w:sz w:val="24"/>
        </w:rPr>
      </w:pPr>
      <w:r>
        <w:rPr>
          <w:rFonts w:hint="eastAsia" w:ascii="宋体" w:hAnsi="宋体" w:cs="宋体"/>
          <w:sz w:val="24"/>
        </w:rPr>
        <w:t>二、我单位对提供所选项目的服务质量不低于招标文件中要求的标准；</w:t>
      </w:r>
    </w:p>
    <w:p w14:paraId="603816D4">
      <w:pPr>
        <w:spacing w:line="520" w:lineRule="exact"/>
        <w:ind w:firstLine="480" w:firstLineChars="200"/>
        <w:rPr>
          <w:rFonts w:ascii="宋体" w:hAnsi="宋体" w:cs="宋体"/>
          <w:sz w:val="24"/>
        </w:rPr>
      </w:pPr>
      <w:r>
        <w:rPr>
          <w:rFonts w:hint="eastAsia" w:ascii="宋体" w:hAnsi="宋体" w:cs="宋体"/>
          <w:sz w:val="24"/>
        </w:rPr>
        <w:t>三、我单位提供检测的报告的时间和投标文件中外送项目的结果报告时间一致。</w:t>
      </w:r>
    </w:p>
    <w:p w14:paraId="3B4D7EBA">
      <w:pPr>
        <w:spacing w:line="520" w:lineRule="exact"/>
        <w:ind w:firstLine="480" w:firstLineChars="200"/>
        <w:rPr>
          <w:rFonts w:ascii="宋体" w:hAnsi="宋体" w:cs="宋体"/>
          <w:sz w:val="24"/>
        </w:rPr>
      </w:pPr>
      <w:r>
        <w:rPr>
          <w:rFonts w:hint="eastAsia" w:ascii="宋体" w:hAnsi="宋体" w:cs="宋体"/>
          <w:sz w:val="24"/>
        </w:rPr>
        <w:t>四、我单位承诺如果服务过程中未按上述要求履行，我单位承担违约责任，双倍赔偿采购人损失，招标人可直接解除合同，并没收履约保证金。</w:t>
      </w:r>
    </w:p>
    <w:p w14:paraId="44A7C3C9">
      <w:pPr>
        <w:spacing w:line="520" w:lineRule="exact"/>
        <w:rPr>
          <w:rFonts w:ascii="宋体" w:hAnsi="宋体" w:cs="宋体"/>
          <w:sz w:val="24"/>
        </w:rPr>
      </w:pPr>
      <w:r>
        <w:rPr>
          <w:rFonts w:hint="eastAsia" w:ascii="宋体" w:hAnsi="宋体"/>
          <w:color w:val="000000"/>
          <w:sz w:val="24"/>
        </w:rPr>
        <w:t xml:space="preserve">  </w:t>
      </w:r>
    </w:p>
    <w:p w14:paraId="689482A4">
      <w:pPr>
        <w:spacing w:line="520" w:lineRule="exact"/>
        <w:rPr>
          <w:rFonts w:ascii="宋体" w:hAnsi="宋体" w:cs="宋体"/>
          <w:sz w:val="24"/>
        </w:rPr>
      </w:pPr>
      <w:r>
        <w:rPr>
          <w:rFonts w:hint="eastAsia" w:ascii="宋体" w:hAnsi="宋体" w:cs="宋体"/>
          <w:sz w:val="24"/>
        </w:rPr>
        <w:t xml:space="preserve">         特此承诺！</w:t>
      </w:r>
    </w:p>
    <w:p w14:paraId="0DB25764">
      <w:pPr>
        <w:spacing w:line="520" w:lineRule="exact"/>
        <w:rPr>
          <w:rFonts w:ascii="宋体" w:hAnsi="宋体" w:cs="宋体"/>
          <w:sz w:val="24"/>
        </w:rPr>
      </w:pPr>
    </w:p>
    <w:p w14:paraId="1493BF0E">
      <w:pPr>
        <w:pStyle w:val="15"/>
        <w:spacing w:line="520" w:lineRule="exact"/>
        <w:ind w:firstLine="3120" w:firstLineChars="1300"/>
        <w:jc w:val="both"/>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4405E9BD">
      <w:pPr>
        <w:spacing w:line="520" w:lineRule="exact"/>
        <w:rPr>
          <w:rFonts w:ascii="宋体" w:hAnsi="宋体" w:cs="宋体"/>
          <w:sz w:val="24"/>
        </w:rPr>
      </w:pPr>
      <w:r>
        <w:rPr>
          <w:rFonts w:hint="eastAsia" w:ascii="宋体" w:hAnsi="宋体" w:cs="宋体"/>
          <w:sz w:val="24"/>
        </w:rPr>
        <w:t xml:space="preserve">                             </w:t>
      </w:r>
    </w:p>
    <w:p w14:paraId="7786A82A">
      <w:pPr>
        <w:spacing w:line="520" w:lineRule="exac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DB335D">
      <w:pPr>
        <w:jc w:val="center"/>
        <w:outlineLvl w:val="0"/>
        <w:rPr>
          <w:rFonts w:ascii="宋体" w:hAnsi="宋体"/>
          <w:b/>
          <w:bCs/>
          <w:sz w:val="28"/>
          <w:szCs w:val="28"/>
        </w:rPr>
      </w:pPr>
    </w:p>
    <w:p w14:paraId="2A6E3BA4">
      <w:pPr>
        <w:jc w:val="center"/>
        <w:outlineLvl w:val="0"/>
        <w:rPr>
          <w:rFonts w:ascii="宋体" w:hAnsi="宋体"/>
          <w:b/>
          <w:bCs/>
          <w:sz w:val="28"/>
          <w:szCs w:val="28"/>
        </w:rPr>
      </w:pPr>
    </w:p>
    <w:p w14:paraId="4A532E71">
      <w:pPr>
        <w:jc w:val="center"/>
        <w:outlineLvl w:val="0"/>
        <w:rPr>
          <w:rFonts w:ascii="宋体" w:hAnsi="宋体"/>
          <w:b/>
          <w:bCs/>
          <w:sz w:val="28"/>
          <w:szCs w:val="28"/>
        </w:rPr>
      </w:pPr>
    </w:p>
    <w:p w14:paraId="1BC03E1D">
      <w:pPr>
        <w:jc w:val="center"/>
        <w:outlineLvl w:val="0"/>
        <w:rPr>
          <w:rFonts w:ascii="宋体" w:hAnsi="宋体"/>
          <w:b/>
          <w:bCs/>
          <w:sz w:val="28"/>
          <w:szCs w:val="28"/>
        </w:rPr>
      </w:pPr>
    </w:p>
    <w:p w14:paraId="66C13C8E">
      <w:pPr>
        <w:jc w:val="center"/>
        <w:outlineLvl w:val="0"/>
        <w:rPr>
          <w:rFonts w:ascii="宋体" w:hAnsi="宋体"/>
          <w:b/>
          <w:bCs/>
          <w:sz w:val="28"/>
          <w:szCs w:val="28"/>
        </w:rPr>
      </w:pPr>
    </w:p>
    <w:p w14:paraId="791CE2F5">
      <w:pPr>
        <w:jc w:val="center"/>
        <w:outlineLvl w:val="0"/>
        <w:rPr>
          <w:rFonts w:ascii="宋体" w:hAnsi="宋体"/>
          <w:b/>
          <w:bCs/>
          <w:sz w:val="28"/>
          <w:szCs w:val="28"/>
        </w:rPr>
      </w:pPr>
    </w:p>
    <w:p w14:paraId="4CBE4FD8">
      <w:pPr>
        <w:jc w:val="both"/>
        <w:outlineLvl w:val="0"/>
        <w:rPr>
          <w:rFonts w:ascii="宋体" w:hAnsi="宋体"/>
          <w:b/>
          <w:bCs/>
          <w:sz w:val="28"/>
          <w:szCs w:val="28"/>
        </w:rPr>
      </w:pPr>
    </w:p>
    <w:p w14:paraId="283A365B">
      <w:pPr>
        <w:jc w:val="center"/>
        <w:outlineLvl w:val="0"/>
        <w:rPr>
          <w:rFonts w:ascii="宋体" w:hAnsi="宋体"/>
          <w:b/>
          <w:bCs/>
          <w:sz w:val="28"/>
          <w:szCs w:val="28"/>
        </w:rPr>
      </w:pPr>
    </w:p>
    <w:p w14:paraId="62E3EB0E">
      <w:pPr>
        <w:jc w:val="center"/>
        <w:outlineLvl w:val="0"/>
        <w:rPr>
          <w:rFonts w:ascii="宋体" w:hAnsi="宋体"/>
          <w:b/>
          <w:bCs/>
          <w:sz w:val="28"/>
          <w:szCs w:val="28"/>
        </w:rPr>
      </w:pPr>
      <w:r>
        <w:rPr>
          <w:rFonts w:hint="eastAsia" w:ascii="宋体" w:hAnsi="宋体"/>
          <w:b/>
          <w:bCs/>
          <w:sz w:val="28"/>
          <w:szCs w:val="28"/>
        </w:rPr>
        <w:t>法定代表人授权委托书</w:t>
      </w:r>
    </w:p>
    <w:p w14:paraId="5684FB7F">
      <w:pPr>
        <w:spacing w:line="480" w:lineRule="auto"/>
        <w:rPr>
          <w:rFonts w:ascii="宋体" w:hAnsi="宋体"/>
          <w:bCs/>
          <w:sz w:val="24"/>
        </w:rPr>
      </w:pPr>
      <w:r>
        <w:rPr>
          <w:rFonts w:ascii="宋体" w:hAnsi="宋体"/>
          <w:bCs/>
          <w:sz w:val="30"/>
        </w:rPr>
        <w:t xml:space="preserve">      </w:t>
      </w:r>
      <w:r>
        <w:rPr>
          <w:rFonts w:hint="eastAsia" w:ascii="宋体" w:hAnsi="宋体"/>
          <w:bCs/>
          <w:sz w:val="30"/>
        </w:rPr>
        <w:t xml:space="preserve">       　　　</w:t>
      </w:r>
      <w:r>
        <w:rPr>
          <w:rFonts w:ascii="宋体" w:hAnsi="宋体"/>
          <w:bCs/>
          <w:sz w:val="24"/>
        </w:rPr>
        <w:t xml:space="preserve">                              </w:t>
      </w:r>
      <w:r>
        <w:rPr>
          <w:rFonts w:hint="eastAsia" w:ascii="宋体" w:hAnsi="宋体"/>
          <w:bCs/>
          <w:sz w:val="24"/>
        </w:rPr>
        <w:t xml:space="preserve">      </w:t>
      </w:r>
    </w:p>
    <w:p w14:paraId="24761B96">
      <w:pPr>
        <w:spacing w:line="520" w:lineRule="exact"/>
        <w:rPr>
          <w:rFonts w:ascii="宋体" w:hAnsi="宋体"/>
          <w:bCs/>
          <w:sz w:val="24"/>
        </w:rPr>
      </w:pPr>
      <w:r>
        <w:rPr>
          <w:rFonts w:hint="eastAsia" w:ascii="宋体" w:hAnsi="宋体"/>
          <w:bCs/>
          <w:sz w:val="24"/>
        </w:rPr>
        <w:t>扬州大学附属医院：</w:t>
      </w:r>
    </w:p>
    <w:p w14:paraId="247C4FFE">
      <w:pPr>
        <w:spacing w:line="520" w:lineRule="exact"/>
        <w:ind w:firstLine="480" w:firstLineChars="200"/>
        <w:rPr>
          <w:rFonts w:ascii="宋体" w:hAnsi="宋体"/>
          <w:bCs/>
          <w:sz w:val="24"/>
        </w:rPr>
      </w:pPr>
      <w:r>
        <w:rPr>
          <w:rFonts w:ascii="宋体" w:hAnsi="宋体"/>
          <w:bCs/>
          <w:sz w:val="24"/>
          <w:u w:val="single"/>
        </w:rPr>
        <w:t xml:space="preserve">                         </w:t>
      </w:r>
      <w:r>
        <w:rPr>
          <w:rFonts w:hint="eastAsia" w:ascii="宋体" w:hAnsi="宋体"/>
          <w:bCs/>
          <w:sz w:val="24"/>
        </w:rPr>
        <w:t>系中华人民共和国合法公司（单位），特授权</w:t>
      </w:r>
      <w:r>
        <w:rPr>
          <w:rFonts w:ascii="宋体" w:hAnsi="宋体"/>
          <w:bCs/>
          <w:sz w:val="24"/>
          <w:u w:val="single"/>
        </w:rPr>
        <w:t xml:space="preserve">       </w:t>
      </w:r>
      <w:r>
        <w:rPr>
          <w:rFonts w:hint="eastAsia" w:ascii="宋体" w:hAnsi="宋体"/>
          <w:bCs/>
          <w:sz w:val="24"/>
        </w:rPr>
        <w:t>代表我公司（单位）全权办理针对本项目的投标、参与开标、评标、签约等具体工作，并签署全部有关的文件、协议及合同。</w:t>
      </w:r>
    </w:p>
    <w:p w14:paraId="23636F99">
      <w:pPr>
        <w:spacing w:line="520" w:lineRule="exact"/>
        <w:ind w:firstLine="480" w:firstLineChars="200"/>
        <w:rPr>
          <w:rFonts w:ascii="宋体" w:hAnsi="宋体"/>
          <w:bCs/>
          <w:sz w:val="24"/>
        </w:rPr>
      </w:pPr>
      <w:r>
        <w:rPr>
          <w:rFonts w:hint="eastAsia" w:ascii="宋体" w:hAnsi="宋体"/>
          <w:bCs/>
          <w:sz w:val="24"/>
        </w:rPr>
        <w:t>我公司（单位）对被授权代表的签名负全部责任。</w:t>
      </w:r>
    </w:p>
    <w:p w14:paraId="5CB4230E">
      <w:pPr>
        <w:spacing w:line="520" w:lineRule="exact"/>
        <w:ind w:firstLine="480" w:firstLineChars="200"/>
        <w:rPr>
          <w:rFonts w:ascii="宋体" w:hAnsi="宋体"/>
          <w:bCs/>
          <w:sz w:val="24"/>
        </w:rPr>
      </w:pPr>
      <w:r>
        <w:rPr>
          <w:rFonts w:hint="eastAsia" w:ascii="宋体" w:hAnsi="宋体"/>
          <w:bCs/>
          <w:sz w:val="24"/>
        </w:rPr>
        <w:t>在撤销授权的书面通知送达你处以前，本授权书一直有效，被授权代表签署的所有文件（在授权书有效期内签署的）不因授权的撤销而失效。</w:t>
      </w:r>
    </w:p>
    <w:p w14:paraId="1E0B6054">
      <w:pPr>
        <w:spacing w:line="520" w:lineRule="exact"/>
        <w:ind w:firstLine="480" w:firstLineChars="200"/>
        <w:rPr>
          <w:rFonts w:ascii="宋体" w:hAnsi="宋体"/>
          <w:bCs/>
          <w:sz w:val="24"/>
        </w:rPr>
      </w:pPr>
      <w:r>
        <w:rPr>
          <w:rFonts w:hint="eastAsia" w:ascii="宋体" w:hAnsi="宋体"/>
          <w:bCs/>
          <w:sz w:val="24"/>
        </w:rPr>
        <w:t>被授权代表情况：</w:t>
      </w:r>
    </w:p>
    <w:p w14:paraId="0C5A8851">
      <w:pPr>
        <w:spacing w:line="520" w:lineRule="exact"/>
        <w:ind w:firstLine="525"/>
        <w:rPr>
          <w:rFonts w:ascii="宋体" w:hAnsi="宋体"/>
          <w:bCs/>
          <w:sz w:val="24"/>
        </w:rPr>
      </w:pPr>
      <w:r>
        <w:rPr>
          <w:rFonts w:hint="eastAsia" w:ascii="宋体" w:hAnsi="宋体"/>
          <w:bCs/>
          <w:sz w:val="24"/>
        </w:rPr>
        <w:t>姓名：</w:t>
      </w:r>
      <w:r>
        <w:rPr>
          <w:rFonts w:ascii="宋体" w:hAnsi="宋体"/>
          <w:bCs/>
          <w:sz w:val="24"/>
        </w:rPr>
        <w:t xml:space="preserve">         </w:t>
      </w:r>
      <w:r>
        <w:rPr>
          <w:rFonts w:hint="eastAsia" w:ascii="宋体" w:hAnsi="宋体"/>
          <w:bCs/>
          <w:sz w:val="24"/>
        </w:rPr>
        <w:t>性别：</w:t>
      </w:r>
      <w:r>
        <w:rPr>
          <w:rFonts w:ascii="宋体" w:hAnsi="宋体"/>
          <w:bCs/>
          <w:sz w:val="24"/>
        </w:rPr>
        <w:t xml:space="preserve">       </w:t>
      </w:r>
      <w:r>
        <w:rPr>
          <w:rFonts w:hint="eastAsia" w:ascii="宋体" w:hAnsi="宋体"/>
          <w:bCs/>
          <w:sz w:val="24"/>
        </w:rPr>
        <w:t>电话：</w:t>
      </w:r>
    </w:p>
    <w:p w14:paraId="1B258C0C">
      <w:pPr>
        <w:spacing w:line="520" w:lineRule="exact"/>
        <w:ind w:firstLine="3240" w:firstLineChars="1350"/>
        <w:rPr>
          <w:rFonts w:ascii="宋体" w:hAnsi="宋体"/>
          <w:bCs/>
          <w:sz w:val="24"/>
        </w:rPr>
      </w:pPr>
    </w:p>
    <w:p w14:paraId="413173B1">
      <w:pPr>
        <w:spacing w:line="520" w:lineRule="exact"/>
        <w:ind w:firstLine="3240" w:firstLineChars="1350"/>
        <w:rPr>
          <w:rFonts w:ascii="宋体" w:hAnsi="宋体"/>
          <w:bCs/>
          <w:sz w:val="24"/>
        </w:rPr>
      </w:pPr>
    </w:p>
    <w:p w14:paraId="480471FC">
      <w:pPr>
        <w:spacing w:line="520" w:lineRule="exact"/>
        <w:ind w:firstLine="3240" w:firstLineChars="1350"/>
        <w:rPr>
          <w:rFonts w:ascii="宋体" w:hAnsi="宋体"/>
          <w:bCs/>
          <w:sz w:val="24"/>
        </w:rPr>
      </w:pPr>
    </w:p>
    <w:p w14:paraId="0A32CCB0">
      <w:pPr>
        <w:spacing w:line="520" w:lineRule="exact"/>
        <w:ind w:firstLine="3240" w:firstLineChars="1350"/>
        <w:rPr>
          <w:rFonts w:ascii="宋体" w:hAnsi="宋体"/>
          <w:bCs/>
          <w:sz w:val="24"/>
        </w:rPr>
      </w:pPr>
      <w:r>
        <w:rPr>
          <w:rFonts w:ascii="宋体" w:hAnsi="宋体"/>
          <w:bCs/>
          <w:sz w:val="24"/>
        </w:rPr>
        <w:t xml:space="preserve">       </w:t>
      </w:r>
      <w:r>
        <w:rPr>
          <w:rFonts w:hint="eastAsia" w:ascii="宋体" w:hAnsi="宋体"/>
          <w:bCs/>
          <w:sz w:val="24"/>
        </w:rPr>
        <w:t>投标人：           （盖章）</w:t>
      </w:r>
    </w:p>
    <w:p w14:paraId="47865C28">
      <w:pPr>
        <w:spacing w:line="520" w:lineRule="exact"/>
        <w:ind w:firstLine="4080" w:firstLineChars="1700"/>
        <w:rPr>
          <w:rFonts w:ascii="宋体" w:hAnsi="宋体"/>
          <w:bCs/>
          <w:sz w:val="24"/>
        </w:rPr>
      </w:pPr>
      <w:r>
        <w:rPr>
          <w:rFonts w:hint="eastAsia" w:ascii="宋体" w:hAnsi="宋体"/>
          <w:bCs/>
          <w:sz w:val="24"/>
        </w:rPr>
        <w:t>法定代表人：       （签字或盖章）</w:t>
      </w:r>
    </w:p>
    <w:p w14:paraId="0B16697F">
      <w:pPr>
        <w:spacing w:line="520" w:lineRule="exact"/>
        <w:ind w:firstLine="4080" w:firstLineChars="1700"/>
        <w:rPr>
          <w:rFonts w:ascii="宋体" w:hAnsi="宋体"/>
          <w:bCs/>
          <w:sz w:val="24"/>
        </w:rPr>
      </w:pPr>
      <w:r>
        <w:rPr>
          <w:rFonts w:hint="eastAsia" w:ascii="宋体" w:hAnsi="宋体"/>
          <w:bCs/>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083969"/>
    </w:sdtPr>
    <w:sdtContent>
      <w:p w14:paraId="58B925BA">
        <w:pPr>
          <w:pStyle w:val="12"/>
          <w:jc w:val="center"/>
        </w:pPr>
        <w:r>
          <w:fldChar w:fldCharType="begin"/>
        </w:r>
        <w:r>
          <w:instrText xml:space="preserve"> PAGE   \* MERGEFORMAT </w:instrText>
        </w:r>
        <w:r>
          <w:fldChar w:fldCharType="separate"/>
        </w:r>
        <w:r>
          <w:rPr>
            <w:lang w:val="zh-CN"/>
          </w:rPr>
          <w:t>3</w:t>
        </w:r>
        <w:r>
          <w:rPr>
            <w:lang w:val="zh-CN"/>
          </w:rPr>
          <w:fldChar w:fldCharType="end"/>
        </w:r>
      </w:p>
    </w:sdtContent>
  </w:sdt>
  <w:p w14:paraId="58F61CF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36ACB"/>
    <w:multiLevelType w:val="multilevel"/>
    <w:tmpl w:val="71436ACB"/>
    <w:lvl w:ilvl="0" w:tentative="0">
      <w:start w:val="1"/>
      <w:numFmt w:val="chineseCountingThousand"/>
      <w:pStyle w:val="2"/>
      <w:lvlText w:val="%1"/>
      <w:lvlJc w:val="left"/>
      <w:pPr>
        <w:ind w:left="432" w:hanging="432"/>
      </w:pPr>
      <w:rPr>
        <w:rFonts w:hint="eastAsia"/>
      </w:rPr>
    </w:lvl>
    <w:lvl w:ilvl="1" w:tentative="0">
      <w:start w:val="1"/>
      <w:numFmt w:val="decimal"/>
      <w:pStyle w:val="3"/>
      <w:isLgl/>
      <w:lvlText w:val="%1.%2"/>
      <w:lvlJc w:val="left"/>
      <w:pPr>
        <w:ind w:left="576" w:hanging="576"/>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WIxMjExZDFiZjdkNzkyY2YwZTU2YWJhYzY1MTYifQ=="/>
  </w:docVars>
  <w:rsids>
    <w:rsidRoot w:val="00061B2B"/>
    <w:rsid w:val="000326C9"/>
    <w:rsid w:val="00054449"/>
    <w:rsid w:val="00061B2B"/>
    <w:rsid w:val="00080630"/>
    <w:rsid w:val="000A4124"/>
    <w:rsid w:val="000F65EC"/>
    <w:rsid w:val="00134B58"/>
    <w:rsid w:val="001A3948"/>
    <w:rsid w:val="001A47DC"/>
    <w:rsid w:val="001E7C93"/>
    <w:rsid w:val="00215C4D"/>
    <w:rsid w:val="00217465"/>
    <w:rsid w:val="00220ABF"/>
    <w:rsid w:val="00236E47"/>
    <w:rsid w:val="00282053"/>
    <w:rsid w:val="00286904"/>
    <w:rsid w:val="002A65C1"/>
    <w:rsid w:val="002B0855"/>
    <w:rsid w:val="002B5CB7"/>
    <w:rsid w:val="002D2638"/>
    <w:rsid w:val="002E2ED3"/>
    <w:rsid w:val="00316C30"/>
    <w:rsid w:val="00381851"/>
    <w:rsid w:val="00392866"/>
    <w:rsid w:val="003D4B74"/>
    <w:rsid w:val="00412A5E"/>
    <w:rsid w:val="00426FC3"/>
    <w:rsid w:val="00436DBB"/>
    <w:rsid w:val="00463068"/>
    <w:rsid w:val="00465147"/>
    <w:rsid w:val="00470125"/>
    <w:rsid w:val="004769B4"/>
    <w:rsid w:val="004A1DFB"/>
    <w:rsid w:val="004D6570"/>
    <w:rsid w:val="004D7ED0"/>
    <w:rsid w:val="004E26DD"/>
    <w:rsid w:val="004E4040"/>
    <w:rsid w:val="005002BB"/>
    <w:rsid w:val="00502DB7"/>
    <w:rsid w:val="00523075"/>
    <w:rsid w:val="00527AD5"/>
    <w:rsid w:val="00547F2D"/>
    <w:rsid w:val="00557288"/>
    <w:rsid w:val="005A1D49"/>
    <w:rsid w:val="005C7E7A"/>
    <w:rsid w:val="005E4884"/>
    <w:rsid w:val="005F3278"/>
    <w:rsid w:val="00605193"/>
    <w:rsid w:val="006244D2"/>
    <w:rsid w:val="0062654A"/>
    <w:rsid w:val="00646605"/>
    <w:rsid w:val="0064711C"/>
    <w:rsid w:val="00730F55"/>
    <w:rsid w:val="007327FC"/>
    <w:rsid w:val="0073685C"/>
    <w:rsid w:val="00781E45"/>
    <w:rsid w:val="00791CB5"/>
    <w:rsid w:val="007A1765"/>
    <w:rsid w:val="007B0DE7"/>
    <w:rsid w:val="007C109A"/>
    <w:rsid w:val="0080319F"/>
    <w:rsid w:val="008376A0"/>
    <w:rsid w:val="00856062"/>
    <w:rsid w:val="00876EB0"/>
    <w:rsid w:val="00881E92"/>
    <w:rsid w:val="008904F3"/>
    <w:rsid w:val="00893FD5"/>
    <w:rsid w:val="008C739D"/>
    <w:rsid w:val="008D0BC3"/>
    <w:rsid w:val="008E612B"/>
    <w:rsid w:val="009247EA"/>
    <w:rsid w:val="00934AA9"/>
    <w:rsid w:val="009463D9"/>
    <w:rsid w:val="009671F1"/>
    <w:rsid w:val="009A44F5"/>
    <w:rsid w:val="009A5A6A"/>
    <w:rsid w:val="009B27AD"/>
    <w:rsid w:val="009F0DD2"/>
    <w:rsid w:val="009F497B"/>
    <w:rsid w:val="009F50D5"/>
    <w:rsid w:val="00A079C7"/>
    <w:rsid w:val="00A31BB6"/>
    <w:rsid w:val="00A36074"/>
    <w:rsid w:val="00A71BE2"/>
    <w:rsid w:val="00AF4B3D"/>
    <w:rsid w:val="00B274E7"/>
    <w:rsid w:val="00B308D1"/>
    <w:rsid w:val="00B646D3"/>
    <w:rsid w:val="00B750F9"/>
    <w:rsid w:val="00BE5212"/>
    <w:rsid w:val="00C0578D"/>
    <w:rsid w:val="00C0760A"/>
    <w:rsid w:val="00C119C9"/>
    <w:rsid w:val="00C20AC0"/>
    <w:rsid w:val="00C40714"/>
    <w:rsid w:val="00C52D9E"/>
    <w:rsid w:val="00C93CAC"/>
    <w:rsid w:val="00CA16BC"/>
    <w:rsid w:val="00CA416F"/>
    <w:rsid w:val="00CA6207"/>
    <w:rsid w:val="00CD09E6"/>
    <w:rsid w:val="00CF1DFF"/>
    <w:rsid w:val="00D0496B"/>
    <w:rsid w:val="00D12940"/>
    <w:rsid w:val="00D41836"/>
    <w:rsid w:val="00D4227D"/>
    <w:rsid w:val="00D65298"/>
    <w:rsid w:val="00D76E7A"/>
    <w:rsid w:val="00D941EA"/>
    <w:rsid w:val="00D944ED"/>
    <w:rsid w:val="00DF3D60"/>
    <w:rsid w:val="00E522CC"/>
    <w:rsid w:val="00E55754"/>
    <w:rsid w:val="00E81072"/>
    <w:rsid w:val="00EC0348"/>
    <w:rsid w:val="00EE0F01"/>
    <w:rsid w:val="00F11CDE"/>
    <w:rsid w:val="00F1608E"/>
    <w:rsid w:val="00F17A75"/>
    <w:rsid w:val="00F560A0"/>
    <w:rsid w:val="00F77B60"/>
    <w:rsid w:val="00F93A75"/>
    <w:rsid w:val="00F940DB"/>
    <w:rsid w:val="00FA19FB"/>
    <w:rsid w:val="00FC7C10"/>
    <w:rsid w:val="00FE0AFF"/>
    <w:rsid w:val="010246D0"/>
    <w:rsid w:val="0C236700"/>
    <w:rsid w:val="0C2A4E72"/>
    <w:rsid w:val="11C52008"/>
    <w:rsid w:val="158C68A6"/>
    <w:rsid w:val="16491785"/>
    <w:rsid w:val="16612C47"/>
    <w:rsid w:val="17092996"/>
    <w:rsid w:val="2B02634F"/>
    <w:rsid w:val="2D081CBD"/>
    <w:rsid w:val="2D0A773C"/>
    <w:rsid w:val="2DBC203B"/>
    <w:rsid w:val="33B45D0C"/>
    <w:rsid w:val="3C4F3134"/>
    <w:rsid w:val="52B14E3D"/>
    <w:rsid w:val="61B551C2"/>
    <w:rsid w:val="633B25A1"/>
    <w:rsid w:val="66A071AE"/>
    <w:rsid w:val="73A429A0"/>
    <w:rsid w:val="7758241F"/>
    <w:rsid w:val="7AA3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autoRedefine/>
    <w:qFormat/>
    <w:uiPriority w:val="9"/>
    <w:pPr>
      <w:keepNext/>
      <w:keepLines/>
      <w:numPr>
        <w:ilvl w:val="0"/>
        <w:numId w:val="1"/>
      </w:numPr>
      <w:spacing w:line="360" w:lineRule="auto"/>
      <w:outlineLvl w:val="0"/>
    </w:pPr>
    <w:rPr>
      <w:rFonts w:ascii="Times New Roman" w:hAnsi="Times New Roman" w:eastAsia="宋体" w:cs="Times New Roman"/>
      <w:b/>
      <w:bCs/>
      <w:kern w:val="44"/>
      <w:sz w:val="28"/>
      <w:szCs w:val="44"/>
    </w:rPr>
  </w:style>
  <w:style w:type="paragraph" w:styleId="3">
    <w:name w:val="heading 2"/>
    <w:basedOn w:val="1"/>
    <w:next w:val="1"/>
    <w:link w:val="23"/>
    <w:unhideWhenUsed/>
    <w:qFormat/>
    <w:uiPriority w:val="9"/>
    <w:pPr>
      <w:keepNext/>
      <w:keepLines/>
      <w:numPr>
        <w:ilvl w:val="1"/>
        <w:numId w:val="1"/>
      </w:numPr>
      <w:spacing w:line="360" w:lineRule="auto"/>
      <w:outlineLvl w:val="1"/>
    </w:pPr>
    <w:rPr>
      <w:rFonts w:asciiTheme="majorHAnsi" w:hAnsiTheme="majorHAnsi" w:eastAsiaTheme="majorEastAsia" w:cstheme="majorBidi"/>
      <w:b/>
      <w:bCs/>
      <w:sz w:val="24"/>
      <w:szCs w:val="32"/>
    </w:rPr>
  </w:style>
  <w:style w:type="paragraph" w:styleId="4">
    <w:name w:val="heading 3"/>
    <w:basedOn w:val="1"/>
    <w:next w:val="1"/>
    <w:link w:val="24"/>
    <w:autoRedefine/>
    <w:unhideWhenUsed/>
    <w:qFormat/>
    <w:uiPriority w:val="0"/>
    <w:pPr>
      <w:keepNext/>
      <w:keepLines/>
      <w:numPr>
        <w:ilvl w:val="2"/>
        <w:numId w:val="1"/>
      </w:numPr>
      <w:spacing w:line="360" w:lineRule="auto"/>
      <w:ind w:left="870" w:leftChars="150"/>
      <w:outlineLvl w:val="2"/>
    </w:pPr>
    <w:rPr>
      <w:rFonts w:ascii="Times New Roman" w:hAnsi="Times New Roman" w:eastAsia="宋体" w:cs="Times New Roman"/>
      <w:b/>
      <w:bCs/>
      <w:sz w:val="24"/>
      <w:szCs w:val="32"/>
    </w:rPr>
  </w:style>
  <w:style w:type="paragraph" w:styleId="5">
    <w:name w:val="heading 4"/>
    <w:basedOn w:val="1"/>
    <w:next w:val="1"/>
    <w:link w:val="25"/>
    <w:autoRedefine/>
    <w:unhideWhenUsed/>
    <w:qFormat/>
    <w:uiPriority w:val="0"/>
    <w:pPr>
      <w:keepNext/>
      <w:keepLines/>
      <w:numPr>
        <w:ilvl w:val="3"/>
        <w:numId w:val="1"/>
      </w:numPr>
      <w:spacing w:line="360" w:lineRule="auto"/>
      <w:ind w:left="200" w:leftChars="200" w:firstLine="0"/>
      <w:outlineLvl w:val="3"/>
    </w:pPr>
    <w:rPr>
      <w:rFonts w:asciiTheme="majorHAnsi" w:hAnsiTheme="majorHAnsi" w:eastAsiaTheme="majorEastAsia" w:cstheme="majorBidi"/>
      <w:b/>
      <w:bCs/>
      <w:szCs w:val="28"/>
    </w:rPr>
  </w:style>
  <w:style w:type="paragraph" w:styleId="6">
    <w:name w:val="heading 5"/>
    <w:basedOn w:val="1"/>
    <w:next w:val="1"/>
    <w:link w:val="26"/>
    <w:unhideWhenUsed/>
    <w:qFormat/>
    <w:uiPriority w:val="9"/>
    <w:pPr>
      <w:keepNext/>
      <w:keepLines/>
      <w:numPr>
        <w:ilvl w:val="4"/>
        <w:numId w:val="1"/>
      </w:numPr>
      <w:spacing w:line="360" w:lineRule="auto"/>
      <w:outlineLvl w:val="4"/>
    </w:pPr>
    <w:rPr>
      <w:rFonts w:ascii="Times New Roman" w:hAnsi="Times New Roman" w:eastAsia="宋体" w:cs="Times New Roman"/>
      <w:b/>
      <w:bCs/>
      <w:szCs w:val="28"/>
    </w:rPr>
  </w:style>
  <w:style w:type="paragraph" w:styleId="7">
    <w:name w:val="heading 6"/>
    <w:basedOn w:val="1"/>
    <w:next w:val="1"/>
    <w:link w:val="27"/>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29"/>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0"/>
    <w:autoRedefine/>
    <w:semiHidden/>
    <w:unhideWhenUsed/>
    <w:qFormat/>
    <w:uiPriority w:val="9"/>
    <w:pPr>
      <w:keepNext/>
      <w:keepLines/>
      <w:numPr>
        <w:ilvl w:val="8"/>
        <w:numId w:val="1"/>
      </w:numPr>
      <w:spacing w:before="240" w:after="64" w:line="320" w:lineRule="auto"/>
      <w:ind w:left="3780" w:hanging="420"/>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1"/>
    <w:semiHidden/>
    <w:unhideWhenUsed/>
    <w:uiPriority w:val="99"/>
    <w:pPr>
      <w:ind w:left="100" w:leftChars="2500"/>
    </w:p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index 1"/>
    <w:basedOn w:val="1"/>
    <w:next w:val="1"/>
    <w:unhideWhenUsed/>
    <w:qFormat/>
    <w:uiPriority w:val="99"/>
    <w:pPr>
      <w:spacing w:line="220" w:lineRule="exact"/>
      <w:jc w:val="center"/>
    </w:pPr>
    <w:rPr>
      <w:rFonts w:ascii="仿宋_GB2312" w:hAnsi="Times New Roman" w:eastAsia="仿宋_GB2312" w:cs="Times New Roman"/>
      <w:sz w:val="26"/>
      <w:szCs w:val="21"/>
    </w:rPr>
  </w:style>
  <w:style w:type="table" w:styleId="17">
    <w:name w:val="Table Grid"/>
    <w:basedOn w:val="1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9">
    <w:name w:val="页眉 字符"/>
    <w:basedOn w:val="18"/>
    <w:link w:val="13"/>
    <w:qFormat/>
    <w:uiPriority w:val="99"/>
    <w:rPr>
      <w:sz w:val="18"/>
      <w:szCs w:val="18"/>
    </w:rPr>
  </w:style>
  <w:style w:type="character" w:customStyle="1" w:styleId="20">
    <w:name w:val="页脚 字符"/>
    <w:basedOn w:val="18"/>
    <w:link w:val="12"/>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字符"/>
    <w:basedOn w:val="18"/>
    <w:link w:val="2"/>
    <w:qFormat/>
    <w:uiPriority w:val="9"/>
    <w:rPr>
      <w:rFonts w:ascii="Times New Roman" w:hAnsi="Times New Roman" w:eastAsia="宋体" w:cs="Times New Roman"/>
      <w:b/>
      <w:bCs/>
      <w:kern w:val="44"/>
      <w:sz w:val="28"/>
      <w:szCs w:val="44"/>
    </w:rPr>
  </w:style>
  <w:style w:type="character" w:customStyle="1" w:styleId="23">
    <w:name w:val="标题 2 字符"/>
    <w:basedOn w:val="18"/>
    <w:link w:val="3"/>
    <w:qFormat/>
    <w:uiPriority w:val="9"/>
    <w:rPr>
      <w:rFonts w:asciiTheme="majorHAnsi" w:hAnsiTheme="majorHAnsi" w:eastAsiaTheme="majorEastAsia" w:cstheme="majorBidi"/>
      <w:b/>
      <w:bCs/>
      <w:sz w:val="24"/>
      <w:szCs w:val="32"/>
    </w:rPr>
  </w:style>
  <w:style w:type="character" w:customStyle="1" w:styleId="24">
    <w:name w:val="标题 3 字符"/>
    <w:basedOn w:val="18"/>
    <w:link w:val="4"/>
    <w:qFormat/>
    <w:uiPriority w:val="0"/>
    <w:rPr>
      <w:rFonts w:ascii="Times New Roman" w:hAnsi="Times New Roman" w:eastAsia="宋体" w:cs="Times New Roman"/>
      <w:b/>
      <w:bCs/>
      <w:sz w:val="24"/>
      <w:szCs w:val="32"/>
    </w:rPr>
  </w:style>
  <w:style w:type="character" w:customStyle="1" w:styleId="25">
    <w:name w:val="标题 4 字符"/>
    <w:basedOn w:val="18"/>
    <w:link w:val="5"/>
    <w:qFormat/>
    <w:uiPriority w:val="0"/>
    <w:rPr>
      <w:rFonts w:asciiTheme="majorHAnsi" w:hAnsiTheme="majorHAnsi" w:eastAsiaTheme="majorEastAsia" w:cstheme="majorBidi"/>
      <w:b/>
      <w:bCs/>
      <w:szCs w:val="28"/>
    </w:rPr>
  </w:style>
  <w:style w:type="character" w:customStyle="1" w:styleId="26">
    <w:name w:val="标题 5 字符"/>
    <w:basedOn w:val="18"/>
    <w:link w:val="6"/>
    <w:qFormat/>
    <w:uiPriority w:val="9"/>
    <w:rPr>
      <w:rFonts w:ascii="Times New Roman" w:hAnsi="Times New Roman" w:eastAsia="宋体" w:cs="Times New Roman"/>
      <w:b/>
      <w:bCs/>
      <w:szCs w:val="28"/>
    </w:rPr>
  </w:style>
  <w:style w:type="character" w:customStyle="1" w:styleId="27">
    <w:name w:val="标题 6 字符"/>
    <w:basedOn w:val="18"/>
    <w:link w:val="7"/>
    <w:semiHidden/>
    <w:qFormat/>
    <w:uiPriority w:val="9"/>
    <w:rPr>
      <w:rFonts w:asciiTheme="majorHAnsi" w:hAnsiTheme="majorHAnsi" w:eastAsiaTheme="majorEastAsia" w:cstheme="majorBidi"/>
      <w:b/>
      <w:bCs/>
      <w:sz w:val="24"/>
      <w:szCs w:val="24"/>
    </w:rPr>
  </w:style>
  <w:style w:type="character" w:customStyle="1" w:styleId="28">
    <w:name w:val="标题 7 字符"/>
    <w:basedOn w:val="18"/>
    <w:link w:val="8"/>
    <w:semiHidden/>
    <w:qFormat/>
    <w:uiPriority w:val="9"/>
    <w:rPr>
      <w:rFonts w:ascii="Times New Roman" w:hAnsi="Times New Roman" w:eastAsia="宋体" w:cs="Times New Roman"/>
      <w:b/>
      <w:bCs/>
      <w:sz w:val="24"/>
      <w:szCs w:val="24"/>
    </w:rPr>
  </w:style>
  <w:style w:type="character" w:customStyle="1" w:styleId="29">
    <w:name w:val="标题 8 字符"/>
    <w:basedOn w:val="18"/>
    <w:link w:val="9"/>
    <w:autoRedefine/>
    <w:semiHidden/>
    <w:qFormat/>
    <w:uiPriority w:val="9"/>
    <w:rPr>
      <w:rFonts w:asciiTheme="majorHAnsi" w:hAnsiTheme="majorHAnsi" w:eastAsiaTheme="majorEastAsia" w:cstheme="majorBidi"/>
      <w:sz w:val="24"/>
      <w:szCs w:val="24"/>
    </w:rPr>
  </w:style>
  <w:style w:type="character" w:customStyle="1" w:styleId="30">
    <w:name w:val="标题 9 字符"/>
    <w:basedOn w:val="18"/>
    <w:link w:val="10"/>
    <w:qFormat/>
    <w:uiPriority w:val="0"/>
    <w:rPr>
      <w:rFonts w:asciiTheme="majorHAnsi" w:hAnsiTheme="majorHAnsi" w:eastAsiaTheme="majorEastAsia" w:cstheme="majorBidi"/>
      <w:szCs w:val="21"/>
    </w:rPr>
  </w:style>
  <w:style w:type="character" w:customStyle="1" w:styleId="31">
    <w:name w:val="日期 字符"/>
    <w:basedOn w:val="18"/>
    <w:link w:val="11"/>
    <w:semiHidden/>
    <w:qFormat/>
    <w:uiPriority w:val="99"/>
  </w:style>
  <w:style w:type="paragraph" w:customStyle="1" w:styleId="32">
    <w:name w:val="纯文本1"/>
    <w:basedOn w:val="1"/>
    <w:autoRedefine/>
    <w:qFormat/>
    <w:uiPriority w:val="0"/>
    <w:pPr>
      <w:adjustRightInd w:val="0"/>
    </w:pPr>
    <w:rPr>
      <w:rFonts w:hint="eastAsia" w:ascii="宋体" w:hAnsi="Courier New" w:eastAsia="楷体_GB2312" w:cs="Times New Roman"/>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185D-FC33-4A58-B0A6-A4560C6441A0}">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Pages>
  <Words>1019</Words>
  <Characters>1083</Characters>
  <Lines>27</Lines>
  <Paragraphs>7</Paragraphs>
  <TotalTime>4</TotalTime>
  <ScaleCrop>false</ScaleCrop>
  <LinksUpToDate>false</LinksUpToDate>
  <CharactersWithSpaces>1104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2021-12-24T09:00:00Z</dcterms:created>
  <dc:creator>admin</dc:creator>
  <cp:lastModifiedBy>Administrator</cp:lastModifiedBy>
  <cp:lastPrinted>2021-12-29T07:15:00Z</cp:lastPrinted>
  <dcterms:modified xsi:type="dcterms:W3CDTF">2025-02-13T02:43:48Z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1EC6578DA37D4CD0AF8D3B8F719DD21F_12</vt:lpwstr>
  </property>
  <property fmtid="{D5CDD505-2E9C-101B-9397-08002B2CF9AE}" pid="4" name="KSOTemplateDocerSaveRecord">
    <vt:lpwstr>eyJoZGlkIjoiMjAzNWIxMjExZDFiZjdkNzkyY2YwZTU2YWJhYzY1MTYifQ==</vt:lpwstr>
  </property>
</Properties>
</file>