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line="360" w:lineRule="auto"/>
        <w:ind w:right="473" w:rightChars="225" w:firstLine="723"/>
        <w:contextualSpacing/>
        <w:jc w:val="center"/>
        <w:rPr>
          <w:rFonts w:hint="eastAsia" w:ascii="方正小标宋_GBK" w:hAnsi="仿宋" w:eastAsia="方正小标宋_GBK" w:cs="宋体"/>
          <w:bCs/>
          <w:sz w:val="32"/>
          <w:szCs w:val="32"/>
        </w:rPr>
      </w:pPr>
      <w:bookmarkStart w:id="0" w:name="_Toc497133093"/>
      <w:r>
        <w:rPr>
          <w:rFonts w:hint="eastAsia" w:ascii="宋体" w:hAnsi="宋体" w:cs="宋体"/>
          <w:b/>
          <w:bCs/>
          <w:sz w:val="36"/>
          <w:szCs w:val="36"/>
        </w:rPr>
        <w:t>第一部分 项目需求</w:t>
      </w:r>
    </w:p>
    <w:p>
      <w:pPr>
        <w:adjustRightInd w:val="0"/>
        <w:spacing w:before="100" w:beforeAutospacing="1" w:after="100" w:afterAutospacing="1" w:line="360" w:lineRule="auto"/>
        <w:ind w:right="62" w:firstLine="482" w:firstLineChars="200"/>
        <w:contextualSpacing/>
        <w:jc w:val="left"/>
        <w:rPr>
          <w:rFonts w:hint="eastAsia" w:ascii="仿宋" w:hAnsi="仿宋" w:eastAsia="仿宋" w:cs="宋体"/>
          <w:b/>
          <w:bCs/>
          <w:sz w:val="24"/>
          <w:szCs w:val="24"/>
        </w:rPr>
      </w:pPr>
      <w:r>
        <w:rPr>
          <w:rFonts w:hint="eastAsia" w:ascii="仿宋" w:hAnsi="仿宋" w:eastAsia="仿宋" w:cs="宋体"/>
          <w:b/>
          <w:bCs/>
          <w:sz w:val="24"/>
          <w:szCs w:val="24"/>
        </w:rPr>
        <w:t>一、项目概况</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 xml:space="preserve">扬州大学附属医院（扬州市第一人民医院），创建于1960年，系扬州大学唯一直属附属医院，是省教育厅省卫健委共建单位，是一所集医疗、教学、科研、急救、预防、康复为一体的综合性三级甲等医院。医院拥有东西两个院区（东区占地34.8亩，西区占地103.38亩），总建筑面积约20.5万平方米。医院实行一院两区一体化管理，东西区开放床位约1800张，年门急诊量140万人次，年出院患者7万人次。本项目中东区床位：800张，病区21个，平均床位约38张。西区：床位1000张，病区21个，平均床位约48张。 </w:t>
      </w:r>
    </w:p>
    <w:tbl>
      <w:tblPr>
        <w:tblStyle w:val="30"/>
        <w:tblW w:w="8699" w:type="dxa"/>
        <w:jc w:val="center"/>
        <w:tblLayout w:type="autofit"/>
        <w:tblCellMar>
          <w:top w:w="0" w:type="dxa"/>
          <w:left w:w="108" w:type="dxa"/>
          <w:bottom w:w="0" w:type="dxa"/>
          <w:right w:w="108" w:type="dxa"/>
        </w:tblCellMar>
      </w:tblPr>
      <w:tblGrid>
        <w:gridCol w:w="1159"/>
        <w:gridCol w:w="3114"/>
        <w:gridCol w:w="1546"/>
        <w:gridCol w:w="2880"/>
      </w:tblGrid>
      <w:tr>
        <w:tblPrEx>
          <w:tblCellMar>
            <w:top w:w="0" w:type="dxa"/>
            <w:left w:w="108" w:type="dxa"/>
            <w:bottom w:w="0" w:type="dxa"/>
            <w:right w:w="108" w:type="dxa"/>
          </w:tblCellMar>
        </w:tblPrEx>
        <w:trPr>
          <w:trHeight w:val="397" w:hRule="atLeast"/>
          <w:jc w:val="center"/>
        </w:trPr>
        <w:tc>
          <w:tcPr>
            <w:tcW w:w="8699" w:type="dxa"/>
            <w:gridSpan w:val="4"/>
            <w:tcBorders>
              <w:top w:val="single" w:color="auto" w:sz="8" w:space="0"/>
              <w:left w:val="single" w:color="auto" w:sz="8" w:space="0"/>
              <w:bottom w:val="single" w:color="auto" w:sz="8" w:space="0"/>
              <w:right w:val="single" w:color="000000"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扬州大学附属医院东区医院（东区泰州路45号）</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楼号</w:t>
            </w:r>
          </w:p>
        </w:tc>
        <w:tc>
          <w:tcPr>
            <w:tcW w:w="3114" w:type="dxa"/>
            <w:tcBorders>
              <w:top w:val="nil"/>
              <w:left w:val="nil"/>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科室</w:t>
            </w:r>
          </w:p>
        </w:tc>
        <w:tc>
          <w:tcPr>
            <w:tcW w:w="1546" w:type="dxa"/>
            <w:tcBorders>
              <w:top w:val="nil"/>
              <w:left w:val="nil"/>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建筑面积㎡</w:t>
            </w:r>
          </w:p>
        </w:tc>
        <w:tc>
          <w:tcPr>
            <w:tcW w:w="2878" w:type="dxa"/>
            <w:tcBorders>
              <w:top w:val="nil"/>
              <w:left w:val="nil"/>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基本概况</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门急诊（1号楼）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12842.5</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地上4层、地下1层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门诊楼地下室（1号楼）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4486.6</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综合病房（2号楼）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13296.1</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地上11层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后勤用房（3号楼）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1400</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地上2层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儿科综合楼（4号楼）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4637.23</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地上6层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食堂综合楼（5号楼）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3357.2</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地上5层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医技楼（6号楼）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4896.6</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地上7层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内科病房楼（7号楼）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7343.81</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地上7层，地下1层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设备科楼（8号楼）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638</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地上2层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发热门诊（9号楼）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4763.4</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地上4层、地下1层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锅炉房</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100</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南区公寓楼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3663.48</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地上5层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13</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各楼宇间连廊</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524.22</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合计</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61949.14</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备注</w:t>
            </w:r>
          </w:p>
        </w:tc>
        <w:tc>
          <w:tcPr>
            <w:tcW w:w="7539" w:type="dxa"/>
            <w:gridSpan w:val="3"/>
            <w:tcBorders>
              <w:top w:val="single" w:color="auto" w:sz="8" w:space="0"/>
              <w:left w:val="nil"/>
              <w:bottom w:val="single" w:color="auto" w:sz="8" w:space="0"/>
              <w:right w:val="single" w:color="000000"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垂直电梯12部、扶梯6部。</w:t>
            </w:r>
          </w:p>
        </w:tc>
      </w:tr>
      <w:tr>
        <w:tblPrEx>
          <w:tblCellMar>
            <w:top w:w="0" w:type="dxa"/>
            <w:left w:w="108" w:type="dxa"/>
            <w:bottom w:w="0" w:type="dxa"/>
            <w:right w:w="108" w:type="dxa"/>
          </w:tblCellMar>
        </w:tblPrEx>
        <w:trPr>
          <w:trHeight w:val="397" w:hRule="atLeast"/>
          <w:jc w:val="center"/>
        </w:trPr>
        <w:tc>
          <w:tcPr>
            <w:tcW w:w="8699" w:type="dxa"/>
            <w:gridSpan w:val="4"/>
            <w:tcBorders>
              <w:top w:val="single" w:color="auto" w:sz="8" w:space="0"/>
              <w:left w:val="single" w:color="auto" w:sz="8" w:space="0"/>
              <w:bottom w:val="single" w:color="auto" w:sz="8" w:space="0"/>
              <w:right w:val="single" w:color="000000"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扬州大学附属医院西区医院（西区邗江中路368号）</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楼号</w:t>
            </w:r>
          </w:p>
        </w:tc>
        <w:tc>
          <w:tcPr>
            <w:tcW w:w="3114" w:type="dxa"/>
            <w:tcBorders>
              <w:top w:val="nil"/>
              <w:left w:val="nil"/>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科室</w:t>
            </w:r>
          </w:p>
        </w:tc>
        <w:tc>
          <w:tcPr>
            <w:tcW w:w="1546" w:type="dxa"/>
            <w:tcBorders>
              <w:top w:val="nil"/>
              <w:left w:val="nil"/>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建筑面积㎡</w:t>
            </w:r>
          </w:p>
        </w:tc>
        <w:tc>
          <w:tcPr>
            <w:tcW w:w="2878" w:type="dxa"/>
            <w:tcBorders>
              <w:top w:val="nil"/>
              <w:left w:val="nil"/>
              <w:bottom w:val="single" w:color="auto" w:sz="8" w:space="0"/>
              <w:right w:val="single" w:color="auto" w:sz="8" w:space="0"/>
            </w:tcBorders>
            <w:shd w:val="clear" w:color="auto" w:fill="00B0F0"/>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基本概况</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门急诊楼（1号楼）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12054.75</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地上4层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医技楼（2号楼）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6131.66</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地上4层、地下1层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病房楼（3号楼）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65135.8</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地上22层、地下1层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病房楼地下室（3号楼）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17071.2</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病理科楼（4号楼）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12000</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地上5层、地下2层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地下车库</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4258</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2-4号楼（包含机动车库和非机动车库）</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洗衣房楼（5号楼）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1725.04</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地上2陈（1楼洗衣房、二层PCR实验室）</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综合办公室（6号楼）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113</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2个房间</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行政楼（7号楼）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6131.66</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地上6层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附属用房（8号楼）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386.97</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科教综合楼（9号楼）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12000</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2025年新增</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发热门诊（11号楼）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1060</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2021年新增</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13</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肠道门诊（12号楼）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126</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地上一层</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14</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邗江实验公寓楼</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5600</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2025年新增（6层楼，院外学生宿舍,103个房间）</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合计</w:t>
            </w:r>
          </w:p>
        </w:tc>
        <w:tc>
          <w:tcPr>
            <w:tcW w:w="3114"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1546"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143794.08</w:t>
            </w:r>
          </w:p>
        </w:tc>
        <w:tc>
          <w:tcPr>
            <w:tcW w:w="2878" w:type="dxa"/>
            <w:tcBorders>
              <w:top w:val="nil"/>
              <w:left w:val="nil"/>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97" w:hRule="atLeast"/>
          <w:jc w:val="center"/>
        </w:trPr>
        <w:tc>
          <w:tcPr>
            <w:tcW w:w="1159" w:type="dxa"/>
            <w:tcBorders>
              <w:top w:val="nil"/>
              <w:left w:val="single" w:color="auto" w:sz="8" w:space="0"/>
              <w:bottom w:val="single" w:color="auto" w:sz="8" w:space="0"/>
              <w:right w:val="single" w:color="auto"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备注</w:t>
            </w:r>
          </w:p>
        </w:tc>
        <w:tc>
          <w:tcPr>
            <w:tcW w:w="7539" w:type="dxa"/>
            <w:gridSpan w:val="3"/>
            <w:tcBorders>
              <w:top w:val="single" w:color="auto" w:sz="8" w:space="0"/>
              <w:left w:val="nil"/>
              <w:bottom w:val="single" w:color="auto" w:sz="8" w:space="0"/>
              <w:right w:val="single" w:color="000000" w:sz="8" w:space="0"/>
            </w:tcBorders>
            <w:shd w:val="clear" w:color="auto" w:fill="auto"/>
            <w:vAlign w:val="center"/>
          </w:tcPr>
          <w:p>
            <w:pPr>
              <w:widowControl/>
              <w:ind w:right="62"/>
              <w:jc w:val="center"/>
              <w:rPr>
                <w:rFonts w:hint="eastAsia" w:ascii="仿宋" w:hAnsi="仿宋" w:eastAsia="仿宋" w:cs="宋体"/>
                <w:kern w:val="0"/>
                <w:sz w:val="24"/>
                <w:szCs w:val="24"/>
              </w:rPr>
            </w:pPr>
            <w:r>
              <w:rPr>
                <w:rFonts w:hint="eastAsia" w:ascii="仿宋" w:hAnsi="仿宋" w:eastAsia="仿宋" w:cs="宋体"/>
                <w:kern w:val="0"/>
                <w:sz w:val="24"/>
                <w:szCs w:val="24"/>
              </w:rPr>
              <w:t>垂直电梯20部、扶梯2部、杂梯2部。</w:t>
            </w:r>
          </w:p>
        </w:tc>
      </w:tr>
    </w:tbl>
    <w:p>
      <w:pPr>
        <w:adjustRightInd w:val="0"/>
        <w:spacing w:before="100" w:beforeAutospacing="1" w:after="100" w:afterAutospacing="1" w:line="360" w:lineRule="auto"/>
        <w:ind w:right="62" w:firstLine="482" w:firstLineChars="200"/>
        <w:contextualSpacing/>
        <w:rPr>
          <w:rFonts w:hint="eastAsia" w:ascii="仿宋" w:hAnsi="仿宋" w:eastAsia="仿宋" w:cs="宋体"/>
          <w:sz w:val="24"/>
          <w:szCs w:val="24"/>
        </w:rPr>
      </w:pPr>
      <w:r>
        <w:rPr>
          <w:rFonts w:hint="eastAsia" w:ascii="仿宋" w:hAnsi="仿宋" w:eastAsia="仿宋" w:cs="宋体"/>
          <w:b/>
          <w:bCs/>
          <w:sz w:val="24"/>
          <w:szCs w:val="24"/>
        </w:rPr>
        <w:t>备注</w:t>
      </w:r>
      <w:r>
        <w:rPr>
          <w:rFonts w:hint="eastAsia" w:ascii="仿宋" w:hAnsi="仿宋" w:eastAsia="仿宋" w:cs="宋体"/>
          <w:sz w:val="24"/>
          <w:szCs w:val="24"/>
        </w:rPr>
        <w:t>：上述建筑面积按医院实际上报数据统计，投标人可踏勘现场核实服务范围。区域若有增减，均不做调整。投标人应根据招标文件的要求，以科学的物业管理、合理的人员配备、充足的养护机械、优良的服务质量、优惠的价格制定详细的服务方案前来投标，充分显示自身的竞争实力，满足医院物业服务需求。</w:t>
      </w:r>
    </w:p>
    <w:p>
      <w:pPr>
        <w:adjustRightInd w:val="0"/>
        <w:spacing w:before="100" w:beforeAutospacing="1" w:after="100" w:afterAutospacing="1" w:line="360" w:lineRule="auto"/>
        <w:ind w:right="473" w:rightChars="225" w:firstLine="482"/>
        <w:contextualSpacing/>
        <w:rPr>
          <w:rFonts w:hint="eastAsia" w:ascii="仿宋" w:hAnsi="仿宋" w:eastAsia="仿宋" w:cs="宋体"/>
          <w:b/>
          <w:sz w:val="24"/>
          <w:szCs w:val="24"/>
        </w:rPr>
      </w:pPr>
      <w:r>
        <w:rPr>
          <w:rFonts w:hint="eastAsia" w:ascii="仿宋" w:hAnsi="仿宋" w:eastAsia="仿宋" w:cs="宋体"/>
          <w:b/>
          <w:sz w:val="24"/>
          <w:szCs w:val="24"/>
        </w:rPr>
        <w:t>二、服务范围</w:t>
      </w:r>
    </w:p>
    <w:p>
      <w:pPr>
        <w:tabs>
          <w:tab w:val="left" w:pos="284"/>
        </w:tabs>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扬州大学附属医院东西院区所属区域室内外日常保洁、专项保洁、运送、无偿陪检服务、后勤一站式服务中心（含西区运送调度、物流运行、会务服务保障）、绿色通道及120运送服务、太平间管理、医疗废物、危废医废及生活垃圾分类收集、电梯司机、学生宿舍管理、CU单元保洁加生活照料(ICU等特殊病区)、突发事件应急处置、地面专业养护、门窗玻璃保洁、物资搬运、病媒生物防治、配合各类检查、公共责任险、东西区园林绿化及采购人指定区域等。</w:t>
      </w:r>
    </w:p>
    <w:p>
      <w:pPr>
        <w:adjustRightInd w:val="0"/>
        <w:spacing w:before="100" w:beforeAutospacing="1" w:after="100" w:afterAutospacing="1" w:line="360" w:lineRule="auto"/>
        <w:ind w:right="473" w:rightChars="225" w:firstLine="482"/>
        <w:contextualSpacing/>
        <w:rPr>
          <w:rFonts w:hint="eastAsia" w:ascii="仿宋" w:hAnsi="仿宋" w:eastAsia="仿宋" w:cs="宋体"/>
          <w:b/>
          <w:sz w:val="24"/>
          <w:szCs w:val="24"/>
        </w:rPr>
      </w:pPr>
      <w:r>
        <w:rPr>
          <w:rFonts w:hint="eastAsia" w:ascii="仿宋" w:hAnsi="仿宋" w:eastAsia="仿宋" w:cs="宋体"/>
          <w:b/>
          <w:sz w:val="24"/>
          <w:szCs w:val="24"/>
        </w:rPr>
        <w:t>三、服务期限</w:t>
      </w:r>
    </w:p>
    <w:p>
      <w:pPr>
        <w:tabs>
          <w:tab w:val="left" w:pos="284"/>
        </w:tabs>
        <w:spacing w:before="100" w:beforeAutospacing="1" w:after="100" w:afterAutospacing="1" w:line="360" w:lineRule="auto"/>
        <w:ind w:right="62" w:firstLine="480" w:firstLineChars="200"/>
        <w:contextualSpacing/>
        <w:rPr>
          <w:rFonts w:hint="eastAsia" w:ascii="仿宋" w:hAnsi="仿宋" w:eastAsia="仿宋" w:cs="宋体"/>
          <w:b/>
          <w:sz w:val="24"/>
          <w:szCs w:val="24"/>
        </w:rPr>
      </w:pPr>
      <w:r>
        <w:rPr>
          <w:rFonts w:hint="eastAsia" w:ascii="仿宋" w:hAnsi="仿宋" w:eastAsia="仿宋" w:cs="宋体"/>
          <w:sz w:val="24"/>
          <w:szCs w:val="24"/>
        </w:rPr>
        <w:t>本项目服务总期限3年（2025年5月1日-</w:t>
      </w:r>
      <w:bookmarkStart w:id="1" w:name="OLE_LINK16"/>
      <w:r>
        <w:rPr>
          <w:rFonts w:hint="eastAsia" w:ascii="仿宋" w:hAnsi="仿宋" w:eastAsia="仿宋" w:cs="宋体"/>
          <w:sz w:val="24"/>
          <w:szCs w:val="24"/>
        </w:rPr>
        <w:t xml:space="preserve"> 2028年4月30日</w:t>
      </w:r>
      <w:bookmarkEnd w:id="1"/>
      <w:r>
        <w:rPr>
          <w:rFonts w:hint="eastAsia" w:ascii="仿宋" w:hAnsi="仿宋" w:eastAsia="仿宋" w:cs="宋体"/>
          <w:sz w:val="24"/>
          <w:szCs w:val="24"/>
        </w:rPr>
        <w:t>）。服务期间每年开展综合评价考核，考核合格且在预算资金落实并采购人同意的情况下可续签合同，每次续签一年。本报价必须充分考虑服务期内的政策性费用调整、市场因素和成本变化状况的风险，一旦成交，3年服务期内不予调整。如发生漏、缺、少项，都将被认为是中标人的报价让利行为。</w:t>
      </w:r>
    </w:p>
    <w:p>
      <w:pPr>
        <w:tabs>
          <w:tab w:val="left" w:pos="284"/>
        </w:tabs>
        <w:spacing w:before="100" w:beforeAutospacing="1" w:after="100" w:afterAutospacing="1" w:line="360" w:lineRule="auto"/>
        <w:ind w:right="62" w:firstLine="482" w:firstLineChars="200"/>
        <w:contextualSpacing/>
        <w:rPr>
          <w:rFonts w:hint="eastAsia" w:ascii="仿宋" w:hAnsi="仿宋" w:eastAsia="仿宋" w:cs="宋体"/>
          <w:b/>
          <w:sz w:val="24"/>
          <w:szCs w:val="24"/>
        </w:rPr>
      </w:pPr>
      <w:r>
        <w:rPr>
          <w:rFonts w:hint="eastAsia" w:ascii="仿宋" w:hAnsi="仿宋" w:eastAsia="仿宋" w:cs="宋体"/>
          <w:b/>
          <w:sz w:val="24"/>
          <w:szCs w:val="24"/>
        </w:rPr>
        <w:t>四、人员岗位配置及薪酬</w:t>
      </w:r>
    </w:p>
    <w:tbl>
      <w:tblPr>
        <w:tblStyle w:val="30"/>
        <w:tblW w:w="9222" w:type="dxa"/>
        <w:jc w:val="center"/>
        <w:tblLayout w:type="autofit"/>
        <w:tblCellMar>
          <w:top w:w="0" w:type="dxa"/>
          <w:left w:w="108" w:type="dxa"/>
          <w:bottom w:w="0" w:type="dxa"/>
          <w:right w:w="108" w:type="dxa"/>
        </w:tblCellMar>
      </w:tblPr>
      <w:tblGrid>
        <w:gridCol w:w="719"/>
        <w:gridCol w:w="911"/>
        <w:gridCol w:w="1497"/>
        <w:gridCol w:w="876"/>
        <w:gridCol w:w="1193"/>
        <w:gridCol w:w="1354"/>
        <w:gridCol w:w="849"/>
        <w:gridCol w:w="971"/>
        <w:gridCol w:w="852"/>
      </w:tblGrid>
      <w:tr>
        <w:tblPrEx>
          <w:tblCellMar>
            <w:top w:w="0" w:type="dxa"/>
            <w:left w:w="108" w:type="dxa"/>
            <w:bottom w:w="0" w:type="dxa"/>
            <w:right w:w="108" w:type="dxa"/>
          </w:tblCellMar>
        </w:tblPrEx>
        <w:trPr>
          <w:trHeight w:val="623" w:hRule="atLeast"/>
          <w:jc w:val="center"/>
        </w:trPr>
        <w:tc>
          <w:tcPr>
            <w:tcW w:w="719" w:type="dxa"/>
            <w:vMerge w:val="restart"/>
            <w:tcBorders>
              <w:top w:val="single" w:color="auto" w:sz="4" w:space="0"/>
              <w:left w:val="single" w:color="auto" w:sz="4" w:space="0"/>
              <w:bottom w:val="single" w:color="000000" w:sz="4" w:space="0"/>
              <w:right w:val="single" w:color="auto" w:sz="4" w:space="0"/>
            </w:tcBorders>
            <w:shd w:val="clear" w:color="000000" w:fill="D2F4F2"/>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911" w:type="dxa"/>
            <w:vMerge w:val="restart"/>
            <w:tcBorders>
              <w:top w:val="single" w:color="auto" w:sz="4" w:space="0"/>
              <w:left w:val="single" w:color="auto" w:sz="4" w:space="0"/>
              <w:bottom w:val="single" w:color="000000"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岗位等级</w:t>
            </w:r>
          </w:p>
        </w:tc>
        <w:tc>
          <w:tcPr>
            <w:tcW w:w="1497" w:type="dxa"/>
            <w:tcBorders>
              <w:top w:val="single" w:color="auto" w:sz="4" w:space="0"/>
              <w:left w:val="nil"/>
              <w:bottom w:val="single" w:color="auto" w:sz="4" w:space="0"/>
              <w:right w:val="nil"/>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费用组成</w:t>
            </w:r>
            <w:r>
              <w:rPr>
                <w:rFonts w:hint="eastAsia" w:ascii="宋体" w:hAnsi="宋体" w:cs="宋体"/>
                <w:color w:val="000000"/>
                <w:kern w:val="0"/>
                <w:sz w:val="22"/>
              </w:rPr>
              <w:br w:type="textWrapping"/>
            </w:r>
            <w:r>
              <w:rPr>
                <w:rFonts w:hint="eastAsia" w:ascii="宋体" w:hAnsi="宋体" w:cs="宋体"/>
                <w:color w:val="000000"/>
                <w:kern w:val="0"/>
                <w:sz w:val="22"/>
              </w:rPr>
              <w:t>（元/月）</w:t>
            </w:r>
          </w:p>
        </w:tc>
        <w:tc>
          <w:tcPr>
            <w:tcW w:w="876" w:type="dxa"/>
            <w:vMerge w:val="restart"/>
            <w:tcBorders>
              <w:top w:val="single" w:color="auto" w:sz="4" w:space="0"/>
              <w:left w:val="single" w:color="auto" w:sz="4" w:space="0"/>
              <w:bottom w:val="single" w:color="000000"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人数 （人）</w:t>
            </w:r>
          </w:p>
        </w:tc>
        <w:tc>
          <w:tcPr>
            <w:tcW w:w="1193" w:type="dxa"/>
            <w:vMerge w:val="restart"/>
            <w:tcBorders>
              <w:top w:val="single" w:color="auto" w:sz="4" w:space="0"/>
              <w:left w:val="single" w:color="auto" w:sz="4" w:space="0"/>
              <w:bottom w:val="single" w:color="000000"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工资标准</w:t>
            </w:r>
            <w:r>
              <w:rPr>
                <w:rFonts w:hint="eastAsia" w:ascii="宋体" w:hAnsi="宋体" w:cs="宋体"/>
                <w:color w:val="000000"/>
                <w:kern w:val="0"/>
                <w:sz w:val="22"/>
              </w:rPr>
              <w:br w:type="textWrapping"/>
            </w:r>
            <w:r>
              <w:rPr>
                <w:rFonts w:hint="eastAsia" w:ascii="宋体" w:hAnsi="宋体" w:cs="宋体"/>
                <w:color w:val="000000"/>
                <w:kern w:val="0"/>
                <w:sz w:val="22"/>
              </w:rPr>
              <w:t>（元/月/人）</w:t>
            </w:r>
          </w:p>
        </w:tc>
        <w:tc>
          <w:tcPr>
            <w:tcW w:w="1354" w:type="dxa"/>
            <w:tcBorders>
              <w:top w:val="single" w:color="auto" w:sz="4" w:space="0"/>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金额</w:t>
            </w:r>
            <w:r>
              <w:rPr>
                <w:rFonts w:hint="eastAsia" w:ascii="宋体" w:hAnsi="宋体" w:cs="宋体"/>
                <w:color w:val="000000"/>
                <w:kern w:val="0"/>
                <w:sz w:val="22"/>
              </w:rPr>
              <w:br w:type="textWrapping"/>
            </w:r>
            <w:r>
              <w:rPr>
                <w:rFonts w:hint="eastAsia" w:ascii="宋体" w:hAnsi="宋体" w:cs="宋体"/>
                <w:color w:val="000000"/>
                <w:kern w:val="0"/>
                <w:sz w:val="22"/>
              </w:rPr>
              <w:t>（月/元）</w:t>
            </w:r>
          </w:p>
        </w:tc>
        <w:tc>
          <w:tcPr>
            <w:tcW w:w="2672"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color w:val="FF0000"/>
                <w:kern w:val="0"/>
                <w:sz w:val="22"/>
              </w:rPr>
            </w:pPr>
            <w:r>
              <w:rPr>
                <w:rFonts w:hint="eastAsia" w:ascii="宋体" w:hAnsi="宋体" w:cs="宋体"/>
                <w:color w:val="FF0000"/>
                <w:kern w:val="0"/>
                <w:sz w:val="22"/>
              </w:rPr>
              <w:t>备注人数明细</w:t>
            </w:r>
          </w:p>
        </w:tc>
      </w:tr>
      <w:tr>
        <w:tblPrEx>
          <w:tblCellMar>
            <w:top w:w="0" w:type="dxa"/>
            <w:left w:w="108" w:type="dxa"/>
            <w:bottom w:w="0" w:type="dxa"/>
            <w:right w:w="108" w:type="dxa"/>
          </w:tblCellMar>
        </w:tblPrEx>
        <w:trPr>
          <w:trHeight w:val="435" w:hRule="atLeast"/>
          <w:jc w:val="center"/>
        </w:trPr>
        <w:tc>
          <w:tcPr>
            <w:tcW w:w="7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岗位类别</w:t>
            </w: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xml:space="preserve">标准×人数 </w:t>
            </w:r>
          </w:p>
        </w:tc>
        <w:tc>
          <w:tcPr>
            <w:tcW w:w="849" w:type="dxa"/>
            <w:tcBorders>
              <w:top w:val="single" w:color="auto" w:sz="4" w:space="0"/>
              <w:left w:val="nil"/>
              <w:bottom w:val="single" w:color="auto" w:sz="4" w:space="0"/>
              <w:right w:val="single" w:color="auto" w:sz="4" w:space="0"/>
            </w:tcBorders>
            <w:shd w:val="clear" w:color="000000" w:fill="B5C6EA"/>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东区</w:t>
            </w:r>
          </w:p>
        </w:tc>
        <w:tc>
          <w:tcPr>
            <w:tcW w:w="971" w:type="dxa"/>
            <w:tcBorders>
              <w:top w:val="single" w:color="auto" w:sz="4" w:space="0"/>
              <w:left w:val="nil"/>
              <w:bottom w:val="single" w:color="auto" w:sz="4" w:space="0"/>
              <w:right w:val="single" w:color="auto" w:sz="4" w:space="0"/>
            </w:tcBorders>
            <w:shd w:val="clear" w:color="000000" w:fill="B5C6EA"/>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西区</w:t>
            </w:r>
          </w:p>
        </w:tc>
        <w:tc>
          <w:tcPr>
            <w:tcW w:w="852" w:type="dxa"/>
            <w:tcBorders>
              <w:top w:val="single" w:color="auto" w:sz="4" w:space="0"/>
              <w:left w:val="nil"/>
              <w:bottom w:val="single" w:color="auto" w:sz="4" w:space="0"/>
              <w:right w:val="single" w:color="auto" w:sz="4" w:space="0"/>
            </w:tcBorders>
            <w:shd w:val="clear" w:color="000000" w:fill="B5C6EA"/>
            <w:noWrap/>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合计</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911"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一级岗</w:t>
            </w: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项目经理</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2</w:t>
            </w:r>
          </w:p>
        </w:tc>
        <w:tc>
          <w:tcPr>
            <w:tcW w:w="1193"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553"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11"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二级岗</w:t>
            </w: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项目主管</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13</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r>
      <w:tr>
        <w:tblPrEx>
          <w:tblCellMar>
            <w:top w:w="0" w:type="dxa"/>
            <w:left w:w="108" w:type="dxa"/>
            <w:bottom w:w="0" w:type="dxa"/>
            <w:right w:w="108" w:type="dxa"/>
          </w:tblCellMar>
        </w:tblPrEx>
        <w:trPr>
          <w:trHeight w:val="573"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911"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三级岗</w:t>
            </w: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会务和调度</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4</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0</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533"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911" w:type="dxa"/>
            <w:vMerge w:val="restart"/>
            <w:tcBorders>
              <w:top w:val="nil"/>
              <w:left w:val="single" w:color="auto" w:sz="4" w:space="0"/>
              <w:bottom w:val="single" w:color="000000" w:sz="4" w:space="0"/>
              <w:right w:val="single" w:color="auto" w:sz="4" w:space="0"/>
            </w:tcBorders>
            <w:shd w:val="clear" w:color="000000" w:fill="D2F4F2"/>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四级岗</w:t>
            </w: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CU辅助</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32</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r>
      <w:tr>
        <w:tblPrEx>
          <w:tblCellMar>
            <w:top w:w="0" w:type="dxa"/>
            <w:left w:w="108" w:type="dxa"/>
            <w:bottom w:w="0" w:type="dxa"/>
            <w:right w:w="108" w:type="dxa"/>
          </w:tblCellMar>
        </w:tblPrEx>
        <w:trPr>
          <w:trHeight w:val="592"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医疗废弃、生活垃圾、太平间管理人员</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9</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手术室</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26</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专项保洁（含洗地、搬迁）</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25</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911" w:type="dxa"/>
            <w:vMerge w:val="restart"/>
            <w:tcBorders>
              <w:top w:val="nil"/>
              <w:left w:val="single" w:color="auto" w:sz="4" w:space="0"/>
              <w:bottom w:val="single" w:color="000000" w:sz="4" w:space="0"/>
              <w:right w:val="single" w:color="auto" w:sz="4" w:space="0"/>
            </w:tcBorders>
            <w:shd w:val="clear" w:color="000000" w:fill="D2F4F2"/>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五级岗</w:t>
            </w: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电梯服务人员</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16</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绿色通道</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14</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r>
      <w:tr>
        <w:tblPrEx>
          <w:tblCellMar>
            <w:top w:w="0" w:type="dxa"/>
            <w:left w:w="108" w:type="dxa"/>
            <w:bottom w:w="0" w:type="dxa"/>
            <w:right w:w="108" w:type="dxa"/>
          </w:tblCellMar>
        </w:tblPrEx>
        <w:trPr>
          <w:trHeight w:val="553"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120担架工</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3</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0</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533"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保洁运送</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275</w:t>
            </w:r>
          </w:p>
        </w:tc>
        <w:tc>
          <w:tcPr>
            <w:tcW w:w="1193" w:type="dxa"/>
            <w:tcBorders>
              <w:top w:val="nil"/>
              <w:left w:val="nil"/>
              <w:bottom w:val="single" w:color="auto" w:sz="4" w:space="0"/>
              <w:right w:val="single" w:color="auto" w:sz="4" w:space="0"/>
            </w:tcBorders>
            <w:shd w:val="clear" w:color="000000" w:fill="D2F4F2"/>
            <w:noWrap/>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110</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165</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275</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宿管</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8</w:t>
            </w:r>
          </w:p>
        </w:tc>
        <w:tc>
          <w:tcPr>
            <w:tcW w:w="1193"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9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外环人员</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kern w:val="0"/>
                <w:sz w:val="22"/>
              </w:rPr>
            </w:pPr>
            <w:r>
              <w:rPr>
                <w:rFonts w:hint="eastAsia" w:ascii="宋体" w:hAnsi="宋体" w:cs="宋体"/>
                <w:kern w:val="0"/>
                <w:sz w:val="22"/>
              </w:rPr>
              <w:t>14</w:t>
            </w:r>
          </w:p>
        </w:tc>
        <w:tc>
          <w:tcPr>
            <w:tcW w:w="1193"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2"/>
              </w:rPr>
            </w:pPr>
          </w:p>
        </w:tc>
        <w:tc>
          <w:tcPr>
            <w:tcW w:w="8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9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r>
      <w:tr>
        <w:tblPrEx>
          <w:tblCellMar>
            <w:top w:w="0" w:type="dxa"/>
            <w:left w:w="108" w:type="dxa"/>
            <w:bottom w:w="0" w:type="dxa"/>
            <w:right w:w="108" w:type="dxa"/>
          </w:tblCellMar>
        </w:tblPrEx>
        <w:trPr>
          <w:trHeight w:val="435" w:hRule="atLeast"/>
          <w:jc w:val="center"/>
        </w:trPr>
        <w:tc>
          <w:tcPr>
            <w:tcW w:w="719" w:type="dxa"/>
            <w:tcBorders>
              <w:top w:val="nil"/>
              <w:left w:val="single" w:color="auto" w:sz="4" w:space="0"/>
              <w:bottom w:val="single" w:color="auto" w:sz="4" w:space="0"/>
              <w:right w:val="single" w:color="auto" w:sz="4" w:space="0"/>
            </w:tcBorders>
            <w:shd w:val="clear" w:color="000000" w:fill="D2F4F2"/>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911"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月工资小计</w:t>
            </w:r>
          </w:p>
        </w:tc>
        <w:tc>
          <w:tcPr>
            <w:tcW w:w="1497"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序号1-14小计</w:t>
            </w:r>
          </w:p>
        </w:tc>
        <w:tc>
          <w:tcPr>
            <w:tcW w:w="876"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441</w:t>
            </w:r>
          </w:p>
        </w:tc>
        <w:tc>
          <w:tcPr>
            <w:tcW w:w="1193"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b/>
                <w:bCs/>
                <w:color w:val="000000"/>
                <w:kern w:val="0"/>
                <w:sz w:val="20"/>
                <w:szCs w:val="20"/>
              </w:rPr>
            </w:pPr>
          </w:p>
        </w:tc>
        <w:tc>
          <w:tcPr>
            <w:tcW w:w="1354" w:type="dxa"/>
            <w:tcBorders>
              <w:top w:val="nil"/>
              <w:left w:val="nil"/>
              <w:bottom w:val="single" w:color="auto" w:sz="4" w:space="0"/>
              <w:right w:val="single" w:color="auto" w:sz="4" w:space="0"/>
            </w:tcBorders>
            <w:shd w:val="clear" w:color="000000" w:fill="D2F4F2"/>
            <w:vAlign w:val="center"/>
          </w:tcPr>
          <w:p>
            <w:pPr>
              <w:widowControl/>
              <w:jc w:val="center"/>
              <w:rPr>
                <w:rFonts w:hint="eastAsia" w:ascii="宋体" w:hAnsi="宋体" w:cs="宋体"/>
                <w:b/>
                <w:bCs/>
                <w:color w:val="000000"/>
                <w:kern w:val="0"/>
                <w:sz w:val="20"/>
                <w:szCs w:val="20"/>
              </w:rPr>
            </w:pPr>
          </w:p>
        </w:tc>
        <w:tc>
          <w:tcPr>
            <w:tcW w:w="849" w:type="dxa"/>
            <w:tcBorders>
              <w:top w:val="nil"/>
              <w:left w:val="nil"/>
              <w:bottom w:val="single" w:color="auto" w:sz="4" w:space="0"/>
              <w:right w:val="single" w:color="auto" w:sz="4" w:space="0"/>
            </w:tcBorders>
            <w:shd w:val="clear" w:color="000000" w:fill="B5C6EA"/>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194</w:t>
            </w:r>
          </w:p>
        </w:tc>
        <w:tc>
          <w:tcPr>
            <w:tcW w:w="971" w:type="dxa"/>
            <w:tcBorders>
              <w:top w:val="nil"/>
              <w:left w:val="nil"/>
              <w:bottom w:val="single" w:color="auto" w:sz="4" w:space="0"/>
              <w:right w:val="single" w:color="auto" w:sz="4" w:space="0"/>
            </w:tcBorders>
            <w:shd w:val="clear" w:color="000000" w:fill="B5C6EA"/>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247</w:t>
            </w:r>
          </w:p>
        </w:tc>
        <w:tc>
          <w:tcPr>
            <w:tcW w:w="852" w:type="dxa"/>
            <w:tcBorders>
              <w:top w:val="nil"/>
              <w:left w:val="nil"/>
              <w:bottom w:val="single" w:color="auto" w:sz="4" w:space="0"/>
              <w:right w:val="single" w:color="auto" w:sz="4" w:space="0"/>
            </w:tcBorders>
            <w:shd w:val="clear" w:color="000000" w:fill="B5C6EA"/>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441</w:t>
            </w:r>
          </w:p>
        </w:tc>
      </w:tr>
    </w:tbl>
    <w:p>
      <w:pPr>
        <w:tabs>
          <w:tab w:val="left" w:pos="284"/>
        </w:tabs>
        <w:spacing w:before="100" w:beforeAutospacing="1" w:after="100" w:afterAutospacing="1" w:line="360" w:lineRule="auto"/>
        <w:ind w:right="62" w:firstLine="482" w:firstLineChars="200"/>
        <w:contextualSpacing/>
        <w:rPr>
          <w:rFonts w:hint="eastAsia" w:ascii="仿宋" w:hAnsi="仿宋" w:eastAsia="仿宋" w:cs="宋体"/>
          <w:b/>
          <w:sz w:val="24"/>
          <w:szCs w:val="24"/>
          <w:highlight w:val="none"/>
        </w:rPr>
      </w:pPr>
      <w:r>
        <w:rPr>
          <w:rFonts w:hint="eastAsia" w:ascii="仿宋" w:hAnsi="仿宋" w:eastAsia="仿宋" w:cs="宋体"/>
          <w:b/>
          <w:sz w:val="24"/>
          <w:szCs w:val="24"/>
          <w:highlight w:val="none"/>
        </w:rPr>
        <w:t>备注：</w:t>
      </w:r>
      <w:r>
        <w:rPr>
          <w:rFonts w:hint="eastAsia" w:ascii="仿宋" w:hAnsi="仿宋" w:eastAsia="仿宋" w:cs="宋体"/>
          <w:b/>
          <w:sz w:val="24"/>
          <w:szCs w:val="24"/>
          <w:highlight w:val="none"/>
          <w:lang w:val="en-US" w:eastAsia="zh-CN"/>
        </w:rPr>
        <w:t>上述</w:t>
      </w:r>
      <w:r>
        <w:rPr>
          <w:rFonts w:hint="eastAsia" w:ascii="仿宋" w:hAnsi="仿宋" w:eastAsia="仿宋" w:cs="宋体"/>
          <w:b/>
          <w:sz w:val="24"/>
          <w:szCs w:val="24"/>
          <w:highlight w:val="none"/>
        </w:rPr>
        <w:t>工资标准为实际发放到卡的工资，</w:t>
      </w:r>
      <w:r>
        <w:rPr>
          <w:rFonts w:hint="eastAsia" w:ascii="仿宋" w:hAnsi="仿宋" w:eastAsia="仿宋" w:cs="宋体"/>
          <w:b/>
          <w:sz w:val="24"/>
          <w:szCs w:val="24"/>
          <w:highlight w:val="none"/>
          <w:lang w:val="en-US" w:eastAsia="zh-CN"/>
        </w:rPr>
        <w:t>医院每月抽查物业派驻人员到卡工资情况（抽查比例不低于10%），未按照</w:t>
      </w:r>
      <w:bookmarkStart w:id="2" w:name="OLE_LINK17"/>
      <w:r>
        <w:rPr>
          <w:rFonts w:hint="eastAsia" w:ascii="仿宋" w:hAnsi="仿宋" w:eastAsia="仿宋" w:cs="宋体"/>
          <w:b/>
          <w:sz w:val="24"/>
          <w:szCs w:val="24"/>
          <w:highlight w:val="none"/>
          <w:lang w:val="en-US" w:eastAsia="zh-CN"/>
        </w:rPr>
        <w:t>上述工资标准发放工资的</w:t>
      </w:r>
      <w:bookmarkEnd w:id="2"/>
      <w:r>
        <w:rPr>
          <w:rFonts w:hint="eastAsia" w:ascii="仿宋" w:hAnsi="仿宋" w:eastAsia="仿宋" w:cs="宋体"/>
          <w:b/>
          <w:sz w:val="24"/>
          <w:szCs w:val="24"/>
          <w:highlight w:val="none"/>
          <w:lang w:val="en-US" w:eastAsia="zh-CN"/>
        </w:rPr>
        <w:t>，医院每抽到一人次罚款10000元，每次抽查有3人及以上未按照上述工资标准发放工资的，中标人须提供全部派驻人员工资发放明细，医院有权不续签下一年度合同</w:t>
      </w:r>
      <w:r>
        <w:rPr>
          <w:rFonts w:hint="eastAsia" w:ascii="仿宋" w:hAnsi="仿宋" w:eastAsia="仿宋" w:cs="宋体"/>
          <w:b/>
          <w:sz w:val="24"/>
          <w:szCs w:val="24"/>
          <w:highlight w:val="none"/>
        </w:rPr>
        <w:t>。</w:t>
      </w:r>
    </w:p>
    <w:p>
      <w:pPr>
        <w:tabs>
          <w:tab w:val="left" w:pos="284"/>
        </w:tabs>
        <w:spacing w:before="100" w:beforeAutospacing="1" w:after="100" w:afterAutospacing="1" w:line="360" w:lineRule="auto"/>
        <w:ind w:right="62" w:firstLine="482" w:firstLineChars="200"/>
        <w:contextualSpacing/>
        <w:rPr>
          <w:rFonts w:hint="eastAsia" w:ascii="仿宋" w:hAnsi="仿宋" w:eastAsia="仿宋" w:cs="宋体"/>
          <w:i/>
          <w:iCs/>
          <w:sz w:val="24"/>
          <w:szCs w:val="24"/>
          <w:u w:val="single"/>
        </w:rPr>
      </w:pPr>
      <w:r>
        <w:rPr>
          <w:rFonts w:hint="eastAsia" w:ascii="仿宋" w:hAnsi="仿宋" w:eastAsia="仿宋" w:cs="宋体"/>
          <w:b/>
          <w:sz w:val="24"/>
          <w:szCs w:val="24"/>
        </w:rPr>
        <w:t>五、项目预算：</w:t>
      </w:r>
      <w:r>
        <w:rPr>
          <w:rFonts w:hint="eastAsia" w:ascii="仿宋" w:hAnsi="仿宋" w:eastAsia="仿宋" w:cs="宋体"/>
          <w:i/>
          <w:iCs/>
          <w:sz w:val="24"/>
          <w:szCs w:val="24"/>
          <w:u w:val="single"/>
        </w:rPr>
        <w:t xml:space="preserve">合同预算总价：2530万元/年，7590万元/三年。上述金额包含中标人管理费、所有耗材费用（如保洁耗材、工作服、医疗垃圾袋、生活垃圾桶及垃圾袋、公共责任险、东西区园林绿化、病媒生物防制等）、利润、税费、中标人工人解散的退场费用等，每月按照采购人考核后结算。 </w:t>
      </w:r>
    </w:p>
    <w:p>
      <w:pPr>
        <w:spacing w:before="100" w:beforeAutospacing="1" w:after="100" w:afterAutospacing="1" w:line="360" w:lineRule="auto"/>
        <w:ind w:right="62" w:firstLine="482" w:firstLineChars="200"/>
        <w:contextualSpacing/>
        <w:rPr>
          <w:rFonts w:hint="eastAsia" w:ascii="仿宋" w:hAnsi="仿宋" w:eastAsia="仿宋"/>
          <w:b/>
          <w:bCs/>
          <w:sz w:val="24"/>
          <w:szCs w:val="24"/>
        </w:rPr>
      </w:pPr>
      <w:r>
        <w:rPr>
          <w:rFonts w:hint="eastAsia" w:ascii="仿宋" w:hAnsi="仿宋" w:eastAsia="仿宋"/>
          <w:b/>
          <w:bCs/>
          <w:sz w:val="24"/>
          <w:szCs w:val="24"/>
        </w:rPr>
        <w:t>六、对投标人总体要求</w:t>
      </w:r>
    </w:p>
    <w:p>
      <w:pPr>
        <w:spacing w:before="100" w:beforeAutospacing="1" w:after="100" w:afterAutospacing="1" w:line="360" w:lineRule="auto"/>
        <w:ind w:right="62" w:firstLine="482" w:firstLineChars="200"/>
        <w:contextualSpacing/>
        <w:rPr>
          <w:rFonts w:hint="eastAsia" w:ascii="仿宋" w:hAnsi="仿宋" w:eastAsia="仿宋"/>
          <w:b/>
          <w:bCs/>
          <w:sz w:val="24"/>
          <w:szCs w:val="24"/>
        </w:rPr>
      </w:pPr>
      <w:r>
        <w:rPr>
          <w:rFonts w:hint="eastAsia" w:ascii="仿宋" w:hAnsi="仿宋" w:eastAsia="仿宋"/>
          <w:b/>
          <w:bCs/>
          <w:sz w:val="24"/>
          <w:szCs w:val="24"/>
        </w:rPr>
        <w:t>1.投标人报价要求：</w:t>
      </w:r>
    </w:p>
    <w:p>
      <w:pPr>
        <w:tabs>
          <w:tab w:val="left" w:pos="284"/>
        </w:tabs>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投标报价应包含为实施本项目所产生的一切费用，包括但不限于社会保险、公积金、伙食补贴、交通补贴、高温费、国定节假日加班、医院突发事件需要临时加班、带薪年休假、经济补偿金、培训费、装备费、意外险、管理费、利润、税金及其他等一切费用，以及为完成招标文件规定的物业管理工作所涉及到的一切相关费用。</w:t>
      </w:r>
    </w:p>
    <w:p>
      <w:pPr>
        <w:tabs>
          <w:tab w:val="left" w:pos="284"/>
        </w:tabs>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（2）物业服务过程中所需工具、设备、物耗等均由投标人提供或承担费用。</w:t>
      </w:r>
    </w:p>
    <w:p>
      <w:pPr>
        <w:tabs>
          <w:tab w:val="left" w:pos="284"/>
        </w:tabs>
        <w:spacing w:before="100" w:beforeAutospacing="1" w:after="100" w:afterAutospacing="1" w:line="360" w:lineRule="auto"/>
        <w:ind w:right="62" w:firstLine="480" w:firstLineChars="200"/>
        <w:contextualSpacing/>
        <w:rPr>
          <w:rFonts w:hint="eastAsia" w:ascii="仿宋" w:hAnsi="仿宋" w:eastAsia="仿宋"/>
          <w:b/>
          <w:sz w:val="24"/>
          <w:szCs w:val="24"/>
        </w:rPr>
      </w:pPr>
      <w:r>
        <w:rPr>
          <w:rFonts w:hint="eastAsia" w:ascii="仿宋" w:hAnsi="仿宋" w:eastAsia="仿宋" w:cs="宋体"/>
          <w:sz w:val="24"/>
          <w:szCs w:val="24"/>
        </w:rPr>
        <w:t>（3）</w:t>
      </w:r>
      <w:r>
        <w:rPr>
          <w:rFonts w:hint="eastAsia" w:ascii="仿宋" w:hAnsi="仿宋" w:eastAsia="仿宋" w:cs="宋体"/>
          <w:b/>
          <w:bCs/>
          <w:i/>
          <w:iCs/>
          <w:sz w:val="24"/>
          <w:szCs w:val="24"/>
          <w:u w:val="single"/>
        </w:rPr>
        <w:t>本报价必须充分考虑服务期内的政策性费用调整（工资、保险等）、市场因素和成本变化状况的风险，一旦成交，3年服务期内不予调整。</w:t>
      </w:r>
      <w:r>
        <w:rPr>
          <w:rFonts w:hint="eastAsia" w:ascii="仿宋" w:hAnsi="仿宋" w:eastAsia="仿宋" w:cs="宋体"/>
          <w:sz w:val="24"/>
          <w:szCs w:val="24"/>
        </w:rPr>
        <w:t>如发生漏、缺、少项，都将被认为是中标人的报价让利行为。</w:t>
      </w:r>
      <w:r>
        <w:rPr>
          <w:rFonts w:hint="eastAsia" w:ascii="仿宋" w:hAnsi="仿宋" w:eastAsia="仿宋"/>
          <w:b/>
          <w:i/>
          <w:iCs/>
          <w:sz w:val="24"/>
          <w:szCs w:val="24"/>
          <w:u w:val="single"/>
        </w:rPr>
        <w:t>所有岗位人员月度</w:t>
      </w:r>
      <w:bookmarkStart w:id="3" w:name="_Hlk189746255"/>
      <w:r>
        <w:rPr>
          <w:rFonts w:hint="eastAsia" w:ascii="仿宋" w:hAnsi="仿宋" w:eastAsia="仿宋"/>
          <w:b/>
          <w:i/>
          <w:iCs/>
          <w:sz w:val="24"/>
          <w:szCs w:val="24"/>
          <w:u w:val="single"/>
        </w:rPr>
        <w:t>实际领取到卡的工资</w:t>
      </w:r>
      <w:bookmarkEnd w:id="3"/>
      <w:r>
        <w:rPr>
          <w:rFonts w:hint="eastAsia" w:ascii="仿宋" w:hAnsi="仿宋" w:eastAsia="仿宋"/>
          <w:b/>
          <w:i/>
          <w:iCs/>
          <w:sz w:val="24"/>
          <w:szCs w:val="24"/>
          <w:u w:val="single"/>
        </w:rPr>
        <w:t>（扣除各类保险后）不应低于扬州市2024年最低工资标准，如低于扬州市2024年最低工资标准，则视为未实质性响应招标人的需求。</w:t>
      </w:r>
    </w:p>
    <w:p>
      <w:pPr>
        <w:tabs>
          <w:tab w:val="left" w:pos="284"/>
        </w:tabs>
        <w:spacing w:before="100" w:beforeAutospacing="1" w:after="100" w:afterAutospacing="1" w:line="360" w:lineRule="auto"/>
        <w:ind w:right="62" w:firstLine="480" w:firstLineChars="200"/>
        <w:contextualSpacing/>
        <w:rPr>
          <w:rFonts w:hint="default" w:ascii="仿宋" w:hAnsi="仿宋" w:eastAsia="仿宋" w:cs="宋体"/>
          <w:sz w:val="24"/>
          <w:szCs w:val="24"/>
          <w:lang w:val="en-US" w:eastAsia="zh-CN"/>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eastAsia="zh-CN"/>
        </w:rPr>
        <w:t>）</w:t>
      </w:r>
      <w:r>
        <w:rPr>
          <w:rFonts w:hint="eastAsia" w:ascii="仿宋" w:hAnsi="仿宋" w:eastAsia="仿宋" w:cs="宋体"/>
          <w:sz w:val="24"/>
          <w:szCs w:val="24"/>
          <w:highlight w:val="none"/>
          <w:lang w:val="en-US" w:eastAsia="zh-CN"/>
        </w:rPr>
        <w:t>上一个月工资发放表及社保缴纳凭证为医院下一个月付款凭证之一，未按照投标报价发放工资及缴纳社保的医院有权扣除差额部分费用。</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sz w:val="24"/>
          <w:szCs w:val="24"/>
        </w:rPr>
        <w:t>七、</w:t>
      </w:r>
      <w:r>
        <w:rPr>
          <w:rFonts w:hint="eastAsia" w:ascii="仿宋" w:hAnsi="仿宋" w:eastAsia="仿宋" w:cs="宋体"/>
          <w:b/>
          <w:bCs/>
          <w:kern w:val="0"/>
          <w:sz w:val="24"/>
          <w:szCs w:val="24"/>
        </w:rPr>
        <w:t>服务项目</w:t>
      </w:r>
      <w:r>
        <w:rPr>
          <w:rFonts w:hint="eastAsia" w:ascii="仿宋" w:hAnsi="仿宋" w:eastAsia="仿宋" w:cs="宋体"/>
          <w:b/>
          <w:bCs/>
          <w:sz w:val="24"/>
          <w:szCs w:val="24"/>
        </w:rPr>
        <w:t>内容与标准要求</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（一）基础管理要求：</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1、派驻物业项目部人员须牢固树立“以病人为中心”“院方需求，服务于临床”的物业服务理念。</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2、物业公司须派驻具有专业从事医院物业管理经验的经理与主管组成的物业管理项目部，管理组织架构合理，专业技术强、具有医院管理理念的物业团队，且能积极配合医院开展相关工作。</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3、各岗位员工需符合下列要求：</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（1）身体健康（持有健康证），品行端正，爱岗敬业。</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（2）无影响正常工作的基础性疾病和残疾，无犯罪记录，无不良嗜好。</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（3）符合岗位需求、文化水平、年龄（原则上女性不得大于60周岁，男性不得大于65周岁）、性别等。</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（4）特殊岗位需持证上岗者需按规定获职相关资格证书。</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4、根据工作需要，结合医院规章制度，物业项目部须具有各项管理制度、各专业岗位工作标准、各类日巡查表格、工作流程、应急预案等制度内容。</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5、物业管理按照质量标准、工作流程制定工作计划，按计划完成季、月、周、日工作重点及应急预案演练，并建立相关工作台账。</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物业管理项目部须按工作计划跟踪工作状态，监督、检查、考核员工的工作质量和操作流程，根据物业服务需求及时招聘人员（缺岗人员需在一周内招聘到位，不能及时完成在考核中按比例扣除），同时协调各岗位人员的调整工作，确保人员到岗。</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制订并落实年度、季度、月度和周、日常培训计划，定期开展员工培训，培训台账资料及时完善，特殊科室（如发热门诊及CU岗）医疗废物危废转运及管理人员须每月理论培训+操作考核，一般员工须半年进行培训与考核（如遇院内有重大事件需配合完成培训与考核）。</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8、凡新招聘的物业员工须进行岗前培训，经理论加操作考核合格后方可上岗。（操作附视频）</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项目管理团队每周对所服务科室的物业工作质量及服务内容的落实情况进行检查并建立台账，主管每日至所辖服务区域对照工作标准完成相关检查并记录，同时主动征求院方监管部门和被服务科室的意见和建议，针对提出的问题及时落实整改到位；同时院方每半年组织各被服务部门对物业服务总体进行综合检查及考核，考核成绩纳入本月及年终合同综合评价。</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接到投诉须在半小时内（非工作时间段24小时内）积极响应，处理、协调所投诉患者、家属及科室的投诉意见，认真对待、妥善处理投诉意见，确保投诉得到落实，并持续改进到位。积极配合院方完成各项检查、活动的开展、进行会议工作场所布置，做好迎查调度、优化排班完成非固定时间工作量安排等系列专项物业服务保障工作。</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11、主动做好医院公共突发事件的保障、应急事件、恶劣天气等突发事件的处理。统一调度安排人力、物力，服从医院安排完成突击任务。</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12、物业公司项目启动与转场时，公司必须自行按国家相关法律法规妥善安排物业所有用工人员，并做好财、物、台账交接工作，不得影响医院正常运转。</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13、配合医院做好节能工作，公共区域照明灯光的管理（晚间22：00前专人巡查）。</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14、后勤保障设施的及时报修（所有各类报修都要有记录）。投标人具有服务质量日常管理与监控信息管理系统，提高管理的集成化、智能化、无纸化，满足本项目服务管理整体品质与效率。满足运送服务一站式管理与派单服务，做好任务分类、归集、评价，形成内部工作量及工作质量信息化管理平台。能够独立完成与采购人HIS等系统集成对接能力，服务过程中根据采购人个性化需求新增模块内容时，产生的费用由投标人自行承担。投标人使用的信息化智能管理系统软件包括以下功能：人员管理、运送派工、工单查询、员工实时状态查询、大屏展示、数据统计等。需提供相关管理软件功能截图（满足功能即可，功能名称无需一一对应）。</w:t>
      </w:r>
    </w:p>
    <w:p>
      <w:pPr>
        <w:adjustRightInd w:val="0"/>
        <w:spacing w:before="100" w:beforeAutospacing="1" w:after="100" w:afterAutospacing="1" w:line="360" w:lineRule="auto"/>
        <w:ind w:right="62" w:firstLine="480" w:firstLineChars="200"/>
        <w:contextualSpacing/>
        <w:rPr>
          <w:rFonts w:hint="eastAsia" w:ascii="仿宋" w:hAnsi="仿宋" w:eastAsia="仿宋" w:cs="宋体"/>
          <w:b/>
          <w:bCs/>
          <w:i/>
          <w:iCs/>
          <w:sz w:val="24"/>
          <w:szCs w:val="24"/>
          <w:u w:val="single"/>
        </w:rPr>
      </w:pPr>
      <w:r>
        <w:rPr>
          <w:rFonts w:hint="eastAsia" w:ascii="仿宋" w:hAnsi="仿宋" w:eastAsia="仿宋" w:cs="宋体"/>
          <w:i/>
          <w:iCs/>
          <w:sz w:val="24"/>
          <w:szCs w:val="24"/>
          <w:u w:val="single"/>
        </w:rPr>
        <w:t>15、</w:t>
      </w:r>
      <w:r>
        <w:rPr>
          <w:rFonts w:hint="eastAsia" w:ascii="仿宋" w:hAnsi="仿宋" w:eastAsia="仿宋" w:cs="宋体"/>
          <w:b/>
          <w:bCs/>
          <w:i/>
          <w:iCs/>
          <w:sz w:val="24"/>
          <w:szCs w:val="24"/>
          <w:u w:val="single"/>
        </w:rPr>
        <w:t>中标人</w:t>
      </w:r>
      <w:r>
        <w:rPr>
          <w:rFonts w:hint="eastAsia" w:ascii="仿宋" w:hAnsi="仿宋" w:eastAsia="仿宋" w:cs="宋体"/>
          <w:b/>
          <w:bCs/>
          <w:i/>
          <w:iCs/>
          <w:sz w:val="24"/>
          <w:szCs w:val="24"/>
          <w:u w:val="single"/>
          <w:lang w:val="en-US" w:eastAsia="zh-CN"/>
        </w:rPr>
        <w:t>派驻</w:t>
      </w:r>
      <w:r>
        <w:rPr>
          <w:rFonts w:hint="eastAsia" w:ascii="仿宋" w:hAnsi="仿宋" w:eastAsia="仿宋" w:cs="宋体"/>
          <w:b/>
          <w:bCs/>
          <w:i/>
          <w:iCs/>
          <w:sz w:val="24"/>
          <w:szCs w:val="24"/>
          <w:u w:val="single"/>
        </w:rPr>
        <w:t>人员更换与岗位调整须提前至少一个月书面告知医院管理部门（后勤保障处物业管理科）和具体使用部门，并征得医院管理部门（后勤保障处物业管理科）和具体使用部门同意，紧急离职等特殊情况需一周内补充情况报告，每有1次未按照以上要求执行的罚款5000元，费用从当月服务费扣除。（提供承诺函加盖投标人公章，格式自拟）</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i/>
          <w:iCs/>
          <w:sz w:val="24"/>
          <w:szCs w:val="24"/>
          <w:u w:val="single"/>
        </w:rPr>
      </w:pPr>
      <w:r>
        <w:rPr>
          <w:rFonts w:hint="eastAsia" w:ascii="仿宋" w:hAnsi="仿宋" w:eastAsia="仿宋" w:cs="宋体"/>
          <w:b/>
          <w:bCs/>
          <w:i/>
          <w:iCs/>
          <w:sz w:val="24"/>
          <w:szCs w:val="24"/>
          <w:u w:val="single"/>
        </w:rPr>
        <w:t>16、中标人必须按照承诺的岗位人数安排人员到岗，医院管理部门和使用部门每发现1次人员不在岗的罚款1000元，每发现1次人员缺岗超过半天的罚款10000元，</w:t>
      </w:r>
      <w:r>
        <w:rPr>
          <w:rFonts w:hint="eastAsia" w:ascii="仿宋" w:hAnsi="仿宋" w:eastAsia="仿宋" w:cs="宋体"/>
          <w:b/>
          <w:bCs/>
          <w:i/>
          <w:iCs/>
          <w:sz w:val="24"/>
          <w:szCs w:val="24"/>
          <w:u w:val="single"/>
          <w:lang w:val="en-US" w:eastAsia="zh-CN"/>
        </w:rPr>
        <w:t>罚款</w:t>
      </w:r>
      <w:r>
        <w:rPr>
          <w:rFonts w:hint="eastAsia" w:ascii="仿宋" w:hAnsi="仿宋" w:eastAsia="仿宋" w:cs="宋体"/>
          <w:b/>
          <w:bCs/>
          <w:i/>
          <w:iCs/>
          <w:sz w:val="24"/>
          <w:szCs w:val="24"/>
          <w:u w:val="single"/>
        </w:rPr>
        <w:t>从当月服务费扣除。（提供承诺函加盖投标人公章，格式自拟）</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i/>
          <w:iCs/>
          <w:sz w:val="24"/>
          <w:szCs w:val="24"/>
          <w:u w:val="single"/>
        </w:rPr>
      </w:pPr>
      <w:r>
        <w:rPr>
          <w:rFonts w:hint="eastAsia" w:ascii="仿宋" w:hAnsi="仿宋" w:eastAsia="仿宋" w:cs="宋体"/>
          <w:b/>
          <w:bCs/>
          <w:i/>
          <w:iCs/>
          <w:sz w:val="24"/>
          <w:szCs w:val="24"/>
          <w:u w:val="single"/>
        </w:rPr>
        <w:t>17、中标</w:t>
      </w:r>
      <w:r>
        <w:rPr>
          <w:rFonts w:hint="eastAsia" w:ascii="仿宋" w:hAnsi="仿宋" w:eastAsia="仿宋" w:cs="宋体"/>
          <w:b/>
          <w:bCs/>
          <w:i/>
          <w:iCs/>
          <w:sz w:val="24"/>
          <w:szCs w:val="24"/>
          <w:u w:val="single"/>
          <w:lang w:val="en-US" w:eastAsia="zh-CN"/>
        </w:rPr>
        <w:t>人</w:t>
      </w:r>
      <w:r>
        <w:rPr>
          <w:rFonts w:hint="eastAsia" w:ascii="仿宋" w:hAnsi="仿宋" w:eastAsia="仿宋" w:cs="宋体"/>
          <w:b/>
          <w:bCs/>
          <w:i/>
          <w:iCs/>
          <w:sz w:val="24"/>
          <w:szCs w:val="24"/>
          <w:u w:val="single"/>
        </w:rPr>
        <w:t>负责医院院区内可回收非医疗废弃物的回收工作（纸箱等包装），中标人派驻人员必须按照使用部门要求每天及时收集拆箱堆码整齐，中标人集中收集处置，该类型可回收物收入包含在投标让利中综合考虑，后勤保障处物业管理科有权督查，每有1次使用部门投诉未及时拆除纸箱或者未及时处置纸箱的罚款1000元。</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i/>
          <w:iCs/>
          <w:sz w:val="24"/>
          <w:szCs w:val="24"/>
          <w:highlight w:val="none"/>
          <w:u w:val="single"/>
        </w:rPr>
      </w:pPr>
      <w:r>
        <w:rPr>
          <w:rFonts w:hint="eastAsia" w:ascii="仿宋" w:hAnsi="仿宋" w:eastAsia="仿宋" w:cs="宋体"/>
          <w:b/>
          <w:bCs/>
          <w:i/>
          <w:iCs/>
          <w:sz w:val="24"/>
          <w:szCs w:val="24"/>
          <w:highlight w:val="none"/>
          <w:u w:val="single"/>
          <w:lang w:val="en-US" w:eastAsia="zh-CN"/>
        </w:rPr>
        <w:t>18、</w:t>
      </w:r>
      <w:r>
        <w:rPr>
          <w:rFonts w:hint="eastAsia" w:ascii="仿宋" w:hAnsi="仿宋" w:eastAsia="仿宋" w:cs="宋体"/>
          <w:b/>
          <w:bCs/>
          <w:i/>
          <w:iCs/>
          <w:sz w:val="24"/>
          <w:szCs w:val="24"/>
          <w:highlight w:val="none"/>
          <w:u w:val="single"/>
        </w:rPr>
        <w:t>投标人承诺中标后购买公众责任商业险(在从事物业管理过程中，造成第三方人身伤亡或财产损失，负责处理及赔偿事宜)、雇主责任险（高风险岗位）</w:t>
      </w:r>
      <w:r>
        <w:rPr>
          <w:rFonts w:hint="eastAsia" w:ascii="仿宋" w:hAnsi="仿宋" w:eastAsia="仿宋" w:cs="宋体"/>
          <w:b/>
          <w:bCs/>
          <w:i/>
          <w:iCs/>
          <w:sz w:val="24"/>
          <w:szCs w:val="24"/>
          <w:highlight w:val="none"/>
          <w:u w:val="single"/>
          <w:lang w:eastAsia="zh-CN"/>
        </w:rPr>
        <w:t>，</w:t>
      </w:r>
      <w:r>
        <w:rPr>
          <w:rFonts w:hint="eastAsia" w:ascii="仿宋" w:hAnsi="仿宋" w:eastAsia="仿宋" w:cs="宋体"/>
          <w:b/>
          <w:bCs/>
          <w:i/>
          <w:iCs/>
          <w:sz w:val="24"/>
          <w:szCs w:val="24"/>
          <w:highlight w:val="none"/>
          <w:u w:val="single"/>
        </w:rPr>
        <w:t>保额额度不低于10万元/人/年（提供承诺</w:t>
      </w:r>
      <w:r>
        <w:rPr>
          <w:rFonts w:hint="eastAsia" w:ascii="仿宋" w:hAnsi="仿宋" w:eastAsia="仿宋" w:cs="宋体"/>
          <w:b/>
          <w:bCs/>
          <w:i/>
          <w:iCs/>
          <w:sz w:val="24"/>
          <w:szCs w:val="24"/>
          <w:highlight w:val="none"/>
          <w:u w:val="single"/>
          <w:lang w:val="en-US" w:eastAsia="zh-CN"/>
        </w:rPr>
        <w:t>函加盖</w:t>
      </w:r>
      <w:r>
        <w:rPr>
          <w:rFonts w:hint="eastAsia" w:ascii="仿宋" w:hAnsi="仿宋" w:eastAsia="仿宋" w:cs="宋体"/>
          <w:b/>
          <w:bCs/>
          <w:i/>
          <w:iCs/>
          <w:sz w:val="24"/>
          <w:szCs w:val="24"/>
          <w:highlight w:val="none"/>
          <w:u w:val="single"/>
        </w:rPr>
        <w:t>投标人</w:t>
      </w:r>
      <w:r>
        <w:rPr>
          <w:rFonts w:hint="eastAsia" w:ascii="仿宋" w:hAnsi="仿宋" w:eastAsia="仿宋" w:cs="宋体"/>
          <w:b/>
          <w:bCs/>
          <w:i/>
          <w:iCs/>
          <w:sz w:val="24"/>
          <w:szCs w:val="24"/>
          <w:highlight w:val="none"/>
          <w:u w:val="single"/>
          <w:lang w:val="en-US" w:eastAsia="zh-CN"/>
        </w:rPr>
        <w:t>公章</w:t>
      </w:r>
      <w:r>
        <w:rPr>
          <w:rFonts w:hint="eastAsia" w:ascii="仿宋" w:hAnsi="仿宋" w:eastAsia="仿宋" w:cs="宋体"/>
          <w:b/>
          <w:bCs/>
          <w:i/>
          <w:iCs/>
          <w:sz w:val="24"/>
          <w:szCs w:val="24"/>
          <w:highlight w:val="none"/>
          <w:u w:val="single"/>
        </w:rPr>
        <w:t>，格式自拟）。</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（二）保洁服务内容及要求</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1、服务内容</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室内各个楼层的所有房间卫生保洁，其中：含室内活动和固定设施的保洁，如治疗车、床、床头柜、隔帘、窗帘、家具、置物架、输液架、开关、空调过滤网、新风机回风口和出风口、门、窗及玻璃、灯具、卫生洁具办公桌椅，会议室设施等。</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室外过道、大厅、电梯厅、公共场所、广场使用机械化作业保洁、公共厕所、楼梯、雨棚、楼层屋顶及平台的日常保洁，含活动和固定设施，如电梯、消防栓等，消防器材、开关盒、管道井、机房、玻璃、果壳箱、标志牌、灯具、灯箱栏杆扶手、绿化带边缘等。</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2、服务要求</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总要求：服务范围内的环境卫生清洁及时有效，确保环境卫生符合行业标准，以及国家爱国卫生城市检查标准。污染区必须每日按院感风险层度用消毒液拖地、擦拭手可摸到的物件（行政办公、图书馆、会议室等低风险区，每天1-2次；普通病房等中风险区每天2次；ICU、发热门诊等高风险区，每天2次以上；床头柜、栏杆、呼叫按钮、门把手等到高频接触物表，每天2次以上），上述区域污染时及时清理，保持环境整洁；确保医疗场所、病房、卫生间得到专业清洁与消毒，符合院感要求。承担消毒不合格院感要求的责任。）做到各个区域24小时动态保洁，满足患者入院、手术、转运等医疗服务需求，并符合院感的专业规范，防止交叉感染的发生。</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服务时间：病区服务时间为24小时，其中6：30-18：00为全面满足治疗、运送、保洁。18：00-6：30为点式服务，满足急诊入院，抢救病人的治疗及运送，维护环境卫生。晨间的清洁工作（拖地等）在查房、治疗前完成。保洁服务以不影响医护人员工作、患者治疗及休息为前提，要求对环境保洁进行科学的划分，合理设计各项工作流程，并且强调计划性。室内公共区域的院街、病房走道、门急诊及病房电梯厅保洁实行机械化作业。医院室外环境保洁实行机械化作业和人工巡回作业结合的方法进行保洁。</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（2）做到六面光、六个无：六面光——地面、桌面、台面、设施面、天花、墙壁；六个无——无尘、无污垢、无尿垢、无臭、无异味、无积水及乱写乱画。</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（3）中标单位与有资质的病媒防治公司签订协议做好我院的病媒防治工作，死角无蟑螂、蛆虫、老鼠、蚊蝇、白蚁等。</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垃圾处理严格按照《医疗废物管理条例》和卫生部《医疗废物管理办法》的规定对医疗废物进行分类收集、运送与暂时贮存。做到“日产日清”垃圾袋、桶不漏不溢、垃圾筒到四分之三时扎口并分类放置、运送，按要求处理，各病区垃圾每日二次及时送往指定处，无积余垃圾。垃圾袋需使用符合国家标准的垃圾袋。制定医疗废物管理的规章制度、工作流程和要求、有关人员的工作职责及发生医疗废物流失、泄露、扩散和意外事故的应急方案。定期对员工进行知识的培训或参加医院组织的相关知识的培训。指定专人每日定时、定点，按规定的路线运送医疗废物。中标单位为专职人员配备必要的职业卫生安全防护物品，每年按我院院感及后保处提供的体检清单要求对专职人员进行健康体检，必要时进行预防免疫接种。承担由于个人职业防护不当或垃圾处理操作不当所致职业暴露的诊疗费用及相应责任。医疗废物在规定时限内交由取得县级以上人民政府环境保护行政主管部门许可的医疗废物集中处置单位处置，妥善保存危险废物转移联单至少三年。严禁转让、买卖医疗废物。严禁在非收集、非暂时贮存地点倾倒、堆放医疗废物，严禁将医疗废物混入其它废物和生活垃圾。生活垃圾需要按要求分五类，并由中标单位交由对应有资质的专业公司，按市环保部门规定处理（需提供专业公司的资质及合同复印件给招标人备案）。垃圾处理达标率、及时率 100%，二次污染为零。有专人负责垃圾场的保洁、消毒灭杀管理并建立记录台账，负责医院日常除“四害”工作并建立管理记录台账，且保存台账3年以上。引进信息化手段，利用可追溯系统对医疗废物进行收集、统计、管理。</w:t>
      </w:r>
    </w:p>
    <w:p>
      <w:pPr>
        <w:pStyle w:val="15"/>
        <w:ind w:firstLine="482"/>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医废收集人员体检项目明细</w:t>
      </w:r>
    </w:p>
    <w:tbl>
      <w:tblPr>
        <w:tblStyle w:val="31"/>
        <w:tblpPr w:leftFromText="180" w:rightFromText="180" w:vertAnchor="text" w:horzAnchor="page" w:tblpXSpec="center" w:tblpY="21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5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242" w:type="dxa"/>
          </w:tcPr>
          <w:p>
            <w:pPr>
              <w:ind w:firstLine="241"/>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序号</w:t>
            </w:r>
          </w:p>
        </w:tc>
        <w:tc>
          <w:tcPr>
            <w:tcW w:w="4536" w:type="dxa"/>
          </w:tcPr>
          <w:p>
            <w:pPr>
              <w:ind w:firstLine="241"/>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检查项目</w:t>
            </w:r>
          </w:p>
        </w:tc>
        <w:tc>
          <w:tcPr>
            <w:tcW w:w="2552" w:type="dxa"/>
          </w:tcPr>
          <w:p>
            <w:pPr>
              <w:ind w:firstLine="241"/>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基本检查</w:t>
            </w:r>
          </w:p>
        </w:tc>
        <w:tc>
          <w:tcPr>
            <w:tcW w:w="2552" w:type="dxa"/>
            <w:vMerge w:val="restart"/>
          </w:tcPr>
          <w:p>
            <w:pPr>
              <w:ind w:firstLine="16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此明细根据往年医废收集人员体检项目和体检中心建议，若有新政策性要求，根据我院要求增加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2</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十二导联心电图</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3</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胸部正位片</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4</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HIV抗体（定量）</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5</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丙肝抗体（定量）</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6</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血常规</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7</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乙肝标志物六项</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8</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肝功能九项</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9</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尿常规</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10</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血糖</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11</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彩超上腹肝胆脾胰肾</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12</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肾功能</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13</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材料费</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14</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抽血费</w:t>
            </w:r>
          </w:p>
        </w:tc>
        <w:tc>
          <w:tcPr>
            <w:tcW w:w="2552" w:type="dxa"/>
            <w:vMerge w:val="continue"/>
          </w:tcPr>
          <w:p>
            <w:pPr>
              <w:ind w:firstLine="160"/>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42"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15</w:t>
            </w:r>
          </w:p>
        </w:tc>
        <w:tc>
          <w:tcPr>
            <w:tcW w:w="4536" w:type="dxa"/>
          </w:tcPr>
          <w:p>
            <w:pPr>
              <w:ind w:firstLine="200"/>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梅毒抗体</w:t>
            </w:r>
          </w:p>
        </w:tc>
        <w:tc>
          <w:tcPr>
            <w:tcW w:w="2552" w:type="dxa"/>
            <w:vMerge w:val="continue"/>
          </w:tcPr>
          <w:p>
            <w:pPr>
              <w:ind w:firstLine="200"/>
              <w:rPr>
                <w:rFonts w:hint="eastAsia" w:ascii="仿宋" w:hAnsi="仿宋" w:eastAsia="仿宋" w:cs="宋体"/>
                <w:kern w:val="2"/>
                <w:sz w:val="24"/>
                <w:szCs w:val="24"/>
                <w:lang w:val="en-US" w:eastAsia="zh-CN" w:bidi="ar-SA"/>
              </w:rPr>
            </w:pPr>
          </w:p>
        </w:tc>
      </w:tr>
    </w:tbl>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（5）消毒做到“二不”、“二保证”，即不降低消毒标准，不漏消毒范围，保证按制定消毒浓度和次数执行，保证规范操作，做好相关记录。</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保洁工具（拖把、抹布等）做到分色管理、分类使用及规范摆放，按规定进行集中清洁消毒后使用，并有明显标志。地面保洁工具除卫生间可使用拖把其余区域必须使用可拆卸拖头的用具，消毒液浓度配置合理，符合要求。</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（7）病人床单元的终末处理及门诊各诊室诊疗床处理及时，保洁时一床一巾，满足新病人入住及使用条件。</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（8）保洁人员不得私自向病人收费或接收馈赠、红包，不得占用病房卫生间沐浴，不得对病人态度恶劣、工作时不得影响病人休息、治疗，不得影响医护人员工作，不得玩手机、不得干私活、不得扎堆聊天。</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（9）滚动巡视，及时清除各类垃圾、污物、积水，室内设施定位摆放整齐。</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（10）主动维护职责区域的财物安全，发现设备、设施损坏或异常，及时报修。</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（11）节约用水用电，积极配合医院开展节能工作。定时巡查，及时关灯、关水、关门，杜绝长明灯、长流水现象、遇有阴天下雨及时调整过道、大厅等使用灯光的数量（公共部位、定时开关）。</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（12）主要的公共区域如公共卫生间、茶水间、输液室、电梯轿厢等要有定期的巡回时间记录，对于易滑的地面应做好提醒标识并采取相关措施。</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（13）全员参与医院开展控烟工作，配标上岗，主动劝阻院区内的吸烟者。</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14）要求中标人对招标人的项目管理配置满足功能要求的专用洗地机、高压水枪、全自动电瓶洗地机、自动洗地吸水机、抛光机、吸水洗尘机、地坪/地毯吹干机、真空吸尘机、垃圾车等，且以上设备需全新。中标人负责提供保洁用的清洁剂和地面保护材料等，并应是优质产品，同时应符合医院院感科的要求。</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（15）手术室工勤及机动人员承担手术病人的接送（在医护人员陪同下）,送标本到专业科室及取血等工作。</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（16)空调滤网、消毒机及各类通风口，清洗频次为不少于1次/月，消毒频次按院感规定执行，其运行过程中应注意巡查滤网情况。如发现积灰较多应立即进行清洗，并做好记录建立台账。</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(17)医院室外道路广场、草坪、小树林、可上人屋顶、建筑物室内外窗玻璃、及腰线等、可上人的玻璃雨棚、公共厕所、公共设施和活动场所、停车场等，包括地下停车场。地面、扶手、门窗玻璃、门及门窗框、玻璃幕墙及有关附体，沙发、桌子、各类宣传牌、橱窗及有关附体，天花板、栏杆、消防楼梯，外墙及玻璃幕墙3.5米以下的外墙外沿窗台与遮雨棚等</w:t>
      </w:r>
      <w:bookmarkStart w:id="4" w:name="OLE_LINK1"/>
      <w:r>
        <w:rPr>
          <w:rFonts w:hint="eastAsia" w:ascii="仿宋" w:hAnsi="仿宋" w:eastAsia="仿宋" w:cs="宋体"/>
          <w:sz w:val="24"/>
          <w:szCs w:val="24"/>
        </w:rPr>
        <w:t>。院区外墙全部清洗每年一次</w:t>
      </w:r>
      <w:bookmarkEnd w:id="4"/>
      <w:r>
        <w:rPr>
          <w:rFonts w:hint="eastAsia" w:ascii="仿宋" w:hAnsi="仿宋" w:eastAsia="仿宋" w:cs="宋体"/>
          <w:sz w:val="24"/>
          <w:szCs w:val="24"/>
        </w:rPr>
        <w:t>，及时清除各种垃圾等杂物，无积灰、印渍、污渍。平台、屋顶、雨棚、外窗玻璃（一层以内）等杂物、垃圾、灰尘做到每日两次的清扫，巡回保洁。</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(18)太平间正常工作（收集、转运、存放及协助火化残肢、死婴、患者尸体等），按照太平间管理制度做好各项记录，按时按需做好环境物品的清洁、消毒工作，做好人员培训</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 xml:space="preserve"> (19)主动做好突发性及重大事件。负责处理因灾害天气突发事件，如下雪、大雨天气时的道路清扫、铺设防滑垫、摆放提醒标识等。一旦发现公共设施遭受自然或人为损坏，应立即向有关部门反映。一些坡道、踏步及易滑路面遇有雨雪天气或非正常情况时，应做好相关提醒标识并按照应急预案做好防滑、防冻措施。降雪较大时须根据医院要求增加扫雪机器，以满足上班前院内道路无雪要求。</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3.质量标准</w:t>
      </w:r>
    </w:p>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（1）区域日常保洁标准</w:t>
      </w:r>
    </w:p>
    <w:tbl>
      <w:tblPr>
        <w:tblStyle w:val="3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617"/>
        <w:gridCol w:w="42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firstLine="480" w:firstLineChars="200"/>
              <w:contextualSpacing/>
              <w:jc w:val="both"/>
              <w:rPr>
                <w:rFonts w:hint="eastAsia" w:ascii="仿宋" w:hAnsi="仿宋" w:eastAsia="仿宋" w:cs="宋体"/>
                <w:sz w:val="24"/>
                <w:szCs w:val="24"/>
              </w:rPr>
            </w:pPr>
            <w:r>
              <w:rPr>
                <w:rFonts w:hint="eastAsia" w:ascii="仿宋" w:hAnsi="仿宋" w:eastAsia="仿宋" w:cs="宋体"/>
                <w:sz w:val="24"/>
                <w:szCs w:val="24"/>
              </w:rPr>
              <w:t>项目</w:t>
            </w:r>
          </w:p>
        </w:tc>
        <w:tc>
          <w:tcPr>
            <w:tcW w:w="1900" w:type="pct"/>
            <w:noWrap/>
            <w:vAlign w:val="center"/>
          </w:tcPr>
          <w:p>
            <w:pPr>
              <w:adjustRightInd w:val="0"/>
              <w:spacing w:before="100" w:beforeAutospacing="1" w:after="100" w:afterAutospacing="1" w:line="360" w:lineRule="auto"/>
              <w:ind w:right="62" w:firstLine="480" w:firstLineChars="200"/>
              <w:contextualSpacing/>
              <w:jc w:val="both"/>
              <w:rPr>
                <w:rFonts w:hint="eastAsia" w:ascii="仿宋" w:hAnsi="仿宋" w:eastAsia="仿宋" w:cs="宋体"/>
                <w:sz w:val="24"/>
                <w:szCs w:val="24"/>
              </w:rPr>
            </w:pPr>
            <w:r>
              <w:rPr>
                <w:rFonts w:hint="eastAsia" w:ascii="仿宋" w:hAnsi="仿宋" w:eastAsia="仿宋" w:cs="宋体"/>
                <w:sz w:val="24"/>
                <w:szCs w:val="24"/>
              </w:rPr>
              <w:t>标准（质量要求）</w:t>
            </w:r>
          </w:p>
        </w:tc>
        <w:tc>
          <w:tcPr>
            <w:tcW w:w="2235" w:type="pct"/>
            <w:noWrap/>
            <w:vAlign w:val="center"/>
          </w:tcPr>
          <w:p>
            <w:pPr>
              <w:adjustRightInd w:val="0"/>
              <w:spacing w:before="100" w:beforeAutospacing="1" w:after="100" w:afterAutospacing="1" w:line="360" w:lineRule="auto"/>
              <w:ind w:right="62" w:firstLine="480" w:firstLineChars="200"/>
              <w:contextualSpacing/>
              <w:jc w:val="both"/>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门、防火通道图</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无浮灰、手印、污斑渍，光亮</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地面</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无灰尘、污渍、水渍，清洁、干燥、无斑渍</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每天两次，如有污染及时清理及消毒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壁橱内外</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无灰尘、污渍，干净、无蟑螂</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设备带、床头柜</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无灰尘、污渍，干净、无蟑螂</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床、床头板</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无灰尘、污渍、破损</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椅子</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无灰尘、污渍、水渍、洁净稳固、完好。如变形、破损及时报修</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墙壁、瓷砖、窗台</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无灰尘、水渍、污渍，干净、明亮、无脱落</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天花板、输液轨道输液吊钩</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无斑渍、吊灰、蜘蛛网</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每周一次，出院患者及时清理，如有污染及时清理及消毒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顶灯、罩</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无灰尘、无破损</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开关、插座、空调调节器</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无灰尘、污渍，光亮、无破损</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窗户玻璃、窗框、</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玻璃干净、明亮，无灰尘、污渍，窗框无破损，窗扣完好</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每两周一次，如有污染及时清理及消毒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隔帘、屏风、窗帘</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干净，无破损、脱钩、污渍、变形等</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隔帘、窗帘、屏风每半年送洗一次，特殊区域按消毒隔离要求进行，如有污染及时送洗及消毒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室内垃圾桶</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光亮、无污渍、无水渍，周边无垃圾</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每天两次，3/4满扎口转运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电视机、架及遥控器</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踢脚板</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无污物、斑渍，干净、光亮</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空调</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无冷凝水，清洁无灰尘</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每两周一次，如有污染及时清理及消毒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沙发（面、缝隙、脚）</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无灰尘、污物、斑渍、破损，干净、整洁</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每月一次，如有污染及时清理及消毒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电话机</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清洁，无污渍、异味</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冰箱</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内外清洁，无积霜，外部光亮，无异味、斑渍，运转正常</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每月一次，如有污染及时清理及消毒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地灯</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无灰尘，完好、光亮</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热水瓶</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清洁，无污渍</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送水到床头每天二次，出院患者及时清理，每周外壳及底座清洗检查一次，如有污染及时清理及消毒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纱窗</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无灰尘、破损</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微波炉及台面</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无灰尘、污渍、油垢</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每天至少两次，随脏随擦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镜面、镜框、台盆</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无水渍、污渍，清洁、光亮</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所有金属架、龙头、吊钩、开关</w:t>
            </w:r>
          </w:p>
        </w:tc>
        <w:tc>
          <w:tcPr>
            <w:tcW w:w="1900"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清洁、光亮、无污渍</w:t>
            </w:r>
          </w:p>
        </w:tc>
        <w:tc>
          <w:tcPr>
            <w:tcW w:w="2235" w:type="pct"/>
            <w:noWrap/>
            <w:vAlign w:val="center"/>
          </w:tcPr>
          <w:p>
            <w:pPr>
              <w:adjustRightInd w:val="0"/>
              <w:spacing w:before="100" w:beforeAutospacing="1" w:after="100" w:afterAutospacing="1" w:line="360" w:lineRule="auto"/>
              <w:ind w:right="62"/>
              <w:contextualSpacing/>
              <w:jc w:val="both"/>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bl>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（2）洗手间日常保洁标准</w:t>
      </w:r>
    </w:p>
    <w:tbl>
      <w:tblPr>
        <w:tblStyle w:val="3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3111"/>
        <w:gridCol w:w="47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项目</w:t>
            </w:r>
          </w:p>
        </w:tc>
        <w:tc>
          <w:tcPr>
            <w:tcW w:w="1634" w:type="pct"/>
            <w:noWrap/>
            <w:vAlign w:val="center"/>
          </w:tcPr>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标准（质量要求）</w:t>
            </w:r>
          </w:p>
        </w:tc>
        <w:tc>
          <w:tcPr>
            <w:tcW w:w="2485" w:type="pct"/>
            <w:noWrap/>
            <w:vAlign w:val="center"/>
          </w:tcPr>
          <w:p>
            <w:pPr>
              <w:adjustRightInd w:val="0"/>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地面</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无浮灰、水渍、杂物、鞋印及污渍</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墙壁瓷砖</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无灰尘、水渍、皂渍，瓷砖缝隙处洁白</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台盆、镜面、镜框</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无水渍、污渍，洁净、光亮</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所有金属架、龙头、吊钩、开关等</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清洁、光亮、无污渍</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便器及水箱</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无水痕、锈渍、斑渍、毛发、尿渍</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每天两次，随脏随洗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便池隔板</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无灰尘、污渍、水渍、鞋印</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每天二次，随脏随擦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浴帘、浴帘杆、环</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无皂渍、头发，无滴水、无霉斑</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浴帘每月清洗一次，如有污染及时清理及消毒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卫生间垃圾桶</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光亮、无污渍、无水渍，周边无垃圾</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每天两次，3/4满扎口转运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门（面、锁把手、框架）、铰链</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无浮灰、手印、污渍</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门槛、防滑垫、地漏</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无头发、纱头，无灰尘、纸屑，无污渍、水渍</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排风口及风口挡板</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无灰尘、无印渍</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天花板</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无斑渍、无吊灰、无蜘蛛网</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顶灯及罩</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无积尘、无破损、功能完好</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每周一次，如有污染及时清理及消毒，如有破损及时报修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卫生间空气</w:t>
            </w:r>
          </w:p>
        </w:tc>
        <w:tc>
          <w:tcPr>
            <w:tcW w:w="1634"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无异味、空气清新</w:t>
            </w:r>
          </w:p>
        </w:tc>
        <w:tc>
          <w:tcPr>
            <w:tcW w:w="24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每天两次开窗通风</w:t>
            </w:r>
          </w:p>
        </w:tc>
      </w:tr>
    </w:tbl>
    <w:p>
      <w:pPr>
        <w:spacing w:line="520" w:lineRule="exact"/>
        <w:ind w:right="62"/>
        <w:jc w:val="left"/>
        <w:rPr>
          <w:rFonts w:hint="eastAsia" w:ascii="宋体" w:hAnsi="宋体" w:cs="宋体"/>
          <w:bCs/>
          <w:color w:val="000000"/>
          <w:sz w:val="24"/>
          <w:szCs w:val="24"/>
        </w:rPr>
      </w:pPr>
    </w:p>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（3）公共医疗用房日常保洁标准</w:t>
      </w:r>
    </w:p>
    <w:tbl>
      <w:tblPr>
        <w:tblStyle w:val="3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126"/>
        <w:gridCol w:w="47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项目</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标准（质量要求）</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门、防火通道图</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无浮灰、手印、污渍，光亮</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窗台、框、轨道、玻璃</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玻璃洁净、明亮，无灰尘、污渍，窗框无破损，窗扣完好</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窗台、窗框每天一次，轨道、玻璃每两周一次，如有污染及时清理及消毒，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纱窗</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地面</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无灰尘、污渍、水渍，清洁、干净、无斑渍</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墙壁</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无灰尘、水渍、污渍，干净、明亮、无脱落</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天花板</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无斑渍、吊灰、蜘蛛网</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顶灯、罩</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壁橱、柜</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无灰尘、污渍、蟑螂，干净</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桌、椅</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无灰尘、污渍、水渍、变形、破损，洁净、稳固、完好</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洗手池、龙头</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无水渍、黄渍，洁净、光亮、畅通</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每天二次，如有污染及时清理及消毒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白板框</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标识牌</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清晰，无灰尘</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垃圾桶</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光亮、无污渍、无水渍，周边无垃圾</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每天两次，3/4满扎口转运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护士站吧台</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无灰尘、污渍、水渍、变形、破损，洁净、稳固、完好</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体重秤</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电话机</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清洁，无污渍、异味</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空调</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无冷凝水，清洁无灰尘</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每两周一次，如有污染及时清理及消毒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电开水炉</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表面无灰尘、污渍，洁净光亮</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氧气瓶、架</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无灰尘、污渍、漏气，标识清晰，分区存放</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车轮</w:t>
            </w:r>
          </w:p>
        </w:tc>
        <w:tc>
          <w:tcPr>
            <w:tcW w:w="164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无积尘、无头发缠绕</w:t>
            </w:r>
          </w:p>
        </w:tc>
        <w:tc>
          <w:tcPr>
            <w:tcW w:w="247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bl>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说明：公共医疗用房包括医生办公室、护士站、主任办公室、开水间、污洗间、值班房、库房、处置间、诊疗室、专科检查室、清创室、教研活动室等。</w:t>
      </w:r>
    </w:p>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（4）公共走廊、厅堂及楼道日常保洁标准</w:t>
      </w:r>
    </w:p>
    <w:tbl>
      <w:tblPr>
        <w:tblStyle w:val="3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3145"/>
        <w:gridCol w:w="47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项目</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标准（质量要求）</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走廊</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清洁光亮，无尘、斑渍、油渍、污渍、烟头</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地面机械化保洁每天不少于两次，循环检查，随脏随拖，如有污染及时清理及消毒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楼道</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干净，无灰尘、污渍</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每天两次，随脏随拖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楼梯扶手、栏杆、玻璃</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无灰尘、斑渍</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防尘垫</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无沙土、杂物、污物残留，干净、美观</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门帘</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无灰尘、污渍、缺损，清洁</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每天一次，如有污染及时清理及消毒，特殊科室按院感要求执行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候诊椅</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无灰尘、污渍、杂物、水渍，干净明亮</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每天二次，如有污染及时清理及消毒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垃圾桶</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光亮、无污渍、无水渍，周边无垃圾</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每天两次，3/4满扎口转运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花盆、花架、装饰花卉</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无枯枝败叶、灰尘、烟头、杂物</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标识牌、框</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无灰尘、无损坏、无脱落</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走廊扶手</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无灰尘、损坏、污渍</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走廊两侧墙壁</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无灰尘、污渍、脱落</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电子触摸屏</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无灰尘、污渍，完好</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大厅所有玻璃门</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无灰尘、污渍，洁净明亮</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空调</w:t>
            </w:r>
          </w:p>
        </w:tc>
        <w:tc>
          <w:tcPr>
            <w:tcW w:w="165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无冷凝水，清洁无灰尘</w:t>
            </w:r>
          </w:p>
        </w:tc>
        <w:tc>
          <w:tcPr>
            <w:tcW w:w="2481"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每两周一次，如有污染及时清理及消毒</w:t>
            </w:r>
          </w:p>
        </w:tc>
      </w:tr>
    </w:tbl>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（5）外围日常保洁标准</w:t>
      </w:r>
    </w:p>
    <w:tbl>
      <w:tblPr>
        <w:tblStyle w:val="30"/>
        <w:tblW w:w="9346" w:type="dxa"/>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3075"/>
        <w:gridCol w:w="36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项目</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标准（质量要求）</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室外地面</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无痰渍,无附着物，无乱涂乱画，无烟头，无卫生死角、除四害</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机械化作业，大于2次/日，循环检查，随脏随拖，如有污染及时清理及消毒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室外道路、广场、绿化花池花台花圃、草坪、停车场（含地下停车场）</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整洁无痰渍,无附着物，无乱涂乱画，无烟头，无卫生死角、除四害</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巡回保洁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户外灯箱、宣传栏、路标等公共设施</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设施完好、标识清晰、无污清、积灰、积水</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擦拭1次/日损坏及时报修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室外垃圾箱（桶）</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箱（桶）外侧面清洁无污渍、除四害</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消毒擦拭1次/日，垃圾收集2次/日，3/4满扎口转运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平台、屋顶</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无杂物、垃圾、灰尘、除四害</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清扫2次/日，台风暴雨前后及时清理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9"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窨井盖、天沟、明沟、雨棚</w:t>
            </w:r>
          </w:p>
        </w:tc>
        <w:tc>
          <w:tcPr>
            <w:tcW w:w="3075"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无杂物、垃圾、灰尘无晃动，表面无痕渍、污渍，下水孔无阻塞、破损、除四害</w:t>
            </w:r>
          </w:p>
        </w:tc>
        <w:tc>
          <w:tcPr>
            <w:tcW w:w="3632" w:type="dxa"/>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1次/周，台风暴雨前后及时清理</w:t>
            </w:r>
          </w:p>
        </w:tc>
      </w:tr>
    </w:tbl>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（6）电梯日常保洁标准</w:t>
      </w:r>
    </w:p>
    <w:tbl>
      <w:tblPr>
        <w:tblStyle w:val="30"/>
        <w:tblW w:w="5032" w:type="pct"/>
        <w:tblInd w:w="-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994"/>
        <w:gridCol w:w="3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项目</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标准（质量要求）</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内板壁（金属面板）</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无灰尘、斑渍、手印，干净、光亮</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每天一次，如有污染及时清理及消毒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地面</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无灰尘、斑渍、水渍、污物，干净</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每班保洁，随脏随拖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灯罩</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无灰尘、斑渍，干净</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指示按钮</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无灰尘、污渍，清晰无破损</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每班保洁，随脏随擦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门</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无灰尘、斑渍，干净明亮，功能良好</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每天一次，随脏随擦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扶手</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无灰尘、斑渍，干净明亮</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每天一次，随脏随擦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换气扇及罩</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无灰尘，干净明亮</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电话机</w:t>
            </w:r>
          </w:p>
        </w:tc>
        <w:tc>
          <w:tcPr>
            <w:tcW w:w="2085"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清洁，无污渍、异味</w:t>
            </w:r>
          </w:p>
        </w:tc>
        <w:tc>
          <w:tcPr>
            <w:tcW w:w="1997"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每班保洁，随脏随擦</w:t>
            </w:r>
          </w:p>
        </w:tc>
      </w:tr>
    </w:tbl>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（7） 行政区域日常保洁标准</w:t>
      </w:r>
    </w:p>
    <w:tbl>
      <w:tblPr>
        <w:tblStyle w:val="30"/>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940"/>
        <w:gridCol w:w="38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项目</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标准（质量要求）</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门、防火通道图</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无浮灰、手印、斑渍，光亮</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每周两次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地面</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无灰尘、污渍、水渍，清洁、干净、无斑渍</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每天清扫一次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文件柜、储物柜等家具</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无灰尘、污渍，干净</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办公桌</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无灰尘、污渍，干净</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开关、插座、空调调节器、窗台</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无灰尘、污渍，光亮、无破损</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窗户玻璃、窗框</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玻璃干净、明亮，无灰尘、污渍，窗框无破损，窗扣完好</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每两周一次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垃圾桶</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光亮、无污渍、无水渍，周边无垃圾</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每天两次，3/4满扎口转运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踢脚板</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无污物、斑渍，干净、光亮</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空调</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无冷凝水，清洁无灰尘</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每周一次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沙发（面、缝隙、脚）</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无灰尘、污物、斑渍、破损，干净、整洁</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每两周一次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电话机</w:t>
            </w:r>
          </w:p>
        </w:tc>
        <w:tc>
          <w:tcPr>
            <w:tcW w:w="2070"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清洁，无污渍、异味</w:t>
            </w:r>
          </w:p>
        </w:tc>
        <w:tc>
          <w:tcPr>
            <w:tcW w:w="2006" w:type="pct"/>
            <w:noWrap/>
            <w:vAlign w:val="center"/>
          </w:tcPr>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每天一次</w:t>
            </w:r>
          </w:p>
        </w:tc>
      </w:tr>
    </w:tbl>
    <w:p>
      <w:pPr>
        <w:adjustRightInd w:val="0"/>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未列入的且为正常保洁管理工作以及突发性事件造成的保洁管理工作的项目、部位均包括在本次采购范围内，中标人不得因此拒绝提供保洁管理服务（日常清洁易耗品等所需费用全部包括在服务费中）。</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（三）CU单元保洁+生活照料</w:t>
      </w:r>
    </w:p>
    <w:p>
      <w:pPr>
        <w:spacing w:before="100" w:beforeAutospacing="1" w:after="100" w:afterAutospacing="1" w:line="360" w:lineRule="auto"/>
        <w:ind w:left="1"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除按要求做好ICU保洁工作外需完成ICU住院病人的生活照料。</w:t>
      </w:r>
    </w:p>
    <w:p>
      <w:pPr>
        <w:spacing w:before="100" w:beforeAutospacing="1" w:after="100" w:afterAutospacing="1" w:line="360" w:lineRule="auto"/>
        <w:ind w:left="1"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服从本班护士指导，做好患者每2小时一次翻身叩背。协助护士对患者进行床上擦浴、洗头、剪指甲，整理床单元，协助患者进食，协助护理人员对患者进行翻身，检查并保持患者面部清洁，整理床单元。倾倒引流液、尿液，更换病室内垃圾袋；冲开水，准备探视用物，检查患者所需物品（如需添置，在探视时告知病人家属）。</w:t>
      </w:r>
    </w:p>
    <w:p>
      <w:pPr>
        <w:spacing w:before="100" w:beforeAutospacing="1" w:after="100" w:afterAutospacing="1" w:line="360" w:lineRule="auto"/>
        <w:ind w:left="1"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 xml:space="preserve">2、维持探视秩序，协助指导家属洗手、换探视拖鞋、穿探视衣入室。整理探视服及探视区域卫生，刷洗拖鞋。洗衣房取回医护人员清洁工作服、探视服及隔离衣等。  </w:t>
      </w:r>
    </w:p>
    <w:p>
      <w:pPr>
        <w:spacing w:before="100" w:beforeAutospacing="1" w:after="100" w:afterAutospacing="1" w:line="360" w:lineRule="auto"/>
        <w:ind w:right="62" w:firstLine="480" w:firstLineChars="200"/>
        <w:contextualSpacing/>
        <w:rPr>
          <w:rFonts w:hint="eastAsia" w:ascii="仿宋" w:hAnsi="仿宋" w:eastAsia="仿宋" w:cs="宋体"/>
          <w:b/>
          <w:bCs/>
          <w:sz w:val="24"/>
          <w:szCs w:val="24"/>
        </w:rPr>
      </w:pPr>
      <w:r>
        <w:rPr>
          <w:rFonts w:hint="eastAsia" w:ascii="仿宋" w:hAnsi="仿宋" w:eastAsia="仿宋" w:cs="宋体"/>
          <w:sz w:val="24"/>
          <w:szCs w:val="24"/>
        </w:rPr>
        <w:t>3、保洁：办公室、治疗室、处置室、吊塔、患者所用物品及床单元用物清洁交班，整理保洁工具。转出病人床单元的终末消毒工作等；维持病室清洁，及时做好新病人清洁；更换各小桶消毒液（处置室、治疗室、吧台处浸泡毛巾桶）；与洗衣房人员交接被服，送洗医护人员工作服、污染隔离衣、探视服、布类等，做好记录；打扫辅助用房：护士站、仪器室、值班室、医生办公室、卫生间等。</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（四）专项保洁（PA工）：</w:t>
      </w:r>
    </w:p>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1、室内机械化保洁：室内公共区域的院街、病房走道、诊疗大厅、门急诊及病房电梯厅保洁实行机械化作业，采用驾驶式和手推式洗地机巡回保洁的方式。</w:t>
      </w:r>
    </w:p>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2、各种材质地面的定期养护、刷洗：</w:t>
      </w:r>
    </w:p>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（1）室内机械化保洁：室内公共区域的院街、病房走道、诊疗大厅、门急诊及病房电梯厅保洁实行机械化作业，采用驾驶式和手推式洗地机巡回保洁的方式。</w:t>
      </w:r>
    </w:p>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（2）各种材质地面的定期养护、刷洗：</w:t>
      </w:r>
    </w:p>
    <w:tbl>
      <w:tblPr>
        <w:tblStyle w:val="3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226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18" w:type="dxa"/>
            <w:vAlign w:val="center"/>
          </w:tcPr>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区域</w:t>
            </w:r>
          </w:p>
        </w:tc>
        <w:tc>
          <w:tcPr>
            <w:tcW w:w="2268" w:type="dxa"/>
            <w:vAlign w:val="center"/>
          </w:tcPr>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保洁内容</w:t>
            </w:r>
          </w:p>
        </w:tc>
        <w:tc>
          <w:tcPr>
            <w:tcW w:w="2268" w:type="dxa"/>
            <w:vAlign w:val="center"/>
          </w:tcPr>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标 准</w:t>
            </w:r>
          </w:p>
        </w:tc>
        <w:tc>
          <w:tcPr>
            <w:tcW w:w="3827" w:type="dxa"/>
            <w:vAlign w:val="center"/>
          </w:tcPr>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公共区域</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PVC、橡胶地板硬性地板</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均匀光亮、清洁、无污渍、无起泡</w:t>
            </w:r>
          </w:p>
        </w:tc>
        <w:tc>
          <w:tcPr>
            <w:tcW w:w="3827"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日常保洁2次/天，喷磨抛光1次/季度。</w:t>
            </w:r>
          </w:p>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复原性维护、机器刷洗1次/季度。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1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室内区域</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PVC、橡胶地板硬性地板</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均匀光亮、清洁、无污渍、无起泡</w:t>
            </w:r>
          </w:p>
        </w:tc>
        <w:tc>
          <w:tcPr>
            <w:tcW w:w="3827"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日常保洁2次/天，喷磨抛光1次/季度。</w:t>
            </w:r>
          </w:p>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复原性维护、机器刷洗1次/半年。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公共区域</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地砖、花岗岩地面</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均匀光亮、清洁、无污渍</w:t>
            </w:r>
          </w:p>
        </w:tc>
        <w:tc>
          <w:tcPr>
            <w:tcW w:w="3827"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日常保洁2次/天，清洗、打腊、抛光、机器刷洗1次/半年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室内区域</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地砖、花岗岩地面</w:t>
            </w:r>
          </w:p>
        </w:tc>
        <w:tc>
          <w:tcPr>
            <w:tcW w:w="2268"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均匀光亮、清洁、无污渍</w:t>
            </w:r>
          </w:p>
        </w:tc>
        <w:tc>
          <w:tcPr>
            <w:tcW w:w="3827" w:type="dxa"/>
            <w:vAlign w:val="center"/>
          </w:tcPr>
          <w:p>
            <w:pPr>
              <w:adjustRightInd w:val="0"/>
              <w:spacing w:before="100" w:beforeAutospacing="1" w:after="100" w:afterAutospacing="1" w:line="360" w:lineRule="auto"/>
              <w:ind w:right="55" w:rightChars="26"/>
              <w:contextualSpacing/>
              <w:rPr>
                <w:rFonts w:hint="eastAsia" w:ascii="仿宋" w:hAnsi="仿宋" w:eastAsia="仿宋" w:cs="宋体"/>
                <w:sz w:val="24"/>
                <w:szCs w:val="24"/>
              </w:rPr>
            </w:pPr>
            <w:r>
              <w:rPr>
                <w:rFonts w:hint="eastAsia" w:ascii="仿宋" w:hAnsi="仿宋" w:eastAsia="仿宋" w:cs="宋体"/>
                <w:sz w:val="24"/>
                <w:szCs w:val="24"/>
              </w:rPr>
              <w:t>清洗、打腊、抛光、机器刷洗1次/半年</w:t>
            </w:r>
          </w:p>
        </w:tc>
      </w:tr>
    </w:tbl>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3、院内外各类物理空间调整不超过10万元的搬迁。</w:t>
      </w:r>
    </w:p>
    <w:p>
      <w:pPr>
        <w:adjustRightInd w:val="0"/>
        <w:spacing w:before="100" w:beforeAutospacing="1" w:after="100" w:afterAutospacing="1" w:line="360" w:lineRule="auto"/>
        <w:ind w:right="55" w:rightChars="26"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4、医院的其他指令性工作。</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（五）运送内容及服务要求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1、内容：</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（1）收送所有标本等，负责病区所有转运物资清点和交接并做好记录工作，确保数量准确。</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（2）按病区需求，送领取急需药品、标本等急诊、大型输液及常规药品、（常规药品原封不动的交接给所需病区，不负责清点箱内药品）。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（3）根据各部门要求定期领取（运送）各类物资。</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（4）在医护人员指导下协助陪同病人进行各类检查、治疗（一级护理（含）以上病人须由医务人员陪同）。陪检要求及时和运送安全（非医疗性的）。</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（5）根据病区需要及时配送增减病床。</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（6）完成处理突发性事件。</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（7）运用信息化平台及气动传输完成工作调度与记录。</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设立中央调度中心,与西区后勤一站式合署办公，全天24小时守候，配备相应的信息、通信设备，具有对物业服务各工种相应工作流程的追踪管理、工作量考核、数据统计和反映评价、提高效率等功能，能清晰反映招标人对中标人的服务满意度情况；工作时态度友善,着装整洁、语气语调温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（2）招标人负责提供配送用工具，中标人应合理调配并负责管理与保养。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（3）要求对配送的数据进行汇总和统计，能随时提供相应的数据，给招标人的决策进行支持；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(4)通知合理安排、到达迅速及时、安全、准确、可靠。取送的各类药品、文具、医用品等物品应准确无遗漏无差错、贵重物品必须有相关科室人员签字。配送准确率不低于99%；</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(5)服务必须满足医疗服务规范要求。严格执行交接班制度，各类物品运送放置规范，及时准确安全并做好交接记录。</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(6)急查的标本、急取药品、血制品等必须及时迅速处理十分钟内，并由相关科室人员双签字确认。运送核酸等特殊标本按规范要求做好职业防护及消毒隔离。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(7)工勤人员不得私自拿药品、物品、不得变卖病人药品、物品、不得私自收费、不得拖延时间。</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(8)工勤人员不得在所在工作区域内私自收藏杂物和私人物品，不得干私活。上班时间严禁扎堆闲聊。</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（六）电梯司机服务内容及规范要求</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1、电梯司机服务标准要求：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（1）司机根据国家相关规定考核合格后上岗，工作时间站立式服务，服装亮丽、形象气质佳、整洁、文明礼貌用语，站姿、引导动作规范，保持热情、微笑服务。</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（2）司机工作时应主动性强，不得擅离岗位，不做与工作无关的事，主动服务。遇抢救病人、危重病人时优先运送到相关科室，并主动电话联系相关科室。</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（3）司机要掌握电梯的运行操作流程，遇有紧急情况（含一般故障），及时报修，配合电梯维修专业人员做好相关工作。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（4）每季度对应急预案，逃生技能等专业知识进行操作与书面考核（包括演练视频）。应熟悉并掌握，如遇电梯困人，及时通知维修调度中心，并安抚梯内人员，配合解救被困人员。</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每日电梯运行前检查电梯基本状态及附属设施的完好性，应跟梯试运行，注意电梯平层和门锁、门联开关是否正常，有无异常响声，检查电梯照明、按钮、指示灯、排风、呼叫系统是否完好、正常，轿厢是否清洁，确保安全运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（6）在人员较多时应做好引导乘坐工作，确保依次排队、先下后上。遇有问题要热情、耐心、细致做好解释工作，保证电梯运行安全。</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（7）爱护、使用好电梯，认真执行电梯运行操作规程，不得超载运行，严禁运载危险物品。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（8）按规定时间关闭、开启电梯（开启电梯时做好运行测试），做好节能降耗工作。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（9）做好电梯运行交接班记录，包括所有报修、故障、检修等。电梯遇有紧急情况（含一般故障），及时报修，配合电梯维修专业人员做好相关工作。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（10）做好电梯内外的卫生保洁（遇有痰渍、油渍、杂物等随时清理）、消毒工作（消毒每日不少于2次，如遇疫情按疫情防控要求增加频次），爱护、使用好电梯，发现问题及时报修，确保安全运行。</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（七）绿色通道人员、急诊120担架工服务内容及质量标准</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1、服务内容：</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（1）随120救护车协助转运急救患者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（2）主动迎接120车辆送入的病人、配合医护人员搬运病人，协助危重病人住院、手术转运、转院等工作。</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2、绿色通道服务标准要求：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（1）在医院管理下进行工作，接受有关科室人员（急诊科）24小时的业务指导与监督，服从分配、听从安排，爱护公物，责任心强。</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（2）配合医护人员按要求及时准确的把病人送到病区、科室。做好交接班工作，熟练掌握搬运技巧，动作规范轻柔保证转运安全、防止坠床、防止各种管道滑脱。</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（3）着装整洁，对病人服务态度热情、语言文明，以病人为中心，不得出现与病员及家属顶撞事件，以迅速稳妥的方法接送病人救治。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（4）按院感要求做好轮椅、平车等转运工具的维护与保洁、消毒工作，确保转运工具处于性能完好、处于备用状态。</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3、急诊120担架工标准要求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（1）按时上下班、坚守岗位、不得擅离职守，工作认真负责、态度和蔼热情。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（2）随120救护车转运急救患者。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（3）到达现场后担架员应协助医护人员携带抢救器械，送至病人家中或现场。</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（4）在医生的指导下根据病情特点做好患者转运工作。</w:t>
      </w:r>
    </w:p>
    <w:p>
      <w:pPr>
        <w:adjustRightInd w:val="0"/>
        <w:spacing w:before="100" w:beforeAutospacing="1" w:after="100" w:afterAutospacing="1" w:line="360" w:lineRule="auto"/>
        <w:ind w:right="62" w:firstLine="482" w:firstLineChars="200"/>
        <w:contextualSpacing/>
        <w:rPr>
          <w:rFonts w:hint="eastAsia" w:ascii="仿宋" w:hAnsi="仿宋" w:eastAsia="仿宋" w:cs="宋体"/>
          <w:sz w:val="24"/>
          <w:szCs w:val="24"/>
        </w:rPr>
      </w:pPr>
      <w:r>
        <w:rPr>
          <w:rFonts w:hint="eastAsia" w:ascii="仿宋" w:hAnsi="仿宋" w:eastAsia="仿宋" w:cs="宋体"/>
          <w:b/>
          <w:bCs/>
          <w:sz w:val="24"/>
          <w:szCs w:val="24"/>
        </w:rPr>
        <w:t>（八）医疗废物和生活垃圾收运、太平间管理标准要求</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1、医疗废物收运标准要求：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（1）严格按照国家规范进行医疗废物内部收集、称重、登记、运送、暂存、交接等工作并做好登记。</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（2）每日规定时间内不少于两次完成对各科室医疗废物、手术室、产房的胎盘、进行收集、转送，按照院区规划路线规范收集、转运医疗废物。</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（3）对收集的医疗废物在暂存地应分别、分类放置，不得混放。</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（4）禁止买卖医疗废物，禁止在运送过程中丢弃各种废物。</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（5）垃圾收运过程中严防泄漏，按院感要求认真做好个人防护。</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（6）做好保洁和转运工具、暂存地的清洁、消毒、灭杀工作及紫外线消毒保持环境整洁，并做好相关记录。</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（7）严格履行交接手续，确保记录完整、准确，执行双签名。</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（8）做好每月学习培训考核工作。</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2、生活垃圾收运标准要求：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（1）每日规定时间内，按院区规范路径及时清运院内的垃圾，确保院内环境整洁、干净。</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（2）生活垃圾分类、分车送至指定暂存地点，分类放置，不得混放。</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（3）对垃圾清运车和保洁工具每日两次清洁保养。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（4）每日两次做好暂存地的保洁、消毒、灭杀管理工作，保洁环境整洁。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（5）做好与上门回收（具有相关资质证明）处理的交接、登记台账工作。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 xml:space="preserve">（6）按规范及院方要求对未被污染的输液瓶（袋）应做到专人收集、称重与科室和院方指定人员进行交接并做好交接记录。其运送与医疗废物运送分开，避免污染，制定相应的管理制度，符合医疗机构使用后未被污染的输液瓶（袋）管理规定。 </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（7）按照医院要求做好建筑垃圾场的管理。</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3、太平间管理标准要求：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（1）24小时随叫随到，负责医院患者尸体、死婴、残肢的转运、保管和登记工作。如有尸体存放严格按太平间管理规定执行。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（2）保持室内外通风，温度合理，并做好灭四害工作，每月彻底打扫室内外环境卫生，保持太平间室内外环境清洁。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（3）尸体、死婴、残肢转运后，要按流程及时对太平房进行清扫、消毒。</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（4）做好太平间冰柜日常维护和管理，发现问题及时报修。</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（5）按规范做好台账整理，定期组织人员培训及考核。</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（九） 会务接待服务</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1、会务接待服务内容：</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（1）会议室处于整洁备用状态，使用前根据会务要求检查各种配套设施，确保完好状态，提前开窗透气，并根据需求，调整灯光、空调、音响、话筒、投影灯设备；</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（2）会务开始前，需准备好会务用热水，并确保水温。</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（3）活动及会务期间，需安排会务接待人员全程在场，确保突发状况第一时间得到解决。</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（4）会务活动期间需安排一人做好倒水服务。</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（5）活动及会务接待结束后，检查现场有无遗留物品，清点物品消耗数量，清洗用品并消毒并做好会场保洁。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（6）根据院方会务接待活动的要求临时调配司梯、会务服务等岗位，根据会议流程做好现场引导工作。会场保洁由行政主管兼管。</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（十）后勤一站式服务中心要求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（1）成立24小时运行的一站式服务中心，根据医院报修需求统一协调与分配，负责后勤智慧综合管理平台基础数据维护工作，远程监控医院相关设备设施运行情况、能源使用情况等。</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（2）定期进行数据的汇总和统计，指标监控等，能随时提供相应的数据给投标人。</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（3）掌握突发事件处理预案。</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（4）调度人员需全面了解医院内各项维修任务，根据任务的轻重缓急进行调度，满足临床工作的需求。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（5）所有人员需经过文明用语、规范服务等培训。严格执行查对制度和交接制度。</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（6）需定期调研临床工作的需求，不断修订和完善相关流程和服务内容。</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（7）完成医院要求的其他指令性工作。</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（十一）公寓楼服务要求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（1）负责维护公寓楼的秩序，遇紧急情况立即上报。</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负责</w:t>
      </w:r>
      <w:r>
        <w:rPr>
          <w:rFonts w:hint="eastAsia" w:ascii="仿宋" w:hAnsi="仿宋" w:eastAsia="仿宋" w:cs="宋体"/>
          <w:sz w:val="24"/>
          <w:szCs w:val="24"/>
        </w:rPr>
        <w:t>公寓楼</w:t>
      </w:r>
      <w:r>
        <w:rPr>
          <w:rFonts w:ascii="仿宋" w:hAnsi="仿宋" w:eastAsia="仿宋" w:cs="宋体"/>
          <w:sz w:val="24"/>
          <w:szCs w:val="24"/>
        </w:rPr>
        <w:t>全面工作</w:t>
      </w:r>
      <w:r>
        <w:rPr>
          <w:rFonts w:hint="eastAsia" w:ascii="仿宋" w:hAnsi="仿宋" w:eastAsia="仿宋" w:cs="宋体"/>
          <w:sz w:val="24"/>
          <w:szCs w:val="24"/>
        </w:rPr>
        <w:t>，做好</w:t>
      </w:r>
      <w:r>
        <w:rPr>
          <w:rFonts w:ascii="仿宋" w:hAnsi="仿宋" w:eastAsia="仿宋" w:cs="宋体"/>
          <w:sz w:val="24"/>
          <w:szCs w:val="24"/>
        </w:rPr>
        <w:t>管理区域</w:t>
      </w:r>
      <w:r>
        <w:rPr>
          <w:rFonts w:hint="eastAsia" w:ascii="仿宋" w:hAnsi="仿宋" w:eastAsia="仿宋" w:cs="宋体"/>
          <w:sz w:val="24"/>
          <w:szCs w:val="24"/>
        </w:rPr>
        <w:t>的学生安全防范、清洁卫生、住宿纪律等管理工作。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做好日常卫生检查,每周不少于二次,并</w:t>
      </w:r>
      <w:r>
        <w:rPr>
          <w:rFonts w:hint="eastAsia" w:ascii="仿宋" w:hAnsi="仿宋" w:eastAsia="仿宋" w:cs="宋体"/>
          <w:sz w:val="24"/>
          <w:szCs w:val="24"/>
        </w:rPr>
        <w:t>对结果</w:t>
      </w:r>
      <w:r>
        <w:rPr>
          <w:rFonts w:ascii="仿宋" w:hAnsi="仿宋" w:eastAsia="仿宋" w:cs="宋体"/>
          <w:sz w:val="24"/>
          <w:szCs w:val="24"/>
        </w:rPr>
        <w:t>汇</w:t>
      </w:r>
      <w:r>
        <w:rPr>
          <w:rFonts w:hint="eastAsia" w:ascii="仿宋" w:hAnsi="仿宋" w:eastAsia="仿宋" w:cs="宋体"/>
          <w:sz w:val="24"/>
          <w:szCs w:val="24"/>
        </w:rPr>
        <w:t>总、公布检查结果并整改。</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w:t>
      </w:r>
      <w:r>
        <w:rPr>
          <w:rFonts w:ascii="仿宋" w:hAnsi="仿宋" w:eastAsia="仿宋" w:cs="宋体"/>
          <w:sz w:val="24"/>
          <w:szCs w:val="24"/>
        </w:rPr>
        <w:t>做好防火、防盗工作,保持消防器材完好,</w:t>
      </w:r>
      <w:r>
        <w:rPr>
          <w:rFonts w:hint="eastAsia" w:ascii="仿宋" w:hAnsi="仿宋" w:eastAsia="仿宋" w:cs="宋体"/>
          <w:sz w:val="24"/>
          <w:szCs w:val="24"/>
        </w:rPr>
        <w:t>对住宿学生进行安全教育</w:t>
      </w:r>
      <w:r>
        <w:rPr>
          <w:rFonts w:ascii="仿宋" w:hAnsi="仿宋" w:eastAsia="仿宋" w:cs="宋体"/>
          <w:sz w:val="24"/>
          <w:szCs w:val="24"/>
        </w:rPr>
        <w:t>,安全巡查每天不少于1次,</w:t>
      </w:r>
      <w:r>
        <w:rPr>
          <w:rFonts w:hint="eastAsia" w:ascii="仿宋" w:hAnsi="仿宋" w:eastAsia="仿宋" w:cs="宋体"/>
          <w:sz w:val="24"/>
          <w:szCs w:val="24"/>
        </w:rPr>
        <w:t>安全检查每周不少于</w:t>
      </w:r>
      <w:r>
        <w:rPr>
          <w:rFonts w:ascii="仿宋" w:hAnsi="仿宋" w:eastAsia="仿宋" w:cs="宋体"/>
          <w:sz w:val="24"/>
          <w:szCs w:val="24"/>
        </w:rPr>
        <w:t>2次。</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w:t>
      </w:r>
      <w:r>
        <w:rPr>
          <w:rFonts w:ascii="仿宋" w:hAnsi="仿宋" w:eastAsia="仿宋" w:cs="宋体"/>
          <w:sz w:val="24"/>
          <w:szCs w:val="24"/>
        </w:rPr>
        <w:t>负责本管理区域学生入住的登记、核查工作。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w:t>
      </w:r>
      <w:r>
        <w:rPr>
          <w:rFonts w:ascii="仿宋" w:hAnsi="仿宋" w:eastAsia="仿宋" w:cs="宋体"/>
          <w:sz w:val="24"/>
          <w:szCs w:val="24"/>
        </w:rPr>
        <w:t>配合</w:t>
      </w:r>
      <w:r>
        <w:rPr>
          <w:rFonts w:hint="eastAsia" w:ascii="仿宋" w:hAnsi="仿宋" w:eastAsia="仿宋" w:cs="宋体"/>
          <w:sz w:val="24"/>
          <w:szCs w:val="24"/>
        </w:rPr>
        <w:t>招标人</w:t>
      </w:r>
      <w:r>
        <w:rPr>
          <w:rFonts w:ascii="仿宋" w:hAnsi="仿宋" w:eastAsia="仿宋" w:cs="宋体"/>
          <w:sz w:val="24"/>
          <w:szCs w:val="24"/>
        </w:rPr>
        <w:t>做好</w:t>
      </w:r>
      <w:r>
        <w:rPr>
          <w:rFonts w:hint="eastAsia" w:ascii="仿宋" w:hAnsi="仿宋" w:eastAsia="仿宋" w:cs="宋体"/>
          <w:sz w:val="24"/>
          <w:szCs w:val="24"/>
        </w:rPr>
        <w:t>公寓楼</w:t>
      </w:r>
      <w:r>
        <w:rPr>
          <w:rFonts w:ascii="仿宋" w:hAnsi="仿宋" w:eastAsia="仿宋" w:cs="宋体"/>
          <w:sz w:val="24"/>
          <w:szCs w:val="24"/>
        </w:rPr>
        <w:t>国有资产的管理工作。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w:t>
      </w:r>
      <w:r>
        <w:rPr>
          <w:rFonts w:ascii="仿宋" w:hAnsi="仿宋" w:eastAsia="仿宋" w:cs="宋体"/>
          <w:sz w:val="24"/>
          <w:szCs w:val="24"/>
        </w:rPr>
        <w:t>负责本管理区域的水电管理。</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w:t>
      </w:r>
      <w:r>
        <w:rPr>
          <w:rFonts w:ascii="仿宋" w:hAnsi="仿宋" w:eastAsia="仿宋" w:cs="宋体"/>
          <w:sz w:val="24"/>
          <w:szCs w:val="24"/>
        </w:rPr>
        <w:t>负责本管理区域报修,协助维修人员做好维</w:t>
      </w:r>
      <w:r>
        <w:rPr>
          <w:rFonts w:hint="eastAsia" w:ascii="仿宋" w:hAnsi="仿宋" w:eastAsia="仿宋" w:cs="宋体"/>
          <w:sz w:val="24"/>
          <w:szCs w:val="24"/>
        </w:rPr>
        <w:t>修工作。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w:t>
      </w:r>
      <w:r>
        <w:rPr>
          <w:rFonts w:ascii="仿宋" w:hAnsi="仿宋" w:eastAsia="仿宋" w:cs="宋体"/>
          <w:sz w:val="24"/>
          <w:szCs w:val="24"/>
        </w:rPr>
        <w:t>做好本管理区域的工作人员考勤、考核工作。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（10）做好公寓楼应急事件的处理工作</w:t>
      </w:r>
      <w:r>
        <w:rPr>
          <w:rFonts w:ascii="仿宋" w:hAnsi="仿宋" w:eastAsia="仿宋" w:cs="宋体"/>
          <w:sz w:val="24"/>
          <w:szCs w:val="24"/>
        </w:rPr>
        <w:t>,并及时上报</w:t>
      </w:r>
      <w:r>
        <w:rPr>
          <w:rFonts w:hint="eastAsia" w:ascii="仿宋" w:hAnsi="仿宋" w:eastAsia="仿宋" w:cs="宋体"/>
          <w:sz w:val="24"/>
          <w:szCs w:val="24"/>
        </w:rPr>
        <w:t>。</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（11）完成后勤保障处交办的其它指令性工作。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（12）</w:t>
      </w:r>
      <w:r>
        <w:rPr>
          <w:rFonts w:ascii="仿宋" w:hAnsi="仿宋" w:eastAsia="仿宋" w:cs="宋体"/>
          <w:sz w:val="24"/>
          <w:szCs w:val="24"/>
        </w:rPr>
        <w:t>补充协议中未详尽的条款和工作管理规定仍按正在履约的《扬州大学附属医院物业管理项目服务合同》执行。</w:t>
      </w:r>
    </w:p>
    <w:p>
      <w:pPr>
        <w:adjustRightInd w:val="0"/>
        <w:spacing w:before="100" w:beforeAutospacing="1" w:after="100" w:afterAutospacing="1" w:line="360" w:lineRule="auto"/>
        <w:ind w:right="62" w:firstLine="482" w:firstLineChars="200"/>
        <w:contextualSpacing/>
        <w:rPr>
          <w:rFonts w:hint="eastAsia" w:ascii="仿宋" w:hAnsi="仿宋" w:eastAsia="仿宋" w:cs="宋体"/>
          <w:b/>
          <w:bCs/>
          <w:sz w:val="24"/>
          <w:szCs w:val="24"/>
          <w:highlight w:val="yellow"/>
          <w:lang w:eastAsia="zh-CN"/>
        </w:rPr>
      </w:pPr>
      <w:r>
        <w:rPr>
          <w:rFonts w:hint="eastAsia" w:ascii="仿宋" w:hAnsi="仿宋" w:eastAsia="仿宋" w:cs="宋体"/>
          <w:b/>
          <w:bCs/>
          <w:sz w:val="24"/>
          <w:szCs w:val="24"/>
        </w:rPr>
        <w:t>（十二）院内园林绿化需求</w:t>
      </w:r>
      <w:bookmarkStart w:id="25" w:name="_GoBack"/>
      <w:r>
        <w:rPr>
          <w:rFonts w:hint="eastAsia" w:ascii="仿宋" w:hAnsi="仿宋" w:eastAsia="仿宋" w:cs="宋体"/>
          <w:b/>
          <w:bCs/>
          <w:sz w:val="24"/>
          <w:szCs w:val="24"/>
          <w:highlight w:val="none"/>
          <w:lang w:eastAsia="zh-CN"/>
        </w:rPr>
        <w:t>（</w:t>
      </w:r>
      <w:r>
        <w:rPr>
          <w:rFonts w:hint="eastAsia" w:ascii="仿宋" w:hAnsi="仿宋" w:eastAsia="仿宋" w:cs="宋体"/>
          <w:b/>
          <w:bCs/>
          <w:sz w:val="24"/>
          <w:szCs w:val="24"/>
          <w:highlight w:val="none"/>
          <w:lang w:val="en-US" w:eastAsia="zh-CN"/>
        </w:rPr>
        <w:t>服务期自2026年5月1日至 2028年4月30日</w:t>
      </w:r>
      <w:r>
        <w:rPr>
          <w:rFonts w:hint="eastAsia" w:ascii="仿宋" w:hAnsi="仿宋" w:eastAsia="仿宋" w:cs="宋体"/>
          <w:b/>
          <w:bCs/>
          <w:sz w:val="24"/>
          <w:szCs w:val="24"/>
          <w:highlight w:val="none"/>
          <w:lang w:eastAsia="zh-CN"/>
        </w:rPr>
        <w:t>）</w:t>
      </w:r>
      <w:bookmarkEnd w:id="25"/>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绿化修剪：应定期进行修剪，每年草坪修剪3次以上，红叶石楠、黄杨、龙柏、法青、女贞、杜鹃、红花继木、八角金盘等4次以上，确保草坪生长繁茂、平整，法青、红花继木球、红叶石楠球、造型乔灌木等保证成型美观，生长旺盛，无枯黄。</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浇水、排水：经常检查排灌情况，保证无积水、无旱情，不得因涝、旱影响植物生长。每次草坪浇水应有足够时间，使草坪根部15厘米内保持湿润。夏季浇水必须每天在早晚进行，避免高温季节在午间浇水，冬季浇水必须在中午进行，干旱季节应满足草坪生长所需的水份，并能创造条件收集雨水、抽取河水等方式，尽量不使用医院自来水。</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3、施肥管理：每年施肥的次数为乔木、灌木、花草、草坪各2次以上，绿地以施有机肥料为主，树木施肥先挖好施肥环沟，其外径与冠幅相适应。除根部施肥外，肥料不得触及树叶，施肥在睛天进行。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4、杂草清除：每年累计绿地除草6次以上，及时清除各种杂草，确保绿地无杂草。如使用化学除草剂必须保证园林植物的安全，无污染、无危害。</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病虫害防治：根据植物的特点，选择效果好、对植物无伤害的药物报招标人进行人确认，再对植物进行药物防治。药物防治每年须要3次以上，人工防治每年须要2次以上，确保树木花草无病虫症状，病虫害危害率控制在2%以内。药物防治必须要做到对院区空气、水体等不产生污染，不得对植物有药害现象。（治虫时间应放在人员流动量少的时候进行，一般放在周六、周日）。</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树木养护：对整个绿化区内所有树林养护做规范的养护穴、养护沟，普遍进行修剪，清枯枝、死膀及枯死树处理，落叶乔木每年须要2次以上，灌木每年须要4次以上。乔木和灌木修剪以自然树形为主。形成均衡树势、美化树型、达到观赏净化的效果，根据植物生态习性，及时采取必要的防寒防晒防风措施，保证乔灌木生长环境良好，确保树林无死树，无枯枝。</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7、环境卫生：负责及时清理绿化区内草叶枯枝杂物，自行运至院方指定地点，并做好及时清运处理，另有特殊情况根据招标人要求随时清运。</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8、养护效果：同一类型花草树木养护完好率达95%以上。</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9、考核机制：以上每条款如达不到标准要求的，将根据具体考核情况给予经济处罚（详见《扬州大学附属医院绿化养护质量考核表》）。</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10、负责绿化养护的日常管理，及时进行整形、除草、修剪、花草种植、浇水、施肥、病虫害防治、调整及调整后的养护等工作内容，做到无病虫害、无坏叶、叶面无尘土等。</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11、医院绿化养护的要求按照招标文件约定外，按照《江苏省城市园林绿化植物养护技术规定》及根据《江苏省城市园林绿化养护管理规范及分级标准》及《扬州市市区城市绿化养护管理考核办法（试行）》及相关规范标准，如规范标准重新修订按最新规范标准执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上述除草、修剪、浇水、施肥、病虫害防治等的养护次数为必要的低限，实际养护的次数根据植物生长的实际情况以美观、长势良好为标准进行。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绿化养护技术措施（上半年）</w:t>
      </w:r>
    </w:p>
    <w:tbl>
      <w:tblPr>
        <w:tblStyle w:val="31"/>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月份</w:t>
            </w:r>
          </w:p>
        </w:tc>
        <w:tc>
          <w:tcPr>
            <w:tcW w:w="8557" w:type="dxa"/>
          </w:tcPr>
          <w:p>
            <w:pPr>
              <w:spacing w:before="100" w:beforeAutospacing="1" w:after="100" w:afterAutospacing="1" w:line="360" w:lineRule="auto"/>
              <w:ind w:right="62" w:firstLine="480"/>
              <w:contextualSpacing/>
              <w:rPr>
                <w:rFonts w:hint="eastAsia" w:ascii="仿宋" w:hAnsi="仿宋" w:eastAsia="仿宋" w:cs="宋体"/>
                <w:sz w:val="24"/>
                <w:szCs w:val="24"/>
              </w:rPr>
            </w:pPr>
            <w:r>
              <w:rPr>
                <w:rFonts w:hint="eastAsia" w:ascii="仿宋" w:hAnsi="仿宋" w:eastAsia="仿宋" w:cs="宋体"/>
                <w:sz w:val="24"/>
                <w:szCs w:val="24"/>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一月份</w:t>
            </w:r>
          </w:p>
        </w:tc>
        <w:tc>
          <w:tcPr>
            <w:tcW w:w="8557" w:type="dxa"/>
            <w:vAlign w:val="center"/>
          </w:tcPr>
          <w:p>
            <w:pPr>
              <w:numPr>
                <w:ilvl w:val="0"/>
                <w:numId w:val="5"/>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制备整型修剪；</w:t>
            </w:r>
          </w:p>
          <w:p>
            <w:pPr>
              <w:numPr>
                <w:ilvl w:val="0"/>
                <w:numId w:val="5"/>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施足冬肥；</w:t>
            </w:r>
          </w:p>
          <w:p>
            <w:pPr>
              <w:numPr>
                <w:ilvl w:val="0"/>
                <w:numId w:val="5"/>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剪除枯残病虫枝叶，彻底清除越冬及潜伏害虫；</w:t>
            </w:r>
          </w:p>
          <w:p>
            <w:pPr>
              <w:numPr>
                <w:ilvl w:val="0"/>
                <w:numId w:val="5"/>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结合树木整型修剪，对严重的病虫枝处理，消灭病虫源；</w:t>
            </w:r>
          </w:p>
          <w:p>
            <w:pPr>
              <w:numPr>
                <w:ilvl w:val="0"/>
                <w:numId w:val="5"/>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搞好绿化带附近的环境卫生，清除渣土垃圾；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二月份</w:t>
            </w:r>
          </w:p>
        </w:tc>
        <w:tc>
          <w:tcPr>
            <w:tcW w:w="8557" w:type="dxa"/>
            <w:vAlign w:val="center"/>
          </w:tcPr>
          <w:p>
            <w:pPr>
              <w:numPr>
                <w:ilvl w:val="0"/>
                <w:numId w:val="6"/>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继续进行落叶树的修剪；</w:t>
            </w:r>
          </w:p>
          <w:p>
            <w:pPr>
              <w:numPr>
                <w:ilvl w:val="0"/>
                <w:numId w:val="6"/>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继续修剪病虫枝，并注意观察病虫害的发生情况；</w:t>
            </w:r>
          </w:p>
          <w:p>
            <w:pPr>
              <w:numPr>
                <w:ilvl w:val="0"/>
                <w:numId w:val="6"/>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进行冬季除虫，消灭各种过冬幼虫；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三月份</w:t>
            </w:r>
          </w:p>
        </w:tc>
        <w:tc>
          <w:tcPr>
            <w:tcW w:w="8557" w:type="dxa"/>
            <w:vAlign w:val="center"/>
          </w:tcPr>
          <w:p>
            <w:pPr>
              <w:numPr>
                <w:ilvl w:val="0"/>
                <w:numId w:val="7"/>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天气渐暖，许多病虫害即将发生，要维护好各种除虫防病器械并准备好药品；</w:t>
            </w:r>
          </w:p>
          <w:p>
            <w:pPr>
              <w:numPr>
                <w:ilvl w:val="0"/>
                <w:numId w:val="7"/>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注意蚜虫、草履蚧的发生，做好及时防治；</w:t>
            </w:r>
          </w:p>
          <w:p>
            <w:pPr>
              <w:numPr>
                <w:ilvl w:val="0"/>
                <w:numId w:val="7"/>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树木发芽前防治树木上的各种虫卵，主要以人工方法去除。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四月份</w:t>
            </w:r>
          </w:p>
        </w:tc>
        <w:tc>
          <w:tcPr>
            <w:tcW w:w="8557" w:type="dxa"/>
            <w:vAlign w:val="center"/>
          </w:tcPr>
          <w:p>
            <w:pPr>
              <w:numPr>
                <w:ilvl w:val="0"/>
                <w:numId w:val="8"/>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将强树木养护管理工作；</w:t>
            </w:r>
          </w:p>
          <w:p>
            <w:pPr>
              <w:numPr>
                <w:ilvl w:val="0"/>
                <w:numId w:val="8"/>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做好树木的剥芽，除去多余的嫩芽和生长部位不当的枝条；</w:t>
            </w:r>
          </w:p>
          <w:p>
            <w:pPr>
              <w:numPr>
                <w:ilvl w:val="0"/>
                <w:numId w:val="8"/>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抓好病虫害防治，发现虫害及时药物灭杀；</w:t>
            </w:r>
          </w:p>
          <w:p>
            <w:pPr>
              <w:numPr>
                <w:ilvl w:val="0"/>
                <w:numId w:val="8"/>
              </w:numPr>
              <w:spacing w:before="100" w:beforeAutospacing="1" w:after="100" w:afterAutospacing="1" w:line="360" w:lineRule="auto"/>
              <w:ind w:right="62" w:firstLine="480"/>
              <w:contextualSpacing/>
              <w:jc w:val="both"/>
              <w:rPr>
                <w:rFonts w:hint="eastAsia" w:ascii="仿宋" w:hAnsi="仿宋" w:eastAsia="仿宋" w:cs="宋体"/>
                <w:sz w:val="24"/>
                <w:szCs w:val="24"/>
              </w:rPr>
            </w:pPr>
            <w:r>
              <w:rPr>
                <w:rFonts w:hint="eastAsia" w:ascii="仿宋" w:hAnsi="仿宋" w:eastAsia="仿宋" w:cs="宋体"/>
                <w:sz w:val="24"/>
                <w:szCs w:val="24"/>
              </w:rPr>
              <w:t>及时修剪及清理杂草。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五月份</w:t>
            </w:r>
          </w:p>
        </w:tc>
        <w:tc>
          <w:tcPr>
            <w:tcW w:w="8557" w:type="dxa"/>
          </w:tcPr>
          <w:p>
            <w:pPr>
              <w:numPr>
                <w:ilvl w:val="0"/>
                <w:numId w:val="9"/>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对春季开花的植物进行花后修剪，按技术要求对树木进行剥芽修剪；</w:t>
            </w:r>
          </w:p>
          <w:p>
            <w:pPr>
              <w:numPr>
                <w:ilvl w:val="0"/>
                <w:numId w:val="9"/>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继续加强新栽树木的养护管理工作，做好间苗、定苗工资，增加追肥，勤施薄肥；</w:t>
            </w:r>
          </w:p>
          <w:p>
            <w:pPr>
              <w:numPr>
                <w:ilvl w:val="0"/>
                <w:numId w:val="9"/>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本月气温渐高，病虫害大量危害树木花卉，应注意虫情预防工作；</w:t>
            </w:r>
          </w:p>
          <w:p>
            <w:pPr>
              <w:numPr>
                <w:ilvl w:val="0"/>
                <w:numId w:val="9"/>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及时修剪和清理杂草；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六月份</w:t>
            </w:r>
          </w:p>
        </w:tc>
        <w:tc>
          <w:tcPr>
            <w:tcW w:w="8557" w:type="dxa"/>
          </w:tcPr>
          <w:p>
            <w:pPr>
              <w:numPr>
                <w:ilvl w:val="0"/>
                <w:numId w:val="10"/>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进入梅雨季节气温高湿度大应抓紧进行补植；</w:t>
            </w:r>
          </w:p>
          <w:p>
            <w:pPr>
              <w:numPr>
                <w:ilvl w:val="0"/>
                <w:numId w:val="10"/>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及时播种草种和花种；</w:t>
            </w:r>
          </w:p>
          <w:p>
            <w:pPr>
              <w:numPr>
                <w:ilvl w:val="0"/>
                <w:numId w:val="10"/>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继续除杂草及绿化修剪工作。</w:t>
            </w:r>
          </w:p>
        </w:tc>
      </w:tr>
    </w:tbl>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绿化养护技术措施（下半年）</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月份</w:t>
            </w:r>
          </w:p>
        </w:tc>
        <w:tc>
          <w:tcPr>
            <w:tcW w:w="8351" w:type="dxa"/>
          </w:tcPr>
          <w:p>
            <w:pPr>
              <w:spacing w:before="100" w:beforeAutospacing="1" w:after="100" w:afterAutospacing="1" w:line="360" w:lineRule="auto"/>
              <w:ind w:right="62" w:firstLine="480"/>
              <w:contextualSpacing/>
              <w:rPr>
                <w:rFonts w:hint="eastAsia" w:ascii="仿宋" w:hAnsi="仿宋" w:eastAsia="仿宋" w:cs="宋体"/>
                <w:sz w:val="24"/>
                <w:szCs w:val="24"/>
              </w:rPr>
            </w:pPr>
            <w:r>
              <w:rPr>
                <w:rFonts w:hint="eastAsia" w:ascii="仿宋" w:hAnsi="仿宋" w:eastAsia="仿宋" w:cs="宋体"/>
                <w:sz w:val="24"/>
                <w:szCs w:val="24"/>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七月份</w:t>
            </w:r>
          </w:p>
        </w:tc>
        <w:tc>
          <w:tcPr>
            <w:tcW w:w="8351" w:type="dxa"/>
          </w:tcPr>
          <w:p>
            <w:pPr>
              <w:numPr>
                <w:ilvl w:val="0"/>
                <w:numId w:val="11"/>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本月天气炎热，杂草生长快要继续中耕除草疏松土壤；</w:t>
            </w:r>
          </w:p>
          <w:p>
            <w:pPr>
              <w:numPr>
                <w:ilvl w:val="0"/>
                <w:numId w:val="11"/>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袋蛾、刺蛾、天牛、龟蜡蚧、盾蚧等害虫会发生应注意防治；</w:t>
            </w:r>
          </w:p>
          <w:p>
            <w:pPr>
              <w:numPr>
                <w:ilvl w:val="0"/>
                <w:numId w:val="11"/>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及时浇水抗旱；</w:t>
            </w:r>
          </w:p>
          <w:p>
            <w:pPr>
              <w:numPr>
                <w:ilvl w:val="0"/>
                <w:numId w:val="11"/>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做好防风防汛工作，经常检查及时扶正易倒树木，对影响线路安全的枝条进行修剪；</w:t>
            </w:r>
          </w:p>
          <w:p>
            <w:pPr>
              <w:numPr>
                <w:ilvl w:val="0"/>
                <w:numId w:val="11"/>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做好杂草清除工作，预防草坪虫害，及时修剪确保美观。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八月份</w:t>
            </w:r>
          </w:p>
        </w:tc>
        <w:tc>
          <w:tcPr>
            <w:tcW w:w="8351" w:type="dxa"/>
          </w:tcPr>
          <w:p>
            <w:pPr>
              <w:numPr>
                <w:ilvl w:val="0"/>
                <w:numId w:val="12"/>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继续除杂草做好防旱防涝工作，保证苗木正常生长；</w:t>
            </w:r>
          </w:p>
          <w:p>
            <w:pPr>
              <w:numPr>
                <w:ilvl w:val="0"/>
                <w:numId w:val="12"/>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及时追肥料，加强苗木管理；</w:t>
            </w:r>
          </w:p>
          <w:p>
            <w:pPr>
              <w:numPr>
                <w:ilvl w:val="0"/>
                <w:numId w:val="12"/>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加强花圃的浇水施肥工作。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九月份</w:t>
            </w:r>
          </w:p>
        </w:tc>
        <w:tc>
          <w:tcPr>
            <w:tcW w:w="8351" w:type="dxa"/>
          </w:tcPr>
          <w:p>
            <w:pPr>
              <w:numPr>
                <w:ilvl w:val="0"/>
                <w:numId w:val="13"/>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继续进行病虫害防治工作，进行中耕除杂草，进行草坪施肥修剪；</w:t>
            </w:r>
          </w:p>
          <w:p>
            <w:pPr>
              <w:numPr>
                <w:ilvl w:val="0"/>
                <w:numId w:val="13"/>
              </w:num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对球类及灌木进行整型修剪。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十月份</w:t>
            </w:r>
          </w:p>
        </w:tc>
        <w:tc>
          <w:tcPr>
            <w:tcW w:w="8351" w:type="dxa"/>
          </w:tcPr>
          <w:p>
            <w:pPr>
              <w:spacing w:before="100" w:beforeAutospacing="1" w:after="100" w:afterAutospacing="1" w:line="360" w:lineRule="auto"/>
              <w:ind w:right="62" w:firstLine="480"/>
              <w:contextualSpacing/>
              <w:rPr>
                <w:rFonts w:hint="eastAsia" w:ascii="仿宋" w:hAnsi="仿宋" w:eastAsia="仿宋" w:cs="宋体"/>
                <w:sz w:val="24"/>
                <w:szCs w:val="24"/>
              </w:rPr>
            </w:pPr>
            <w:r>
              <w:rPr>
                <w:rFonts w:hint="eastAsia" w:ascii="仿宋" w:hAnsi="仿宋" w:eastAsia="仿宋" w:cs="宋体"/>
                <w:sz w:val="24"/>
                <w:szCs w:val="24"/>
              </w:rPr>
              <w:t>做好病虫害防治及除杂草和修剪工作，及时播撒草坪草种，薄肥勤施保证出苗率。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十一月份</w:t>
            </w:r>
          </w:p>
        </w:tc>
        <w:tc>
          <w:tcPr>
            <w:tcW w:w="8351" w:type="dxa"/>
          </w:tcPr>
          <w:p>
            <w:pPr>
              <w:spacing w:before="100" w:beforeAutospacing="1" w:after="100" w:afterAutospacing="1" w:line="360" w:lineRule="auto"/>
              <w:ind w:right="62" w:firstLine="480"/>
              <w:contextualSpacing/>
              <w:rPr>
                <w:rFonts w:hint="eastAsia" w:ascii="仿宋" w:hAnsi="仿宋" w:eastAsia="仿宋" w:cs="宋体"/>
                <w:sz w:val="24"/>
                <w:szCs w:val="24"/>
              </w:rPr>
            </w:pPr>
            <w:r>
              <w:rPr>
                <w:rFonts w:hint="eastAsia" w:ascii="仿宋" w:hAnsi="仿宋" w:eastAsia="仿宋" w:cs="宋体"/>
                <w:sz w:val="24"/>
                <w:szCs w:val="24"/>
              </w:rPr>
              <w:t>继续做好病虫害防治及除杂草和修剪工作，及时播撒草坪草种，薄肥勤施保证出苗率。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spacing w:before="100" w:beforeAutospacing="1" w:after="100" w:afterAutospacing="1" w:line="360" w:lineRule="auto"/>
              <w:ind w:right="62"/>
              <w:contextualSpacing/>
              <w:rPr>
                <w:rFonts w:hint="eastAsia" w:ascii="仿宋" w:hAnsi="仿宋" w:eastAsia="仿宋" w:cs="宋体"/>
                <w:sz w:val="24"/>
                <w:szCs w:val="24"/>
              </w:rPr>
            </w:pPr>
            <w:r>
              <w:rPr>
                <w:rFonts w:hint="eastAsia" w:ascii="仿宋" w:hAnsi="仿宋" w:eastAsia="仿宋" w:cs="宋体"/>
                <w:sz w:val="24"/>
                <w:szCs w:val="24"/>
              </w:rPr>
              <w:t>十二月份</w:t>
            </w:r>
          </w:p>
        </w:tc>
        <w:tc>
          <w:tcPr>
            <w:tcW w:w="8351" w:type="dxa"/>
          </w:tcPr>
          <w:p>
            <w:pPr>
              <w:spacing w:before="100" w:beforeAutospacing="1" w:after="100" w:afterAutospacing="1" w:line="360" w:lineRule="auto"/>
              <w:ind w:right="62" w:firstLine="480"/>
              <w:contextualSpacing/>
              <w:rPr>
                <w:rFonts w:hint="eastAsia" w:ascii="仿宋" w:hAnsi="仿宋" w:eastAsia="仿宋" w:cs="宋体"/>
                <w:sz w:val="24"/>
                <w:szCs w:val="24"/>
              </w:rPr>
            </w:pPr>
            <w:r>
              <w:rPr>
                <w:rFonts w:hint="eastAsia" w:ascii="仿宋" w:hAnsi="仿宋" w:eastAsia="仿宋" w:cs="宋体"/>
                <w:sz w:val="24"/>
                <w:szCs w:val="24"/>
              </w:rPr>
              <w:t>对行道树进行整型修剪，对所有树木进行一次彻底检查，结合修剪工作清除病、枯树枝。</w:t>
            </w:r>
          </w:p>
        </w:tc>
      </w:tr>
    </w:tbl>
    <w:p>
      <w:pPr>
        <w:adjustRightInd w:val="0"/>
        <w:spacing w:before="100" w:beforeAutospacing="1" w:after="100" w:afterAutospacing="1" w:line="360" w:lineRule="auto"/>
        <w:ind w:right="473" w:rightChars="225"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（十三）其他工作要求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物业管理安全生产台账的建立与完善。严格按照院方拟定的《医院物业管理安全生产台账目录》进行收集整理资料，分项培训、检查和考核。把安全生产纳入到正常的物业管理工作中，使其制度化、常态化、专业化。</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2、对于突发事件必须按照应急预案进行实施。</w:t>
      </w:r>
    </w:p>
    <w:p>
      <w:pPr>
        <w:adjustRightInd w:val="0"/>
        <w:spacing w:before="100" w:beforeAutospacing="1" w:after="100" w:afterAutospacing="1" w:line="360" w:lineRule="auto"/>
        <w:ind w:right="473" w:rightChars="225"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八、考核内容及考核办法</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为加强对服务项目的管理和监督,保证物业服务质量,甲方按照《扬州大学附属医院物业管理规定及考核办法》对乙双方进行考核：</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1、甲方相关职能部门对乙方的日常管理及所有服务项目有权进行监督。</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甲方对乙方的服务项目、服务质量等进行考核。要求乙方人员配证（加照片上岗，固定岗位有责任包干区公示：照片与包干区域）。有缺额时应向甲方物业管理科报告备案，在定岗定编区域如有人员调动应征得该区域（科室）负责人的同意。主管人员调配应向院方主管科室负责人通报。扣分扣款及考核内容标准见（严格人员定岗定编，如缺额纳入考核内容，除按实际扣分外还应与管理费进行挂勾）。</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3、考核采取定期和不定期抽查相结合</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（1）定期：每月一次，由后勤保障处、被服务科室、病区考核；每次考核后乙方应针对不足之处提出整改措施并落实在一周内整改到位，填报《物业检查考核记录督查、整改、持续改进表》</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（2）不定期：由后勤保障处牵头，协同相关科室，对乙方的服务质量进行联合检查，并进行综合满意度打分和全年不低于2次的公开评议。</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4、考核及考评结果与对乙方当月付款，以及合同是否终止、续签挂钩。</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5、每月实际支付服务费的数额与乙方当月的月度考核得分相结合。</w:t>
      </w:r>
    </w:p>
    <w:p>
      <w:pPr>
        <w:adjustRightInd w:val="0"/>
        <w:spacing w:before="100" w:beforeAutospacing="1" w:after="100" w:afterAutospacing="1" w:line="360" w:lineRule="auto"/>
        <w:ind w:right="473" w:rightChars="225"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九、双方责任：</w:t>
      </w:r>
    </w:p>
    <w:p>
      <w:pPr>
        <w:adjustRightInd w:val="0"/>
        <w:spacing w:before="100" w:beforeAutospacing="1" w:after="100" w:afterAutospacing="1" w:line="360" w:lineRule="auto"/>
        <w:ind w:right="473" w:rightChars="225" w:firstLine="480" w:firstLineChars="200"/>
        <w:contextualSpacing/>
        <w:rPr>
          <w:rFonts w:hint="eastAsia" w:ascii="仿宋" w:hAnsi="仿宋" w:eastAsia="仿宋" w:cs="宋体"/>
          <w:sz w:val="24"/>
          <w:szCs w:val="24"/>
        </w:rPr>
      </w:pPr>
      <w:r>
        <w:rPr>
          <w:rFonts w:hint="eastAsia" w:ascii="仿宋" w:hAnsi="仿宋" w:eastAsia="仿宋" w:cs="宋体"/>
          <w:sz w:val="24"/>
          <w:szCs w:val="24"/>
        </w:rPr>
        <w:t>（一）招标人责任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招标人可以向中标人管理人员免费提供适合的办公场所、免费提供必要且面积适宜的办公场所、库房，以及基本办公用品、医疗废物车、生活垃圾清运车、手推车等物品。中标人应根据项目实际情况在此基础上进行添加购置。</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2、尊重中标人对工作人员管理，支持中标人开展工作，爱惜中标人劳动成果。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3、每月对中标人工作进行考核，客观公正地对中标人工作进行评价，有权对中标人服务提出意见和建议。</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4、招标人对中标人的服务不满意时，有权提出异议和要求返工；如对中标人人员服务不满意，招标人有权要求中标人及时调换。</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5、招标人不得安排中标人人员从事与医疗技术有关的工作（中标人有权拒绝）。</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（二）中标人责任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1、按照合同约定要求认真履行中标人职责，同时必须按照招投标文件和合同确定的人数派出相关人员从事服务工作。如出勤人数低于合同核定人数的99%，按实际出勤人数支付。</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确保安全生产，做好各项培训与考核（培训每月不少于一次，包含PPT课件、签到表、考核试卷和操作视频，成绩汇总分析等）。严格规章制度与工作流程，因中标人处理不当或响应不及时引起的不良事件：如人员（病人、家属、职工）跌倒、医疗废物流失、电梯困人、火灾等所造成的一切后果及损失，由中标人承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3、认真查勘天气预报，及时掌握天气情况，以便提前做好雨雪天气的防滑、防水等预防措施，确保在雨前30分钟铺好防滑垫和雨伞防水袋工作。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4、遵守招标人规章制度，不介入招标人医疗活动，不利用工作之便在医院从事与本职工作无关的活动。</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中标人应负责为其派出人员依法办理劳动用工手续，并承担其人员的工资报酬、劳保福利、养老保险等全部用工费用，中标人人员发生工伤事故的、人事、工作纠纷的中标人自行解决并承担全部责任。同时做好工人的相关福利工作。</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依法进行用工管理，按招标人要求对不称职人员及时撤换，对所有上岗人员和特种专业岗位人员应定期进行业务培训，培训达标后上岗，上岗后需征求服务区域主管意见。专业人员需持证上岗（培训费中标人自理）。</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加强对聘用人员的职业道德和安全意识教育，爱护公共财物，节约使用水、电、气。由于中标人人员在日常工作中给招标人的设施、材料及病人物品造成损失的，中标人应承担赔偿责任。对招标人提供的物品，应及时保养。需要修理及时送招标人修理，对无修理价值的物品应及时到招标人办理报损手续。对病区、科室需要维修的设施、物品应及时报修并做相关记录（对需要维修部件材料应妥善保管好，并提供给维修人员）。</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制定切实可行的管理制度和工作流程，对承包范围内的工作要认真进行自查自纠，确保服务质量。自觉接受招标人的监督和检查，积极采纳招标人合理化建议，并负责处理有关投诉。项目经理与主管每周一次进行各区域的联合巡查，每日各自巡查主管区域，及时处理现场问题，与区域内院方主管人员进行沟通，做好每日巡查及沟通记录。</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每月20号前向招标人报送下月工作计划及上月工作小结,工作小结应包括对工作完成情况、存在问题、原因分析整改措施、整改效果及人员考勤情况。运用现代化管理工具例如（PDCA）对管理中重点问题包括不良事件进行追踪检查。</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10、中标人在召开管理层工作会议或职工会议时应邀请招标人相关人员列席会议。</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11、中标人应统筹安排，做好洗地设备和保洁易耗材的费用分配，做到有计划两不误。中标人购进的设备及耗材在入库时应邀请招标人派员共同参加验收。</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12、中标人进场派驻本院的项目经理、主管及班组长必须与投标文件一致，不得换人，否则算中标人自动毁约。项目经理及管理人员在工作日离开本院时,应向招标人请假。中标人派驻的持证操作人员必须与投标文件一致，不得换人，否则算中标人自动毁约。</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13、因物业管理不到位、工作流程不合理的原因而造成第三方损失或纠纷的，由物业公司负责处理，招标人积极参与（费用由中标人承担）。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14、中标人负责相关员工工资、加班费、夜餐费的发放；保洁用具及易耗材、装备物资的领用；除“四害”药具（须附增值税发票、物品清单）、医疗废物处置用具的领用等接受招标人的检查与监督，并能主动提供相关资料。</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15、在项目实施过程中，非不可抗力因素或未经物业管理科审批同意，中标人每调整1个经理或者主管人员，采购人有权一次性扣减服务费用50000元；中标人越级上报相关情况，每发生一起，采购人有权一次性扣减服务费用10000元，从当月服务费用中扣减；中标人在收到调换相关工作人员通知起1个月完成未调换的情况，采购人有权一次性扣减服务费用50000元，从当月服务费用中扣减。发生以上情况，采购人有权终止合同执行，招标人有权免责终止合同。</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16、医院安排的其他有关工作。</w:t>
      </w:r>
    </w:p>
    <w:p>
      <w:pPr>
        <w:spacing w:before="100" w:beforeAutospacing="1" w:after="100" w:afterAutospacing="1" w:line="360" w:lineRule="auto"/>
        <w:ind w:right="62" w:firstLine="482" w:firstLineChars="200"/>
        <w:contextualSpacing/>
        <w:rPr>
          <w:rFonts w:hint="eastAsia" w:ascii="仿宋" w:hAnsi="仿宋" w:eastAsia="仿宋" w:cs="宋体"/>
          <w:sz w:val="24"/>
          <w:szCs w:val="24"/>
        </w:rPr>
      </w:pPr>
      <w:r>
        <w:rPr>
          <w:rFonts w:hint="eastAsia" w:ascii="仿宋" w:hAnsi="仿宋" w:eastAsia="仿宋" w:cs="宋体"/>
          <w:b/>
          <w:bCs/>
          <w:sz w:val="24"/>
          <w:szCs w:val="24"/>
        </w:rPr>
        <w:t>十一、违约责任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1、中标人不履行合同或履行该合同不符合合同约定，中标人应向招标人支付合同价5%的违约金，违约金在合同总价或履约保证金中扣除。因中标人违约造成招标人损失的，按损失费用的三倍罚款。</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2、中标人如延迟履行合同或不完全履行合同，除支付5%违约金外中标人仍应实际履行合同，招标人也有权提前免责解除合同，且有权要求中标人承担因中标人违约给招标人造成的经济损失。</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甲、乙双方因不可抗力不能及时或完全履行合同的，应及时通知对方，并在10天内提供相应证明。未履行完合同部分是否继续履行，如何履行等问题，可由双方协商解决。确定为不可抗力原因造成的损失免予承担责任。</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4、无论是合同期满或其他情况,中标人在撤离医院前,要进行财产清理中标人需将招标人交付使用的财产物资完整地移交给招标人。对撤出物品要经过甲乙双方共同认定，故意损坏的需按原价赔偿</w:t>
      </w:r>
    </w:p>
    <w:p>
      <w:pPr>
        <w:spacing w:before="100" w:beforeAutospacing="1" w:after="100" w:afterAutospacing="1" w:line="360" w:lineRule="auto"/>
        <w:ind w:right="62"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十、对招标有关项目的说明</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1、中标人办公所需水电费用原则上由医院承担,医院有权制定标准并给予考核。</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2、医院将提供中标人管理办公用房、仓库用房，并提供桌椅等办公家私和员工更衣柜，在服务期限内提供给中标人免费使用。</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3、中标人必须配置项目相关人员的装备（包括对讲机以及对讲机公共频道占用费及维修费用等）。</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4、中标人自备电脑、考勤设备、信息化管理软件系统和打印机等办公设备和耗材及保洁用具集中消毒洗涤。</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5、中标人的各岗位员工要统一服装，并由中标人负责其员工工服配备和洗涤（每两年更换）。</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6、中标人有岗前培训机制，服务人员100%经过岗前培训合格后方可上岗。同时必须提交岗前培训记录。</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7、未经医院同意，中标人不得在合同期限内将本项目的管理权转包或分包。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8、中标人须严格按照标准化的操作程序、完善的培训体系和质量控制体系完成本项目，以保证整个物业服务系统安全、高效、有序和有计划地运转。</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9、中标人有责任配合医院接受上级领导部门的监督、检查，提供必须的资料。</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10、中标人须严格按照国家和扬州市政府规定给所有的员工缴纳各种社会保险（包括养老、医疗、工伤、失业保险等）。</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11、中标人自行负责其招聘员工的一切工资；如发生工伤、疾病乃至死亡的一切责任及费用由中标人全部负责；中标人应严格遵守国家有关的法律、法规及行业标准，如发生劳动人事纠纷，一律由中标人全权负责处理。</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12、全部服务人员的工作时间应严格按国家有关法律、法规要求的标准执行，因工作原因产生的加班（含节假日加班）应严格按国家有关法律、法规要求的标准给付员工加班薪资。</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13、所有员工须提供由有资质部门发放的健康证明才能上岗（证明相关费用由中标方负责）。</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14、院方不接受投标方任何因遗漏报价而发生的费用追加，因投标方违反《劳动法》等法律法规而造成院方的连带责任和损失全部由中标方承担。</w:t>
      </w:r>
    </w:p>
    <w:p>
      <w:pPr>
        <w:adjustRightInd w:val="0"/>
        <w:spacing w:before="100" w:beforeAutospacing="1" w:after="100" w:afterAutospacing="1" w:line="360" w:lineRule="auto"/>
        <w:ind w:right="55" w:rightChars="26" w:firstLine="482" w:firstLineChars="200"/>
        <w:contextualSpacing/>
        <w:rPr>
          <w:rFonts w:hint="eastAsia" w:ascii="仿宋" w:hAnsi="仿宋" w:eastAsia="仿宋" w:cs="宋体"/>
          <w:b/>
          <w:bCs/>
          <w:sz w:val="24"/>
          <w:szCs w:val="24"/>
        </w:rPr>
      </w:pPr>
      <w:r>
        <w:rPr>
          <w:rFonts w:hint="eastAsia" w:ascii="仿宋" w:hAnsi="仿宋" w:eastAsia="仿宋" w:cs="宋体"/>
          <w:b/>
          <w:bCs/>
          <w:sz w:val="24"/>
          <w:szCs w:val="24"/>
        </w:rPr>
        <w:t>十一、服务人员要求</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投标人应根据现场的实际情况进行测算，提供优化、合理的服务方案与人员配置。服务人员实际每周工作时间按所在岗位需求执行（费用包含在总价内）。今后投入使用后，每人的住宿费、加班费（不含特殊加班费）、应缴纳的各种社会保险部分、风险部分、政策性工资调整等均包含在个人报价总价内，服务期间不做另行调整。 投标人提供的所有服务应符合招标文件的要求，并严格按照适用于本项目的相关法规、规范和国家标准及医院最新相关制度标准执行。投标人在服务时应满足招标人的实际需求，服务期内服务标准的变更包含在投标报价中，招标人不因此再支付费用。</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所有服务人员：身心健康，无影响正常工作的基础性疾病和残疾，无不良嗜好；职业道德良好，无不良劣渍，无犯罪记录；熟悉岗位职责、操作程序；文明用语、礼貌待客；人员着装统一，仪表整洁，用语规范，挂牌上岗；按时上下班，上班时间不得串岗。中标人必须按招标文件和标准要求为所有员工体检一次，体检结果汇总须报总务处存档。</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2、项目负责人：男不得超过50周岁，女不得超过45周岁；必须具备大专及以上学历；具有5年及以上三级甲等综合性医院相同服务内容的物业项目管理经验；责任心强，具备较强的组织和沟通能力，有丰富的部门管理经验，员工须持有效期内的由有资质部门发放的健康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3、项目主管人员：男不得超过50周岁，女不得超过45周岁；所有主管人员具高中以上文化；有良好的沟通能力和管理知识。员工须持有效期内的由有资质部门发放的健康证。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4、保洁人员：男不得超过60周岁，女不得超过55周岁；身心健康（新生儿病房、ICU、手术室配备的工人须持有效期内的由有资质部门发放的健康证），能胜任岗位需要，小学以上文化，品行良好，遵守医院的各项规章制度和员工行为规范，不得私自在医院收集买卖废品。PA工（专项保洁）要求男性，PA工须持有效期内的由有资质部门发放的健康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5、运送、陪检人员：年龄50周岁以下，身心健康，能胜任岗位需要，初中以上文化，品行良好，遵守医院的各项规章制度和员工行为规范；员工须持有效期内的由有资质部门发放的健康证。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6、绿色通道人员：年龄50周岁以下，男性，身心健康，能胜任岗位需要，初中以上文化，品行良好，具有爱心，遵守医院的各项规章制度和员工行为规范；员工须持有效期内的由有资质部门发放的健康证。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7、医疗废物、生活垃圾收集、太平间管理人员：年龄50周岁以下，男性，身心健康，能胜任岗位需要，初中以上文化，品行良好，遵守医院的各项规章制度和员工行为规范；员工须持有效期内的由有资质部门发放的健康证。医疗废物收集人员每年体检一次（由我院体检中心提供体检项目清单），费用由中标人承担。</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8、电梯司机人员：电梯司机应五官端正，形象气质佳，身心健康，无皮肤病，初中以上文化程度，并会讲普通话；员工须持有效期内的由有资质部门发放的健康证；男170CM以上，年龄55周岁以下；女155CM以上，年龄55周岁以下。</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9、宿管：年龄50周岁以下，身心健康，能胜任岗位需要，初中以上文化，品行良好，有较好的沟通能力，遵守医院的各项规章制度和员工行为规范；员工须持有效期内的由有资质部门发放的健康证。</w:t>
      </w:r>
    </w:p>
    <w:p>
      <w:pPr>
        <w:spacing w:before="100" w:beforeAutospacing="1" w:after="100" w:afterAutospacing="1" w:line="360" w:lineRule="auto"/>
        <w:ind w:right="62" w:firstLine="480" w:firstLineChars="200"/>
        <w:contextualSpacing/>
        <w:rPr>
          <w:rFonts w:hint="eastAsia" w:ascii="仿宋" w:hAnsi="仿宋" w:eastAsia="仿宋" w:cs="宋体"/>
          <w:sz w:val="24"/>
          <w:szCs w:val="24"/>
        </w:rPr>
      </w:pPr>
      <w:r>
        <w:rPr>
          <w:rFonts w:hint="eastAsia" w:ascii="仿宋" w:hAnsi="仿宋" w:eastAsia="仿宋" w:cs="宋体"/>
          <w:sz w:val="24"/>
          <w:szCs w:val="24"/>
        </w:rPr>
        <w:t>10、后勤一站式人员（含会务保障）：不得超过45周岁，大专及以上学历，熟悉计算机操作，责任心强，具备较强的协调沟通能力，须持有效期内的由有资质部门发放的健康证。</w:t>
      </w:r>
    </w:p>
    <w:p>
      <w:pPr>
        <w:spacing w:before="100" w:beforeAutospacing="1" w:after="100" w:afterAutospacing="1" w:line="360" w:lineRule="auto"/>
        <w:ind w:right="62" w:firstLine="482" w:firstLineChars="200"/>
        <w:contextualSpacing/>
        <w:rPr>
          <w:rFonts w:ascii="方正黑体_GBK" w:hAnsi="宋体" w:eastAsia="方正黑体_GBK"/>
          <w:sz w:val="32"/>
          <w:szCs w:val="36"/>
        </w:rPr>
      </w:pPr>
      <w:r>
        <w:rPr>
          <w:rFonts w:hint="eastAsia" w:ascii="仿宋" w:hAnsi="仿宋" w:eastAsia="仿宋" w:cs="宋体"/>
          <w:b/>
          <w:bCs/>
          <w:i/>
          <w:iCs/>
          <w:color w:val="FF0000"/>
          <w:sz w:val="24"/>
          <w:szCs w:val="24"/>
          <w:u w:val="single"/>
        </w:rPr>
        <w:t>11、为保持物业服务人员的相对稳定，东西院区用工总数不得低于441人</w:t>
      </w:r>
      <w:bookmarkEnd w:id="0"/>
      <w:r>
        <w:rPr>
          <w:rFonts w:hint="eastAsia" w:ascii="仿宋" w:hAnsi="仿宋" w:eastAsia="仿宋" w:cs="宋体"/>
          <w:b/>
          <w:bCs/>
          <w:i/>
          <w:iCs/>
          <w:color w:val="FF0000"/>
          <w:sz w:val="24"/>
          <w:szCs w:val="24"/>
          <w:u w:val="single"/>
        </w:rPr>
        <w:t>，交保率不得低于最低配置人数的80%。</w:t>
      </w:r>
    </w:p>
    <w:p>
      <w:pPr>
        <w:adjustRightInd w:val="0"/>
        <w:spacing w:before="100" w:beforeAutospacing="1" w:after="100" w:afterAutospacing="1" w:line="360" w:lineRule="auto"/>
        <w:ind w:right="55" w:rightChars="26" w:firstLine="482" w:firstLineChars="200"/>
        <w:contextualSpacing/>
        <w:rPr>
          <w:rFonts w:hint="eastAsia" w:ascii="仿宋" w:hAnsi="仿宋" w:eastAsia="仿宋" w:cs="宋体"/>
          <w:b/>
          <w:bCs/>
          <w:sz w:val="24"/>
          <w:szCs w:val="24"/>
        </w:rPr>
      </w:pPr>
      <w:bookmarkStart w:id="5" w:name="_Hlk189844935"/>
      <w:bookmarkStart w:id="6" w:name="_Hlk189752606"/>
      <w:r>
        <w:rPr>
          <w:rFonts w:hint="eastAsia" w:ascii="仿宋" w:hAnsi="仿宋" w:eastAsia="仿宋" w:cs="宋体"/>
          <w:b/>
          <w:bCs/>
          <w:sz w:val="24"/>
          <w:szCs w:val="24"/>
        </w:rPr>
        <w:t>十二、扬州大学附属医院物业管理规定及考核办法</w:t>
      </w:r>
      <w:bookmarkEnd w:id="5"/>
    </w:p>
    <w:bookmarkEnd w:id="6"/>
    <w:p>
      <w:pPr>
        <w:spacing w:line="360" w:lineRule="auto"/>
        <w:ind w:right="62" w:firstLine="480" w:firstLineChars="200"/>
        <w:rPr>
          <w:rFonts w:hint="eastAsia" w:ascii="黑体" w:hAnsi="黑体" w:eastAsia="黑体"/>
          <w:sz w:val="24"/>
          <w:szCs w:val="24"/>
        </w:rPr>
      </w:pPr>
      <w:bookmarkStart w:id="7" w:name="_Hlk186988483"/>
      <w:r>
        <w:rPr>
          <w:rFonts w:hint="eastAsia" w:ascii="黑体" w:hAnsi="黑体" w:eastAsia="黑体"/>
          <w:sz w:val="24"/>
          <w:szCs w:val="24"/>
        </w:rPr>
        <w:t>（一）</w:t>
      </w:r>
      <w:r>
        <w:rPr>
          <w:rFonts w:ascii="黑体" w:hAnsi="黑体" w:eastAsia="黑体"/>
          <w:sz w:val="24"/>
          <w:szCs w:val="24"/>
        </w:rPr>
        <w:t>考核对象</w:t>
      </w:r>
    </w:p>
    <w:p>
      <w:pPr>
        <w:spacing w:line="360" w:lineRule="auto"/>
        <w:ind w:right="62" w:firstLine="480" w:firstLineChars="200"/>
        <w:rPr>
          <w:rFonts w:hint="eastAsia" w:ascii="仿宋" w:hAnsi="仿宋" w:eastAsia="仿宋"/>
          <w:sz w:val="24"/>
          <w:szCs w:val="24"/>
        </w:rPr>
      </w:pPr>
      <w:r>
        <w:rPr>
          <w:rFonts w:ascii="仿宋" w:hAnsi="仿宋" w:eastAsia="仿宋"/>
          <w:sz w:val="24"/>
          <w:szCs w:val="24"/>
        </w:rPr>
        <w:t>对在我院提供物业服务的物业公司的服务情况进行考核。</w:t>
      </w:r>
      <w:r>
        <w:rPr>
          <w:rFonts w:hint="eastAsia" w:ascii="仿宋" w:hAnsi="仿宋" w:eastAsia="仿宋"/>
          <w:sz w:val="24"/>
          <w:szCs w:val="24"/>
        </w:rPr>
        <w:t>采购人负责对中标人的各项服务工作进行定期检查与不定期抽查相结合，每月前半月有计划进行巡视检查，发现问题，通知整改，每月最后10天追踪整改情况，整改不到位将进行考核；负责对用工人员编制情况进行核实，兑现合同条款；负责对服务质量日常巡查与满意度测评。</w:t>
      </w:r>
    </w:p>
    <w:p>
      <w:pPr>
        <w:spacing w:line="360" w:lineRule="auto"/>
        <w:ind w:right="62" w:firstLine="480" w:firstLineChars="200"/>
        <w:rPr>
          <w:rFonts w:hint="eastAsia" w:ascii="黑体" w:hAnsi="黑体" w:eastAsia="黑体"/>
          <w:sz w:val="24"/>
          <w:szCs w:val="24"/>
        </w:rPr>
      </w:pPr>
      <w:r>
        <w:rPr>
          <w:rFonts w:hint="eastAsia" w:ascii="黑体" w:hAnsi="黑体" w:eastAsia="黑体"/>
          <w:sz w:val="24"/>
          <w:szCs w:val="24"/>
        </w:rPr>
        <w:t>（二）</w:t>
      </w:r>
      <w:r>
        <w:rPr>
          <w:rFonts w:ascii="黑体" w:hAnsi="黑体" w:eastAsia="黑体"/>
          <w:sz w:val="24"/>
          <w:szCs w:val="24"/>
        </w:rPr>
        <w:t>考核范围</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日常</w:t>
      </w:r>
      <w:r>
        <w:rPr>
          <w:rFonts w:ascii="仿宋" w:hAnsi="仿宋" w:eastAsia="仿宋"/>
          <w:sz w:val="24"/>
          <w:szCs w:val="24"/>
        </w:rPr>
        <w:t>保洁、</w:t>
      </w:r>
      <w:r>
        <w:rPr>
          <w:rFonts w:hint="eastAsia" w:ascii="仿宋" w:hAnsi="仿宋" w:eastAsia="仿宋"/>
          <w:sz w:val="24"/>
          <w:szCs w:val="24"/>
        </w:rPr>
        <w:t>专项保洁、</w:t>
      </w:r>
      <w:r>
        <w:rPr>
          <w:rFonts w:ascii="仿宋" w:hAnsi="仿宋" w:eastAsia="仿宋"/>
          <w:sz w:val="24"/>
          <w:szCs w:val="24"/>
        </w:rPr>
        <w:t>运送、电梯</w:t>
      </w:r>
      <w:r>
        <w:rPr>
          <w:rFonts w:hint="eastAsia" w:ascii="仿宋" w:hAnsi="仿宋" w:eastAsia="仿宋"/>
          <w:sz w:val="24"/>
          <w:szCs w:val="24"/>
        </w:rPr>
        <w:t>司机</w:t>
      </w:r>
      <w:r>
        <w:rPr>
          <w:rFonts w:ascii="仿宋" w:hAnsi="仿宋" w:eastAsia="仿宋"/>
          <w:sz w:val="24"/>
          <w:szCs w:val="24"/>
        </w:rPr>
        <w:t>、</w:t>
      </w:r>
      <w:r>
        <w:rPr>
          <w:rFonts w:hint="eastAsia" w:ascii="仿宋" w:hAnsi="仿宋" w:eastAsia="仿宋"/>
          <w:sz w:val="24"/>
          <w:szCs w:val="24"/>
        </w:rPr>
        <w:t>绿色通道</w:t>
      </w:r>
      <w:r>
        <w:rPr>
          <w:rFonts w:ascii="仿宋" w:hAnsi="仿宋" w:eastAsia="仿宋"/>
          <w:sz w:val="24"/>
          <w:szCs w:val="24"/>
        </w:rPr>
        <w:t>、</w:t>
      </w:r>
      <w:r>
        <w:rPr>
          <w:rFonts w:hint="eastAsia" w:ascii="仿宋" w:hAnsi="仿宋" w:eastAsia="仿宋"/>
          <w:sz w:val="24"/>
          <w:szCs w:val="24"/>
        </w:rPr>
        <w:t>宿舍管理、园林绿化、会议服务、物业管理</w:t>
      </w:r>
      <w:r>
        <w:rPr>
          <w:rFonts w:ascii="仿宋" w:hAnsi="仿宋" w:eastAsia="仿宋"/>
          <w:sz w:val="24"/>
          <w:szCs w:val="24"/>
        </w:rPr>
        <w:t>等</w:t>
      </w:r>
      <w:r>
        <w:rPr>
          <w:rFonts w:hint="eastAsia" w:ascii="仿宋" w:hAnsi="仿宋" w:eastAsia="仿宋"/>
          <w:sz w:val="24"/>
          <w:szCs w:val="24"/>
        </w:rPr>
        <w:t>物业综合管理服务</w:t>
      </w:r>
      <w:r>
        <w:rPr>
          <w:rFonts w:ascii="仿宋" w:hAnsi="仿宋" w:eastAsia="仿宋"/>
          <w:sz w:val="24"/>
          <w:szCs w:val="24"/>
        </w:rPr>
        <w:t>。</w:t>
      </w:r>
    </w:p>
    <w:p>
      <w:pPr>
        <w:spacing w:line="360" w:lineRule="auto"/>
        <w:ind w:right="62" w:firstLine="480" w:firstLineChars="200"/>
        <w:rPr>
          <w:rFonts w:hint="eastAsia" w:ascii="黑体" w:hAnsi="黑体" w:eastAsia="黑体"/>
          <w:sz w:val="24"/>
          <w:szCs w:val="24"/>
        </w:rPr>
      </w:pPr>
      <w:r>
        <w:rPr>
          <w:rFonts w:hint="eastAsia" w:ascii="黑体" w:hAnsi="黑体" w:eastAsia="黑体"/>
          <w:sz w:val="24"/>
          <w:szCs w:val="24"/>
        </w:rPr>
        <w:t>（三）</w:t>
      </w:r>
      <w:r>
        <w:rPr>
          <w:rFonts w:ascii="黑体" w:hAnsi="黑体" w:eastAsia="黑体"/>
          <w:sz w:val="24"/>
          <w:szCs w:val="24"/>
        </w:rPr>
        <w:t>区域配置与责任人</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医院各区域（如门诊大厅、住院部、手术室、公共走廊、卫生间等）应按照实际需求配置足够的保洁及服务人员。</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2、医院</w:t>
      </w:r>
      <w:r>
        <w:rPr>
          <w:rFonts w:ascii="仿宋" w:hAnsi="仿宋" w:eastAsia="仿宋"/>
          <w:sz w:val="24"/>
          <w:szCs w:val="24"/>
        </w:rPr>
        <w:t>各区域负责人为现场</w:t>
      </w:r>
      <w:r>
        <w:rPr>
          <w:rFonts w:hint="eastAsia" w:ascii="仿宋" w:hAnsi="仿宋" w:eastAsia="仿宋"/>
          <w:sz w:val="24"/>
          <w:szCs w:val="24"/>
        </w:rPr>
        <w:t>物业用人</w:t>
      </w:r>
      <w:r>
        <w:rPr>
          <w:rFonts w:ascii="仿宋" w:hAnsi="仿宋" w:eastAsia="仿宋"/>
          <w:sz w:val="24"/>
          <w:szCs w:val="24"/>
        </w:rPr>
        <w:t>管理第一责任人，负责监督、指导和</w:t>
      </w:r>
      <w:r>
        <w:rPr>
          <w:rFonts w:hint="eastAsia" w:ascii="仿宋" w:hAnsi="仿宋" w:eastAsia="仿宋"/>
          <w:sz w:val="24"/>
          <w:szCs w:val="24"/>
        </w:rPr>
        <w:t>考核</w:t>
      </w:r>
      <w:r>
        <w:rPr>
          <w:rFonts w:ascii="仿宋" w:hAnsi="仿宋" w:eastAsia="仿宋"/>
          <w:sz w:val="24"/>
          <w:szCs w:val="24"/>
        </w:rPr>
        <w:t>本区域内的物业服务工作，确保服务质量达到医院要求。</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3、感染管理处负责监督、指导全院物业服务感染控制工作。</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4、物业管理科负责全院物业综合监督、管理、协调和考核工作。</w:t>
      </w:r>
    </w:p>
    <w:bookmarkEnd w:id="7"/>
    <w:p>
      <w:pPr>
        <w:spacing w:line="360" w:lineRule="auto"/>
        <w:ind w:right="62" w:firstLine="480" w:firstLineChars="200"/>
        <w:rPr>
          <w:rFonts w:hint="eastAsia" w:ascii="黑体" w:hAnsi="黑体" w:eastAsia="黑体"/>
          <w:sz w:val="24"/>
          <w:szCs w:val="24"/>
        </w:rPr>
      </w:pPr>
      <w:r>
        <w:rPr>
          <w:rFonts w:hint="eastAsia" w:ascii="黑体" w:hAnsi="黑体" w:eastAsia="黑体"/>
          <w:sz w:val="24"/>
          <w:szCs w:val="24"/>
        </w:rPr>
        <w:t>（四）</w:t>
      </w:r>
      <w:r>
        <w:rPr>
          <w:rFonts w:ascii="黑体" w:hAnsi="黑体" w:eastAsia="黑体"/>
          <w:sz w:val="24"/>
          <w:szCs w:val="24"/>
        </w:rPr>
        <w:t>考核方法：日常考核、月度考核</w:t>
      </w:r>
    </w:p>
    <w:p>
      <w:pPr>
        <w:spacing w:line="360" w:lineRule="auto"/>
        <w:ind w:right="62" w:firstLine="480" w:firstLineChars="200"/>
        <w:rPr>
          <w:rFonts w:hint="eastAsia" w:ascii="楷体" w:hAnsi="楷体" w:eastAsia="楷体"/>
          <w:sz w:val="24"/>
          <w:szCs w:val="24"/>
        </w:rPr>
      </w:pPr>
      <w:r>
        <w:rPr>
          <w:rFonts w:hint="eastAsia" w:ascii="楷体" w:hAnsi="楷体" w:eastAsia="楷体"/>
          <w:sz w:val="24"/>
          <w:szCs w:val="24"/>
        </w:rPr>
        <w:t>1、</w:t>
      </w:r>
      <w:r>
        <w:rPr>
          <w:rFonts w:ascii="楷体" w:hAnsi="楷体" w:eastAsia="楷体"/>
          <w:sz w:val="24"/>
          <w:szCs w:val="24"/>
        </w:rPr>
        <w:t>日常考核</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物业公司接到医院</w:t>
      </w:r>
      <w:r>
        <w:rPr>
          <w:rFonts w:hint="eastAsia" w:ascii="仿宋" w:hAnsi="仿宋" w:eastAsia="仿宋"/>
          <w:sz w:val="24"/>
          <w:szCs w:val="24"/>
        </w:rPr>
        <w:t>有效</w:t>
      </w:r>
      <w:r>
        <w:rPr>
          <w:rFonts w:ascii="仿宋" w:hAnsi="仿宋" w:eastAsia="仿宋"/>
          <w:sz w:val="24"/>
          <w:szCs w:val="24"/>
        </w:rPr>
        <w:t>投诉 10 分钟内未开始整改，扣 100 元，30 分钟内未开始整改扣 200 元，30 分钟以上未开始整改的，每多 10 分钟在 200 元基础上扣除 200元/10 分钟，扣款叠加，扣款从当月的服务费中扣除（同类问题扣款每日单项上限10000元）。</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物业公司员工需按要求统一着装，穿戴整齐，服装定期清洗、保持整洁，并佩戴胸牌（包含门禁卡或带姓名的胸针）。如发现未达标，则按 50 元/人进行扣款，扣款从当月的服务费中扣除。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物业公司应严格执行医院要求，做到所有员工培训后上岗，</w:t>
      </w:r>
      <w:r>
        <w:rPr>
          <w:rFonts w:hint="eastAsia" w:ascii="仿宋" w:hAnsi="仿宋" w:eastAsia="仿宋"/>
          <w:sz w:val="24"/>
          <w:szCs w:val="24"/>
        </w:rPr>
        <w:t>严格做到</w:t>
      </w:r>
      <w:r>
        <w:rPr>
          <w:rFonts w:ascii="仿宋" w:hAnsi="仿宋" w:eastAsia="仿宋"/>
          <w:sz w:val="24"/>
          <w:szCs w:val="24"/>
        </w:rPr>
        <w:t>一人一岗实名制管理。</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物业公司员工不得无故与医院员工、病人及家属、其他来访者发生争执，如发生争执甚至进一步冲突，经核实为物业公司员工原因导致冲突，物业公司承担所有因此造成的损失，并扣 1000 元，扣款从当月的服务费中扣除。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（5）</w:t>
      </w:r>
      <w:r>
        <w:rPr>
          <w:rFonts w:ascii="仿宋" w:hAnsi="仿宋" w:eastAsia="仿宋"/>
          <w:sz w:val="24"/>
          <w:szCs w:val="24"/>
        </w:rPr>
        <w:t>因物业公司原因医院员工、病人及家属、其他来访者发生意外的，所有损失由物业公司承担，并扣款 1000 元，扣款从当月的服务费中扣除。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物业公司员工不得在院内</w:t>
      </w:r>
      <w:r>
        <w:rPr>
          <w:rFonts w:hint="eastAsia" w:ascii="仿宋" w:hAnsi="仿宋" w:eastAsia="仿宋"/>
          <w:sz w:val="24"/>
          <w:szCs w:val="24"/>
        </w:rPr>
        <w:t>非吸烟区</w:t>
      </w:r>
      <w:r>
        <w:rPr>
          <w:rFonts w:ascii="仿宋" w:hAnsi="仿宋" w:eastAsia="仿宋"/>
          <w:sz w:val="24"/>
          <w:szCs w:val="24"/>
        </w:rPr>
        <w:t>吸烟，发现</w:t>
      </w:r>
      <w:r>
        <w:rPr>
          <w:rFonts w:hint="eastAsia" w:ascii="仿宋" w:hAnsi="仿宋" w:eastAsia="仿宋"/>
          <w:sz w:val="24"/>
          <w:szCs w:val="24"/>
        </w:rPr>
        <w:t>在非吸烟区</w:t>
      </w:r>
      <w:r>
        <w:rPr>
          <w:rFonts w:ascii="仿宋" w:hAnsi="仿宋" w:eastAsia="仿宋"/>
          <w:sz w:val="24"/>
          <w:szCs w:val="24"/>
        </w:rPr>
        <w:t>吸烟现象，</w:t>
      </w:r>
      <w:r>
        <w:rPr>
          <w:rFonts w:hint="eastAsia" w:ascii="仿宋" w:hAnsi="仿宋" w:eastAsia="仿宋"/>
          <w:sz w:val="24"/>
          <w:szCs w:val="24"/>
        </w:rPr>
        <w:t>造成不良影响的，</w:t>
      </w:r>
      <w:r>
        <w:rPr>
          <w:rFonts w:ascii="仿宋" w:hAnsi="仿宋" w:eastAsia="仿宋"/>
          <w:sz w:val="24"/>
          <w:szCs w:val="24"/>
        </w:rPr>
        <w:t>第一次扣款 500 元，第二次扣款 2000 元，第三次及以上扣款 10000 元，扣款从当月的服务费中扣除。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（7）</w:t>
      </w:r>
      <w:r>
        <w:rPr>
          <w:rFonts w:ascii="仿宋" w:hAnsi="仿宋" w:eastAsia="仿宋"/>
          <w:sz w:val="24"/>
          <w:szCs w:val="24"/>
        </w:rPr>
        <w:t>物业公司每月固定时间（与签字单等资料提交时间一致）之前向医院</w:t>
      </w:r>
      <w:r>
        <w:rPr>
          <w:rFonts w:hint="eastAsia" w:ascii="仿宋" w:hAnsi="仿宋" w:eastAsia="仿宋"/>
          <w:sz w:val="24"/>
          <w:szCs w:val="24"/>
        </w:rPr>
        <w:t>物业管理科</w:t>
      </w:r>
      <w:r>
        <w:rPr>
          <w:rFonts w:ascii="仿宋" w:hAnsi="仿宋" w:eastAsia="仿宋"/>
          <w:sz w:val="24"/>
          <w:szCs w:val="24"/>
        </w:rPr>
        <w:t>报备次月值班表。</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（8）</w:t>
      </w:r>
      <w:r>
        <w:rPr>
          <w:rFonts w:ascii="仿宋" w:hAnsi="仿宋" w:eastAsia="仿宋"/>
          <w:sz w:val="24"/>
          <w:szCs w:val="24"/>
        </w:rPr>
        <w:t>标本打破、外溢造成医疗纠纷的，扣款 1000 元，扣款从当月的服务费中扣除，物业公司承担全部赔偿费用。物业公司当月考评扣 10 分。</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（9）</w:t>
      </w:r>
      <w:r>
        <w:rPr>
          <w:rFonts w:ascii="仿宋" w:hAnsi="仿宋" w:eastAsia="仿宋"/>
          <w:sz w:val="24"/>
          <w:szCs w:val="24"/>
        </w:rPr>
        <w:t>因运送不及时造成延误治疗的，扣款 1000 元，扣款从当月的服务费中扣除，物业公司承担全部赔偿费用。物业公司当月考评扣 10 分。</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（10）</w:t>
      </w:r>
      <w:r>
        <w:rPr>
          <w:rFonts w:ascii="仿宋" w:hAnsi="仿宋" w:eastAsia="仿宋"/>
          <w:sz w:val="24"/>
          <w:szCs w:val="24"/>
        </w:rPr>
        <w:t>运送医疗废弃物未按要求做防护，有拆包、未按鹅颈法扎紧等行为，扣款 2000元/次，扣款从当月的服务费中扣除。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（11）</w:t>
      </w:r>
      <w:r>
        <w:rPr>
          <w:rFonts w:ascii="仿宋" w:hAnsi="仿宋" w:eastAsia="仿宋"/>
          <w:sz w:val="24"/>
          <w:szCs w:val="24"/>
        </w:rPr>
        <w:t>一经发现贩卖、偷盗医疗废物，立即开除涉事人员，扣款 5000 元，扣款从当月的服务费中扣除，造成的损失由物业公司全部承担，涉事人员根据相关法律移交公安机关处理。物业公司当月考评扣 10 分。一经发现</w:t>
      </w:r>
      <w:r>
        <w:rPr>
          <w:rFonts w:hint="eastAsia" w:ascii="仿宋" w:hAnsi="仿宋" w:eastAsia="仿宋"/>
          <w:sz w:val="24"/>
          <w:szCs w:val="24"/>
        </w:rPr>
        <w:t>私自</w:t>
      </w:r>
      <w:r>
        <w:rPr>
          <w:rFonts w:ascii="仿宋" w:hAnsi="仿宋" w:eastAsia="仿宋"/>
          <w:sz w:val="24"/>
          <w:szCs w:val="24"/>
        </w:rPr>
        <w:t xml:space="preserve">收集生活废弃物，如一次性饭盒、废旧报纸、硬纸板、水果花篮等可回收物资，扣款 500 元，物业公司当月考评扣 </w:t>
      </w:r>
      <w:r>
        <w:rPr>
          <w:rFonts w:hint="eastAsia" w:ascii="仿宋" w:hAnsi="仿宋" w:eastAsia="仿宋"/>
          <w:sz w:val="24"/>
          <w:szCs w:val="24"/>
        </w:rPr>
        <w:t xml:space="preserve">2 </w:t>
      </w:r>
      <w:r>
        <w:rPr>
          <w:rFonts w:ascii="仿宋" w:hAnsi="仿宋" w:eastAsia="仿宋"/>
          <w:sz w:val="24"/>
          <w:szCs w:val="24"/>
        </w:rPr>
        <w:t>分，扣款从当月的服务费中扣除。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（12）</w:t>
      </w:r>
      <w:r>
        <w:rPr>
          <w:rFonts w:ascii="仿宋" w:hAnsi="仿宋" w:eastAsia="仿宋"/>
          <w:sz w:val="24"/>
          <w:szCs w:val="24"/>
        </w:rPr>
        <w:t>物业公司按照生活垃圾分类相关要求，配合回收单位分类回收。履行医院生活垃圾分类制度，并按照制度进行考核。日常发现一次违规行为，扣款100元，扣款从当月的服务费中扣除。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（13）</w:t>
      </w:r>
      <w:r>
        <w:rPr>
          <w:rFonts w:ascii="仿宋" w:hAnsi="仿宋" w:eastAsia="仿宋"/>
          <w:sz w:val="24"/>
          <w:szCs w:val="24"/>
        </w:rPr>
        <w:t>一经发现贩卖、偷盗医院物资，立即开除涉事人员，扣款 5000 元，从当月的服务费中扣除，涉事人员根据相关法律移交公安机关处理。物业公司当月考评扣 10 分。</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（14）</w:t>
      </w:r>
      <w:r>
        <w:rPr>
          <w:rFonts w:ascii="仿宋" w:hAnsi="仿宋" w:eastAsia="仿宋"/>
          <w:sz w:val="24"/>
          <w:szCs w:val="24"/>
        </w:rPr>
        <w:t>不允许在管道井内堆放物品，一经发现，扣款 500 元/处，扣款从当月的服务费中扣除。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（15）</w:t>
      </w:r>
      <w:r>
        <w:rPr>
          <w:rFonts w:ascii="仿宋" w:hAnsi="仿宋" w:eastAsia="仿宋"/>
          <w:sz w:val="24"/>
          <w:szCs w:val="24"/>
        </w:rPr>
        <w:t xml:space="preserve">一经发现私自对病人提供有偿服务，向病人索要、收受礼物及钱款，立即开除涉事员工，扣款 2000 元，扣款从当月的服务费中扣除。物业公司当月考评扣 </w:t>
      </w:r>
      <w:r>
        <w:rPr>
          <w:rFonts w:hint="eastAsia" w:ascii="仿宋" w:hAnsi="仿宋" w:eastAsia="仿宋"/>
          <w:sz w:val="24"/>
          <w:szCs w:val="24"/>
        </w:rPr>
        <w:t>10</w:t>
      </w:r>
      <w:r>
        <w:rPr>
          <w:rFonts w:ascii="仿宋" w:hAnsi="仿宋" w:eastAsia="仿宋"/>
          <w:sz w:val="24"/>
          <w:szCs w:val="24"/>
        </w:rPr>
        <w:t xml:space="preserve"> 分。</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（16）</w:t>
      </w:r>
      <w:r>
        <w:rPr>
          <w:rFonts w:ascii="仿宋" w:hAnsi="仿宋" w:eastAsia="仿宋"/>
          <w:sz w:val="24"/>
          <w:szCs w:val="24"/>
        </w:rPr>
        <w:t>对主管及经理进行考核，发生</w:t>
      </w:r>
      <w:r>
        <w:rPr>
          <w:rFonts w:hint="eastAsia" w:ascii="仿宋" w:hAnsi="仿宋" w:eastAsia="仿宋"/>
          <w:sz w:val="24"/>
          <w:szCs w:val="24"/>
        </w:rPr>
        <w:t>有效</w:t>
      </w:r>
      <w:r>
        <w:rPr>
          <w:rFonts w:ascii="仿宋" w:hAnsi="仿宋" w:eastAsia="仿宋"/>
          <w:sz w:val="24"/>
          <w:szCs w:val="24"/>
        </w:rPr>
        <w:t>投诉，</w:t>
      </w:r>
      <w:r>
        <w:rPr>
          <w:rFonts w:hint="eastAsia" w:ascii="仿宋" w:hAnsi="仿宋" w:eastAsia="仿宋"/>
          <w:sz w:val="24"/>
          <w:szCs w:val="24"/>
        </w:rPr>
        <w:t>或者经院方管理人员认定工作状态不佳，</w:t>
      </w:r>
      <w:r>
        <w:rPr>
          <w:rFonts w:ascii="仿宋" w:hAnsi="仿宋" w:eastAsia="仿宋"/>
          <w:sz w:val="24"/>
          <w:szCs w:val="24"/>
        </w:rPr>
        <w:t>主管扣款 500 元/次</w:t>
      </w:r>
      <w:r>
        <w:rPr>
          <w:rFonts w:hint="eastAsia" w:ascii="仿宋" w:hAnsi="仿宋" w:eastAsia="仿宋"/>
          <w:sz w:val="24"/>
          <w:szCs w:val="24"/>
        </w:rPr>
        <w:t>，</w:t>
      </w:r>
      <w:r>
        <w:rPr>
          <w:rFonts w:ascii="仿宋" w:hAnsi="仿宋" w:eastAsia="仿宋"/>
          <w:sz w:val="24"/>
          <w:szCs w:val="24"/>
        </w:rPr>
        <w:t>经理扣款 1000 元/次</w:t>
      </w:r>
      <w:r>
        <w:rPr>
          <w:rFonts w:hint="eastAsia" w:ascii="仿宋" w:hAnsi="仿宋" w:eastAsia="仿宋"/>
          <w:sz w:val="24"/>
          <w:szCs w:val="24"/>
        </w:rPr>
        <w:t>，</w:t>
      </w:r>
      <w:r>
        <w:rPr>
          <w:rFonts w:ascii="仿宋" w:hAnsi="仿宋" w:eastAsia="仿宋"/>
          <w:sz w:val="24"/>
          <w:szCs w:val="24"/>
        </w:rPr>
        <w:t>日常巡查未完成按照投诉处理。扣款从当月的服务费中扣除。合同期内超过3次投诉的主管或经理，</w:t>
      </w:r>
      <w:r>
        <w:rPr>
          <w:rFonts w:hint="eastAsia" w:ascii="仿宋" w:hAnsi="仿宋" w:eastAsia="仿宋"/>
          <w:sz w:val="24"/>
          <w:szCs w:val="24"/>
        </w:rPr>
        <w:t>招标人</w:t>
      </w:r>
      <w:r>
        <w:rPr>
          <w:rFonts w:ascii="仿宋" w:hAnsi="仿宋" w:eastAsia="仿宋"/>
          <w:sz w:val="24"/>
          <w:szCs w:val="24"/>
        </w:rPr>
        <w:t>有权要求更换人员。</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（17）物业公司管理人员服从物业管理科管理，如不服从管理，将视情节轻重扣罚1000—5000元，保洁公司保洁人员服从病房管理科，如不服从管理，将视情节轻重扣罚200—2000元。</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18）请销假相关事宜：物业公司人员请假需要上报物业管理科，请假期间公司需要及时安排机动人员做好相关工作，保持环境卫生质量，否则视为缺岗；管理人员不可两位及以上同时请假或休息（节假日值班除外），如超过3天者需保洁公司向物业管理科出具书面文件及派遣相应的管理人员到岗代理工作，否则算缺岗，一次性扣罚3000元；如果查岗期间发现恶意作弊的行为，将十倍按缺岗处罚，</w:t>
      </w:r>
      <w:r>
        <w:rPr>
          <w:rFonts w:ascii="仿宋" w:hAnsi="仿宋" w:eastAsia="仿宋"/>
          <w:sz w:val="24"/>
          <w:szCs w:val="24"/>
        </w:rPr>
        <w:t>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（19）夜班或节假日期间无物业公司管理人员值班扣5000元，有值班未行使监督职责扣500元，</w:t>
      </w:r>
      <w:r>
        <w:rPr>
          <w:rFonts w:ascii="仿宋" w:hAnsi="仿宋" w:eastAsia="仿宋"/>
          <w:sz w:val="24"/>
          <w:szCs w:val="24"/>
        </w:rPr>
        <w:t>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20）物业公司应每周至少1次（至少2个区域）组织经理和主管联合检查；主管每天现场指导监督保洁工人的保洁质量并做好记录；物业公司每月底将所有检查监督的记录资料交物业管理科审查。物业公司未上交检查结果扣5000元，</w:t>
      </w:r>
      <w:r>
        <w:rPr>
          <w:rFonts w:ascii="仿宋" w:hAnsi="仿宋" w:eastAsia="仿宋"/>
          <w:sz w:val="24"/>
          <w:szCs w:val="24"/>
        </w:rPr>
        <w:t>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（21）</w:t>
      </w:r>
      <w:r>
        <w:rPr>
          <w:rFonts w:ascii="仿宋" w:hAnsi="仿宋" w:eastAsia="仿宋"/>
          <w:sz w:val="24"/>
          <w:szCs w:val="24"/>
        </w:rPr>
        <w:t>特殊、重大、非常规性事件</w:t>
      </w:r>
      <w:r>
        <w:rPr>
          <w:rFonts w:hint="eastAsia" w:ascii="仿宋" w:hAnsi="仿宋" w:eastAsia="仿宋"/>
          <w:sz w:val="24"/>
          <w:szCs w:val="24"/>
        </w:rPr>
        <w:t>处置不力的，</w:t>
      </w:r>
      <w:r>
        <w:rPr>
          <w:rFonts w:ascii="仿宋" w:hAnsi="仿宋" w:eastAsia="仿宋"/>
          <w:sz w:val="24"/>
          <w:szCs w:val="24"/>
        </w:rPr>
        <w:t>可依据情节严重程度经</w:t>
      </w:r>
      <w:r>
        <w:rPr>
          <w:rFonts w:hint="eastAsia" w:ascii="仿宋" w:hAnsi="仿宋" w:eastAsia="仿宋"/>
          <w:sz w:val="24"/>
          <w:szCs w:val="24"/>
        </w:rPr>
        <w:t>招标人</w:t>
      </w:r>
      <w:r>
        <w:rPr>
          <w:rFonts w:ascii="仿宋" w:hAnsi="仿宋" w:eastAsia="仿宋"/>
          <w:sz w:val="24"/>
          <w:szCs w:val="24"/>
        </w:rPr>
        <w:t>评估后予以处理</w:t>
      </w:r>
      <w:r>
        <w:rPr>
          <w:rFonts w:hint="eastAsia" w:ascii="仿宋" w:hAnsi="仿宋" w:eastAsia="仿宋"/>
          <w:sz w:val="24"/>
          <w:szCs w:val="24"/>
        </w:rPr>
        <w:t>，将视情节轻重扣罚5000至10000元，</w:t>
      </w:r>
      <w:r>
        <w:rPr>
          <w:rFonts w:ascii="仿宋" w:hAnsi="仿宋" w:eastAsia="仿宋"/>
          <w:sz w:val="24"/>
          <w:szCs w:val="24"/>
        </w:rPr>
        <w:t>扣款从当月的服务费中扣除。</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（22）根据检查结果发放问题质量问题整改通知书，物业公司按甲方要求上交整改措施及效果，未按期整改并提交整改报告的，每次扣罚500元-5000元，扣款从当月的服务费中扣除。</w:t>
      </w:r>
    </w:p>
    <w:p>
      <w:pPr>
        <w:spacing w:line="360" w:lineRule="auto"/>
        <w:ind w:right="62" w:firstLine="480" w:firstLineChars="200"/>
        <w:rPr>
          <w:rFonts w:hint="eastAsia" w:ascii="楷体" w:hAnsi="楷体" w:eastAsia="楷体"/>
          <w:sz w:val="24"/>
          <w:szCs w:val="24"/>
        </w:rPr>
      </w:pPr>
      <w:r>
        <w:rPr>
          <w:rFonts w:hint="eastAsia" w:ascii="楷体" w:hAnsi="楷体" w:eastAsia="楷体"/>
          <w:sz w:val="24"/>
          <w:szCs w:val="24"/>
        </w:rPr>
        <w:t>2、</w:t>
      </w:r>
      <w:r>
        <w:rPr>
          <w:rFonts w:ascii="楷体" w:hAnsi="楷体" w:eastAsia="楷体"/>
          <w:sz w:val="24"/>
          <w:szCs w:val="24"/>
        </w:rPr>
        <w:t>月度考核</w:t>
      </w:r>
    </w:p>
    <w:p>
      <w:pPr>
        <w:spacing w:line="360" w:lineRule="auto"/>
        <w:ind w:right="62" w:firstLine="482" w:firstLineChars="200"/>
        <w:rPr>
          <w:rFonts w:hint="eastAsia" w:ascii="仿宋" w:hAnsi="仿宋" w:eastAsia="仿宋"/>
          <w:sz w:val="24"/>
          <w:szCs w:val="24"/>
        </w:rPr>
      </w:pPr>
      <w:r>
        <w:rPr>
          <w:rFonts w:hint="eastAsia" w:ascii="仿宋" w:hAnsi="仿宋" w:eastAsia="仿宋"/>
          <w:b/>
          <w:bCs/>
          <w:sz w:val="24"/>
          <w:szCs w:val="24"/>
        </w:rPr>
        <w:t>（1）</w:t>
      </w:r>
      <w:r>
        <w:rPr>
          <w:rFonts w:ascii="仿宋" w:hAnsi="仿宋" w:eastAsia="仿宋"/>
          <w:b/>
          <w:bCs/>
          <w:sz w:val="24"/>
          <w:szCs w:val="24"/>
        </w:rPr>
        <w:t>考核组成</w:t>
      </w:r>
      <w:r>
        <w:rPr>
          <w:rFonts w:ascii="仿宋" w:hAnsi="仿宋" w:eastAsia="仿宋"/>
          <w:sz w:val="24"/>
          <w:szCs w:val="24"/>
        </w:rPr>
        <w:t>：</w:t>
      </w:r>
    </w:p>
    <w:p>
      <w:pPr>
        <w:spacing w:line="360" w:lineRule="auto"/>
        <w:ind w:right="62" w:firstLine="480" w:firstLineChars="200"/>
        <w:rPr>
          <w:rFonts w:hint="eastAsia" w:ascii="仿宋" w:hAnsi="仿宋" w:eastAsia="仿宋"/>
          <w:sz w:val="24"/>
          <w:szCs w:val="24"/>
        </w:rPr>
      </w:pPr>
      <w:r>
        <w:rPr>
          <w:rFonts w:ascii="仿宋" w:hAnsi="仿宋" w:eastAsia="仿宋"/>
          <w:sz w:val="24"/>
          <w:szCs w:val="24"/>
        </w:rPr>
        <w:t>物业每月考核打分由三部分组成：考核组考核、</w:t>
      </w:r>
      <w:r>
        <w:rPr>
          <w:rFonts w:hint="eastAsia" w:ascii="仿宋" w:hAnsi="仿宋" w:eastAsia="仿宋"/>
          <w:sz w:val="24"/>
          <w:szCs w:val="24"/>
        </w:rPr>
        <w:t>用人</w:t>
      </w:r>
      <w:r>
        <w:rPr>
          <w:rFonts w:ascii="仿宋" w:hAnsi="仿宋" w:eastAsia="仿宋"/>
          <w:sz w:val="24"/>
          <w:szCs w:val="24"/>
        </w:rPr>
        <w:t>科室、</w:t>
      </w:r>
      <w:r>
        <w:rPr>
          <w:rFonts w:hint="eastAsia" w:ascii="仿宋" w:hAnsi="仿宋" w:eastAsia="仿宋"/>
          <w:sz w:val="24"/>
          <w:szCs w:val="24"/>
        </w:rPr>
        <w:t>物业管理科</w:t>
      </w:r>
      <w:r>
        <w:rPr>
          <w:rFonts w:ascii="仿宋" w:hAnsi="仿宋" w:eastAsia="仿宋"/>
          <w:sz w:val="24"/>
          <w:szCs w:val="24"/>
        </w:rPr>
        <w:t>。</w:t>
      </w:r>
    </w:p>
    <w:p>
      <w:pPr>
        <w:spacing w:line="360" w:lineRule="auto"/>
        <w:ind w:right="62" w:firstLine="480" w:firstLineChars="200"/>
        <w:rPr>
          <w:rFonts w:hint="eastAsia" w:ascii="仿宋" w:hAnsi="仿宋" w:eastAsia="仿宋"/>
          <w:sz w:val="24"/>
          <w:szCs w:val="24"/>
        </w:rPr>
      </w:pPr>
      <w:r>
        <w:rPr>
          <w:rFonts w:ascii="仿宋" w:hAnsi="仿宋" w:eastAsia="仿宋"/>
          <w:sz w:val="24"/>
          <w:szCs w:val="24"/>
        </w:rPr>
        <w:t>考核总分 100 分，分数比例为考核组</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用人</w:t>
      </w:r>
      <w:r>
        <w:rPr>
          <w:rFonts w:ascii="仿宋" w:hAnsi="仿宋" w:eastAsia="仿宋"/>
          <w:sz w:val="24"/>
          <w:szCs w:val="24"/>
        </w:rPr>
        <w:t>科室</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物业管理科4</w:t>
      </w:r>
      <w:r>
        <w:rPr>
          <w:rFonts w:ascii="仿宋" w:hAnsi="仿宋" w:eastAsia="仿宋"/>
          <w:sz w:val="24"/>
          <w:szCs w:val="24"/>
        </w:rPr>
        <w:t>0%。</w:t>
      </w:r>
    </w:p>
    <w:p>
      <w:pPr>
        <w:spacing w:line="360" w:lineRule="auto"/>
        <w:ind w:right="62" w:firstLine="480" w:firstLineChars="200"/>
        <w:rPr>
          <w:rFonts w:hint="eastAsia" w:ascii="仿宋" w:hAnsi="仿宋" w:eastAsia="仿宋"/>
          <w:sz w:val="24"/>
          <w:szCs w:val="24"/>
        </w:rPr>
      </w:pPr>
      <w:r>
        <w:rPr>
          <w:rFonts w:ascii="仿宋" w:hAnsi="仿宋" w:eastAsia="仿宋"/>
          <w:sz w:val="24"/>
          <w:szCs w:val="24"/>
        </w:rPr>
        <w:t>考核组组成：由</w:t>
      </w:r>
      <w:r>
        <w:rPr>
          <w:rFonts w:hint="eastAsia" w:ascii="仿宋" w:hAnsi="仿宋" w:eastAsia="仿宋"/>
          <w:sz w:val="24"/>
          <w:szCs w:val="24"/>
        </w:rPr>
        <w:t>后勤保障处</w:t>
      </w:r>
      <w:r>
        <w:rPr>
          <w:rFonts w:ascii="仿宋" w:hAnsi="仿宋" w:eastAsia="仿宋"/>
          <w:sz w:val="24"/>
          <w:szCs w:val="24"/>
        </w:rPr>
        <w:t>、</w:t>
      </w:r>
      <w:r>
        <w:rPr>
          <w:rFonts w:hint="eastAsia" w:ascii="仿宋" w:hAnsi="仿宋" w:eastAsia="仿宋"/>
          <w:sz w:val="24"/>
          <w:szCs w:val="24"/>
        </w:rPr>
        <w:t>门诊部</w:t>
      </w:r>
      <w:r>
        <w:rPr>
          <w:rFonts w:ascii="仿宋" w:hAnsi="仿宋" w:eastAsia="仿宋"/>
          <w:sz w:val="24"/>
          <w:szCs w:val="24"/>
        </w:rPr>
        <w:t>、护理部、</w:t>
      </w:r>
      <w:r>
        <w:rPr>
          <w:rFonts w:hint="eastAsia" w:ascii="仿宋" w:hAnsi="仿宋" w:eastAsia="仿宋"/>
          <w:sz w:val="24"/>
          <w:szCs w:val="24"/>
        </w:rPr>
        <w:t>感染管理处</w:t>
      </w:r>
      <w:r>
        <w:rPr>
          <w:rFonts w:ascii="仿宋" w:hAnsi="仿宋" w:eastAsia="仿宋"/>
          <w:sz w:val="24"/>
          <w:szCs w:val="24"/>
        </w:rPr>
        <w:t>等部门人员组成。</w:t>
      </w:r>
    </w:p>
    <w:p>
      <w:pPr>
        <w:spacing w:line="360" w:lineRule="auto"/>
        <w:ind w:right="62" w:firstLine="482" w:firstLineChars="200"/>
        <w:rPr>
          <w:rFonts w:hint="eastAsia" w:ascii="仿宋" w:hAnsi="仿宋" w:eastAsia="仿宋"/>
          <w:sz w:val="24"/>
          <w:szCs w:val="24"/>
        </w:rPr>
      </w:pPr>
      <w:r>
        <w:rPr>
          <w:rFonts w:hint="eastAsia" w:ascii="仿宋" w:hAnsi="仿宋" w:eastAsia="仿宋"/>
          <w:b/>
          <w:bCs/>
          <w:sz w:val="24"/>
          <w:szCs w:val="24"/>
        </w:rPr>
        <w:t>（2）</w:t>
      </w:r>
      <w:r>
        <w:rPr>
          <w:rFonts w:ascii="仿宋" w:hAnsi="仿宋" w:eastAsia="仿宋"/>
          <w:b/>
          <w:bCs/>
          <w:sz w:val="24"/>
          <w:szCs w:val="24"/>
        </w:rPr>
        <w:t>考核内容与标准</w:t>
      </w:r>
      <w:r>
        <w:rPr>
          <w:rFonts w:ascii="仿宋" w:hAnsi="仿宋" w:eastAsia="仿宋"/>
          <w:sz w:val="24"/>
          <w:szCs w:val="24"/>
        </w:rPr>
        <w:t>：</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考核小组：成员将进行不定时现场考核，评估物业服务的质量、效率与合规性。</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用人科室：通过医院每月网络发起的问卷调查，对物业服务进行满意度评价。</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物业管理科：通过每日现场检查，记录物业公司的服务情况与违规行为。根据10个评价维度表格，总分1000分，取平均分。</w:t>
      </w:r>
    </w:p>
    <w:p>
      <w:pPr>
        <w:spacing w:line="360" w:lineRule="auto"/>
        <w:ind w:right="62" w:firstLine="482" w:firstLineChars="200"/>
        <w:rPr>
          <w:rFonts w:hint="eastAsia" w:ascii="仿宋" w:hAnsi="仿宋" w:eastAsia="仿宋"/>
          <w:sz w:val="24"/>
          <w:szCs w:val="24"/>
        </w:rPr>
      </w:pPr>
      <w:r>
        <w:rPr>
          <w:rFonts w:hint="eastAsia" w:ascii="仿宋" w:hAnsi="仿宋" w:eastAsia="仿宋"/>
          <w:b/>
          <w:bCs/>
          <w:sz w:val="24"/>
          <w:szCs w:val="24"/>
        </w:rPr>
        <w:t>（3）</w:t>
      </w:r>
      <w:r>
        <w:rPr>
          <w:rFonts w:ascii="仿宋" w:hAnsi="仿宋" w:eastAsia="仿宋"/>
          <w:b/>
          <w:bCs/>
          <w:sz w:val="24"/>
          <w:szCs w:val="24"/>
        </w:rPr>
        <w:t>考核结果与应用</w:t>
      </w:r>
      <w:r>
        <w:rPr>
          <w:rFonts w:ascii="仿宋" w:hAnsi="仿宋" w:eastAsia="仿宋"/>
          <w:sz w:val="24"/>
          <w:szCs w:val="24"/>
        </w:rPr>
        <w:t>：</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1）考核总分数≥90分，不扣款。</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2）90分＞考核总分数≥85分，扣款3000元。</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3）85分＞考核总分数≥80分，扣款4000元。</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4）80分＞考核总分数≥60分，扣款10000元。</w:t>
      </w:r>
    </w:p>
    <w:p>
      <w:pPr>
        <w:spacing w:line="360" w:lineRule="auto"/>
        <w:ind w:right="62" w:firstLine="480" w:firstLineChars="200"/>
        <w:rPr>
          <w:rFonts w:hint="eastAsia" w:ascii="仿宋" w:hAnsi="仿宋" w:eastAsia="仿宋"/>
          <w:sz w:val="24"/>
          <w:szCs w:val="24"/>
        </w:rPr>
      </w:pPr>
      <w:r>
        <w:rPr>
          <w:rFonts w:hint="eastAsia" w:ascii="仿宋" w:hAnsi="仿宋" w:eastAsia="仿宋"/>
          <w:sz w:val="24"/>
          <w:szCs w:val="24"/>
        </w:rPr>
        <w:t>5）如考核总分数低于60分，扣款50000元，同时医院有权约谈物业公司责令整改。如连续两次低于60分，医院有权提前更换物业公司，并要求物业公司承担相应损失。</w:t>
      </w:r>
    </w:p>
    <w:p>
      <w:pPr>
        <w:spacing w:line="360" w:lineRule="auto"/>
        <w:ind w:right="62" w:firstLine="482" w:firstLineChars="200"/>
        <w:rPr>
          <w:rFonts w:hint="eastAsia" w:ascii="仿宋" w:hAnsi="仿宋" w:eastAsia="仿宋"/>
          <w:sz w:val="24"/>
          <w:szCs w:val="24"/>
        </w:rPr>
      </w:pPr>
      <w:r>
        <w:rPr>
          <w:rFonts w:hint="eastAsia" w:ascii="仿宋" w:hAnsi="仿宋" w:eastAsia="仿宋"/>
          <w:b/>
          <w:bCs/>
          <w:sz w:val="24"/>
          <w:szCs w:val="24"/>
        </w:rPr>
        <w:t>（五）</w:t>
      </w:r>
      <w:r>
        <w:rPr>
          <w:rFonts w:ascii="仿宋" w:hAnsi="仿宋" w:eastAsia="仿宋"/>
          <w:b/>
          <w:bCs/>
          <w:sz w:val="24"/>
          <w:szCs w:val="24"/>
        </w:rPr>
        <w:t>附则</w:t>
      </w:r>
    </w:p>
    <w:p>
      <w:pPr>
        <w:spacing w:line="360" w:lineRule="auto"/>
        <w:ind w:right="62" w:firstLine="480" w:firstLineChars="200"/>
        <w:rPr>
          <w:rFonts w:hint="eastAsia" w:ascii="仿宋" w:hAnsi="仿宋" w:eastAsia="仿宋"/>
          <w:sz w:val="24"/>
          <w:szCs w:val="24"/>
        </w:rPr>
      </w:pPr>
      <w:r>
        <w:rPr>
          <w:rFonts w:ascii="仿宋" w:hAnsi="仿宋" w:eastAsia="仿宋"/>
          <w:sz w:val="24"/>
          <w:szCs w:val="24"/>
        </w:rPr>
        <w:t>本办法自</w:t>
      </w:r>
      <w:r>
        <w:rPr>
          <w:rFonts w:hint="eastAsia" w:ascii="仿宋" w:hAnsi="仿宋" w:eastAsia="仿宋"/>
          <w:sz w:val="24"/>
          <w:szCs w:val="24"/>
        </w:rPr>
        <w:t>本项目中标之日</w:t>
      </w:r>
      <w:r>
        <w:rPr>
          <w:rFonts w:ascii="仿宋" w:hAnsi="仿宋" w:eastAsia="仿宋"/>
          <w:sz w:val="24"/>
          <w:szCs w:val="24"/>
        </w:rPr>
        <w:t>起实施，解释权归扬州大学附属医院</w:t>
      </w:r>
      <w:r>
        <w:rPr>
          <w:rFonts w:hint="eastAsia" w:ascii="仿宋" w:hAnsi="仿宋" w:eastAsia="仿宋"/>
          <w:sz w:val="24"/>
          <w:szCs w:val="24"/>
        </w:rPr>
        <w:t>后勤保障处</w:t>
      </w:r>
      <w:r>
        <w:rPr>
          <w:rFonts w:ascii="仿宋" w:hAnsi="仿宋" w:eastAsia="仿宋"/>
          <w:sz w:val="24"/>
          <w:szCs w:val="24"/>
        </w:rPr>
        <w:t>所有。</w:t>
      </w:r>
      <w:r>
        <w:rPr>
          <w:rFonts w:hint="eastAsia" w:ascii="仿宋" w:hAnsi="仿宋" w:eastAsia="仿宋"/>
          <w:sz w:val="24"/>
          <w:szCs w:val="24"/>
        </w:rPr>
        <w:t>本项目合同执行期间，</w:t>
      </w:r>
      <w:r>
        <w:rPr>
          <w:rFonts w:ascii="仿宋" w:hAnsi="仿宋" w:eastAsia="仿宋"/>
          <w:sz w:val="24"/>
          <w:szCs w:val="24"/>
        </w:rPr>
        <w:t>如有未尽事宜，</w:t>
      </w:r>
      <w:r>
        <w:rPr>
          <w:rFonts w:hint="eastAsia" w:ascii="仿宋" w:hAnsi="仿宋" w:eastAsia="仿宋"/>
          <w:sz w:val="24"/>
          <w:szCs w:val="24"/>
        </w:rPr>
        <w:t>医院</w:t>
      </w:r>
      <w:r>
        <w:rPr>
          <w:rFonts w:ascii="仿宋" w:hAnsi="仿宋" w:eastAsia="仿宋"/>
          <w:sz w:val="24"/>
          <w:szCs w:val="24"/>
        </w:rPr>
        <w:t>将根据实际情况进行补充和完善</w:t>
      </w:r>
      <w:r>
        <w:rPr>
          <w:rFonts w:hint="eastAsia" w:ascii="仿宋" w:hAnsi="仿宋" w:eastAsia="仿宋"/>
          <w:sz w:val="24"/>
          <w:szCs w:val="24"/>
        </w:rPr>
        <w:t>，并书面告知中标单位，中标单位不得拒绝该管理办法的修订</w:t>
      </w:r>
      <w:r>
        <w:rPr>
          <w:rFonts w:ascii="仿宋" w:hAnsi="仿宋" w:eastAsia="仿宋"/>
          <w:sz w:val="24"/>
          <w:szCs w:val="24"/>
        </w:rPr>
        <w:t>。</w:t>
      </w:r>
    </w:p>
    <w:p>
      <w:pPr>
        <w:pStyle w:val="15"/>
        <w:jc w:val="center"/>
      </w:pPr>
      <w:r>
        <w:rPr>
          <w:rFonts w:hint="eastAsia" w:ascii="宋体" w:hAnsi="宋体"/>
          <w:b/>
        </w:rPr>
        <w:t>附件1：物业工作质量检查表1（保洁）—100分</w:t>
      </w:r>
    </w:p>
    <w:tbl>
      <w:tblPr>
        <w:tblStyle w:val="30"/>
        <w:tblpPr w:leftFromText="180" w:rightFromText="180" w:vertAnchor="text" w:horzAnchor="page" w:tblpX="1267" w:tblpY="503"/>
        <w:tblOverlap w:val="never"/>
        <w:tblW w:w="10006" w:type="dxa"/>
        <w:tblInd w:w="0" w:type="dxa"/>
        <w:tblLayout w:type="fixed"/>
        <w:tblCellMar>
          <w:top w:w="0" w:type="dxa"/>
          <w:left w:w="108" w:type="dxa"/>
          <w:bottom w:w="0" w:type="dxa"/>
          <w:right w:w="108" w:type="dxa"/>
        </w:tblCellMar>
      </w:tblPr>
      <w:tblGrid>
        <w:gridCol w:w="1122"/>
        <w:gridCol w:w="7"/>
        <w:gridCol w:w="5529"/>
        <w:gridCol w:w="20"/>
        <w:gridCol w:w="660"/>
        <w:gridCol w:w="1842"/>
        <w:gridCol w:w="24"/>
        <w:gridCol w:w="796"/>
        <w:gridCol w:w="6"/>
      </w:tblGrid>
      <w:tr>
        <w:tblPrEx>
          <w:tblCellMar>
            <w:top w:w="0" w:type="dxa"/>
            <w:left w:w="108" w:type="dxa"/>
            <w:bottom w:w="0" w:type="dxa"/>
            <w:right w:w="108" w:type="dxa"/>
          </w:tblCellMar>
        </w:tblPrEx>
        <w:trPr>
          <w:trHeight w:val="20" w:hRule="atLeast"/>
        </w:trPr>
        <w:tc>
          <w:tcPr>
            <w:tcW w:w="112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w:t>
            </w: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考核内容</w:t>
            </w:r>
          </w:p>
        </w:tc>
        <w:tc>
          <w:tcPr>
            <w:tcW w:w="6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分值</w:t>
            </w:r>
          </w:p>
        </w:tc>
        <w:tc>
          <w:tcPr>
            <w:tcW w:w="1866"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每分金额</w:t>
            </w:r>
          </w:p>
        </w:tc>
        <w:tc>
          <w:tcPr>
            <w:tcW w:w="80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基本要求（10%）</w:t>
            </w:r>
          </w:p>
        </w:tc>
        <w:tc>
          <w:tcPr>
            <w:tcW w:w="5549"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2.1.1按要求着装，仪表端庄；文明用语，微笑服务，礼貌待人。</w:t>
            </w:r>
          </w:p>
        </w:tc>
        <w:tc>
          <w:tcPr>
            <w:tcW w:w="66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一人不符扣1分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2.1.2无有效投诉。</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有投诉扣5分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2.1.3熟悉本职工作中应知应会的知识。</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不知晓扣2分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restart"/>
            <w:tcBorders>
              <w:top w:val="single" w:color="auto" w:sz="4" w:space="0"/>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行为规范 （10%）</w:t>
            </w: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2.2.1认真执行岗位职责，严格遵守公司规章制度、操作常规及流程。</w:t>
            </w:r>
          </w:p>
        </w:tc>
        <w:tc>
          <w:tcPr>
            <w:tcW w:w="66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2.2.2不迟到不早退，不串岗、不脱（离</w:t>
            </w:r>
            <w:r>
              <w:rPr>
                <w:rFonts w:ascii="仿宋_GB2312" w:hAnsi="宋体" w:eastAsia="仿宋_GB2312" w:cs="宋体"/>
                <w:kern w:val="0"/>
                <w:sz w:val="24"/>
                <w:szCs w:val="24"/>
              </w:rPr>
              <w:t>）</w:t>
            </w:r>
            <w:r>
              <w:rPr>
                <w:rFonts w:hint="eastAsia" w:ascii="仿宋_GB2312" w:hAnsi="宋体" w:eastAsia="仿宋_GB2312" w:cs="宋体"/>
                <w:kern w:val="0"/>
                <w:sz w:val="24"/>
                <w:szCs w:val="24"/>
              </w:rPr>
              <w:t>岗，不干私活。</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一人不符扣1分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2.2.3上班不玩手机，不扎堆聊天，不吃零食。</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一人不符扣1分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2.2.4清洁时做到三轻（走路轻、说话轻、动作轻）。</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2.2.5不得参与医疗活动、医疗技术工作。</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2.2.6爱护公物、节约能源。服从医务人员管理，主动报修。</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2.2.7不得窃取医院财务，私用医疗器械、药品、敷料。</w:t>
            </w:r>
          </w:p>
        </w:tc>
        <w:tc>
          <w:tcPr>
            <w:tcW w:w="66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一项不符扣3分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restart"/>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工具分类使用规范（15%）</w:t>
            </w: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2.3.1保洁工具齐全、标识齐全、摆放符合要求。</w:t>
            </w:r>
          </w:p>
        </w:tc>
        <w:tc>
          <w:tcPr>
            <w:tcW w:w="66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2.3.2拖把、抹布颜色区分使用，按规范做好预处理后集中送洗消毒。</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2.3.3桶按标识分类使用。</w:t>
            </w:r>
          </w:p>
        </w:tc>
        <w:tc>
          <w:tcPr>
            <w:tcW w:w="66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2.2.4机械化保洁设备完好，清洁备用。</w:t>
            </w:r>
          </w:p>
        </w:tc>
        <w:tc>
          <w:tcPr>
            <w:tcW w:w="66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6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bookmarkStart w:id="8" w:name="OLE_LINK12" w:colFirst="1" w:colLast="1"/>
          </w:p>
          <w:p>
            <w:pPr>
              <w:widowControl/>
              <w:jc w:val="center"/>
              <w:rPr>
                <w:rFonts w:ascii="仿宋_GB2312" w:hAnsi="宋体" w:eastAsia="仿宋_GB2312" w:cs="宋体"/>
                <w:b/>
                <w:bCs/>
                <w:kern w:val="0"/>
                <w:sz w:val="24"/>
                <w:szCs w:val="24"/>
              </w:rPr>
            </w:pPr>
          </w:p>
          <w:p>
            <w:pPr>
              <w:widowControl/>
              <w:jc w:val="center"/>
              <w:rPr>
                <w:rFonts w:ascii="仿宋_GB2312" w:hAnsi="宋体" w:eastAsia="仿宋_GB2312" w:cs="宋体"/>
                <w:b/>
                <w:bCs/>
                <w:kern w:val="0"/>
                <w:sz w:val="24"/>
                <w:szCs w:val="24"/>
              </w:rPr>
            </w:pPr>
          </w:p>
          <w:p>
            <w:pPr>
              <w:widowControl/>
              <w:jc w:val="center"/>
              <w:rPr>
                <w:rFonts w:ascii="仿宋_GB2312" w:hAnsi="宋体" w:eastAsia="仿宋_GB2312" w:cs="宋体"/>
                <w:b/>
                <w:bCs/>
                <w:kern w:val="0"/>
                <w:sz w:val="24"/>
                <w:szCs w:val="24"/>
              </w:rPr>
            </w:pPr>
          </w:p>
          <w:p>
            <w:pPr>
              <w:widowControl/>
              <w:jc w:val="center"/>
              <w:rPr>
                <w:rFonts w:ascii="仿宋_GB2312" w:hAnsi="宋体" w:eastAsia="仿宋_GB2312" w:cs="宋体"/>
                <w:b/>
                <w:bCs/>
                <w:kern w:val="0"/>
                <w:sz w:val="24"/>
                <w:szCs w:val="24"/>
              </w:rPr>
            </w:pPr>
          </w:p>
          <w:p>
            <w:pPr>
              <w:widowControl/>
              <w:jc w:val="center"/>
              <w:rPr>
                <w:rFonts w:ascii="仿宋_GB2312" w:hAnsi="宋体" w:eastAsia="仿宋_GB2312" w:cs="宋体"/>
                <w:b/>
                <w:bCs/>
                <w:kern w:val="0"/>
                <w:sz w:val="24"/>
                <w:szCs w:val="24"/>
              </w:rPr>
            </w:pPr>
          </w:p>
          <w:p>
            <w:pPr>
              <w:widowControl/>
              <w:jc w:val="center"/>
              <w:rPr>
                <w:rFonts w:ascii="仿宋_GB2312" w:hAnsi="宋体" w:eastAsia="仿宋_GB2312" w:cs="宋体"/>
                <w:b/>
                <w:bCs/>
                <w:kern w:val="0"/>
                <w:sz w:val="24"/>
                <w:szCs w:val="24"/>
              </w:rPr>
            </w:pPr>
          </w:p>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保洁工作质量（65%）</w:t>
            </w: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2.4.1</w:t>
            </w:r>
            <w:bookmarkStart w:id="9" w:name="OLE_LINK11"/>
            <w:r>
              <w:rPr>
                <w:rFonts w:hint="eastAsia" w:ascii="仿宋_GB2312" w:hAnsi="宋体" w:eastAsia="仿宋_GB2312" w:cs="宋体"/>
                <w:kern w:val="0"/>
                <w:sz w:val="24"/>
                <w:szCs w:val="24"/>
              </w:rPr>
              <w:t>天花板、风口、墙面、墙角、设备带、灯饰等</w:t>
            </w:r>
            <w:bookmarkStart w:id="10" w:name="OLE_LINK10"/>
            <w:r>
              <w:rPr>
                <w:rFonts w:hint="eastAsia" w:ascii="仿宋_GB2312" w:hAnsi="宋体" w:eastAsia="仿宋_GB2312" w:cs="宋体"/>
                <w:kern w:val="0"/>
                <w:sz w:val="24"/>
                <w:szCs w:val="24"/>
              </w:rPr>
              <w:t>无灰尘、无蜘蛛网。</w:t>
            </w:r>
            <w:bookmarkEnd w:id="9"/>
            <w:bookmarkEnd w:id="10"/>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2.4.2室内地面无垃圾杂物，每天保持湿拖不少于两次。</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2.4.3微波炉、配餐间规范使用，每天送水到床头不少于两次。</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2.4.4玻璃、不锈钢光亮无污渍、无痕印。</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2.4.5严格执行卫生清洁操作规程，保持地面清洁干燥，湿拖地面时要放置警示标识，防止跌倒等意外发生。</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采取防滑倒未及时到位扣2分；如发生跌倒扣10分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2.4.6消毒液规范配置使用。保持桶内外清洁。</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2.4.7床单元终末处理合格。</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2.4.8设施损坏及时报修，注意节约，及时关灯关水。</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2.4.9卫生间淋浴房保持地面无垃圾、无积水、无堵塞、无气味；玻璃镜面无污渍、手印、水渍、垃圾满3/4及时倾倒；洗手台盆无污渍。</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bookmarkEnd w:id="8"/>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2.4.10医疗、生活废物规范处置，桶、袋不漏不溢，日产日清；按照垃圾分类要求分类正确投放，满3/4有效扎口,按规范要求使用垃圾袋。</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2.4.10与洗衣房人员严格清点织物等物资，脏被服禁止乱扔乱放。</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9"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549"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2.4.11辅助用房卫生保洁符合要求，无杂物堆放。</w:t>
            </w:r>
          </w:p>
        </w:tc>
        <w:tc>
          <w:tcPr>
            <w:tcW w:w="66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8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一处不符扣1分</w:t>
            </w:r>
          </w:p>
        </w:tc>
        <w:tc>
          <w:tcPr>
            <w:tcW w:w="802"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trPr>
        <w:tc>
          <w:tcPr>
            <w:tcW w:w="1122" w:type="dxa"/>
            <w:noWrap/>
            <w:vAlign w:val="center"/>
          </w:tcPr>
          <w:p>
            <w:pPr>
              <w:widowControl/>
              <w:spacing w:line="240" w:lineRule="exact"/>
              <w:jc w:val="left"/>
              <w:rPr>
                <w:rFonts w:ascii="仿宋_GB2312" w:hAnsi="宋体" w:eastAsia="仿宋_GB2312" w:cs="宋体"/>
                <w:b/>
                <w:bCs/>
                <w:color w:val="000000"/>
                <w:kern w:val="0"/>
              </w:rPr>
            </w:pPr>
            <w:r>
              <w:rPr>
                <w:rFonts w:hint="eastAsia" w:ascii="仿宋_GB2312" w:hAnsi="宋体" w:eastAsia="仿宋_GB2312" w:cs="宋体"/>
                <w:b/>
                <w:bCs/>
                <w:color w:val="000000"/>
                <w:kern w:val="0"/>
              </w:rPr>
              <w:t>总分值</w:t>
            </w:r>
          </w:p>
        </w:tc>
        <w:tc>
          <w:tcPr>
            <w:tcW w:w="5536" w:type="dxa"/>
            <w:gridSpan w:val="2"/>
            <w:noWrap/>
          </w:tcPr>
          <w:p>
            <w:pPr>
              <w:widowControl/>
              <w:spacing w:line="240" w:lineRule="exact"/>
              <w:jc w:val="left"/>
              <w:rPr>
                <w:rFonts w:ascii="仿宋_GB2312" w:hAnsi="宋体" w:eastAsia="仿宋_GB2312" w:cs="宋体"/>
                <w:color w:val="000000"/>
                <w:kern w:val="0"/>
              </w:rPr>
            </w:pPr>
          </w:p>
        </w:tc>
        <w:tc>
          <w:tcPr>
            <w:tcW w:w="680" w:type="dxa"/>
            <w:gridSpan w:val="2"/>
            <w:noWrap/>
          </w:tcPr>
          <w:p>
            <w:pPr>
              <w:widowControl/>
              <w:spacing w:line="240" w:lineRule="exact"/>
              <w:jc w:val="left"/>
              <w:rPr>
                <w:rFonts w:ascii="仿宋_GB2312" w:hAnsi="宋体" w:eastAsia="仿宋_GB2312" w:cs="宋体"/>
                <w:color w:val="000000"/>
                <w:kern w:val="0"/>
              </w:rPr>
            </w:pPr>
          </w:p>
        </w:tc>
        <w:tc>
          <w:tcPr>
            <w:tcW w:w="1842" w:type="dxa"/>
            <w:noWrap/>
          </w:tcPr>
          <w:p>
            <w:pPr>
              <w:widowControl/>
              <w:spacing w:line="240" w:lineRule="exact"/>
              <w:jc w:val="left"/>
              <w:rPr>
                <w:rFonts w:ascii="仿宋_GB2312" w:hAnsi="宋体" w:eastAsia="仿宋_GB2312" w:cs="宋体"/>
                <w:color w:val="000000"/>
                <w:kern w:val="0"/>
              </w:rPr>
            </w:pPr>
          </w:p>
        </w:tc>
        <w:tc>
          <w:tcPr>
            <w:tcW w:w="820" w:type="dxa"/>
            <w:gridSpan w:val="2"/>
            <w:noWrap/>
          </w:tcPr>
          <w:p>
            <w:pPr>
              <w:widowControl/>
              <w:spacing w:line="240" w:lineRule="exact"/>
              <w:jc w:val="left"/>
              <w:rPr>
                <w:rFonts w:ascii="仿宋_GB2312" w:hAnsi="宋体" w:eastAsia="仿宋_GB2312" w:cs="宋体"/>
                <w:color w:val="000000"/>
                <w:kern w:val="0"/>
              </w:rPr>
            </w:pPr>
          </w:p>
          <w:p>
            <w:pPr>
              <w:widowControl/>
              <w:spacing w:line="240" w:lineRule="exact"/>
              <w:jc w:val="left"/>
              <w:rPr>
                <w:rFonts w:ascii="仿宋_GB2312" w:hAnsi="宋体" w:eastAsia="仿宋_GB2312" w:cs="宋体"/>
                <w:color w:val="000000"/>
                <w:kern w:val="0"/>
              </w:rPr>
            </w:pPr>
          </w:p>
          <w:p>
            <w:pPr>
              <w:widowControl/>
              <w:spacing w:line="240" w:lineRule="exact"/>
              <w:jc w:val="left"/>
              <w:rPr>
                <w:rFonts w:ascii="仿宋_GB2312" w:hAnsi="宋体" w:eastAsia="仿宋_GB2312" w:cs="宋体"/>
                <w:color w:val="000000"/>
                <w:kern w:val="0"/>
              </w:rPr>
            </w:pPr>
          </w:p>
        </w:tc>
      </w:tr>
    </w:tbl>
    <w:p>
      <w:pPr>
        <w:tabs>
          <w:tab w:val="left" w:pos="360"/>
          <w:tab w:val="left" w:pos="4320"/>
        </w:tabs>
        <w:adjustRightInd w:val="0"/>
        <w:snapToGrid w:val="0"/>
        <w:spacing w:line="440" w:lineRule="exact"/>
        <w:ind w:firstLine="281" w:firstLineChars="100"/>
        <w:jc w:val="center"/>
        <w:rPr>
          <w:rFonts w:hint="eastAsia" w:ascii="宋体" w:hAnsi="宋体"/>
          <w:b/>
          <w:sz w:val="28"/>
          <w:szCs w:val="28"/>
        </w:rPr>
      </w:pPr>
    </w:p>
    <w:p>
      <w:pPr>
        <w:tabs>
          <w:tab w:val="left" w:pos="360"/>
          <w:tab w:val="left" w:pos="4320"/>
        </w:tabs>
        <w:adjustRightInd w:val="0"/>
        <w:snapToGrid w:val="0"/>
        <w:spacing w:line="440" w:lineRule="exact"/>
        <w:jc w:val="center"/>
      </w:pPr>
      <w:r>
        <w:rPr>
          <w:rFonts w:hint="eastAsia" w:ascii="宋体" w:hAnsi="宋体"/>
          <w:b/>
          <w:sz w:val="28"/>
          <w:szCs w:val="28"/>
        </w:rPr>
        <w:t>附件2：物业工作质量检查表2外环、医废（保洁）—100分</w:t>
      </w:r>
    </w:p>
    <w:tbl>
      <w:tblPr>
        <w:tblStyle w:val="30"/>
        <w:tblpPr w:leftFromText="180" w:rightFromText="180" w:vertAnchor="text" w:horzAnchor="page" w:tblpX="1242" w:tblpY="302"/>
        <w:tblOverlap w:val="never"/>
        <w:tblW w:w="9741" w:type="dxa"/>
        <w:tblInd w:w="0" w:type="dxa"/>
        <w:tblLayout w:type="fixed"/>
        <w:tblCellMar>
          <w:top w:w="0" w:type="dxa"/>
          <w:left w:w="108" w:type="dxa"/>
          <w:bottom w:w="0" w:type="dxa"/>
          <w:right w:w="108" w:type="dxa"/>
        </w:tblCellMar>
      </w:tblPr>
      <w:tblGrid>
        <w:gridCol w:w="1165"/>
        <w:gridCol w:w="6099"/>
        <w:gridCol w:w="843"/>
        <w:gridCol w:w="1634"/>
      </w:tblGrid>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w:t>
            </w: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考核内容</w:t>
            </w:r>
          </w:p>
        </w:tc>
        <w:tc>
          <w:tcPr>
            <w:tcW w:w="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分值</w:t>
            </w:r>
          </w:p>
        </w:tc>
        <w:tc>
          <w:tcPr>
            <w:tcW w:w="163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每分金额</w:t>
            </w:r>
          </w:p>
        </w:tc>
      </w:tr>
      <w:tr>
        <w:tblPrEx>
          <w:tblCellMar>
            <w:top w:w="0" w:type="dxa"/>
            <w:left w:w="108" w:type="dxa"/>
            <w:bottom w:w="0" w:type="dxa"/>
            <w:right w:w="108" w:type="dxa"/>
          </w:tblCellMar>
        </w:tblPrEx>
        <w:trPr>
          <w:trHeight w:val="340" w:hRule="atLeast"/>
        </w:trPr>
        <w:tc>
          <w:tcPr>
            <w:tcW w:w="1165"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基本要求（10%）</w:t>
            </w: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3.1.1外环保洁员、垃圾清运员、PA工着装规范，在岗在位，禁止酒后上班，行为规范。</w:t>
            </w:r>
          </w:p>
        </w:tc>
        <w:tc>
          <w:tcPr>
            <w:tcW w:w="843" w:type="dxa"/>
            <w:vMerge w:val="restart"/>
            <w:tcBorders>
              <w:top w:val="nil"/>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一人不符扣2分</w:t>
            </w:r>
          </w:p>
        </w:tc>
      </w:tr>
      <w:tr>
        <w:tblPrEx>
          <w:tblCellMar>
            <w:top w:w="0" w:type="dxa"/>
            <w:left w:w="108" w:type="dxa"/>
            <w:bottom w:w="0" w:type="dxa"/>
            <w:right w:w="108" w:type="dxa"/>
          </w:tblCellMar>
        </w:tblPrEx>
        <w:trPr>
          <w:trHeight w:val="340" w:hRule="atLeast"/>
        </w:trPr>
        <w:tc>
          <w:tcPr>
            <w:tcW w:w="1165"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3.1.2服务态度好，无迟到、早退，操作规范。</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一人不符扣2分</w:t>
            </w:r>
          </w:p>
        </w:tc>
      </w:tr>
      <w:tr>
        <w:tblPrEx>
          <w:tblCellMar>
            <w:top w:w="0" w:type="dxa"/>
            <w:left w:w="108" w:type="dxa"/>
            <w:bottom w:w="0" w:type="dxa"/>
            <w:right w:w="108" w:type="dxa"/>
          </w:tblCellMar>
        </w:tblPrEx>
        <w:trPr>
          <w:trHeight w:val="340" w:hRule="atLeast"/>
        </w:trPr>
        <w:tc>
          <w:tcPr>
            <w:tcW w:w="1165"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3.1.4服从医务人员管理，主动报修。</w:t>
            </w:r>
          </w:p>
        </w:tc>
        <w:tc>
          <w:tcPr>
            <w:tcW w:w="843" w:type="dxa"/>
            <w:vMerge w:val="continue"/>
            <w:tcBorders>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一人不符扣2分</w:t>
            </w:r>
          </w:p>
        </w:tc>
      </w:tr>
      <w:tr>
        <w:tblPrEx>
          <w:tblCellMar>
            <w:top w:w="0" w:type="dxa"/>
            <w:left w:w="108" w:type="dxa"/>
            <w:bottom w:w="0" w:type="dxa"/>
            <w:right w:w="108" w:type="dxa"/>
          </w:tblCellMar>
        </w:tblPrEx>
        <w:trPr>
          <w:trHeight w:val="340" w:hRule="atLeast"/>
        </w:trPr>
        <w:tc>
          <w:tcPr>
            <w:tcW w:w="1165" w:type="dxa"/>
            <w:vMerge w:val="restart"/>
            <w:tcBorders>
              <w:top w:val="nil"/>
              <w:left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外环工作质量（40%）</w:t>
            </w:r>
          </w:p>
        </w:tc>
        <w:tc>
          <w:tcPr>
            <w:tcW w:w="6099" w:type="dxa"/>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3.2.11、路面、广场、地下车库清洗保洁及时，无积垢、积水、痰渍、口香糖、污物、纸屑、烟头、落叶等（每十平方米不超过2处）</w:t>
            </w:r>
          </w:p>
        </w:tc>
        <w:tc>
          <w:tcPr>
            <w:tcW w:w="843" w:type="dxa"/>
            <w:vMerge w:val="restart"/>
            <w:tcBorders>
              <w:top w:val="nil"/>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3.2.2户外的灯箱、宣传栏、路标等公共设施清洁光亮，无积灰、蜘蛛网等。</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3.2.3垃圾处理做到桶、袋不漏不溢，分类袋装，分类处理，日产日清。</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3.2.4平台、平屋顶清洁、天沟、明沟通畅。无杂物、烟头、污渍等。</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3.2.5雨棚、避风阁清洁无杂物，外窗玻璃（三米高一下）门帘清洁无污垢。</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3.2.6绿化花池花台花圃、草坪、路边绿化带清洁，无杂物、烟头纸屑、白色污物等。</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3.2.7坡道、踏步及易滑路面遇到有雨雪天气或非正常情况时，有提醒标识、防滑、防冻等措施到位。</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3.2.8当发现公共设施遭受自然或人为损坏时，能及时向上反映情况、及时报修；对人为破坏及时阻止。</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3.2.9做好劝阻吸烟工作，有袖章佩戴、能自动劝阻吸烟。</w:t>
            </w:r>
          </w:p>
        </w:tc>
        <w:tc>
          <w:tcPr>
            <w:tcW w:w="843" w:type="dxa"/>
            <w:vMerge w:val="continue"/>
            <w:tcBorders>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vMerge w:val="restart"/>
            <w:tcBorders>
              <w:top w:val="nil"/>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医疗废物管理质量（40%）</w:t>
            </w: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3.3.1垃圾运输员掌握自身防护，戴帽子、口罩、手套、防护围裙等，每日清洗；严格执行医疗废物管理相关制度及消毒隔离措施。定期培训，考核合格。</w:t>
            </w:r>
          </w:p>
        </w:tc>
        <w:tc>
          <w:tcPr>
            <w:tcW w:w="843" w:type="dxa"/>
            <w:vMerge w:val="restart"/>
            <w:tcBorders>
              <w:top w:val="nil"/>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3.3.2掌握医疗废物泄漏的应急预案，定期演练。</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3.3.3与临床科室按规范交接，登记项目、重量，签名。</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交接不规范扣2分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3.3.4专用封闭车进行转运，如有垃圾袋漏必须重新补套袋，禁止出现医疗废物外露、现象。</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3.3.5收集医疗废物车不允许停留在配餐间、开水房内，在走廊停留时间短，做到快收快走，减少污染机会。行走路径符合院感要求。</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3.3.6医疗废物至垃圾房后，规范装箱，按要求与指定的医疗废物处理服务公司交接，规范记录。</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3.3.7医疗废物、生活垃圾处理场地存放规范整洁，清理及时。无杂物，蚊蝇等，每日紫外线消毒两次， 每次半小时，有记录，消毒液刷洗地面和转运车每日两次。</w:t>
            </w:r>
          </w:p>
        </w:tc>
        <w:tc>
          <w:tcPr>
            <w:tcW w:w="843" w:type="dxa"/>
            <w:vMerge w:val="continue"/>
            <w:tcBorders>
              <w:left w:val="nil"/>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vMerge w:val="continue"/>
            <w:tcBorders>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3.3.8医疗废物处置无违规行为，禁止出现医疗废物流出现象。</w:t>
            </w:r>
          </w:p>
        </w:tc>
        <w:tc>
          <w:tcPr>
            <w:tcW w:w="843" w:type="dxa"/>
            <w:vMerge w:val="continue"/>
            <w:tcBorders>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340" w:hRule="atLeast"/>
        </w:trPr>
        <w:tc>
          <w:tcPr>
            <w:tcW w:w="1165" w:type="dxa"/>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太平间管理（10%）</w:t>
            </w:r>
          </w:p>
        </w:tc>
        <w:tc>
          <w:tcPr>
            <w:tcW w:w="609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1、太平房工作正常，收集运送标本、运送尸体、死婴送火化等操作规范，按规范登记冰箱温度。做好消毒工作。</w:t>
            </w:r>
          </w:p>
        </w:tc>
        <w:tc>
          <w:tcPr>
            <w:tcW w:w="84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634"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总分值</w:t>
            </w:r>
          </w:p>
        </w:tc>
        <w:tc>
          <w:tcPr>
            <w:tcW w:w="60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p>
        </w:tc>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24"/>
                <w:szCs w:val="24"/>
              </w:rPr>
            </w:pPr>
          </w:p>
        </w:tc>
        <w:tc>
          <w:tcPr>
            <w:tcW w:w="16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24"/>
                <w:szCs w:val="24"/>
              </w:rPr>
            </w:pPr>
          </w:p>
        </w:tc>
      </w:tr>
    </w:tbl>
    <w:p>
      <w:pPr>
        <w:tabs>
          <w:tab w:val="left" w:pos="360"/>
          <w:tab w:val="left" w:pos="4320"/>
        </w:tabs>
        <w:adjustRightInd w:val="0"/>
        <w:snapToGrid w:val="0"/>
        <w:spacing w:line="440" w:lineRule="exact"/>
        <w:rPr>
          <w:rFonts w:hint="eastAsia" w:ascii="宋体" w:hAnsi="宋体"/>
          <w:b/>
          <w:sz w:val="28"/>
          <w:szCs w:val="28"/>
        </w:rPr>
      </w:pPr>
    </w:p>
    <w:p>
      <w:pPr>
        <w:tabs>
          <w:tab w:val="left" w:pos="360"/>
          <w:tab w:val="left" w:pos="4320"/>
        </w:tabs>
        <w:adjustRightInd w:val="0"/>
        <w:snapToGrid w:val="0"/>
        <w:spacing w:line="440" w:lineRule="exact"/>
        <w:jc w:val="center"/>
      </w:pPr>
      <w:r>
        <w:rPr>
          <w:rFonts w:hint="eastAsia" w:ascii="宋体" w:hAnsi="宋体"/>
          <w:b/>
          <w:sz w:val="28"/>
          <w:szCs w:val="28"/>
        </w:rPr>
        <w:t>附件3：物业工作质量检查表3（运送）—100分</w:t>
      </w:r>
    </w:p>
    <w:tbl>
      <w:tblPr>
        <w:tblStyle w:val="30"/>
        <w:tblpPr w:leftFromText="180" w:rightFromText="180" w:vertAnchor="text" w:horzAnchor="page" w:tblpX="1242" w:tblpY="302"/>
        <w:tblOverlap w:val="never"/>
        <w:tblW w:w="9350" w:type="dxa"/>
        <w:tblInd w:w="0" w:type="dxa"/>
        <w:tblLayout w:type="fixed"/>
        <w:tblCellMar>
          <w:top w:w="0" w:type="dxa"/>
          <w:left w:w="108" w:type="dxa"/>
          <w:bottom w:w="0" w:type="dxa"/>
          <w:right w:w="108" w:type="dxa"/>
        </w:tblCellMar>
      </w:tblPr>
      <w:tblGrid>
        <w:gridCol w:w="1120"/>
        <w:gridCol w:w="5650"/>
        <w:gridCol w:w="730"/>
        <w:gridCol w:w="1850"/>
      </w:tblGrid>
      <w:tr>
        <w:tblPrEx>
          <w:tblCellMar>
            <w:top w:w="0" w:type="dxa"/>
            <w:left w:w="108" w:type="dxa"/>
            <w:bottom w:w="0" w:type="dxa"/>
            <w:right w:w="108" w:type="dxa"/>
          </w:tblCellMar>
        </w:tblPrEx>
        <w:trPr>
          <w:trHeight w:val="20" w:hRule="atLeast"/>
        </w:trPr>
        <w:tc>
          <w:tcPr>
            <w:tcW w:w="11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w:t>
            </w:r>
          </w:p>
        </w:tc>
        <w:tc>
          <w:tcPr>
            <w:tcW w:w="56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考核内容</w:t>
            </w:r>
          </w:p>
        </w:tc>
        <w:tc>
          <w:tcPr>
            <w:tcW w:w="73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分值</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每分金额</w:t>
            </w:r>
          </w:p>
        </w:tc>
      </w:tr>
      <w:tr>
        <w:tblPrEx>
          <w:tblCellMar>
            <w:top w:w="0" w:type="dxa"/>
            <w:left w:w="108" w:type="dxa"/>
            <w:bottom w:w="0" w:type="dxa"/>
            <w:right w:w="108" w:type="dxa"/>
          </w:tblCellMar>
        </w:tblPrEx>
        <w:trPr>
          <w:trHeight w:val="20" w:hRule="atLeast"/>
        </w:trPr>
        <w:tc>
          <w:tcPr>
            <w:tcW w:w="11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基本要求（10%）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4.1.1按要求着装，仪表端庄；文明用语，微笑服务，礼貌待人。</w:t>
            </w:r>
          </w:p>
        </w:tc>
        <w:tc>
          <w:tcPr>
            <w:tcW w:w="730" w:type="dxa"/>
            <w:vMerge w:val="restart"/>
            <w:tcBorders>
              <w:top w:val="nil"/>
              <w:left w:val="nil"/>
              <w:right w:val="single" w:color="auto" w:sz="4" w:space="0"/>
            </w:tcBorders>
            <w:noWrap/>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10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一人不符扣1分</w:t>
            </w:r>
          </w:p>
        </w:tc>
      </w:tr>
      <w:tr>
        <w:tblPrEx>
          <w:tblCellMar>
            <w:top w:w="0" w:type="dxa"/>
            <w:left w:w="108" w:type="dxa"/>
            <w:bottom w:w="0" w:type="dxa"/>
            <w:right w:w="108" w:type="dxa"/>
          </w:tblCellMar>
        </w:tblPrEx>
        <w:trPr>
          <w:trHeight w:val="20" w:hRule="atLeast"/>
        </w:trPr>
        <w:tc>
          <w:tcPr>
            <w:tcW w:w="11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4.1.2无有效投诉。</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有投诉扣5分</w:t>
            </w:r>
          </w:p>
        </w:tc>
      </w:tr>
      <w:tr>
        <w:tblPrEx>
          <w:tblCellMar>
            <w:top w:w="0" w:type="dxa"/>
            <w:left w:w="108" w:type="dxa"/>
            <w:bottom w:w="0" w:type="dxa"/>
            <w:right w:w="108" w:type="dxa"/>
          </w:tblCellMar>
        </w:tblPrEx>
        <w:trPr>
          <w:trHeight w:val="20" w:hRule="atLeast"/>
        </w:trPr>
        <w:tc>
          <w:tcPr>
            <w:tcW w:w="11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4.1.3熟悉本职工作中应知应会的知识。</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不知晓扣2分</w:t>
            </w:r>
          </w:p>
        </w:tc>
      </w:tr>
      <w:tr>
        <w:tblPrEx>
          <w:tblCellMar>
            <w:top w:w="0" w:type="dxa"/>
            <w:left w:w="108" w:type="dxa"/>
            <w:bottom w:w="0" w:type="dxa"/>
            <w:right w:w="108" w:type="dxa"/>
          </w:tblCellMar>
        </w:tblPrEx>
        <w:trPr>
          <w:trHeight w:val="20" w:hRule="atLeast"/>
        </w:trPr>
        <w:tc>
          <w:tcPr>
            <w:tcW w:w="1120" w:type="dxa"/>
            <w:vMerge w:val="restart"/>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行为规范（10%）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4.2.1认真执行岗位职责，严格遵守公司规章制度、操作常规及流程.</w:t>
            </w:r>
          </w:p>
        </w:tc>
        <w:tc>
          <w:tcPr>
            <w:tcW w:w="73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4.2.2不迟到不早退，不串岗、不脱（离</w:t>
            </w:r>
            <w:r>
              <w:rPr>
                <w:rFonts w:ascii="仿宋_GB2312" w:hAnsi="宋体" w:eastAsia="仿宋_GB2312" w:cs="宋体"/>
                <w:kern w:val="0"/>
                <w:sz w:val="24"/>
                <w:szCs w:val="24"/>
              </w:rPr>
              <w:t>）</w:t>
            </w:r>
            <w:r>
              <w:rPr>
                <w:rFonts w:hint="eastAsia" w:ascii="仿宋_GB2312" w:hAnsi="宋体" w:eastAsia="仿宋_GB2312" w:cs="宋体"/>
                <w:kern w:val="0"/>
                <w:sz w:val="24"/>
                <w:szCs w:val="24"/>
              </w:rPr>
              <w:t>岗，不干私活。</w:t>
            </w:r>
          </w:p>
        </w:tc>
        <w:tc>
          <w:tcPr>
            <w:tcW w:w="730" w:type="dxa"/>
            <w:vMerge w:val="continue"/>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0" w:type="dxa"/>
            <w:vMerge w:val="continue"/>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4.2.3上班不玩手机，不扎堆聊天，不吃零食。</w:t>
            </w:r>
          </w:p>
        </w:tc>
        <w:tc>
          <w:tcPr>
            <w:tcW w:w="730" w:type="dxa"/>
            <w:vMerge w:val="continue"/>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0"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4.2.4爱护公物、节约能源。服从医务人员管理，主动报修。</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4.2.5不得窃取医院财务，私用医疗器械、药品、敷料。</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一项不符扣3分</w:t>
            </w:r>
          </w:p>
        </w:tc>
      </w:tr>
      <w:tr>
        <w:tblPrEx>
          <w:tblCellMar>
            <w:top w:w="0" w:type="dxa"/>
            <w:left w:w="108" w:type="dxa"/>
            <w:bottom w:w="0" w:type="dxa"/>
            <w:right w:w="108" w:type="dxa"/>
          </w:tblCellMar>
        </w:tblPrEx>
        <w:trPr>
          <w:trHeight w:val="20" w:hRule="atLeast"/>
        </w:trPr>
        <w:tc>
          <w:tcPr>
            <w:tcW w:w="1120" w:type="dxa"/>
            <w:vMerge w:val="restart"/>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运送质量（50%）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4..3.1不得参与医疗活动、医疗技术工作；不得参加非急救患者转运非法营运行为，谋取不正当利益。</w:t>
            </w:r>
          </w:p>
        </w:tc>
        <w:tc>
          <w:tcPr>
            <w:tcW w:w="73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20"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4.3.2掌握医院各医技科室及病区的分布图，有楼层调整及时知晓，运送患者准确、及时。</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4.3.3各类物品运送符合规范，运输用具按规范做好清洁消毒记录。特殊感染按院感要求做好消毒隔离。</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4.3.4急诊项目接电话十分钟内到达现场。</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10分钟内不能到达扣2分</w:t>
            </w:r>
          </w:p>
        </w:tc>
      </w:tr>
      <w:tr>
        <w:tblPrEx>
          <w:tblCellMar>
            <w:top w:w="0" w:type="dxa"/>
            <w:left w:w="108" w:type="dxa"/>
            <w:bottom w:w="0" w:type="dxa"/>
            <w:right w:w="108" w:type="dxa"/>
          </w:tblCellMar>
        </w:tblPrEx>
        <w:trPr>
          <w:trHeight w:val="20" w:hRule="atLeast"/>
        </w:trPr>
        <w:tc>
          <w:tcPr>
            <w:tcW w:w="1120" w:type="dxa"/>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4.3.5严格执行运送物品交接手续、认真查对签字，无漏、无差错发生，及时准确安全。</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restart"/>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运送管理质量（20%）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4.4.1有完善的员工培训计划并组织实施。</w:t>
            </w:r>
          </w:p>
        </w:tc>
        <w:tc>
          <w:tcPr>
            <w:tcW w:w="73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4.4.2</w:t>
            </w:r>
            <w:r>
              <w:rPr>
                <w:rFonts w:ascii="仿宋_GB2312" w:hAnsi="宋体" w:eastAsia="仿宋_GB2312" w:cs="宋体"/>
                <w:kern w:val="0"/>
                <w:sz w:val="24"/>
                <w:szCs w:val="24"/>
              </w:rPr>
              <w:t xml:space="preserve"> 有信息化系统数据每月汇总</w:t>
            </w:r>
            <w:r>
              <w:rPr>
                <w:rFonts w:hint="eastAsia" w:ascii="仿宋_GB2312" w:hAnsi="宋体" w:eastAsia="仿宋_GB2312" w:cs="宋体"/>
                <w:kern w:val="0"/>
                <w:sz w:val="24"/>
                <w:szCs w:val="24"/>
              </w:rPr>
              <w:t>。</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4.4.3不断巡视运送各项工作情况，发现问题及时解决；每周进行一次运送质量抽查考核，并与运送工作人员的工资挂钩。</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宋体" w:hAnsi="宋体" w:cs="宋体"/>
                <w:sz w:val="18"/>
                <w:szCs w:val="18"/>
              </w:rPr>
              <w:t>无督查计划扣2分，有计划未落实扣2分，未与服务部门主动联系扣1分，未记录及未落实考核挂钩扣1分</w:t>
            </w:r>
          </w:p>
        </w:tc>
      </w:tr>
      <w:tr>
        <w:tblPrEx>
          <w:tblCellMar>
            <w:top w:w="0" w:type="dxa"/>
            <w:left w:w="108" w:type="dxa"/>
            <w:bottom w:w="0" w:type="dxa"/>
            <w:right w:w="108" w:type="dxa"/>
          </w:tblCellMar>
        </w:tblPrEx>
        <w:trPr>
          <w:trHeight w:val="20" w:hRule="atLeast"/>
        </w:trPr>
        <w:tc>
          <w:tcPr>
            <w:tcW w:w="1120" w:type="dxa"/>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服务满意度</w:t>
            </w:r>
            <w:r>
              <w:rPr>
                <w:rFonts w:hint="eastAsia" w:ascii="仿宋_GB2312" w:hAnsi="宋体" w:eastAsia="仿宋_GB2312" w:cs="宋体"/>
                <w:b/>
                <w:bCs/>
                <w:kern w:val="0"/>
                <w:sz w:val="24"/>
                <w:szCs w:val="24"/>
              </w:rPr>
              <w:t>（10%）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4.5.1整体服务月平均满意度（医护人员、住院病人）不得低于90%</w:t>
            </w:r>
          </w:p>
        </w:tc>
        <w:tc>
          <w:tcPr>
            <w:tcW w:w="730" w:type="dxa"/>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850" w:type="dxa"/>
            <w:tcBorders>
              <w:top w:val="nil"/>
              <w:left w:val="nil"/>
              <w:bottom w:val="single" w:color="auto" w:sz="4" w:space="0"/>
              <w:right w:val="single" w:color="auto" w:sz="4" w:space="0"/>
            </w:tcBorders>
            <w:noWrap/>
            <w:vAlign w:val="center"/>
          </w:tcPr>
          <w:p>
            <w:pPr>
              <w:autoSpaceDE w:val="0"/>
              <w:autoSpaceDN w:val="0"/>
              <w:snapToGrid w:val="0"/>
              <w:ind w:left="69" w:leftChars="33" w:right="69" w:rightChars="33"/>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每低于90%一个点,扣1分,以此类推，扣完为止。</w:t>
            </w:r>
          </w:p>
        </w:tc>
      </w:tr>
      <w:tr>
        <w:tblPrEx>
          <w:tblCellMar>
            <w:top w:w="0" w:type="dxa"/>
            <w:left w:w="108" w:type="dxa"/>
            <w:bottom w:w="0" w:type="dxa"/>
            <w:right w:w="108" w:type="dxa"/>
          </w:tblCellMar>
        </w:tblPrEx>
        <w:trPr>
          <w:trHeight w:val="20" w:hRule="atLeast"/>
        </w:trPr>
        <w:tc>
          <w:tcPr>
            <w:tcW w:w="1120"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总分值</w:t>
            </w:r>
          </w:p>
        </w:tc>
        <w:tc>
          <w:tcPr>
            <w:tcW w:w="5650" w:type="dxa"/>
            <w:tcBorders>
              <w:top w:val="single" w:color="auto" w:sz="4" w:space="0"/>
              <w:left w:val="nil"/>
              <w:bottom w:val="single" w:color="auto" w:sz="4" w:space="0"/>
              <w:right w:val="single" w:color="auto" w:sz="4" w:space="0"/>
            </w:tcBorders>
            <w:noWrap/>
            <w:vAlign w:val="center"/>
          </w:tcPr>
          <w:p>
            <w:pPr>
              <w:jc w:val="left"/>
              <w:rPr>
                <w:rFonts w:ascii="仿宋_GB2312" w:hAnsi="宋体" w:eastAsia="仿宋_GB2312" w:cs="宋体"/>
                <w:kern w:val="0"/>
                <w:sz w:val="24"/>
                <w:szCs w:val="24"/>
              </w:rPr>
            </w:pPr>
          </w:p>
        </w:tc>
        <w:tc>
          <w:tcPr>
            <w:tcW w:w="730"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kern w:val="0"/>
                <w:sz w:val="24"/>
                <w:szCs w:val="24"/>
              </w:rPr>
            </w:pPr>
          </w:p>
        </w:tc>
        <w:tc>
          <w:tcPr>
            <w:tcW w:w="1850" w:type="dxa"/>
            <w:tcBorders>
              <w:top w:val="single" w:color="auto" w:sz="4" w:space="0"/>
              <w:left w:val="nil"/>
              <w:bottom w:val="single" w:color="auto" w:sz="4" w:space="0"/>
              <w:right w:val="single" w:color="auto" w:sz="4" w:space="0"/>
            </w:tcBorders>
            <w:noWrap/>
            <w:vAlign w:val="center"/>
          </w:tcPr>
          <w:p>
            <w:pPr>
              <w:autoSpaceDE w:val="0"/>
              <w:autoSpaceDN w:val="0"/>
              <w:snapToGrid w:val="0"/>
              <w:ind w:left="69" w:leftChars="33" w:right="69" w:rightChars="33"/>
              <w:jc w:val="left"/>
              <w:rPr>
                <w:rFonts w:ascii="仿宋_GB2312" w:hAnsi="宋体" w:eastAsia="仿宋_GB2312" w:cs="宋体"/>
                <w:kern w:val="0"/>
                <w:sz w:val="24"/>
                <w:szCs w:val="24"/>
              </w:rPr>
            </w:pPr>
          </w:p>
        </w:tc>
      </w:tr>
    </w:tbl>
    <w:p>
      <w:pPr>
        <w:pStyle w:val="15"/>
      </w:pPr>
    </w:p>
    <w:p>
      <w:pPr>
        <w:tabs>
          <w:tab w:val="left" w:pos="360"/>
          <w:tab w:val="left" w:pos="4320"/>
        </w:tabs>
        <w:adjustRightInd w:val="0"/>
        <w:snapToGrid w:val="0"/>
        <w:spacing w:line="440" w:lineRule="exact"/>
        <w:jc w:val="center"/>
        <w:rPr>
          <w:rFonts w:hint="eastAsia" w:ascii="宋体" w:hAnsi="宋体"/>
          <w:b/>
          <w:sz w:val="28"/>
          <w:szCs w:val="28"/>
        </w:rPr>
      </w:pPr>
      <w:r>
        <w:rPr>
          <w:rFonts w:hint="eastAsia" w:ascii="宋体" w:hAnsi="宋体"/>
          <w:b/>
          <w:sz w:val="28"/>
          <w:szCs w:val="28"/>
        </w:rPr>
        <w:t>附件4：物业工作质量检查表4（绿色通道、</w:t>
      </w:r>
      <w:r>
        <w:rPr>
          <w:rFonts w:hint="eastAsia" w:ascii="宋体" w:hAnsi="宋体"/>
          <w:b/>
          <w:color w:val="FF0000"/>
          <w:sz w:val="28"/>
          <w:szCs w:val="28"/>
        </w:rPr>
        <w:t>担架工</w:t>
      </w:r>
      <w:r>
        <w:rPr>
          <w:rFonts w:hint="eastAsia" w:ascii="宋体" w:hAnsi="宋体"/>
          <w:b/>
          <w:sz w:val="28"/>
          <w:szCs w:val="28"/>
        </w:rPr>
        <w:t>）—100分</w:t>
      </w:r>
    </w:p>
    <w:tbl>
      <w:tblPr>
        <w:tblStyle w:val="30"/>
        <w:tblpPr w:leftFromText="180" w:rightFromText="180" w:vertAnchor="text" w:horzAnchor="page" w:tblpX="1387" w:tblpY="268"/>
        <w:tblOverlap w:val="never"/>
        <w:tblW w:w="9350" w:type="dxa"/>
        <w:tblInd w:w="0" w:type="dxa"/>
        <w:tblLayout w:type="fixed"/>
        <w:tblCellMar>
          <w:top w:w="0" w:type="dxa"/>
          <w:left w:w="108" w:type="dxa"/>
          <w:bottom w:w="0" w:type="dxa"/>
          <w:right w:w="108" w:type="dxa"/>
        </w:tblCellMar>
      </w:tblPr>
      <w:tblGrid>
        <w:gridCol w:w="1120"/>
        <w:gridCol w:w="5650"/>
        <w:gridCol w:w="730"/>
        <w:gridCol w:w="1850"/>
      </w:tblGrid>
      <w:tr>
        <w:tblPrEx>
          <w:tblCellMar>
            <w:top w:w="0" w:type="dxa"/>
            <w:left w:w="108" w:type="dxa"/>
            <w:bottom w:w="0" w:type="dxa"/>
            <w:right w:w="108" w:type="dxa"/>
          </w:tblCellMar>
        </w:tblPrEx>
        <w:trPr>
          <w:trHeight w:val="113" w:hRule="atLeast"/>
        </w:trPr>
        <w:tc>
          <w:tcPr>
            <w:tcW w:w="11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w:t>
            </w:r>
          </w:p>
        </w:tc>
        <w:tc>
          <w:tcPr>
            <w:tcW w:w="56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考核内容</w:t>
            </w:r>
          </w:p>
        </w:tc>
        <w:tc>
          <w:tcPr>
            <w:tcW w:w="73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分值</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每分金额</w:t>
            </w:r>
          </w:p>
        </w:tc>
      </w:tr>
      <w:tr>
        <w:tblPrEx>
          <w:tblCellMar>
            <w:top w:w="0" w:type="dxa"/>
            <w:left w:w="108" w:type="dxa"/>
            <w:bottom w:w="0" w:type="dxa"/>
            <w:right w:w="108" w:type="dxa"/>
          </w:tblCellMar>
        </w:tblPrEx>
        <w:trPr>
          <w:trHeight w:val="113" w:hRule="atLeast"/>
        </w:trPr>
        <w:tc>
          <w:tcPr>
            <w:tcW w:w="11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基本要求（10%）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5.1.1按要求着装，仪表端庄；文明用语，微笑服务，礼貌待人。</w:t>
            </w:r>
          </w:p>
        </w:tc>
        <w:tc>
          <w:tcPr>
            <w:tcW w:w="730" w:type="dxa"/>
            <w:vMerge w:val="restart"/>
            <w:tcBorders>
              <w:top w:val="nil"/>
              <w:left w:val="nil"/>
              <w:right w:val="single" w:color="auto" w:sz="4" w:space="0"/>
            </w:tcBorders>
            <w:noWrap/>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一人不符扣10分</w:t>
            </w:r>
          </w:p>
        </w:tc>
      </w:tr>
      <w:tr>
        <w:tblPrEx>
          <w:tblCellMar>
            <w:top w:w="0" w:type="dxa"/>
            <w:left w:w="108" w:type="dxa"/>
            <w:bottom w:w="0" w:type="dxa"/>
            <w:right w:w="108" w:type="dxa"/>
          </w:tblCellMar>
        </w:tblPrEx>
        <w:trPr>
          <w:trHeight w:val="113" w:hRule="atLeast"/>
        </w:trPr>
        <w:tc>
          <w:tcPr>
            <w:tcW w:w="11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5.1.2无有效投诉。</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有投诉扣8分</w:t>
            </w:r>
          </w:p>
        </w:tc>
      </w:tr>
      <w:tr>
        <w:tblPrEx>
          <w:tblCellMar>
            <w:top w:w="0" w:type="dxa"/>
            <w:left w:w="108" w:type="dxa"/>
            <w:bottom w:w="0" w:type="dxa"/>
            <w:right w:w="108" w:type="dxa"/>
          </w:tblCellMar>
        </w:tblPrEx>
        <w:trPr>
          <w:trHeight w:val="113" w:hRule="atLeast"/>
        </w:trPr>
        <w:tc>
          <w:tcPr>
            <w:tcW w:w="11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5.1.3熟悉本职工作中应知应会的知识。</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不知晓扣2分</w:t>
            </w:r>
          </w:p>
        </w:tc>
      </w:tr>
      <w:tr>
        <w:tblPrEx>
          <w:tblCellMar>
            <w:top w:w="0" w:type="dxa"/>
            <w:left w:w="108" w:type="dxa"/>
            <w:bottom w:w="0" w:type="dxa"/>
            <w:right w:w="108" w:type="dxa"/>
          </w:tblCellMar>
        </w:tblPrEx>
        <w:trPr>
          <w:trHeight w:val="113" w:hRule="atLeast"/>
        </w:trPr>
        <w:tc>
          <w:tcPr>
            <w:tcW w:w="1120" w:type="dxa"/>
            <w:vMerge w:val="restart"/>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行为规范（10%）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4.2.1认真执行岗位职责，严格遵守公司规章制度、操作常规及流程。</w:t>
            </w:r>
          </w:p>
        </w:tc>
        <w:tc>
          <w:tcPr>
            <w:tcW w:w="73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5.2.2不迟到不早退，不串岗、不脱（离</w:t>
            </w:r>
            <w:r>
              <w:rPr>
                <w:rFonts w:ascii="仿宋_GB2312" w:hAnsi="宋体" w:eastAsia="仿宋_GB2312" w:cs="宋体"/>
                <w:kern w:val="0"/>
                <w:sz w:val="24"/>
                <w:szCs w:val="24"/>
              </w:rPr>
              <w:t>）</w:t>
            </w:r>
            <w:r>
              <w:rPr>
                <w:rFonts w:hint="eastAsia" w:ascii="仿宋_GB2312" w:hAnsi="宋体" w:eastAsia="仿宋_GB2312" w:cs="宋体"/>
                <w:kern w:val="0"/>
                <w:sz w:val="24"/>
                <w:szCs w:val="24"/>
              </w:rPr>
              <w:t>岗，不干私活。</w:t>
            </w:r>
          </w:p>
        </w:tc>
        <w:tc>
          <w:tcPr>
            <w:tcW w:w="730" w:type="dxa"/>
            <w:vMerge w:val="continue"/>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5.2.3上班不玩手机，不扎堆聊天，不吃零食。</w:t>
            </w:r>
          </w:p>
        </w:tc>
        <w:tc>
          <w:tcPr>
            <w:tcW w:w="730" w:type="dxa"/>
            <w:vMerge w:val="continue"/>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5.2.4爱护公物、节约能源。服从医务人员管理，主动报修。</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5.2.5不得窃取医院财务，私用医疗器械、药品、敷料。</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restart"/>
            <w:tcBorders>
              <w:top w:val="nil"/>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绿色通道、</w:t>
            </w:r>
            <w:r>
              <w:rPr>
                <w:rFonts w:hint="eastAsia" w:ascii="仿宋_GB2312" w:hAnsi="宋体" w:eastAsia="仿宋_GB2312" w:cs="宋体"/>
                <w:b/>
                <w:bCs/>
                <w:color w:val="FF0000"/>
                <w:kern w:val="0"/>
                <w:sz w:val="24"/>
                <w:szCs w:val="24"/>
              </w:rPr>
              <w:t>担架工</w:t>
            </w:r>
            <w:r>
              <w:rPr>
                <w:rFonts w:hint="eastAsia" w:ascii="仿宋_GB2312" w:hAnsi="宋体" w:eastAsia="仿宋_GB2312" w:cs="宋体"/>
                <w:b/>
                <w:bCs/>
                <w:kern w:val="0"/>
                <w:sz w:val="24"/>
                <w:szCs w:val="24"/>
              </w:rPr>
              <w:t>工作质量（40%）</w:t>
            </w: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5..3.1不得参与医疗活动、医疗技术工作；不得参加非急救患者转运非法营运行为，谋取不正当利益。</w:t>
            </w:r>
          </w:p>
        </w:tc>
        <w:tc>
          <w:tcPr>
            <w:tcW w:w="730" w:type="dxa"/>
            <w:vMerge w:val="restart"/>
            <w:tcBorders>
              <w:top w:val="nil"/>
              <w:left w:val="nil"/>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一项不符扣5分</w:t>
            </w:r>
          </w:p>
        </w:tc>
      </w:tr>
      <w:tr>
        <w:tblPrEx>
          <w:tblCellMar>
            <w:top w:w="0" w:type="dxa"/>
            <w:left w:w="108" w:type="dxa"/>
            <w:bottom w:w="0" w:type="dxa"/>
            <w:right w:w="108" w:type="dxa"/>
          </w:tblCellMar>
        </w:tblPrEx>
        <w:trPr>
          <w:trHeight w:val="113"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5.3.2掌握医院各医技科室及病区的分布图，有楼层调整及时知晓，运送患者准确、及时。</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5.3.3配合医护人员，安全转运患者，并做好交接记录。</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left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5.3.4保证转运床（车）完好，清洁；有故障及时报修。</w:t>
            </w:r>
          </w:p>
        </w:tc>
        <w:tc>
          <w:tcPr>
            <w:tcW w:w="730" w:type="dxa"/>
            <w:vMerge w:val="continue"/>
            <w:tcBorders>
              <w:left w:val="nil"/>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113" w:hRule="atLeast"/>
        </w:trPr>
        <w:tc>
          <w:tcPr>
            <w:tcW w:w="1120" w:type="dxa"/>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5.3.5定期参与抢救室组织的急救病人应急预案演练，熟练掌握急救病人转运技能。</w:t>
            </w:r>
          </w:p>
        </w:tc>
        <w:tc>
          <w:tcPr>
            <w:tcW w:w="730"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不能掌握运送应急预案扣5分</w:t>
            </w:r>
          </w:p>
        </w:tc>
      </w:tr>
      <w:tr>
        <w:tblPrEx>
          <w:tblCellMar>
            <w:top w:w="0" w:type="dxa"/>
            <w:left w:w="108" w:type="dxa"/>
            <w:bottom w:w="0" w:type="dxa"/>
            <w:right w:w="108" w:type="dxa"/>
          </w:tblCellMar>
        </w:tblPrEx>
        <w:trPr>
          <w:trHeight w:val="113" w:hRule="atLeast"/>
        </w:trPr>
        <w:tc>
          <w:tcPr>
            <w:tcW w:w="11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服务满意度</w:t>
            </w:r>
            <w:r>
              <w:rPr>
                <w:rFonts w:hint="eastAsia" w:ascii="仿宋_GB2312" w:hAnsi="宋体" w:eastAsia="仿宋_GB2312" w:cs="宋体"/>
                <w:b/>
                <w:bCs/>
                <w:kern w:val="0"/>
                <w:sz w:val="24"/>
                <w:szCs w:val="24"/>
              </w:rPr>
              <w:t>（20%）</w:t>
            </w:r>
          </w:p>
        </w:tc>
        <w:tc>
          <w:tcPr>
            <w:tcW w:w="56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5.5.1部门评价满意度低于90%</w:t>
            </w:r>
          </w:p>
        </w:tc>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8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ind w:left="69" w:leftChars="33" w:right="69" w:rightChars="33"/>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每低于90%一个点,扣1分,以此类推，扣完为止。</w:t>
            </w:r>
          </w:p>
        </w:tc>
      </w:tr>
      <w:tr>
        <w:tblPrEx>
          <w:tblCellMar>
            <w:top w:w="0" w:type="dxa"/>
            <w:left w:w="108" w:type="dxa"/>
            <w:bottom w:w="0" w:type="dxa"/>
            <w:right w:w="108" w:type="dxa"/>
          </w:tblCellMar>
        </w:tblPrEx>
        <w:trPr>
          <w:trHeight w:val="113" w:hRule="atLeast"/>
        </w:trPr>
        <w:tc>
          <w:tcPr>
            <w:tcW w:w="11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总分值</w:t>
            </w:r>
          </w:p>
        </w:tc>
        <w:tc>
          <w:tcPr>
            <w:tcW w:w="56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4"/>
                <w:szCs w:val="24"/>
              </w:rPr>
            </w:pPr>
          </w:p>
        </w:tc>
        <w:tc>
          <w:tcPr>
            <w:tcW w:w="7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ind w:left="69" w:leftChars="33" w:right="69" w:rightChars="33"/>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3" w:hRule="atLeast"/>
        </w:trPr>
        <w:tc>
          <w:tcPr>
            <w:tcW w:w="1120" w:type="dxa"/>
            <w:tcBorders>
              <w:top w:val="single" w:color="auto" w:sz="4" w:space="0"/>
            </w:tcBorders>
            <w:noWrap/>
            <w:vAlign w:val="center"/>
          </w:tcPr>
          <w:p>
            <w:pPr>
              <w:widowControl/>
              <w:jc w:val="left"/>
              <w:rPr>
                <w:rFonts w:ascii="仿宋_GB2312" w:hAnsi="宋体" w:eastAsia="仿宋_GB2312" w:cs="宋体"/>
                <w:b/>
                <w:bCs/>
                <w:kern w:val="0"/>
                <w:sz w:val="24"/>
                <w:szCs w:val="24"/>
              </w:rPr>
            </w:pPr>
          </w:p>
        </w:tc>
        <w:tc>
          <w:tcPr>
            <w:tcW w:w="5650" w:type="dxa"/>
            <w:tcBorders>
              <w:top w:val="single" w:color="auto" w:sz="4" w:space="0"/>
            </w:tcBorders>
            <w:noWrap/>
            <w:vAlign w:val="center"/>
          </w:tcPr>
          <w:p>
            <w:pPr>
              <w:pStyle w:val="15"/>
              <w:ind w:firstLine="480"/>
              <w:rPr>
                <w:rFonts w:ascii="仿宋_GB2312" w:hAnsi="宋体" w:eastAsia="仿宋_GB2312" w:cs="宋体"/>
                <w:sz w:val="24"/>
                <w:szCs w:val="24"/>
              </w:rPr>
            </w:pPr>
          </w:p>
        </w:tc>
        <w:tc>
          <w:tcPr>
            <w:tcW w:w="730" w:type="dxa"/>
            <w:tcBorders>
              <w:top w:val="single" w:color="auto" w:sz="4" w:space="0"/>
            </w:tcBorders>
            <w:noWrap/>
            <w:vAlign w:val="center"/>
          </w:tcPr>
          <w:p>
            <w:pPr>
              <w:widowControl/>
              <w:jc w:val="center"/>
              <w:rPr>
                <w:rFonts w:ascii="仿宋_GB2312" w:hAnsi="宋体" w:eastAsia="仿宋_GB2312" w:cs="宋体"/>
                <w:kern w:val="0"/>
                <w:sz w:val="24"/>
                <w:szCs w:val="24"/>
              </w:rPr>
            </w:pPr>
          </w:p>
        </w:tc>
        <w:tc>
          <w:tcPr>
            <w:tcW w:w="1850" w:type="dxa"/>
            <w:tcBorders>
              <w:top w:val="single" w:color="auto" w:sz="4" w:space="0"/>
            </w:tcBorders>
            <w:noWrap/>
            <w:vAlign w:val="center"/>
          </w:tcPr>
          <w:p>
            <w:pPr>
              <w:autoSpaceDE w:val="0"/>
              <w:autoSpaceDN w:val="0"/>
              <w:snapToGrid w:val="0"/>
              <w:ind w:left="69" w:leftChars="33" w:right="69" w:rightChars="33"/>
              <w:jc w:val="left"/>
              <w:rPr>
                <w:rFonts w:ascii="仿宋_GB2312" w:hAnsi="宋体" w:eastAsia="仿宋_GB2312" w:cs="宋体"/>
                <w:kern w:val="0"/>
                <w:sz w:val="24"/>
                <w:szCs w:val="24"/>
              </w:rPr>
            </w:pPr>
          </w:p>
        </w:tc>
      </w:tr>
    </w:tbl>
    <w:p>
      <w:pPr>
        <w:tabs>
          <w:tab w:val="left" w:pos="360"/>
          <w:tab w:val="left" w:pos="4320"/>
        </w:tabs>
        <w:adjustRightInd w:val="0"/>
        <w:snapToGrid w:val="0"/>
        <w:spacing w:line="440" w:lineRule="exact"/>
        <w:jc w:val="center"/>
        <w:rPr>
          <w:rFonts w:hint="eastAsia" w:ascii="宋体" w:hAnsi="宋体"/>
          <w:b/>
          <w:sz w:val="32"/>
          <w:szCs w:val="32"/>
        </w:rPr>
      </w:pPr>
      <w:r>
        <w:rPr>
          <w:rFonts w:hint="eastAsia" w:ascii="宋体" w:hAnsi="宋体"/>
          <w:b/>
          <w:sz w:val="28"/>
          <w:szCs w:val="28"/>
        </w:rPr>
        <w:t>附件5：物业工作质量检查表5（宿舍楼）—100分</w:t>
      </w:r>
    </w:p>
    <w:tbl>
      <w:tblPr>
        <w:tblStyle w:val="30"/>
        <w:tblpPr w:leftFromText="180" w:rightFromText="180" w:vertAnchor="text" w:horzAnchor="page" w:tblpX="1290" w:tblpY="559"/>
        <w:tblOverlap w:val="never"/>
        <w:tblW w:w="9282" w:type="dxa"/>
        <w:tblInd w:w="0" w:type="dxa"/>
        <w:tblLayout w:type="fixed"/>
        <w:tblCellMar>
          <w:top w:w="0" w:type="dxa"/>
          <w:left w:w="108" w:type="dxa"/>
          <w:bottom w:w="0" w:type="dxa"/>
          <w:right w:w="108" w:type="dxa"/>
        </w:tblCellMar>
      </w:tblPr>
      <w:tblGrid>
        <w:gridCol w:w="1120"/>
        <w:gridCol w:w="5701"/>
        <w:gridCol w:w="799"/>
        <w:gridCol w:w="1662"/>
      </w:tblGrid>
      <w:tr>
        <w:tblPrEx>
          <w:tblCellMar>
            <w:top w:w="0" w:type="dxa"/>
            <w:left w:w="108" w:type="dxa"/>
            <w:bottom w:w="0" w:type="dxa"/>
            <w:right w:w="108" w:type="dxa"/>
          </w:tblCellMar>
        </w:tblPrEx>
        <w:trPr>
          <w:trHeight w:val="20" w:hRule="atLeas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w:t>
            </w:r>
          </w:p>
        </w:tc>
        <w:tc>
          <w:tcPr>
            <w:tcW w:w="5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考核内容</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分值</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每分金额</w:t>
            </w:r>
          </w:p>
        </w:tc>
      </w:tr>
      <w:tr>
        <w:tblPrEx>
          <w:tblCellMar>
            <w:top w:w="0" w:type="dxa"/>
            <w:left w:w="108" w:type="dxa"/>
            <w:bottom w:w="0" w:type="dxa"/>
            <w:right w:w="108" w:type="dxa"/>
          </w:tblCellMar>
        </w:tblPrEx>
        <w:trPr>
          <w:trHeight w:val="20" w:hRule="atLeast"/>
        </w:trPr>
        <w:tc>
          <w:tcPr>
            <w:tcW w:w="1120" w:type="dxa"/>
            <w:vMerge w:val="restart"/>
            <w:tcBorders>
              <w:top w:val="single" w:color="000000" w:sz="4" w:space="0"/>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sz w:val="24"/>
                <w:szCs w:val="24"/>
              </w:rPr>
              <w:t>安全管理</w:t>
            </w:r>
            <w:bookmarkStart w:id="11" w:name="OLE_LINK2"/>
            <w:r>
              <w:rPr>
                <w:rFonts w:hint="eastAsia" w:ascii="仿宋_GB2312" w:hAnsi="宋体" w:eastAsia="仿宋_GB2312" w:cs="宋体"/>
                <w:b/>
                <w:bCs/>
                <w:kern w:val="0"/>
                <w:sz w:val="24"/>
                <w:szCs w:val="24"/>
              </w:rPr>
              <w:t>（20%）</w:t>
            </w:r>
            <w:bookmarkEnd w:id="11"/>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sz w:val="24"/>
                <w:szCs w:val="24"/>
              </w:rPr>
              <w:t>6.1.1吧台值班员严格确保每天安排专人24小时值班。</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bookmarkStart w:id="12" w:name="OLE_LINK6"/>
            <w:r>
              <w:rPr>
                <w:rFonts w:hint="eastAsia" w:ascii="仿宋_GB2312" w:hAnsi="宋体" w:eastAsia="仿宋_GB2312" w:cs="宋体"/>
                <w:kern w:val="0"/>
                <w:sz w:val="24"/>
                <w:szCs w:val="24"/>
              </w:rPr>
              <w:t>一项不符扣1分</w:t>
            </w:r>
            <w:bookmarkEnd w:id="12"/>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sz w:val="24"/>
                <w:szCs w:val="24"/>
              </w:rPr>
              <w:t>6.1.2每日做好安全双人巡检工作，有记录。</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bookmarkStart w:id="13" w:name="OLE_LINK7"/>
            <w:r>
              <w:rPr>
                <w:rFonts w:hint="eastAsia" w:ascii="仿宋_GB2312" w:hAnsi="宋体" w:eastAsia="仿宋_GB2312"/>
                <w:sz w:val="24"/>
                <w:szCs w:val="24"/>
              </w:rPr>
              <w:t>6.1.3</w:t>
            </w:r>
            <w:bookmarkEnd w:id="13"/>
            <w:r>
              <w:rPr>
                <w:rFonts w:hint="eastAsia" w:ascii="仿宋_GB2312" w:hAnsi="宋体" w:eastAsia="仿宋_GB2312"/>
                <w:sz w:val="24"/>
                <w:szCs w:val="24"/>
              </w:rPr>
              <w:t>对接管范围内的设施设备进行妥善保管，严防人为破坏，对出入物品严格询问、登记备案。</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b/>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rPr>
                <w:rFonts w:ascii="仿宋_GB2312" w:hAnsi="宋体" w:eastAsia="仿宋_GB2312"/>
                <w:sz w:val="24"/>
                <w:szCs w:val="24"/>
              </w:rPr>
            </w:pPr>
            <w:r>
              <w:rPr>
                <w:rFonts w:hint="eastAsia" w:ascii="仿宋_GB2312" w:hAnsi="宋体" w:eastAsia="仿宋_GB2312"/>
                <w:sz w:val="24"/>
                <w:szCs w:val="24"/>
              </w:rPr>
              <w:t>6.1.4确保学生宿舍内资产的安全，维护区域内公共秩序。</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sz w:val="24"/>
                <w:szCs w:val="24"/>
              </w:rPr>
            </w:pPr>
            <w:r>
              <w:rPr>
                <w:rFonts w:hint="eastAsia" w:ascii="仿宋_GB2312" w:hAnsi="宋体" w:eastAsia="仿宋_GB2312"/>
                <w:sz w:val="24"/>
                <w:szCs w:val="24"/>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bookmarkStart w:id="14" w:name="OLE_LINK13"/>
            <w:r>
              <w:rPr>
                <w:rFonts w:hint="eastAsia" w:ascii="仿宋_GB2312" w:hAnsi="宋体" w:eastAsia="仿宋_GB2312" w:cs="宋体"/>
                <w:kern w:val="0"/>
                <w:sz w:val="24"/>
                <w:szCs w:val="24"/>
              </w:rPr>
              <w:t>一项不符扣1分</w:t>
            </w:r>
            <w:bookmarkEnd w:id="14"/>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b/>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rPr>
                <w:rFonts w:ascii="仿宋_GB2312" w:hAnsi="宋体" w:eastAsia="仿宋_GB2312"/>
                <w:sz w:val="24"/>
                <w:szCs w:val="24"/>
              </w:rPr>
            </w:pPr>
            <w:r>
              <w:rPr>
                <w:rFonts w:hint="eastAsia" w:ascii="仿宋_GB2312" w:hAnsi="宋体" w:eastAsia="仿宋_GB2312"/>
                <w:sz w:val="24"/>
                <w:szCs w:val="24"/>
              </w:rPr>
              <w:t>6.1.5严格执行宿舍用电安全规范，加强入住人员用电安全管理。对不规范行为予以制止，必要时上报有关部门。</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b/>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rPr>
                <w:rFonts w:ascii="仿宋_GB2312" w:hAnsi="宋体" w:eastAsia="仿宋_GB2312"/>
                <w:sz w:val="24"/>
                <w:szCs w:val="24"/>
              </w:rPr>
            </w:pPr>
            <w:r>
              <w:rPr>
                <w:rFonts w:hint="eastAsia" w:ascii="仿宋_GB2312" w:hAnsi="宋体" w:eastAsia="仿宋_GB2312"/>
                <w:sz w:val="24"/>
                <w:szCs w:val="24"/>
              </w:rPr>
              <w:t>6.1.6有安全风险意识，及时发现并消除火灾隐患及不安全因素。 定期进行消防应急预案演练，有记录。</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sz w:val="24"/>
                <w:szCs w:val="24"/>
              </w:rPr>
            </w:pPr>
            <w:r>
              <w:rPr>
                <w:rFonts w:hint="eastAsia" w:ascii="仿宋_GB2312" w:hAnsi="宋体" w:eastAsia="仿宋_GB2312"/>
                <w:sz w:val="24"/>
                <w:szCs w:val="24"/>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bookmarkStart w:id="15" w:name="OLE_LINK14"/>
            <w:r>
              <w:rPr>
                <w:rFonts w:hint="eastAsia" w:ascii="仿宋_GB2312" w:hAnsi="宋体" w:eastAsia="仿宋_GB2312" w:cs="宋体"/>
                <w:kern w:val="0"/>
                <w:sz w:val="24"/>
                <w:szCs w:val="24"/>
              </w:rPr>
              <w:t>一项不符扣1分</w:t>
            </w:r>
            <w:bookmarkEnd w:id="15"/>
          </w:p>
        </w:tc>
      </w:tr>
      <w:tr>
        <w:tblPrEx>
          <w:tblCellMar>
            <w:top w:w="0" w:type="dxa"/>
            <w:left w:w="108" w:type="dxa"/>
            <w:bottom w:w="0" w:type="dxa"/>
            <w:right w:w="108" w:type="dxa"/>
          </w:tblCellMar>
        </w:tblPrEx>
        <w:trPr>
          <w:trHeight w:val="20" w:hRule="atLeast"/>
        </w:trPr>
        <w:tc>
          <w:tcPr>
            <w:tcW w:w="1120" w:type="dxa"/>
            <w:vMerge w:val="restart"/>
            <w:tcBorders>
              <w:top w:val="single" w:color="000000" w:sz="4" w:space="0"/>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b/>
                <w:sz w:val="24"/>
                <w:szCs w:val="24"/>
              </w:rPr>
              <w:t>集体宿舍管理</w:t>
            </w:r>
            <w:bookmarkStart w:id="16" w:name="OLE_LINK3"/>
            <w:r>
              <w:rPr>
                <w:rFonts w:hint="eastAsia" w:ascii="仿宋_GB2312" w:hAnsi="宋体" w:eastAsia="仿宋_GB2312" w:cs="宋体"/>
                <w:b/>
                <w:bCs/>
                <w:kern w:val="0"/>
                <w:sz w:val="24"/>
                <w:szCs w:val="24"/>
              </w:rPr>
              <w:t>（25%）</w:t>
            </w:r>
            <w:bookmarkEnd w:id="16"/>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bookmarkStart w:id="17" w:name="OLE_LINK8"/>
            <w:r>
              <w:rPr>
                <w:rFonts w:hint="eastAsia" w:ascii="仿宋_GB2312" w:hAnsi="宋体" w:eastAsia="仿宋_GB2312" w:cs="宋体"/>
                <w:kern w:val="0"/>
                <w:sz w:val="24"/>
                <w:szCs w:val="24"/>
              </w:rPr>
              <w:t>6.2.1</w:t>
            </w:r>
            <w:bookmarkEnd w:id="17"/>
            <w:r>
              <w:rPr>
                <w:rFonts w:hint="eastAsia" w:ascii="仿宋_GB2312" w:hAnsi="宋体" w:eastAsia="仿宋_GB2312" w:cs="宋体"/>
                <w:kern w:val="0"/>
                <w:sz w:val="24"/>
                <w:szCs w:val="24"/>
              </w:rPr>
              <w:t>严格执行公寓楼管理制度，遵守相关岗位职责及流程。</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3</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6.2.1</w:t>
            </w:r>
            <w:r>
              <w:rPr>
                <w:rFonts w:hint="eastAsia" w:ascii="仿宋_GB2312" w:hAnsi="宋体" w:eastAsia="仿宋_GB2312"/>
                <w:sz w:val="24"/>
                <w:szCs w:val="24"/>
              </w:rPr>
              <w:t>入住人员手续完备，登记齐全；《入住须知》宣教；入住职工协议签定。</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6</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一项不符扣2分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6.2.1</w:t>
            </w:r>
            <w:r>
              <w:rPr>
                <w:rFonts w:hint="eastAsia" w:ascii="仿宋_GB2312" w:hAnsi="宋体" w:eastAsia="仿宋_GB2312"/>
                <w:sz w:val="24"/>
                <w:szCs w:val="24"/>
              </w:rPr>
              <w:t>文明查房，服务态度好，文明用语周到，不与入住者争吵，维护宿舍使用人的权益。</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6.2.1</w:t>
            </w:r>
            <w:r>
              <w:rPr>
                <w:rFonts w:hint="eastAsia" w:ascii="仿宋_GB2312" w:hAnsi="宋体" w:eastAsia="仿宋_GB2312"/>
                <w:sz w:val="24"/>
                <w:szCs w:val="24"/>
              </w:rPr>
              <w:t>工作时，尽量不影响入住人员休息、学习、生活、工作，对投诉应认真处理。</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sz w:val="24"/>
                <w:szCs w:val="24"/>
              </w:rPr>
            </w:pPr>
            <w:r>
              <w:rPr>
                <w:rFonts w:hint="eastAsia" w:ascii="仿宋_GB2312" w:hAnsi="宋体" w:eastAsia="仿宋_GB2312" w:cs="宋体"/>
                <w:kern w:val="0"/>
                <w:sz w:val="24"/>
                <w:szCs w:val="24"/>
              </w:rPr>
              <w:t>6.2.1</w:t>
            </w:r>
            <w:r>
              <w:rPr>
                <w:rFonts w:hint="eastAsia" w:ascii="仿宋_GB2312" w:hAnsi="宋体" w:eastAsia="仿宋_GB2312"/>
                <w:sz w:val="24"/>
                <w:szCs w:val="24"/>
              </w:rPr>
              <w:t>每月对入住人员信息进行梳理，次月3号前对上月公寓楼入住信息进行汇总上报物业管理科。</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sz w:val="24"/>
                <w:szCs w:val="24"/>
              </w:rPr>
            </w:pPr>
            <w:r>
              <w:rPr>
                <w:rFonts w:hint="eastAsia" w:ascii="仿宋_GB2312" w:hAnsi="宋体" w:eastAsia="仿宋_GB2312"/>
                <w:sz w:val="24"/>
                <w:szCs w:val="24"/>
              </w:rPr>
              <w:t>6</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未落实信息梳理扣3分；未及时上报扣3分</w:t>
            </w:r>
          </w:p>
        </w:tc>
      </w:tr>
      <w:tr>
        <w:tblPrEx>
          <w:tblCellMar>
            <w:top w:w="0" w:type="dxa"/>
            <w:left w:w="108" w:type="dxa"/>
            <w:bottom w:w="0" w:type="dxa"/>
            <w:right w:w="108" w:type="dxa"/>
          </w:tblCellMar>
        </w:tblPrEx>
        <w:trPr>
          <w:trHeight w:val="20" w:hRule="atLeast"/>
        </w:trPr>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b/>
                <w:sz w:val="24"/>
                <w:szCs w:val="24"/>
              </w:rPr>
              <w:t>资产</w:t>
            </w:r>
            <w:r>
              <w:rPr>
                <w:rFonts w:hint="eastAsia" w:ascii="仿宋_GB2312" w:hAnsi="宋体" w:eastAsia="仿宋_GB2312" w:cs="宋体"/>
                <w:b/>
                <w:sz w:val="24"/>
                <w:szCs w:val="24"/>
              </w:rPr>
              <w:t>管理</w:t>
            </w:r>
            <w:bookmarkStart w:id="18" w:name="OLE_LINK4"/>
            <w:r>
              <w:rPr>
                <w:rFonts w:hint="eastAsia" w:ascii="仿宋_GB2312" w:hAnsi="宋体" w:eastAsia="仿宋_GB2312" w:cs="宋体"/>
                <w:b/>
                <w:bCs/>
                <w:kern w:val="0"/>
                <w:sz w:val="24"/>
                <w:szCs w:val="24"/>
              </w:rPr>
              <w:t>（15%）</w:t>
            </w:r>
            <w:bookmarkEnd w:id="18"/>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6.3.1</w:t>
            </w:r>
            <w:r>
              <w:rPr>
                <w:rFonts w:hint="eastAsia" w:ascii="仿宋_GB2312" w:hAnsi="宋体" w:eastAsia="仿宋_GB2312"/>
                <w:sz w:val="24"/>
                <w:szCs w:val="24"/>
              </w:rPr>
              <w:t>物业内资产清点、交接、登记工作，负责物业内所有资产的日常保管维护、追查损坏责任。</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bookmarkStart w:id="19" w:name="OLE_LINK15"/>
            <w:r>
              <w:rPr>
                <w:rFonts w:hint="eastAsia" w:ascii="仿宋_GB2312" w:hAnsi="宋体" w:eastAsia="仿宋_GB2312" w:cs="宋体"/>
                <w:kern w:val="0"/>
                <w:sz w:val="24"/>
                <w:szCs w:val="24"/>
              </w:rPr>
              <w:t>一项不符扣1分</w:t>
            </w:r>
            <w:bookmarkEnd w:id="19"/>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6.3.2</w:t>
            </w:r>
            <w:r>
              <w:rPr>
                <w:rFonts w:hint="eastAsia" w:ascii="仿宋_GB2312" w:hAnsi="宋体" w:eastAsia="仿宋_GB2312"/>
                <w:sz w:val="24"/>
                <w:szCs w:val="24"/>
              </w:rPr>
              <w:t>建立更新资产台账，确保资产完好性，完好率达100%，且处于良好使用状态。</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6.3.3</w:t>
            </w:r>
            <w:r>
              <w:rPr>
                <w:rFonts w:hint="eastAsia" w:ascii="仿宋_GB2312" w:hAnsi="宋体" w:eastAsia="仿宋_GB2312"/>
                <w:sz w:val="24"/>
                <w:szCs w:val="24"/>
              </w:rPr>
              <w:t>每月做好资产清点记录，按甲方要求编制、递交资产管理报表。</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b/>
                <w:sz w:val="24"/>
                <w:szCs w:val="24"/>
              </w:rPr>
            </w:pPr>
            <w:r>
              <w:rPr>
                <w:rFonts w:hint="eastAsia" w:ascii="仿宋_GB2312" w:hAnsi="宋体" w:eastAsia="仿宋_GB2312"/>
                <w:b/>
                <w:sz w:val="24"/>
                <w:szCs w:val="24"/>
              </w:rPr>
              <w:t>设备管理</w:t>
            </w:r>
            <w:bookmarkStart w:id="20" w:name="OLE_LINK5"/>
            <w:r>
              <w:rPr>
                <w:rFonts w:hint="eastAsia" w:ascii="仿宋_GB2312" w:hAnsi="宋体" w:eastAsia="仿宋_GB2312" w:cs="宋体"/>
                <w:b/>
                <w:bCs/>
                <w:kern w:val="0"/>
                <w:sz w:val="24"/>
                <w:szCs w:val="24"/>
              </w:rPr>
              <w:t>（15%）</w:t>
            </w:r>
            <w:bookmarkEnd w:id="20"/>
          </w:p>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bookmarkStart w:id="21" w:name="OLE_LINK9"/>
            <w:r>
              <w:rPr>
                <w:rFonts w:hint="eastAsia" w:ascii="仿宋_GB2312" w:hAnsi="宋体" w:eastAsia="仿宋_GB2312" w:cs="宋体"/>
                <w:kern w:val="0"/>
                <w:sz w:val="24"/>
                <w:szCs w:val="24"/>
              </w:rPr>
              <w:t>6.4.1</w:t>
            </w:r>
            <w:bookmarkEnd w:id="21"/>
            <w:r>
              <w:rPr>
                <w:rFonts w:hint="eastAsia" w:ascii="仿宋_GB2312" w:hAnsi="宋体" w:eastAsia="仿宋_GB2312"/>
                <w:sz w:val="24"/>
                <w:szCs w:val="24"/>
              </w:rPr>
              <w:t>正确使用、操作相关的设施设备和仪表，落实设备每日巡视、点检。</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rPr>
                <w:rFonts w:ascii="仿宋_GB2312" w:hAnsi="宋体" w:eastAsia="仿宋_GB2312" w:cs="宋体"/>
                <w:kern w:val="0"/>
                <w:sz w:val="24"/>
                <w:szCs w:val="24"/>
              </w:rPr>
            </w:pPr>
            <w:r>
              <w:rPr>
                <w:rFonts w:hint="eastAsia" w:ascii="仿宋_GB2312" w:hAnsi="宋体" w:eastAsia="仿宋_GB2312" w:cs="宋体"/>
                <w:kern w:val="0"/>
                <w:sz w:val="24"/>
                <w:szCs w:val="24"/>
              </w:rPr>
              <w:t>6.4.2</w:t>
            </w:r>
            <w:r>
              <w:rPr>
                <w:rFonts w:hint="eastAsia" w:ascii="仿宋_GB2312" w:hAnsi="宋体" w:eastAsia="仿宋_GB2312"/>
                <w:sz w:val="24"/>
                <w:szCs w:val="24"/>
              </w:rPr>
              <w:t xml:space="preserve">报修（含甲方投资的风扇、热水器等）及时，使各项设备处于良好的运行状态。 </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rPr>
                <w:rFonts w:ascii="仿宋_GB2312" w:hAnsi="宋体" w:eastAsia="仿宋_GB2312" w:cs="宋体"/>
                <w:kern w:val="0"/>
                <w:sz w:val="24"/>
                <w:szCs w:val="24"/>
              </w:rPr>
            </w:pPr>
            <w:r>
              <w:rPr>
                <w:rFonts w:hint="eastAsia" w:ascii="仿宋_GB2312" w:hAnsi="宋体" w:eastAsia="仿宋_GB2312" w:cs="宋体"/>
                <w:kern w:val="0"/>
                <w:sz w:val="24"/>
                <w:szCs w:val="24"/>
              </w:rPr>
              <w:t>6.4.3</w:t>
            </w:r>
            <w:r>
              <w:rPr>
                <w:rFonts w:hint="eastAsia" w:ascii="仿宋_GB2312" w:hAnsi="宋体" w:eastAsia="仿宋_GB2312"/>
                <w:sz w:val="24"/>
                <w:szCs w:val="24"/>
              </w:rPr>
              <w:t xml:space="preserve">定期做好建筑物的检查和报修，防止并及时制止各种对建筑物侵蚀、损害现象的发生。 </w:t>
            </w:r>
            <w:r>
              <w:rPr>
                <w:rFonts w:hint="eastAsia" w:ascii="仿宋_GB2312" w:hAnsi="宋体" w:eastAsia="仿宋_GB2312" w:cs="宋体"/>
                <w:kern w:val="0"/>
                <w:sz w:val="24"/>
                <w:szCs w:val="24"/>
              </w:rPr>
              <w:t>注意节约，及时关灯关水。</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b/>
                <w:sz w:val="24"/>
                <w:szCs w:val="24"/>
              </w:rPr>
              <w:t>公共区域管理</w:t>
            </w:r>
            <w:r>
              <w:rPr>
                <w:rFonts w:hint="eastAsia" w:ascii="仿宋_GB2312" w:hAnsi="宋体" w:eastAsia="仿宋_GB2312" w:cs="宋体"/>
                <w:b/>
                <w:bCs/>
                <w:kern w:val="0"/>
                <w:sz w:val="24"/>
                <w:szCs w:val="24"/>
              </w:rPr>
              <w:t>（25%）</w:t>
            </w: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6.5.1</w:t>
            </w:r>
            <w:r>
              <w:rPr>
                <w:rFonts w:hint="eastAsia" w:ascii="仿宋_GB2312" w:hAnsi="宋体" w:eastAsia="仿宋_GB2312"/>
                <w:sz w:val="24"/>
                <w:szCs w:val="24"/>
              </w:rPr>
              <w:t>楼内公共设施设备、公共通道、走廊、车库、楼梯及室外停车场等的清洁卫生。</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6.5.2天花板、风口、墙面、墙角、设备带、灯饰等无灰尘、无蜘蛛网，地面无垃圾杂物。</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6.5.3玻璃、不锈钢光亮无污渍、无痕印。</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5</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cs="宋体"/>
                <w:kern w:val="0"/>
                <w:sz w:val="24"/>
                <w:szCs w:val="24"/>
              </w:rPr>
              <w:t>卫生间淋浴房保持地面无垃圾、无积水、无堵塞、无气味；玻璃镜面无污渍、手印、水渍、垃圾满3/4及时倾倒；洗手台盆无污渍。</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sz w:val="24"/>
                <w:szCs w:val="24"/>
              </w:rPr>
            </w:pPr>
            <w:r>
              <w:rPr>
                <w:rFonts w:hint="eastAsia" w:ascii="仿宋_GB2312" w:hAnsi="宋体" w:eastAsia="仿宋_GB2312"/>
                <w:sz w:val="24"/>
                <w:szCs w:val="24"/>
              </w:rPr>
              <w:t>6</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b/>
                <w:bCs/>
                <w:kern w:val="0"/>
                <w:sz w:val="24"/>
                <w:szCs w:val="24"/>
              </w:rPr>
            </w:pP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cs="宋体"/>
                <w:kern w:val="0"/>
                <w:sz w:val="24"/>
                <w:szCs w:val="24"/>
              </w:rPr>
            </w:pPr>
            <w:r>
              <w:rPr>
                <w:rFonts w:hint="eastAsia" w:ascii="仿宋_GB2312" w:hAnsi="宋体" w:eastAsia="仿宋_GB2312"/>
                <w:sz w:val="24"/>
                <w:szCs w:val="24"/>
              </w:rPr>
              <w:t>6.5.4做好除“四害”工作，有记录。</w:t>
            </w: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cs="宋体"/>
                <w:kern w:val="0"/>
                <w:sz w:val="24"/>
                <w:szCs w:val="24"/>
              </w:rPr>
            </w:pPr>
            <w:r>
              <w:rPr>
                <w:rFonts w:hint="eastAsia" w:ascii="仿宋_GB2312" w:hAnsi="宋体" w:eastAsia="仿宋_GB2312"/>
                <w:sz w:val="24"/>
                <w:szCs w:val="24"/>
              </w:rPr>
              <w:t>4</w:t>
            </w: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一项不符扣1分</w:t>
            </w:r>
          </w:p>
        </w:tc>
      </w:tr>
      <w:tr>
        <w:tblPrEx>
          <w:tblCellMar>
            <w:top w:w="0" w:type="dxa"/>
            <w:left w:w="108" w:type="dxa"/>
            <w:bottom w:w="0" w:type="dxa"/>
            <w:right w:w="108" w:type="dxa"/>
          </w:tblCellMar>
        </w:tblPrEx>
        <w:trPr>
          <w:trHeight w:val="20" w:hRule="atLeas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总分值</w:t>
            </w:r>
          </w:p>
        </w:tc>
        <w:tc>
          <w:tcPr>
            <w:tcW w:w="5701" w:type="dxa"/>
            <w:tcBorders>
              <w:top w:val="single" w:color="000000" w:sz="4" w:space="0"/>
              <w:left w:val="single" w:color="000000" w:sz="4" w:space="0"/>
              <w:bottom w:val="single" w:color="000000" w:sz="4" w:space="0"/>
              <w:right w:val="single" w:color="000000" w:sz="4" w:space="0"/>
            </w:tcBorders>
            <w:noWrap/>
          </w:tcPr>
          <w:p>
            <w:pPr>
              <w:tabs>
                <w:tab w:val="left" w:pos="840"/>
              </w:tabs>
              <w:rPr>
                <w:rFonts w:ascii="仿宋_GB2312" w:hAnsi="宋体" w:eastAsia="仿宋_GB2312"/>
                <w:sz w:val="24"/>
                <w:szCs w:val="24"/>
              </w:rPr>
            </w:pPr>
          </w:p>
        </w:tc>
        <w:tc>
          <w:tcPr>
            <w:tcW w:w="799" w:type="dxa"/>
            <w:tcBorders>
              <w:top w:val="single" w:color="000000" w:sz="4" w:space="0"/>
              <w:left w:val="single" w:color="000000" w:sz="4" w:space="0"/>
              <w:bottom w:val="single" w:color="000000" w:sz="4" w:space="0"/>
              <w:right w:val="single" w:color="000000" w:sz="4" w:space="0"/>
            </w:tcBorders>
            <w:noWrap/>
          </w:tcPr>
          <w:p>
            <w:pPr>
              <w:tabs>
                <w:tab w:val="left" w:pos="840"/>
              </w:tabs>
              <w:jc w:val="center"/>
              <w:rPr>
                <w:rFonts w:ascii="仿宋_GB2312" w:hAnsi="宋体" w:eastAsia="仿宋_GB2312"/>
                <w:sz w:val="24"/>
                <w:szCs w:val="24"/>
              </w:rPr>
            </w:pPr>
          </w:p>
        </w:tc>
        <w:tc>
          <w:tcPr>
            <w:tcW w:w="166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仿宋_GB2312" w:hAnsi="宋体" w:eastAsia="仿宋_GB2312" w:cs="宋体"/>
                <w:kern w:val="0"/>
                <w:sz w:val="24"/>
                <w:szCs w:val="24"/>
              </w:rPr>
            </w:pPr>
          </w:p>
        </w:tc>
      </w:tr>
    </w:tbl>
    <w:p>
      <w:pPr>
        <w:tabs>
          <w:tab w:val="left" w:pos="360"/>
          <w:tab w:val="left" w:pos="4320"/>
        </w:tabs>
        <w:adjustRightInd w:val="0"/>
        <w:snapToGrid w:val="0"/>
        <w:spacing w:line="440" w:lineRule="exact"/>
        <w:ind w:firstLine="321" w:firstLineChars="100"/>
        <w:jc w:val="center"/>
        <w:rPr>
          <w:rFonts w:hint="eastAsia" w:ascii="宋体" w:hAnsi="宋体"/>
          <w:b/>
          <w:sz w:val="32"/>
          <w:szCs w:val="32"/>
        </w:rPr>
      </w:pPr>
      <w:r>
        <w:rPr>
          <w:rFonts w:hint="eastAsia" w:ascii="宋体" w:hAnsi="宋体"/>
          <w:b/>
          <w:sz w:val="32"/>
          <w:szCs w:val="32"/>
        </w:rPr>
        <w:t>附件6：物业工作质量检查表6（ICU护工）—100分</w:t>
      </w:r>
    </w:p>
    <w:tbl>
      <w:tblPr>
        <w:tblStyle w:val="30"/>
        <w:tblpPr w:leftFromText="180" w:rightFromText="180" w:vertAnchor="text" w:horzAnchor="page" w:tblpX="1242" w:tblpY="302"/>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840"/>
        <w:gridCol w:w="567"/>
        <w:gridCol w:w="180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noWrap/>
            <w:vAlign w:val="center"/>
          </w:tcPr>
          <w:p>
            <w:pPr>
              <w:widowControl/>
              <w:jc w:val="center"/>
              <w:rPr>
                <w:rFonts w:hint="eastAsia" w:ascii="仿宋" w:hAnsi="仿宋" w:eastAsia="仿宋" w:cs="宋体"/>
                <w:b/>
                <w:bCs/>
                <w:color w:val="000000"/>
                <w:kern w:val="0"/>
                <w:sz w:val="18"/>
                <w:szCs w:val="18"/>
              </w:rPr>
            </w:pPr>
            <w:r>
              <w:rPr>
                <w:rFonts w:hint="eastAsia" w:ascii="仿宋" w:hAnsi="仿宋" w:eastAsia="仿宋" w:cs="宋体"/>
                <w:b/>
                <w:bCs/>
                <w:color w:val="000000"/>
                <w:kern w:val="0"/>
                <w:sz w:val="18"/>
                <w:szCs w:val="18"/>
              </w:rPr>
              <w:t>考核</w:t>
            </w:r>
          </w:p>
        </w:tc>
        <w:tc>
          <w:tcPr>
            <w:tcW w:w="5840" w:type="dxa"/>
            <w:noWrap/>
            <w:vAlign w:val="center"/>
          </w:tcPr>
          <w:p>
            <w:pPr>
              <w:widowControl/>
              <w:jc w:val="center"/>
              <w:rPr>
                <w:rFonts w:hint="eastAsia" w:ascii="仿宋" w:hAnsi="仿宋" w:eastAsia="仿宋" w:cs="宋体"/>
                <w:b/>
                <w:bCs/>
                <w:color w:val="000000"/>
                <w:kern w:val="0"/>
                <w:sz w:val="18"/>
                <w:szCs w:val="18"/>
              </w:rPr>
            </w:pPr>
            <w:r>
              <w:rPr>
                <w:rFonts w:hint="eastAsia" w:ascii="仿宋" w:hAnsi="仿宋" w:eastAsia="仿宋" w:cs="宋体"/>
                <w:b/>
                <w:bCs/>
                <w:color w:val="000000"/>
                <w:kern w:val="0"/>
                <w:sz w:val="18"/>
                <w:szCs w:val="18"/>
              </w:rPr>
              <w:t>考核内容</w:t>
            </w:r>
          </w:p>
        </w:tc>
        <w:tc>
          <w:tcPr>
            <w:tcW w:w="567" w:type="dxa"/>
            <w:noWrap/>
            <w:vAlign w:val="center"/>
          </w:tcPr>
          <w:p>
            <w:pPr>
              <w:widowControl/>
              <w:jc w:val="left"/>
              <w:rPr>
                <w:rFonts w:hint="eastAsia" w:ascii="仿宋" w:hAnsi="仿宋" w:eastAsia="仿宋" w:cs="宋体"/>
                <w:b/>
                <w:bCs/>
                <w:color w:val="000000"/>
                <w:kern w:val="0"/>
                <w:sz w:val="18"/>
                <w:szCs w:val="18"/>
              </w:rPr>
            </w:pPr>
            <w:r>
              <w:rPr>
                <w:rFonts w:hint="eastAsia" w:ascii="仿宋" w:hAnsi="仿宋" w:eastAsia="仿宋" w:cs="宋体"/>
                <w:b/>
                <w:bCs/>
                <w:color w:val="000000"/>
                <w:kern w:val="0"/>
                <w:sz w:val="18"/>
                <w:szCs w:val="18"/>
              </w:rPr>
              <w:t>分值</w:t>
            </w:r>
          </w:p>
        </w:tc>
        <w:tc>
          <w:tcPr>
            <w:tcW w:w="1802" w:type="dxa"/>
            <w:noWrap/>
            <w:vAlign w:val="center"/>
          </w:tcPr>
          <w:p>
            <w:pPr>
              <w:widowControl/>
              <w:jc w:val="center"/>
              <w:rPr>
                <w:rFonts w:hint="eastAsia" w:ascii="仿宋" w:hAnsi="仿宋" w:eastAsia="仿宋" w:cs="宋体"/>
                <w:b/>
                <w:bCs/>
                <w:color w:val="000000"/>
                <w:kern w:val="0"/>
                <w:sz w:val="18"/>
                <w:szCs w:val="18"/>
              </w:rPr>
            </w:pPr>
            <w:r>
              <w:rPr>
                <w:rFonts w:hint="eastAsia" w:ascii="仿宋" w:hAnsi="仿宋" w:eastAsia="仿宋" w:cs="宋体"/>
                <w:b/>
                <w:bCs/>
                <w:color w:val="000000"/>
                <w:kern w:val="0"/>
                <w:sz w:val="18"/>
                <w:szCs w:val="18"/>
              </w:rPr>
              <w:t>扣分标准</w:t>
            </w:r>
          </w:p>
        </w:tc>
        <w:tc>
          <w:tcPr>
            <w:tcW w:w="540" w:type="dxa"/>
            <w:noWrap/>
            <w:vAlign w:val="center"/>
          </w:tcPr>
          <w:p>
            <w:pPr>
              <w:widowControl/>
              <w:jc w:val="center"/>
              <w:rPr>
                <w:rFonts w:hint="eastAsia" w:ascii="仿宋" w:hAnsi="仿宋" w:eastAsia="仿宋" w:cs="宋体"/>
                <w:b/>
                <w:bCs/>
                <w:color w:val="000000"/>
                <w:kern w:val="0"/>
                <w:sz w:val="18"/>
                <w:szCs w:val="18"/>
              </w:rPr>
            </w:pPr>
            <w:r>
              <w:rPr>
                <w:rFonts w:hint="eastAsia" w:ascii="仿宋" w:hAnsi="仿宋" w:eastAsia="仿宋" w:cs="宋体"/>
                <w:b/>
                <w:bCs/>
                <w:color w:val="000000"/>
                <w:kern w:val="0"/>
                <w:sz w:val="18"/>
                <w:szCs w:val="1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基本要求（10%）</w:t>
            </w: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7.1.1按要求着装，仪表端庄；文明用语，微笑服务，礼貌待人。</w:t>
            </w:r>
          </w:p>
        </w:tc>
        <w:tc>
          <w:tcPr>
            <w:tcW w:w="567"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10</w:t>
            </w: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一人不符扣1分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7.1.2无有效投诉。</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有投诉扣5分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7.1.3熟悉本职工作中应知应会的知识，严格执行手卫生。</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不知晓扣2分</w:t>
            </w:r>
          </w:p>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手卫生执行不到位扣5分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行为规范 （15%）</w:t>
            </w: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7.2.1认真执行岗位职责，严格遵守医院规章制度、操作常规及流程.</w:t>
            </w:r>
          </w:p>
        </w:tc>
        <w:tc>
          <w:tcPr>
            <w:tcW w:w="567"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15</w:t>
            </w: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7.2.2服从医生、护士及主管的管理，不得与病人家属、医生、护士发生口角。</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一人不符扣2分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7.2.3上班不玩手机，不扎堆聊天，不脱岗，不吃零食。不得拿取病人的食物与钱财，不将私人物品带入病区内。按照护士要求及病情需求让家属备好生活用品，不得擅自提出其他需求。</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拿取病人食物与钱财扣10分，其他一项不符扣2分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7.2.4工作做到三轻（走路轻、说话轻、动作轻）。</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7.2.5不得参与医疗护理活动、医疗技术工作。</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7.2.6爱护公物、节约能源。不得窃取医院财物，私用医疗器械、药品、敷料。</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vMerge w:val="continue"/>
            <w:noWrap/>
            <w:vAlign w:val="center"/>
          </w:tcPr>
          <w:p>
            <w:pPr>
              <w:tabs>
                <w:tab w:val="left" w:pos="840"/>
              </w:tabs>
              <w:rPr>
                <w:rFonts w:hint="eastAsia" w:ascii="仿宋" w:hAnsi="仿宋" w:eastAsia="仿宋" w:cs="宋体"/>
                <w:kern w:val="0"/>
                <w:sz w:val="18"/>
                <w:szCs w:val="18"/>
              </w:rPr>
            </w:pP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窃取财务，私用医疗物品一项不符扣5分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床单元质量（15%）</w:t>
            </w: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7.3.1做好病房、床单元卫生，物品摆放整齐,床下无杂物，便器、盆类上架。</w:t>
            </w:r>
          </w:p>
        </w:tc>
        <w:tc>
          <w:tcPr>
            <w:tcW w:w="567" w:type="dxa"/>
            <w:vMerge w:val="restart"/>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15</w:t>
            </w: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7.3.2每天根据病情需要更换床上用品，保持床单元清洁、干燥、平整。</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7.3.3掌握消毒液浓度及配置方式，做好消毒隔离工作，防止交叉感染。做好垃圾分类处理。</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vAlign w:val="center"/>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restart"/>
            <w:noWrap/>
            <w:vAlign w:val="center"/>
          </w:tcPr>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陪护工作质量（60%）</w:t>
            </w:r>
          </w:p>
        </w:tc>
        <w:tc>
          <w:tcPr>
            <w:tcW w:w="5840"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7.4.1知晓病人的输液速度，并注意观察，如有改变及时告知护士，保持各导管顺畅，防止管道受压扭曲、拉扯，发现问题及时通知护士。</w:t>
            </w:r>
          </w:p>
        </w:tc>
        <w:tc>
          <w:tcPr>
            <w:tcW w:w="567" w:type="dxa"/>
            <w:vMerge w:val="restart"/>
            <w:noWrap/>
          </w:tcPr>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60</w:t>
            </w:r>
          </w:p>
        </w:tc>
        <w:tc>
          <w:tcPr>
            <w:tcW w:w="1802"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7.4.2查房时陪护在病人身边，掌握病人生活护理需求及注意事项，配合医生、护士做好病人的生活服务。</w:t>
            </w:r>
          </w:p>
        </w:tc>
        <w:tc>
          <w:tcPr>
            <w:tcW w:w="567" w:type="dxa"/>
            <w:vMerge w:val="continue"/>
            <w:noWrap/>
          </w:tcPr>
          <w:p>
            <w:pPr>
              <w:tabs>
                <w:tab w:val="left" w:pos="840"/>
              </w:tabs>
              <w:rPr>
                <w:rFonts w:hint="eastAsia" w:ascii="仿宋" w:hAnsi="仿宋" w:eastAsia="仿宋" w:cs="宋体"/>
                <w:kern w:val="0"/>
                <w:sz w:val="18"/>
                <w:szCs w:val="18"/>
              </w:rPr>
            </w:pPr>
          </w:p>
        </w:tc>
        <w:tc>
          <w:tcPr>
            <w:tcW w:w="1802"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7.4.3维护病人的舒适，保持病人皮肤的完整性，按要求为病人喂食、喂水、翻身、拍背、擦浴、洗漱、梳头、床上洗头等，做到“三短，六洁”。</w:t>
            </w:r>
          </w:p>
        </w:tc>
        <w:tc>
          <w:tcPr>
            <w:tcW w:w="567" w:type="dxa"/>
            <w:vMerge w:val="continue"/>
            <w:noWrap/>
            <w:vAlign w:val="center"/>
          </w:tcPr>
          <w:p>
            <w:pPr>
              <w:tabs>
                <w:tab w:val="left" w:pos="840"/>
              </w:tabs>
              <w:rPr>
                <w:rFonts w:hint="eastAsia" w:ascii="仿宋" w:hAnsi="仿宋" w:eastAsia="仿宋" w:cs="宋体"/>
                <w:kern w:val="0"/>
                <w:sz w:val="18"/>
                <w:szCs w:val="18"/>
              </w:rPr>
            </w:pPr>
          </w:p>
        </w:tc>
        <w:tc>
          <w:tcPr>
            <w:tcW w:w="1802"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7.4.4病人衣服保持清洁、干燥、平整，如有需要及时更换。协助病人大小便，及时清洗便器，服务中注意保护好病人的隐私，严格执行手卫生。</w:t>
            </w:r>
          </w:p>
        </w:tc>
        <w:tc>
          <w:tcPr>
            <w:tcW w:w="567" w:type="dxa"/>
            <w:vMerge w:val="continue"/>
            <w:noWrap/>
          </w:tcPr>
          <w:p>
            <w:pPr>
              <w:tabs>
                <w:tab w:val="left" w:pos="840"/>
              </w:tabs>
              <w:rPr>
                <w:rFonts w:hint="eastAsia" w:ascii="仿宋" w:hAnsi="仿宋" w:eastAsia="仿宋" w:cs="宋体"/>
                <w:kern w:val="0"/>
                <w:sz w:val="18"/>
                <w:szCs w:val="18"/>
              </w:rPr>
            </w:pPr>
          </w:p>
        </w:tc>
        <w:tc>
          <w:tcPr>
            <w:tcW w:w="1802" w:type="dxa"/>
            <w:noWrap/>
          </w:tcPr>
          <w:p>
            <w:pPr>
              <w:tabs>
                <w:tab w:val="left" w:pos="840"/>
              </w:tabs>
              <w:rPr>
                <w:rFonts w:hint="eastAsia" w:ascii="仿宋" w:hAnsi="仿宋" w:eastAsia="仿宋" w:cs="宋体"/>
                <w:kern w:val="0"/>
                <w:sz w:val="18"/>
                <w:szCs w:val="18"/>
              </w:rPr>
            </w:pPr>
          </w:p>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7.4.5注意病人精神状态，睡眠情况，情绪不稳定要严密看管，并及时告知管床医生及护士及病人家属。</w:t>
            </w:r>
          </w:p>
        </w:tc>
        <w:tc>
          <w:tcPr>
            <w:tcW w:w="567" w:type="dxa"/>
            <w:vMerge w:val="continue"/>
            <w:noWrap/>
          </w:tcPr>
          <w:p>
            <w:pPr>
              <w:tabs>
                <w:tab w:val="left" w:pos="840"/>
              </w:tabs>
              <w:rPr>
                <w:rFonts w:hint="eastAsia" w:ascii="仿宋" w:hAnsi="仿宋" w:eastAsia="仿宋" w:cs="宋体"/>
                <w:kern w:val="0"/>
                <w:sz w:val="18"/>
                <w:szCs w:val="18"/>
              </w:rPr>
            </w:pPr>
          </w:p>
        </w:tc>
        <w:tc>
          <w:tcPr>
            <w:tcW w:w="1802"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noWrap/>
            <w:vAlign w:val="center"/>
          </w:tcPr>
          <w:p>
            <w:pPr>
              <w:tabs>
                <w:tab w:val="left" w:pos="840"/>
              </w:tabs>
              <w:rPr>
                <w:rFonts w:hint="eastAsia" w:ascii="仿宋" w:hAnsi="仿宋" w:eastAsia="仿宋" w:cs="宋体"/>
                <w:kern w:val="0"/>
                <w:sz w:val="18"/>
                <w:szCs w:val="18"/>
              </w:rPr>
            </w:pPr>
          </w:p>
        </w:tc>
        <w:tc>
          <w:tcPr>
            <w:tcW w:w="5840"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7.4.6不能擅离职守，严格遵守请假制度。如有特发情况上报医护人员及主管。</w:t>
            </w:r>
          </w:p>
        </w:tc>
        <w:tc>
          <w:tcPr>
            <w:tcW w:w="567" w:type="dxa"/>
            <w:vMerge w:val="continue"/>
            <w:noWrap/>
          </w:tcPr>
          <w:p>
            <w:pPr>
              <w:tabs>
                <w:tab w:val="left" w:pos="840"/>
              </w:tabs>
              <w:rPr>
                <w:rFonts w:hint="eastAsia" w:ascii="仿宋" w:hAnsi="仿宋" w:eastAsia="仿宋" w:cs="宋体"/>
                <w:kern w:val="0"/>
                <w:sz w:val="18"/>
                <w:szCs w:val="18"/>
              </w:rPr>
            </w:pPr>
          </w:p>
        </w:tc>
        <w:tc>
          <w:tcPr>
            <w:tcW w:w="1802" w:type="dxa"/>
            <w:noWrap/>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一项不符扣2分</w:t>
            </w:r>
          </w:p>
        </w:tc>
        <w:tc>
          <w:tcPr>
            <w:tcW w:w="540" w:type="dxa"/>
            <w:noWrap/>
          </w:tcPr>
          <w:p>
            <w:pPr>
              <w:tabs>
                <w:tab w:val="left" w:pos="840"/>
              </w:tabs>
              <w:rPr>
                <w:rFonts w:hint="eastAsia"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noWrap/>
            <w:vAlign w:val="center"/>
          </w:tcPr>
          <w:p>
            <w:pPr>
              <w:tabs>
                <w:tab w:val="left" w:pos="840"/>
              </w:tabs>
              <w:rPr>
                <w:rFonts w:hint="eastAsia" w:ascii="仿宋" w:hAnsi="仿宋" w:eastAsia="仿宋" w:cs="宋体"/>
                <w:kern w:val="0"/>
                <w:sz w:val="18"/>
                <w:szCs w:val="18"/>
              </w:rPr>
            </w:pPr>
            <w:r>
              <w:rPr>
                <w:rFonts w:hint="eastAsia" w:ascii="仿宋" w:hAnsi="仿宋" w:eastAsia="仿宋" w:cs="宋体"/>
                <w:kern w:val="0"/>
                <w:sz w:val="18"/>
                <w:szCs w:val="18"/>
              </w:rPr>
              <w:t>总分值</w:t>
            </w:r>
          </w:p>
        </w:tc>
        <w:tc>
          <w:tcPr>
            <w:tcW w:w="5840" w:type="dxa"/>
            <w:noWrap/>
          </w:tcPr>
          <w:p>
            <w:pPr>
              <w:tabs>
                <w:tab w:val="left" w:pos="840"/>
              </w:tabs>
              <w:rPr>
                <w:rFonts w:hint="eastAsia" w:ascii="仿宋" w:hAnsi="仿宋" w:eastAsia="仿宋" w:cs="宋体"/>
                <w:kern w:val="0"/>
                <w:sz w:val="18"/>
                <w:szCs w:val="18"/>
              </w:rPr>
            </w:pPr>
          </w:p>
        </w:tc>
        <w:tc>
          <w:tcPr>
            <w:tcW w:w="567" w:type="dxa"/>
            <w:noWrap/>
          </w:tcPr>
          <w:p>
            <w:pPr>
              <w:tabs>
                <w:tab w:val="left" w:pos="840"/>
              </w:tabs>
              <w:rPr>
                <w:rFonts w:hint="eastAsia" w:ascii="仿宋" w:hAnsi="仿宋" w:eastAsia="仿宋" w:cs="宋体"/>
                <w:kern w:val="0"/>
                <w:sz w:val="18"/>
                <w:szCs w:val="18"/>
              </w:rPr>
            </w:pPr>
          </w:p>
        </w:tc>
        <w:tc>
          <w:tcPr>
            <w:tcW w:w="1802" w:type="dxa"/>
            <w:noWrap/>
          </w:tcPr>
          <w:p>
            <w:pPr>
              <w:tabs>
                <w:tab w:val="left" w:pos="840"/>
              </w:tabs>
              <w:rPr>
                <w:rFonts w:hint="eastAsia" w:ascii="仿宋" w:hAnsi="仿宋" w:eastAsia="仿宋" w:cs="宋体"/>
                <w:kern w:val="0"/>
                <w:sz w:val="18"/>
                <w:szCs w:val="18"/>
              </w:rPr>
            </w:pPr>
          </w:p>
        </w:tc>
        <w:tc>
          <w:tcPr>
            <w:tcW w:w="540" w:type="dxa"/>
            <w:noWrap/>
          </w:tcPr>
          <w:p>
            <w:pPr>
              <w:tabs>
                <w:tab w:val="left" w:pos="840"/>
              </w:tabs>
              <w:rPr>
                <w:rFonts w:hint="eastAsia" w:ascii="仿宋" w:hAnsi="仿宋" w:eastAsia="仿宋" w:cs="宋体"/>
                <w:kern w:val="0"/>
                <w:sz w:val="18"/>
                <w:szCs w:val="18"/>
              </w:rPr>
            </w:pPr>
          </w:p>
        </w:tc>
      </w:tr>
    </w:tbl>
    <w:p>
      <w:pPr>
        <w:tabs>
          <w:tab w:val="left" w:pos="360"/>
          <w:tab w:val="left" w:pos="4320"/>
        </w:tabs>
        <w:adjustRightInd w:val="0"/>
        <w:snapToGrid w:val="0"/>
        <w:spacing w:line="440" w:lineRule="exact"/>
        <w:ind w:firstLine="181" w:firstLineChars="100"/>
        <w:jc w:val="center"/>
        <w:rPr>
          <w:rFonts w:hint="eastAsia" w:ascii="仿宋" w:hAnsi="仿宋" w:eastAsia="仿宋" w:cs="宋体"/>
          <w:b/>
          <w:sz w:val="18"/>
          <w:szCs w:val="18"/>
        </w:rPr>
      </w:pPr>
    </w:p>
    <w:p>
      <w:pPr>
        <w:tabs>
          <w:tab w:val="left" w:pos="360"/>
          <w:tab w:val="left" w:pos="4320"/>
        </w:tabs>
        <w:adjustRightInd w:val="0"/>
        <w:snapToGrid w:val="0"/>
        <w:spacing w:line="440" w:lineRule="exact"/>
        <w:ind w:firstLine="241" w:firstLineChars="100"/>
        <w:jc w:val="center"/>
        <w:rPr>
          <w:rFonts w:hint="eastAsia" w:ascii="宋体" w:hAnsi="宋体" w:cs="宋体"/>
          <w:b/>
          <w:sz w:val="24"/>
          <w:szCs w:val="24"/>
        </w:rPr>
      </w:pPr>
      <w:r>
        <w:rPr>
          <w:rFonts w:hint="eastAsia" w:ascii="宋体" w:hAnsi="宋体" w:cs="宋体"/>
          <w:b/>
          <w:sz w:val="24"/>
          <w:szCs w:val="24"/>
        </w:rPr>
        <w:t>附件7：物业工作质量检查表7（管理）—100分</w:t>
      </w:r>
    </w:p>
    <w:tbl>
      <w:tblPr>
        <w:tblStyle w:val="30"/>
        <w:tblpPr w:leftFromText="180" w:rightFromText="180" w:vertAnchor="text" w:horzAnchor="page" w:tblpX="1242" w:tblpY="302"/>
        <w:tblOverlap w:val="never"/>
        <w:tblW w:w="9868" w:type="dxa"/>
        <w:tblInd w:w="0" w:type="dxa"/>
        <w:tblLayout w:type="fixed"/>
        <w:tblCellMar>
          <w:top w:w="0" w:type="dxa"/>
          <w:left w:w="108" w:type="dxa"/>
          <w:bottom w:w="0" w:type="dxa"/>
          <w:right w:w="108" w:type="dxa"/>
        </w:tblCellMar>
      </w:tblPr>
      <w:tblGrid>
        <w:gridCol w:w="985"/>
        <w:gridCol w:w="5825"/>
        <w:gridCol w:w="728"/>
        <w:gridCol w:w="2330"/>
      </w:tblGrid>
      <w:tr>
        <w:tblPrEx>
          <w:tblCellMar>
            <w:top w:w="0" w:type="dxa"/>
            <w:left w:w="108" w:type="dxa"/>
            <w:bottom w:w="0" w:type="dxa"/>
            <w:right w:w="108" w:type="dxa"/>
          </w:tblCellMar>
        </w:tblPrEx>
        <w:trPr>
          <w:trHeight w:val="20" w:hRule="atLeast"/>
        </w:trPr>
        <w:tc>
          <w:tcPr>
            <w:tcW w:w="98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b/>
                <w:bCs/>
                <w:kern w:val="0"/>
                <w:sz w:val="18"/>
                <w:szCs w:val="18"/>
              </w:rPr>
            </w:pPr>
            <w:r>
              <w:rPr>
                <w:rFonts w:hint="eastAsia" w:ascii="宋体" w:hAnsi="宋体" w:cs="宋体"/>
                <w:b/>
                <w:bCs/>
                <w:kern w:val="0"/>
                <w:sz w:val="18"/>
                <w:szCs w:val="18"/>
              </w:rPr>
              <w:t>考核</w:t>
            </w:r>
          </w:p>
        </w:tc>
        <w:tc>
          <w:tcPr>
            <w:tcW w:w="5825"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eastAsia" w:ascii="宋体" w:hAnsi="宋体" w:cs="宋体"/>
                <w:b/>
                <w:bCs/>
                <w:kern w:val="0"/>
                <w:sz w:val="18"/>
                <w:szCs w:val="18"/>
              </w:rPr>
            </w:pPr>
            <w:r>
              <w:rPr>
                <w:rFonts w:hint="eastAsia" w:ascii="宋体" w:hAnsi="宋体" w:cs="宋体"/>
                <w:b/>
                <w:bCs/>
                <w:kern w:val="0"/>
                <w:sz w:val="18"/>
                <w:szCs w:val="18"/>
              </w:rPr>
              <w:t>考核内容</w:t>
            </w:r>
          </w:p>
        </w:tc>
        <w:tc>
          <w:tcPr>
            <w:tcW w:w="728" w:type="dxa"/>
            <w:tcBorders>
              <w:top w:val="single" w:color="auto" w:sz="4" w:space="0"/>
              <w:left w:val="nil"/>
              <w:bottom w:val="single" w:color="auto" w:sz="4" w:space="0"/>
              <w:right w:val="single" w:color="auto" w:sz="4" w:space="0"/>
            </w:tcBorders>
            <w:noWrap/>
            <w:vAlign w:val="center"/>
          </w:tcPr>
          <w:p>
            <w:pPr>
              <w:widowControl/>
              <w:spacing w:line="440" w:lineRule="exact"/>
              <w:jc w:val="left"/>
              <w:rPr>
                <w:rFonts w:hint="eastAsia" w:ascii="宋体" w:hAnsi="宋体" w:cs="宋体"/>
                <w:b/>
                <w:bCs/>
                <w:kern w:val="0"/>
                <w:sz w:val="18"/>
                <w:szCs w:val="18"/>
              </w:rPr>
            </w:pPr>
            <w:r>
              <w:rPr>
                <w:rFonts w:hint="eastAsia" w:ascii="宋体" w:hAnsi="宋体" w:cs="宋体"/>
                <w:b/>
                <w:bCs/>
                <w:kern w:val="0"/>
                <w:sz w:val="18"/>
                <w:szCs w:val="18"/>
              </w:rPr>
              <w:t>分值</w:t>
            </w:r>
          </w:p>
        </w:tc>
        <w:tc>
          <w:tcPr>
            <w:tcW w:w="2330" w:type="dxa"/>
            <w:tcBorders>
              <w:top w:val="single" w:color="auto" w:sz="4" w:space="0"/>
              <w:left w:val="nil"/>
              <w:bottom w:val="single" w:color="auto" w:sz="4" w:space="0"/>
              <w:right w:val="single" w:color="auto" w:sz="4" w:space="0"/>
            </w:tcBorders>
            <w:noWrap/>
            <w:vAlign w:val="center"/>
          </w:tcPr>
          <w:p>
            <w:pPr>
              <w:widowControl/>
              <w:spacing w:line="440" w:lineRule="exact"/>
              <w:jc w:val="center"/>
              <w:rPr>
                <w:rFonts w:hint="eastAsia" w:ascii="宋体" w:hAnsi="宋体" w:cs="宋体"/>
                <w:b/>
                <w:bCs/>
                <w:kern w:val="0"/>
                <w:sz w:val="18"/>
                <w:szCs w:val="18"/>
              </w:rPr>
            </w:pPr>
            <w:r>
              <w:rPr>
                <w:rFonts w:hint="eastAsia" w:ascii="宋体" w:hAnsi="宋体" w:cs="宋体"/>
                <w:b/>
                <w:bCs/>
                <w:kern w:val="0"/>
                <w:sz w:val="18"/>
                <w:szCs w:val="18"/>
              </w:rPr>
              <w:t>扣分标准</w:t>
            </w:r>
          </w:p>
        </w:tc>
      </w:tr>
      <w:tr>
        <w:tblPrEx>
          <w:tblCellMar>
            <w:top w:w="0" w:type="dxa"/>
            <w:left w:w="108" w:type="dxa"/>
            <w:bottom w:w="0" w:type="dxa"/>
            <w:right w:w="108" w:type="dxa"/>
          </w:tblCellMar>
        </w:tblPrEx>
        <w:trPr>
          <w:trHeight w:val="20" w:hRule="atLeast"/>
        </w:trPr>
        <w:tc>
          <w:tcPr>
            <w:tcW w:w="985" w:type="dxa"/>
            <w:vMerge w:val="restart"/>
            <w:tcBorders>
              <w:top w:val="single" w:color="auto" w:sz="4" w:space="0"/>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组织</w:t>
            </w:r>
          </w:p>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管理（20%）</w:t>
            </w:r>
          </w:p>
        </w:tc>
        <w:tc>
          <w:tcPr>
            <w:tcW w:w="5825" w:type="dxa"/>
            <w:tcBorders>
              <w:top w:val="single" w:color="auto" w:sz="4" w:space="0"/>
              <w:left w:val="nil"/>
              <w:bottom w:val="single" w:color="auto" w:sz="4" w:space="0"/>
              <w:right w:val="single" w:color="000000" w:sz="4" w:space="0"/>
            </w:tcBorders>
            <w:noWrap/>
          </w:tcPr>
          <w:p>
            <w:pPr>
              <w:tabs>
                <w:tab w:val="left" w:pos="840"/>
              </w:tabs>
              <w:rPr>
                <w:rFonts w:hint="eastAsia" w:ascii="仿宋" w:hAnsi="仿宋" w:eastAsia="仿宋" w:cs="宋体"/>
                <w:kern w:val="0"/>
                <w:szCs w:val="21"/>
              </w:rPr>
            </w:pPr>
            <w:r>
              <w:rPr>
                <w:rFonts w:hint="eastAsia" w:ascii="仿宋" w:hAnsi="仿宋" w:eastAsia="仿宋" w:cs="宋体"/>
                <w:kern w:val="0"/>
                <w:szCs w:val="21"/>
              </w:rPr>
              <w:t>1.1.1管理体系齐全，人员构成合理，职责明确。</w:t>
            </w:r>
          </w:p>
        </w:tc>
        <w:tc>
          <w:tcPr>
            <w:tcW w:w="728" w:type="dxa"/>
            <w:vMerge w:val="restart"/>
            <w:tcBorders>
              <w:top w:val="single" w:color="auto" w:sz="4" w:space="0"/>
              <w:left w:val="nil"/>
              <w:right w:val="single" w:color="auto" w:sz="4" w:space="0"/>
            </w:tcBorders>
            <w:noWrap/>
            <w:vAlign w:val="center"/>
          </w:tcPr>
          <w:p>
            <w:pPr>
              <w:widowControl/>
              <w:tabs>
                <w:tab w:val="left" w:pos="840"/>
              </w:tabs>
              <w:jc w:val="center"/>
              <w:rPr>
                <w:rFonts w:hint="eastAsia" w:ascii="仿宋" w:hAnsi="仿宋" w:eastAsia="仿宋" w:cs="宋体"/>
                <w:kern w:val="0"/>
                <w:szCs w:val="21"/>
              </w:rPr>
            </w:pPr>
            <w:r>
              <w:rPr>
                <w:rFonts w:hint="eastAsia" w:ascii="仿宋" w:hAnsi="仿宋" w:eastAsia="仿宋" w:cs="宋体"/>
                <w:kern w:val="0"/>
                <w:szCs w:val="21"/>
              </w:rPr>
              <w:t>20</w:t>
            </w:r>
          </w:p>
        </w:tc>
        <w:tc>
          <w:tcPr>
            <w:tcW w:w="2330" w:type="dxa"/>
            <w:tcBorders>
              <w:top w:val="single" w:color="auto" w:sz="4" w:space="0"/>
              <w:left w:val="nil"/>
              <w:bottom w:val="single" w:color="auto" w:sz="4" w:space="0"/>
              <w:right w:val="single" w:color="auto" w:sz="4" w:space="0"/>
            </w:tcBorders>
            <w:noWrap/>
            <w:vAlign w:val="center"/>
          </w:tcPr>
          <w:p>
            <w:pPr>
              <w:widowControl/>
              <w:tabs>
                <w:tab w:val="left" w:pos="840"/>
              </w:tabs>
              <w:jc w:val="left"/>
              <w:rPr>
                <w:rFonts w:hint="eastAsia" w:ascii="仿宋" w:hAnsi="仿宋" w:eastAsia="仿宋" w:cs="宋体"/>
                <w:kern w:val="0"/>
                <w:szCs w:val="21"/>
              </w:rPr>
            </w:pPr>
            <w:r>
              <w:rPr>
                <w:rFonts w:hint="eastAsia" w:ascii="仿宋" w:hAnsi="仿宋" w:eastAsia="仿宋" w:cs="宋体"/>
                <w:kern w:val="0"/>
                <w:szCs w:val="21"/>
              </w:rPr>
              <w:t>一项不符扣2分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1.2.2有年度、月度工作计划，周安排，日重点。</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无计划扣5分，计划缺乏科学性扣2分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1.2.3各项规章制度、操作常规、应急预案齐全。</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1.2.4定期进行质量检查，有巡查记录，每月召开质量分析会议。</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一项不符扣5分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1.2.5年度、月度工作总结，工作量上报，有改进措施，及时评价效果。</w:t>
            </w:r>
          </w:p>
        </w:tc>
        <w:tc>
          <w:tcPr>
            <w:tcW w:w="728" w:type="dxa"/>
            <w:vMerge w:val="continue"/>
            <w:tcBorders>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无总结扣5分，不改进评价扣5分</w:t>
            </w:r>
          </w:p>
        </w:tc>
      </w:tr>
      <w:tr>
        <w:tblPrEx>
          <w:tblCellMar>
            <w:top w:w="0" w:type="dxa"/>
            <w:left w:w="108" w:type="dxa"/>
            <w:bottom w:w="0" w:type="dxa"/>
            <w:right w:w="108" w:type="dxa"/>
          </w:tblCellMar>
        </w:tblPrEx>
        <w:trPr>
          <w:trHeight w:val="20" w:hRule="atLeast"/>
        </w:trPr>
        <w:tc>
          <w:tcPr>
            <w:tcW w:w="985" w:type="dxa"/>
            <w:vMerge w:val="restart"/>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风险</w:t>
            </w:r>
          </w:p>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管理（20%）</w:t>
            </w: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1.2.1各类应急预案有培训、演练或考核。</w:t>
            </w:r>
          </w:p>
        </w:tc>
        <w:tc>
          <w:tcPr>
            <w:tcW w:w="728" w:type="dxa"/>
            <w:vMerge w:val="restart"/>
            <w:tcBorders>
              <w:top w:val="nil"/>
              <w:left w:val="nil"/>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20</w:t>
            </w: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无培训，演练考核扣5分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1.2.2节日安全保障系统健全，人员、物品、环境准备符合要求。</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一项不符合扣2分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1.2.3发生安全事件及时上报、分析、整改。</w:t>
            </w:r>
          </w:p>
        </w:tc>
        <w:tc>
          <w:tcPr>
            <w:tcW w:w="728" w:type="dxa"/>
            <w:vMerge w:val="continue"/>
            <w:tcBorders>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发生安全事件不报扣5分</w:t>
            </w:r>
          </w:p>
        </w:tc>
      </w:tr>
      <w:tr>
        <w:tblPrEx>
          <w:tblCellMar>
            <w:top w:w="0" w:type="dxa"/>
            <w:left w:w="108" w:type="dxa"/>
            <w:bottom w:w="0" w:type="dxa"/>
            <w:right w:w="108" w:type="dxa"/>
          </w:tblCellMar>
        </w:tblPrEx>
        <w:trPr>
          <w:trHeight w:val="20" w:hRule="atLeast"/>
        </w:trPr>
        <w:tc>
          <w:tcPr>
            <w:tcW w:w="985" w:type="dxa"/>
            <w:vMerge w:val="restart"/>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人事</w:t>
            </w:r>
          </w:p>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管理（15%）</w:t>
            </w: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1.3.1新工人必须经培训考核合格后上岗，并能满足服务科室的工作需要，管理人员需跟踪了解。根据岗位特点做好定期培训和考核工作。</w:t>
            </w:r>
          </w:p>
        </w:tc>
        <w:tc>
          <w:tcPr>
            <w:tcW w:w="728" w:type="dxa"/>
            <w:vMerge w:val="restart"/>
            <w:tcBorders>
              <w:top w:val="nil"/>
              <w:left w:val="nil"/>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15</w:t>
            </w: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未培训上岗扣5分；不能满足需求扣3分；未定期培训考核扣5分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000000"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1.3.2对科室投诉认真做好处理，同时做好人员顶岗调剂，保证工作质量，不得出现空岗。</w:t>
            </w:r>
          </w:p>
        </w:tc>
        <w:tc>
          <w:tcPr>
            <w:tcW w:w="728" w:type="dxa"/>
            <w:vMerge w:val="continue"/>
            <w:tcBorders>
              <w:top w:val="nil"/>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不符合扣5分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color w:val="FF0000"/>
                <w:kern w:val="0"/>
                <w:szCs w:val="21"/>
              </w:rPr>
            </w:pPr>
            <w:r>
              <w:rPr>
                <w:rFonts w:hint="eastAsia" w:ascii="仿宋" w:hAnsi="仿宋" w:eastAsia="仿宋" w:cs="宋体"/>
                <w:color w:val="FF0000"/>
                <w:kern w:val="0"/>
                <w:szCs w:val="21"/>
              </w:rPr>
              <w:t>1.3.3做好一站式后勤、会务服务人员的管理，根据岗位需求，做好培训和考核工作。</w:t>
            </w:r>
          </w:p>
        </w:tc>
        <w:tc>
          <w:tcPr>
            <w:tcW w:w="728" w:type="dxa"/>
            <w:vMerge w:val="continue"/>
            <w:tcBorders>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不符合扣5分</w:t>
            </w:r>
          </w:p>
        </w:tc>
      </w:tr>
      <w:tr>
        <w:tblPrEx>
          <w:tblCellMar>
            <w:top w:w="0" w:type="dxa"/>
            <w:left w:w="108" w:type="dxa"/>
            <w:bottom w:w="0" w:type="dxa"/>
            <w:right w:w="108" w:type="dxa"/>
          </w:tblCellMar>
        </w:tblPrEx>
        <w:trPr>
          <w:trHeight w:val="20" w:hRule="atLeast"/>
        </w:trPr>
        <w:tc>
          <w:tcPr>
            <w:tcW w:w="985" w:type="dxa"/>
            <w:vMerge w:val="restart"/>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物品</w:t>
            </w:r>
          </w:p>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管理（15%）</w:t>
            </w: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1.4.1按相关规定规范管理保洁用品耗材，账物相符。</w:t>
            </w:r>
          </w:p>
        </w:tc>
        <w:tc>
          <w:tcPr>
            <w:tcW w:w="728" w:type="dxa"/>
            <w:vMerge w:val="restart"/>
            <w:tcBorders>
              <w:left w:val="nil"/>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15</w:t>
            </w: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1.4.2消毒剂定期检查，确保在有效期内，正确合理使用。</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1.4.3根据保洁用品使用期限，及时更新。</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不及时更新扣2分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1.4.4物品损坏后，应按类别申请报废。</w:t>
            </w:r>
          </w:p>
        </w:tc>
        <w:tc>
          <w:tcPr>
            <w:tcW w:w="728" w:type="dxa"/>
            <w:vMerge w:val="continue"/>
            <w:tcBorders>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一项不符扣2分</w:t>
            </w:r>
          </w:p>
        </w:tc>
      </w:tr>
      <w:tr>
        <w:tblPrEx>
          <w:tblCellMar>
            <w:top w:w="0" w:type="dxa"/>
            <w:left w:w="108" w:type="dxa"/>
            <w:bottom w:w="0" w:type="dxa"/>
            <w:right w:w="108" w:type="dxa"/>
          </w:tblCellMar>
        </w:tblPrEx>
        <w:trPr>
          <w:trHeight w:val="20" w:hRule="atLeast"/>
        </w:trPr>
        <w:tc>
          <w:tcPr>
            <w:tcW w:w="985" w:type="dxa"/>
            <w:vMerge w:val="restart"/>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灭四害管理（10%）</w:t>
            </w: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1.6.1有计划、措施有效落实，定期巡查到位，记录完善。</w:t>
            </w:r>
          </w:p>
        </w:tc>
        <w:tc>
          <w:tcPr>
            <w:tcW w:w="728" w:type="dxa"/>
            <w:vMerge w:val="restart"/>
            <w:tcBorders>
              <w:top w:val="nil"/>
              <w:left w:val="nil"/>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10</w:t>
            </w: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工作记录缺项扣5分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1.6.2四害处置药物购置途径规范，专人保管，账物相符有记录。</w:t>
            </w:r>
          </w:p>
        </w:tc>
        <w:tc>
          <w:tcPr>
            <w:tcW w:w="728" w:type="dxa"/>
            <w:vMerge w:val="continue"/>
            <w:tcBorders>
              <w:left w:val="nil"/>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一项不符扣1分</w:t>
            </w:r>
          </w:p>
        </w:tc>
      </w:tr>
      <w:tr>
        <w:tblPrEx>
          <w:tblCellMar>
            <w:top w:w="0" w:type="dxa"/>
            <w:left w:w="108" w:type="dxa"/>
            <w:bottom w:w="0" w:type="dxa"/>
            <w:right w:w="108" w:type="dxa"/>
          </w:tblCellMar>
        </w:tblPrEx>
        <w:trPr>
          <w:trHeight w:val="20" w:hRule="atLeast"/>
        </w:trPr>
        <w:tc>
          <w:tcPr>
            <w:tcW w:w="985" w:type="dxa"/>
            <w:vMerge w:val="continue"/>
            <w:tcBorders>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p>
        </w:tc>
        <w:tc>
          <w:tcPr>
            <w:tcW w:w="5825" w:type="dxa"/>
            <w:tcBorders>
              <w:top w:val="single" w:color="auto" w:sz="4" w:space="0"/>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1.6.3毒饵站、诱蝇笼等设施完好，有效使用。</w:t>
            </w:r>
          </w:p>
        </w:tc>
        <w:tc>
          <w:tcPr>
            <w:tcW w:w="728" w:type="dxa"/>
            <w:vMerge w:val="continue"/>
            <w:tcBorders>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p>
        </w:tc>
        <w:tc>
          <w:tcPr>
            <w:tcW w:w="2330" w:type="dxa"/>
            <w:tcBorders>
              <w:top w:val="nil"/>
              <w:left w:val="nil"/>
              <w:bottom w:val="single" w:color="auto" w:sz="4" w:space="0"/>
              <w:right w:val="single" w:color="auto" w:sz="4" w:space="0"/>
            </w:tcBorders>
            <w:noWrap/>
            <w:vAlign w:val="center"/>
          </w:tcPr>
          <w:p>
            <w:pPr>
              <w:tabs>
                <w:tab w:val="left" w:pos="840"/>
              </w:tabs>
              <w:rPr>
                <w:rFonts w:hint="eastAsia" w:ascii="仿宋" w:hAnsi="仿宋" w:eastAsia="仿宋" w:cs="宋体"/>
                <w:kern w:val="0"/>
                <w:szCs w:val="21"/>
              </w:rPr>
            </w:pPr>
            <w:r>
              <w:rPr>
                <w:rFonts w:hint="eastAsia" w:ascii="仿宋" w:hAnsi="仿宋" w:eastAsia="仿宋" w:cs="宋体"/>
                <w:kern w:val="0"/>
                <w:szCs w:val="21"/>
              </w:rPr>
              <w:t>一项不符扣1分</w:t>
            </w:r>
          </w:p>
        </w:tc>
      </w:tr>
      <w:tr>
        <w:tblPrEx>
          <w:tblCellMar>
            <w:top w:w="0" w:type="dxa"/>
            <w:left w:w="108" w:type="dxa"/>
            <w:bottom w:w="0" w:type="dxa"/>
            <w:right w:w="108" w:type="dxa"/>
          </w:tblCellMar>
        </w:tblPrEx>
        <w:trPr>
          <w:trHeight w:val="20" w:hRule="atLeast"/>
        </w:trPr>
        <w:tc>
          <w:tcPr>
            <w:tcW w:w="98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消防</w:t>
            </w:r>
          </w:p>
          <w:p>
            <w:pPr>
              <w:widowControl/>
              <w:spacing w:line="440" w:lineRule="exact"/>
              <w:jc w:val="center"/>
              <w:rPr>
                <w:rFonts w:hint="eastAsia" w:ascii="仿宋" w:hAnsi="仿宋" w:eastAsia="仿宋" w:cs="宋体"/>
                <w:b/>
                <w:bCs/>
                <w:kern w:val="0"/>
                <w:szCs w:val="21"/>
              </w:rPr>
            </w:pPr>
            <w:r>
              <w:rPr>
                <w:rFonts w:hint="eastAsia" w:ascii="仿宋" w:hAnsi="仿宋" w:eastAsia="仿宋" w:cs="宋体"/>
                <w:b/>
                <w:bCs/>
                <w:kern w:val="0"/>
                <w:szCs w:val="21"/>
              </w:rPr>
              <w:t>管理（20%）</w:t>
            </w:r>
          </w:p>
        </w:tc>
        <w:tc>
          <w:tcPr>
            <w:tcW w:w="5825" w:type="dxa"/>
            <w:tcBorders>
              <w:top w:val="single" w:color="auto" w:sz="4" w:space="0"/>
              <w:left w:val="single" w:color="auto" w:sz="4" w:space="0"/>
              <w:bottom w:val="single" w:color="auto" w:sz="4" w:space="0"/>
              <w:right w:val="single" w:color="auto" w:sz="4" w:space="0"/>
            </w:tcBorders>
            <w:noWrap/>
          </w:tcPr>
          <w:p>
            <w:pPr>
              <w:tabs>
                <w:tab w:val="left" w:pos="840"/>
              </w:tabs>
              <w:rPr>
                <w:rFonts w:hint="eastAsia" w:ascii="仿宋" w:hAnsi="仿宋" w:eastAsia="仿宋" w:cs="宋体"/>
                <w:kern w:val="0"/>
                <w:szCs w:val="21"/>
              </w:rPr>
            </w:pPr>
            <w:r>
              <w:rPr>
                <w:rFonts w:hint="eastAsia" w:ascii="仿宋" w:hAnsi="仿宋" w:eastAsia="仿宋" w:cs="宋体"/>
                <w:kern w:val="0"/>
                <w:szCs w:val="21"/>
              </w:rPr>
              <w:t>1.7.1安全通道无积物存放。对科室的消防设施人人知晓。</w:t>
            </w:r>
          </w:p>
        </w:tc>
        <w:tc>
          <w:tcPr>
            <w:tcW w:w="728"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center"/>
              <w:rPr>
                <w:rFonts w:hint="eastAsia" w:ascii="仿宋" w:hAnsi="仿宋" w:eastAsia="仿宋" w:cs="宋体"/>
                <w:kern w:val="0"/>
                <w:szCs w:val="21"/>
              </w:rPr>
            </w:pPr>
            <w:r>
              <w:rPr>
                <w:rFonts w:hint="eastAsia" w:ascii="仿宋" w:hAnsi="仿宋" w:eastAsia="仿宋" w:cs="宋体"/>
                <w:kern w:val="0"/>
                <w:szCs w:val="21"/>
              </w:rPr>
              <w:t>20</w:t>
            </w:r>
          </w:p>
        </w:tc>
        <w:tc>
          <w:tcPr>
            <w:tcW w:w="2330" w:type="dxa"/>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left"/>
              <w:rPr>
                <w:rFonts w:hint="eastAsia" w:ascii="仿宋" w:hAnsi="仿宋" w:eastAsia="仿宋" w:cs="宋体"/>
                <w:kern w:val="0"/>
                <w:szCs w:val="21"/>
              </w:rPr>
            </w:pPr>
            <w:r>
              <w:rPr>
                <w:rFonts w:hint="eastAsia" w:ascii="仿宋" w:hAnsi="仿宋" w:eastAsia="仿宋" w:cs="宋体"/>
                <w:kern w:val="0"/>
                <w:szCs w:val="21"/>
              </w:rPr>
              <w:t>一项不符扣2分</w:t>
            </w:r>
          </w:p>
        </w:tc>
      </w:tr>
      <w:tr>
        <w:tblPrEx>
          <w:tblCellMar>
            <w:top w:w="0" w:type="dxa"/>
            <w:left w:w="108" w:type="dxa"/>
            <w:bottom w:w="0" w:type="dxa"/>
            <w:right w:w="108" w:type="dxa"/>
          </w:tblCellMar>
        </w:tblPrEx>
        <w:trPr>
          <w:trHeight w:val="20" w:hRule="atLeast"/>
        </w:trPr>
        <w:tc>
          <w:tcPr>
            <w:tcW w:w="98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left"/>
              <w:rPr>
                <w:rFonts w:hint="eastAsia" w:ascii="仿宋" w:hAnsi="仿宋" w:eastAsia="仿宋" w:cs="宋体"/>
                <w:b/>
                <w:bCs/>
                <w:kern w:val="0"/>
                <w:szCs w:val="21"/>
              </w:rPr>
            </w:pPr>
          </w:p>
        </w:tc>
        <w:tc>
          <w:tcPr>
            <w:tcW w:w="5825" w:type="dxa"/>
            <w:tcBorders>
              <w:top w:val="single" w:color="auto" w:sz="4" w:space="0"/>
              <w:left w:val="single" w:color="auto" w:sz="4" w:space="0"/>
              <w:bottom w:val="single" w:color="auto" w:sz="4" w:space="0"/>
              <w:right w:val="single" w:color="auto" w:sz="4" w:space="0"/>
            </w:tcBorders>
            <w:noWrap/>
          </w:tcPr>
          <w:p>
            <w:pPr>
              <w:tabs>
                <w:tab w:val="left" w:pos="840"/>
              </w:tabs>
              <w:rPr>
                <w:rFonts w:hint="eastAsia" w:ascii="仿宋" w:hAnsi="仿宋" w:eastAsia="仿宋" w:cs="宋体"/>
                <w:kern w:val="0"/>
                <w:szCs w:val="21"/>
              </w:rPr>
            </w:pPr>
            <w:r>
              <w:rPr>
                <w:rFonts w:hint="eastAsia" w:ascii="仿宋" w:hAnsi="仿宋" w:eastAsia="仿宋" w:cs="宋体"/>
                <w:kern w:val="0"/>
                <w:szCs w:val="21"/>
              </w:rPr>
              <w:t>1.8.2工勤人员知晓突发火灾时的应急预案，自己的职责、疏散途径。</w:t>
            </w:r>
          </w:p>
        </w:tc>
        <w:tc>
          <w:tcPr>
            <w:tcW w:w="728" w:type="dxa"/>
            <w:vMerge w:val="continue"/>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center"/>
              <w:rPr>
                <w:rFonts w:hint="eastAsia" w:ascii="仿宋" w:hAnsi="仿宋" w:eastAsia="仿宋" w:cs="宋体"/>
                <w:kern w:val="0"/>
                <w:szCs w:val="21"/>
              </w:rPr>
            </w:pPr>
          </w:p>
        </w:tc>
        <w:tc>
          <w:tcPr>
            <w:tcW w:w="2330" w:type="dxa"/>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left"/>
              <w:rPr>
                <w:rFonts w:hint="eastAsia" w:ascii="仿宋" w:hAnsi="仿宋" w:eastAsia="仿宋" w:cs="宋体"/>
                <w:kern w:val="0"/>
                <w:szCs w:val="21"/>
              </w:rPr>
            </w:pPr>
            <w:r>
              <w:rPr>
                <w:rFonts w:hint="eastAsia" w:ascii="仿宋" w:hAnsi="仿宋" w:eastAsia="仿宋" w:cs="宋体"/>
                <w:kern w:val="0"/>
                <w:szCs w:val="21"/>
              </w:rPr>
              <w:t>一项不符扣3分</w:t>
            </w:r>
          </w:p>
        </w:tc>
      </w:tr>
      <w:tr>
        <w:tblPrEx>
          <w:tblCellMar>
            <w:top w:w="0" w:type="dxa"/>
            <w:left w:w="108" w:type="dxa"/>
            <w:bottom w:w="0" w:type="dxa"/>
            <w:right w:w="108" w:type="dxa"/>
          </w:tblCellMar>
        </w:tblPrEx>
        <w:trPr>
          <w:trHeight w:val="20" w:hRule="atLeast"/>
        </w:trPr>
        <w:tc>
          <w:tcPr>
            <w:tcW w:w="98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left"/>
              <w:rPr>
                <w:rFonts w:hint="eastAsia" w:ascii="仿宋" w:hAnsi="仿宋" w:eastAsia="仿宋" w:cs="宋体"/>
                <w:b/>
                <w:bCs/>
                <w:kern w:val="0"/>
                <w:szCs w:val="21"/>
              </w:rPr>
            </w:pPr>
          </w:p>
        </w:tc>
        <w:tc>
          <w:tcPr>
            <w:tcW w:w="5825" w:type="dxa"/>
            <w:tcBorders>
              <w:top w:val="single" w:color="auto" w:sz="4" w:space="0"/>
              <w:left w:val="single" w:color="auto" w:sz="4" w:space="0"/>
              <w:bottom w:val="single" w:color="auto" w:sz="4" w:space="0"/>
              <w:right w:val="single" w:color="auto" w:sz="4" w:space="0"/>
            </w:tcBorders>
            <w:noWrap/>
          </w:tcPr>
          <w:p>
            <w:pPr>
              <w:tabs>
                <w:tab w:val="left" w:pos="840"/>
              </w:tabs>
              <w:rPr>
                <w:rFonts w:hint="eastAsia" w:ascii="仿宋" w:hAnsi="仿宋" w:eastAsia="仿宋" w:cs="宋体"/>
                <w:kern w:val="0"/>
                <w:szCs w:val="21"/>
              </w:rPr>
            </w:pPr>
            <w:r>
              <w:rPr>
                <w:rFonts w:hint="eastAsia" w:ascii="仿宋" w:hAnsi="仿宋" w:eastAsia="仿宋" w:cs="宋体"/>
                <w:kern w:val="0"/>
                <w:szCs w:val="21"/>
              </w:rPr>
              <w:t>1.6.3知晓报警电话，报警内容（着火地点、火势有无人员被困等）。</w:t>
            </w:r>
          </w:p>
        </w:tc>
        <w:tc>
          <w:tcPr>
            <w:tcW w:w="728" w:type="dxa"/>
            <w:vMerge w:val="continue"/>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center"/>
              <w:rPr>
                <w:rFonts w:hint="eastAsia" w:ascii="仿宋" w:hAnsi="仿宋" w:eastAsia="仿宋" w:cs="宋体"/>
                <w:kern w:val="0"/>
                <w:szCs w:val="21"/>
              </w:rPr>
            </w:pPr>
          </w:p>
        </w:tc>
        <w:tc>
          <w:tcPr>
            <w:tcW w:w="2330" w:type="dxa"/>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left"/>
              <w:rPr>
                <w:rFonts w:hint="eastAsia" w:ascii="仿宋" w:hAnsi="仿宋" w:eastAsia="仿宋" w:cs="宋体"/>
                <w:kern w:val="0"/>
                <w:szCs w:val="21"/>
              </w:rPr>
            </w:pPr>
            <w:r>
              <w:rPr>
                <w:rFonts w:hint="eastAsia" w:ascii="仿宋" w:hAnsi="仿宋" w:eastAsia="仿宋" w:cs="宋体"/>
                <w:kern w:val="0"/>
                <w:szCs w:val="21"/>
              </w:rPr>
              <w:t>一项不符扣3分</w:t>
            </w:r>
          </w:p>
        </w:tc>
      </w:tr>
      <w:tr>
        <w:tblPrEx>
          <w:tblCellMar>
            <w:top w:w="0" w:type="dxa"/>
            <w:left w:w="108" w:type="dxa"/>
            <w:bottom w:w="0" w:type="dxa"/>
            <w:right w:w="108" w:type="dxa"/>
          </w:tblCellMar>
        </w:tblPrEx>
        <w:trPr>
          <w:trHeight w:val="20" w:hRule="atLeast"/>
        </w:trPr>
        <w:tc>
          <w:tcPr>
            <w:tcW w:w="98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left"/>
              <w:rPr>
                <w:rFonts w:hint="eastAsia" w:ascii="仿宋" w:hAnsi="仿宋" w:eastAsia="仿宋" w:cs="宋体"/>
                <w:b/>
                <w:bCs/>
                <w:kern w:val="0"/>
                <w:szCs w:val="21"/>
              </w:rPr>
            </w:pPr>
          </w:p>
        </w:tc>
        <w:tc>
          <w:tcPr>
            <w:tcW w:w="5825" w:type="dxa"/>
            <w:tcBorders>
              <w:top w:val="single" w:color="auto" w:sz="4" w:space="0"/>
              <w:left w:val="single" w:color="auto" w:sz="4" w:space="0"/>
              <w:bottom w:val="single" w:color="auto" w:sz="4" w:space="0"/>
              <w:right w:val="single" w:color="auto" w:sz="4" w:space="0"/>
            </w:tcBorders>
            <w:noWrap/>
          </w:tcPr>
          <w:p>
            <w:pPr>
              <w:tabs>
                <w:tab w:val="left" w:pos="840"/>
              </w:tabs>
              <w:rPr>
                <w:rFonts w:hint="eastAsia" w:ascii="仿宋" w:hAnsi="仿宋" w:eastAsia="仿宋" w:cs="宋体"/>
                <w:kern w:val="0"/>
                <w:szCs w:val="21"/>
              </w:rPr>
            </w:pPr>
            <w:r>
              <w:rPr>
                <w:rFonts w:hint="eastAsia" w:ascii="仿宋" w:hAnsi="仿宋" w:eastAsia="仿宋" w:cs="宋体"/>
                <w:kern w:val="0"/>
                <w:szCs w:val="21"/>
              </w:rPr>
              <w:t>1.6.4工勤人员会使用灭火设施，定期组织现场演练。</w:t>
            </w:r>
          </w:p>
          <w:p>
            <w:pPr>
              <w:tabs>
                <w:tab w:val="left" w:pos="840"/>
              </w:tabs>
              <w:rPr>
                <w:rFonts w:hint="eastAsia" w:ascii="仿宋" w:hAnsi="仿宋" w:eastAsia="仿宋" w:cs="宋体"/>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center"/>
              <w:rPr>
                <w:rFonts w:hint="eastAsia" w:ascii="仿宋" w:hAnsi="仿宋" w:eastAsia="仿宋" w:cs="宋体"/>
                <w:kern w:val="0"/>
                <w:szCs w:val="21"/>
              </w:rPr>
            </w:pPr>
          </w:p>
        </w:tc>
        <w:tc>
          <w:tcPr>
            <w:tcW w:w="2330" w:type="dxa"/>
            <w:tcBorders>
              <w:top w:val="single" w:color="auto" w:sz="4" w:space="0"/>
              <w:left w:val="single" w:color="auto" w:sz="4" w:space="0"/>
              <w:bottom w:val="single" w:color="auto" w:sz="4" w:space="0"/>
              <w:right w:val="single" w:color="auto" w:sz="4" w:space="0"/>
            </w:tcBorders>
            <w:noWrap/>
            <w:vAlign w:val="center"/>
          </w:tcPr>
          <w:p>
            <w:pPr>
              <w:widowControl/>
              <w:tabs>
                <w:tab w:val="left" w:pos="840"/>
              </w:tabs>
              <w:jc w:val="left"/>
              <w:rPr>
                <w:rFonts w:hint="eastAsia" w:ascii="仿宋" w:hAnsi="仿宋" w:eastAsia="仿宋" w:cs="宋体"/>
                <w:kern w:val="0"/>
                <w:szCs w:val="21"/>
              </w:rPr>
            </w:pPr>
            <w:r>
              <w:rPr>
                <w:rFonts w:hint="eastAsia" w:ascii="仿宋" w:hAnsi="仿宋" w:eastAsia="仿宋" w:cs="宋体"/>
                <w:kern w:val="0"/>
                <w:szCs w:val="21"/>
              </w:rPr>
              <w:t>一项不符扣2分</w:t>
            </w:r>
          </w:p>
        </w:tc>
      </w:tr>
    </w:tbl>
    <w:p/>
    <w:p/>
    <w:p>
      <w:pPr>
        <w:tabs>
          <w:tab w:val="left" w:pos="360"/>
          <w:tab w:val="left" w:pos="4320"/>
        </w:tabs>
        <w:adjustRightInd w:val="0"/>
        <w:snapToGrid w:val="0"/>
        <w:spacing w:line="440" w:lineRule="exact"/>
        <w:ind w:firstLine="241" w:firstLineChars="100"/>
        <w:jc w:val="center"/>
        <w:rPr>
          <w:rFonts w:hint="eastAsia" w:ascii="宋体" w:hAnsi="宋体" w:cs="宋体"/>
          <w:b/>
          <w:sz w:val="24"/>
          <w:szCs w:val="24"/>
        </w:rPr>
      </w:pPr>
      <w:r>
        <w:rPr>
          <w:rFonts w:hint="eastAsia" w:ascii="宋体" w:hAnsi="宋体" w:cs="宋体"/>
          <w:b/>
          <w:sz w:val="24"/>
          <w:szCs w:val="24"/>
        </w:rPr>
        <w:t>附件8：会务工作质量月考核表8—100分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5211"/>
        <w:gridCol w:w="102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1" w:type="pct"/>
            <w:vAlign w:val="center"/>
          </w:tcPr>
          <w:p>
            <w:pPr>
              <w:widowControl/>
              <w:jc w:val="center"/>
              <w:rPr>
                <w:rFonts w:hint="eastAsia" w:ascii="宋体" w:hAnsi="宋体" w:cs="宋体"/>
                <w:b/>
                <w:bCs/>
                <w:szCs w:val="21"/>
              </w:rPr>
            </w:pPr>
            <w:r>
              <w:rPr>
                <w:rFonts w:hint="eastAsia" w:ascii="宋体" w:hAnsi="宋体" w:cs="宋体"/>
                <w:b/>
                <w:bCs/>
                <w:szCs w:val="21"/>
              </w:rPr>
              <w:t>项目</w:t>
            </w:r>
          </w:p>
        </w:tc>
        <w:tc>
          <w:tcPr>
            <w:tcW w:w="2739" w:type="pct"/>
            <w:vAlign w:val="center"/>
          </w:tcPr>
          <w:p>
            <w:pPr>
              <w:widowControl/>
              <w:jc w:val="center"/>
              <w:rPr>
                <w:rFonts w:hint="eastAsia" w:ascii="宋体" w:hAnsi="宋体" w:cs="宋体"/>
                <w:b/>
                <w:bCs/>
                <w:szCs w:val="21"/>
              </w:rPr>
            </w:pPr>
            <w:r>
              <w:rPr>
                <w:rFonts w:hint="eastAsia" w:ascii="宋体" w:hAnsi="宋体" w:cs="宋体"/>
                <w:b/>
                <w:bCs/>
                <w:szCs w:val="21"/>
              </w:rPr>
              <w:t>考  核  内  容</w:t>
            </w:r>
          </w:p>
        </w:tc>
        <w:tc>
          <w:tcPr>
            <w:tcW w:w="539" w:type="pct"/>
            <w:vAlign w:val="center"/>
          </w:tcPr>
          <w:p>
            <w:pPr>
              <w:widowControl/>
              <w:jc w:val="center"/>
              <w:rPr>
                <w:rFonts w:hint="eastAsia" w:ascii="宋体" w:hAnsi="宋体" w:cs="宋体"/>
                <w:b/>
                <w:bCs/>
                <w:szCs w:val="21"/>
              </w:rPr>
            </w:pPr>
            <w:r>
              <w:rPr>
                <w:rFonts w:hint="eastAsia" w:ascii="宋体" w:hAnsi="宋体" w:cs="宋体"/>
                <w:b/>
                <w:bCs/>
                <w:szCs w:val="21"/>
              </w:rPr>
              <w:t>标准分</w:t>
            </w:r>
          </w:p>
        </w:tc>
        <w:tc>
          <w:tcPr>
            <w:tcW w:w="1060" w:type="pct"/>
            <w:vAlign w:val="center"/>
          </w:tcPr>
          <w:p>
            <w:pPr>
              <w:widowControl/>
              <w:jc w:val="center"/>
              <w:rPr>
                <w:rFonts w:hint="eastAsia" w:ascii="宋体" w:hAnsi="宋体" w:cs="宋体"/>
                <w:b/>
                <w:bCs/>
                <w:szCs w:val="21"/>
              </w:rPr>
            </w:pPr>
            <w:r>
              <w:rPr>
                <w:rFonts w:hint="eastAsia" w:ascii="宋体" w:hAnsi="宋体" w:cs="宋体"/>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1" w:type="pct"/>
            <w:vAlign w:val="center"/>
          </w:tcPr>
          <w:p>
            <w:pPr>
              <w:widowControl/>
              <w:jc w:val="center"/>
              <w:rPr>
                <w:rFonts w:hint="eastAsia" w:ascii="宋体" w:hAnsi="宋体" w:cs="宋体"/>
                <w:szCs w:val="21"/>
              </w:rPr>
            </w:pPr>
            <w:r>
              <w:rPr>
                <w:rFonts w:hint="eastAsia" w:ascii="宋体" w:hAnsi="宋体" w:cs="宋体"/>
                <w:szCs w:val="21"/>
              </w:rPr>
              <w:t>仪容仪表（10）</w:t>
            </w:r>
          </w:p>
        </w:tc>
        <w:tc>
          <w:tcPr>
            <w:tcW w:w="2739" w:type="pct"/>
            <w:vAlign w:val="center"/>
          </w:tcPr>
          <w:p>
            <w:pPr>
              <w:widowControl/>
              <w:jc w:val="left"/>
              <w:rPr>
                <w:rFonts w:hint="eastAsia" w:ascii="宋体" w:hAnsi="宋体" w:cs="宋体"/>
                <w:szCs w:val="21"/>
              </w:rPr>
            </w:pPr>
            <w:r>
              <w:rPr>
                <w:rFonts w:hint="eastAsia" w:ascii="宋体" w:hAnsi="宋体" w:cs="宋体"/>
                <w:szCs w:val="21"/>
              </w:rPr>
              <w:t>举止端庄大方，着装规范，佩戴工号牌上岗，无长发、长指甲、浓妆</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1" w:type="pct"/>
            <w:vAlign w:val="center"/>
          </w:tcPr>
          <w:p>
            <w:pPr>
              <w:widowControl/>
              <w:jc w:val="center"/>
              <w:rPr>
                <w:rFonts w:hint="eastAsia" w:ascii="宋体" w:hAnsi="宋体" w:cs="宋体"/>
                <w:szCs w:val="21"/>
              </w:rPr>
            </w:pPr>
            <w:r>
              <w:rPr>
                <w:rFonts w:hint="eastAsia" w:ascii="宋体" w:hAnsi="宋体" w:cs="宋体"/>
                <w:szCs w:val="21"/>
              </w:rPr>
              <w:t>服务态度（5）</w:t>
            </w:r>
          </w:p>
        </w:tc>
        <w:tc>
          <w:tcPr>
            <w:tcW w:w="2739" w:type="pct"/>
            <w:vAlign w:val="center"/>
          </w:tcPr>
          <w:p>
            <w:pPr>
              <w:widowControl/>
              <w:jc w:val="left"/>
              <w:rPr>
                <w:rFonts w:hint="eastAsia" w:ascii="宋体" w:hAnsi="宋体" w:cs="宋体"/>
                <w:szCs w:val="21"/>
              </w:rPr>
            </w:pPr>
            <w:r>
              <w:rPr>
                <w:rFonts w:hint="eastAsia" w:ascii="宋体" w:hAnsi="宋体" w:cs="宋体"/>
                <w:szCs w:val="21"/>
              </w:rPr>
              <w:t>坚持文明用语，耐心服务</w:t>
            </w:r>
          </w:p>
        </w:tc>
        <w:tc>
          <w:tcPr>
            <w:tcW w:w="539" w:type="pct"/>
            <w:vAlign w:val="center"/>
          </w:tcPr>
          <w:p>
            <w:pPr>
              <w:widowControl/>
              <w:jc w:val="center"/>
              <w:rPr>
                <w:rFonts w:hint="eastAsia" w:ascii="宋体" w:hAnsi="宋体" w:cs="宋体"/>
                <w:szCs w:val="21"/>
              </w:rPr>
            </w:pPr>
            <w:r>
              <w:rPr>
                <w:rFonts w:hint="eastAsia" w:ascii="宋体" w:hAnsi="宋体" w:cs="宋体"/>
                <w:szCs w:val="21"/>
              </w:rPr>
              <w:t>5</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61" w:type="pct"/>
            <w:vAlign w:val="center"/>
          </w:tcPr>
          <w:p>
            <w:pPr>
              <w:widowControl/>
              <w:jc w:val="center"/>
              <w:rPr>
                <w:rFonts w:hint="eastAsia" w:ascii="宋体" w:hAnsi="宋体" w:cs="宋体"/>
                <w:szCs w:val="21"/>
              </w:rPr>
            </w:pPr>
            <w:r>
              <w:rPr>
                <w:rFonts w:hint="eastAsia" w:ascii="宋体" w:hAnsi="宋体" w:cs="宋体"/>
                <w:szCs w:val="21"/>
              </w:rPr>
              <w:t>劳动纪律（10）</w:t>
            </w:r>
          </w:p>
        </w:tc>
        <w:tc>
          <w:tcPr>
            <w:tcW w:w="2739" w:type="pct"/>
            <w:vAlign w:val="center"/>
          </w:tcPr>
          <w:p>
            <w:pPr>
              <w:widowControl/>
              <w:jc w:val="left"/>
              <w:rPr>
                <w:rFonts w:hint="eastAsia" w:ascii="宋体" w:hAnsi="宋体" w:cs="宋体"/>
                <w:szCs w:val="21"/>
              </w:rPr>
            </w:pPr>
            <w:r>
              <w:rPr>
                <w:rFonts w:hint="eastAsia" w:ascii="宋体" w:hAnsi="宋体" w:cs="宋体"/>
                <w:szCs w:val="21"/>
              </w:rPr>
              <w:t>1.遵守劳动纪律，严格履行请假手续</w:t>
            </w:r>
          </w:p>
          <w:p>
            <w:pPr>
              <w:widowControl/>
              <w:jc w:val="left"/>
              <w:rPr>
                <w:rFonts w:hint="eastAsia" w:ascii="宋体" w:hAnsi="宋体" w:cs="宋体"/>
                <w:szCs w:val="21"/>
              </w:rPr>
            </w:pPr>
            <w:r>
              <w:rPr>
                <w:rFonts w:hint="eastAsia" w:ascii="宋体" w:hAnsi="宋体" w:cs="宋体"/>
                <w:szCs w:val="21"/>
              </w:rPr>
              <w:t>2.严禁串岗、聊岗、离岗，班内不做与本岗无关的事情</w:t>
            </w:r>
          </w:p>
          <w:p>
            <w:pPr>
              <w:widowControl/>
              <w:jc w:val="left"/>
              <w:rPr>
                <w:rFonts w:hint="eastAsia" w:ascii="宋体" w:hAnsi="宋体" w:cs="宋体"/>
                <w:szCs w:val="21"/>
              </w:rPr>
            </w:pPr>
            <w:r>
              <w:rPr>
                <w:rFonts w:hint="eastAsia" w:ascii="宋体" w:hAnsi="宋体" w:cs="宋体"/>
                <w:szCs w:val="21"/>
              </w:rPr>
              <w:t>3.服从安排并圆满完成任务，不得与医护人员发生口角</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restart"/>
            <w:vAlign w:val="center"/>
          </w:tcPr>
          <w:p>
            <w:pPr>
              <w:widowControl/>
              <w:jc w:val="center"/>
              <w:rPr>
                <w:rFonts w:hint="eastAsia" w:ascii="宋体" w:hAnsi="宋体" w:cs="宋体"/>
                <w:szCs w:val="21"/>
              </w:rPr>
            </w:pPr>
            <w:r>
              <w:rPr>
                <w:rFonts w:hint="eastAsia" w:ascii="宋体" w:hAnsi="宋体" w:cs="宋体"/>
                <w:szCs w:val="21"/>
              </w:rPr>
              <w:t>工作质量（75）</w:t>
            </w:r>
          </w:p>
        </w:tc>
        <w:tc>
          <w:tcPr>
            <w:tcW w:w="2739" w:type="pct"/>
            <w:vAlign w:val="center"/>
          </w:tcPr>
          <w:p>
            <w:pPr>
              <w:widowControl/>
              <w:jc w:val="left"/>
              <w:rPr>
                <w:rFonts w:hint="eastAsia" w:ascii="宋体" w:hAnsi="宋体" w:cs="宋体"/>
                <w:szCs w:val="21"/>
              </w:rPr>
            </w:pPr>
            <w:r>
              <w:rPr>
                <w:rFonts w:hint="eastAsia" w:ascii="宋体" w:hAnsi="宋体" w:cs="宋体"/>
                <w:szCs w:val="21"/>
              </w:rPr>
              <w:t>1.负责会议室、卫生间卫生清洁</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continue"/>
            <w:vAlign w:val="center"/>
          </w:tcPr>
          <w:p>
            <w:pPr>
              <w:jc w:val="center"/>
              <w:rPr>
                <w:rFonts w:hint="eastAsia" w:ascii="宋体" w:hAnsi="宋体" w:cs="宋体"/>
                <w:szCs w:val="21"/>
              </w:rPr>
            </w:pPr>
          </w:p>
        </w:tc>
        <w:tc>
          <w:tcPr>
            <w:tcW w:w="2739" w:type="pct"/>
            <w:vAlign w:val="center"/>
          </w:tcPr>
          <w:p>
            <w:pPr>
              <w:widowControl/>
              <w:jc w:val="left"/>
              <w:rPr>
                <w:rFonts w:hint="eastAsia" w:ascii="宋体" w:hAnsi="宋体" w:cs="宋体"/>
                <w:szCs w:val="21"/>
              </w:rPr>
            </w:pPr>
            <w:r>
              <w:rPr>
                <w:rFonts w:hint="eastAsia" w:ascii="宋体" w:hAnsi="宋体" w:cs="宋体"/>
                <w:szCs w:val="21"/>
              </w:rPr>
              <w:t>2.熟练操作会议室电脑控制系统</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continue"/>
            <w:vAlign w:val="center"/>
          </w:tcPr>
          <w:p>
            <w:pPr>
              <w:jc w:val="center"/>
              <w:rPr>
                <w:rFonts w:hint="eastAsia" w:ascii="宋体" w:hAnsi="宋体" w:cs="宋体"/>
                <w:szCs w:val="21"/>
              </w:rPr>
            </w:pPr>
          </w:p>
        </w:tc>
        <w:tc>
          <w:tcPr>
            <w:tcW w:w="2739" w:type="pct"/>
            <w:vAlign w:val="center"/>
          </w:tcPr>
          <w:p>
            <w:pPr>
              <w:widowControl/>
              <w:jc w:val="left"/>
              <w:rPr>
                <w:rFonts w:hint="eastAsia" w:ascii="宋体" w:hAnsi="宋体" w:cs="宋体"/>
                <w:szCs w:val="21"/>
              </w:rPr>
            </w:pPr>
            <w:r>
              <w:rPr>
                <w:rFonts w:hint="eastAsia" w:ascii="宋体" w:hAnsi="宋体" w:cs="宋体"/>
                <w:szCs w:val="21"/>
              </w:rPr>
              <w:t>3.熟知每天会议室使用情况</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continue"/>
            <w:vAlign w:val="center"/>
          </w:tcPr>
          <w:p>
            <w:pPr>
              <w:jc w:val="center"/>
              <w:rPr>
                <w:rFonts w:hint="eastAsia" w:ascii="宋体" w:hAnsi="宋体" w:cs="宋体"/>
                <w:szCs w:val="21"/>
              </w:rPr>
            </w:pPr>
          </w:p>
        </w:tc>
        <w:tc>
          <w:tcPr>
            <w:tcW w:w="2739" w:type="pct"/>
            <w:vAlign w:val="center"/>
          </w:tcPr>
          <w:p>
            <w:pPr>
              <w:widowControl/>
              <w:jc w:val="left"/>
              <w:rPr>
                <w:rFonts w:hint="eastAsia" w:ascii="宋体" w:hAnsi="宋体" w:cs="宋体"/>
                <w:szCs w:val="21"/>
              </w:rPr>
            </w:pPr>
            <w:r>
              <w:rPr>
                <w:rFonts w:hint="eastAsia" w:ascii="宋体" w:hAnsi="宋体" w:cs="宋体"/>
                <w:szCs w:val="21"/>
              </w:rPr>
              <w:t>4.未发现音响、电脑、显示屏等设备故障，影响会议正常使用</w:t>
            </w:r>
          </w:p>
        </w:tc>
        <w:tc>
          <w:tcPr>
            <w:tcW w:w="539" w:type="pct"/>
            <w:vAlign w:val="center"/>
          </w:tcPr>
          <w:p>
            <w:pPr>
              <w:widowControl/>
              <w:jc w:val="center"/>
              <w:rPr>
                <w:rFonts w:hint="eastAsia" w:ascii="宋体" w:hAnsi="宋体" w:cs="宋体"/>
                <w:szCs w:val="21"/>
              </w:rPr>
            </w:pPr>
            <w:r>
              <w:rPr>
                <w:rFonts w:hint="eastAsia" w:ascii="宋体" w:hAnsi="宋体" w:cs="宋体"/>
                <w:szCs w:val="21"/>
              </w:rPr>
              <w:t>15</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continue"/>
            <w:vAlign w:val="center"/>
          </w:tcPr>
          <w:p>
            <w:pPr>
              <w:jc w:val="center"/>
              <w:rPr>
                <w:rFonts w:hint="eastAsia" w:ascii="宋体" w:hAnsi="宋体" w:cs="宋体"/>
                <w:szCs w:val="21"/>
              </w:rPr>
            </w:pPr>
          </w:p>
        </w:tc>
        <w:tc>
          <w:tcPr>
            <w:tcW w:w="2739" w:type="pct"/>
            <w:vAlign w:val="center"/>
          </w:tcPr>
          <w:p>
            <w:pPr>
              <w:widowControl/>
              <w:jc w:val="left"/>
              <w:rPr>
                <w:rFonts w:hint="eastAsia" w:ascii="宋体" w:hAnsi="宋体" w:cs="宋体"/>
                <w:szCs w:val="21"/>
              </w:rPr>
            </w:pPr>
            <w:r>
              <w:rPr>
                <w:rFonts w:hint="eastAsia" w:ascii="宋体" w:hAnsi="宋体" w:cs="宋体"/>
                <w:szCs w:val="21"/>
              </w:rPr>
              <w:t>5.会议中操作大屏或音频播放出现错误</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continue"/>
            <w:vAlign w:val="center"/>
          </w:tcPr>
          <w:p>
            <w:pPr>
              <w:jc w:val="center"/>
              <w:rPr>
                <w:rFonts w:hint="eastAsia" w:ascii="宋体" w:hAnsi="宋体" w:cs="宋体"/>
                <w:szCs w:val="21"/>
              </w:rPr>
            </w:pPr>
          </w:p>
        </w:tc>
        <w:tc>
          <w:tcPr>
            <w:tcW w:w="2739" w:type="pct"/>
            <w:vAlign w:val="center"/>
          </w:tcPr>
          <w:p>
            <w:pPr>
              <w:widowControl/>
              <w:jc w:val="left"/>
              <w:rPr>
                <w:rFonts w:hint="eastAsia" w:ascii="宋体" w:hAnsi="宋体" w:cs="宋体"/>
                <w:szCs w:val="21"/>
              </w:rPr>
            </w:pPr>
            <w:r>
              <w:rPr>
                <w:rFonts w:hint="eastAsia" w:ascii="宋体" w:hAnsi="宋体" w:cs="宋体"/>
                <w:szCs w:val="21"/>
              </w:rPr>
              <w:t>6.会议前未按要求布置会场</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Merge w:val="continue"/>
            <w:vAlign w:val="center"/>
          </w:tcPr>
          <w:p>
            <w:pPr>
              <w:jc w:val="center"/>
              <w:rPr>
                <w:rFonts w:hint="eastAsia" w:ascii="宋体" w:hAnsi="宋体" w:cs="宋体"/>
                <w:szCs w:val="21"/>
              </w:rPr>
            </w:pPr>
          </w:p>
        </w:tc>
        <w:tc>
          <w:tcPr>
            <w:tcW w:w="2739" w:type="pct"/>
            <w:vAlign w:val="center"/>
          </w:tcPr>
          <w:p>
            <w:pPr>
              <w:widowControl/>
              <w:jc w:val="left"/>
              <w:rPr>
                <w:rFonts w:hint="eastAsia" w:ascii="宋体" w:hAnsi="宋体" w:cs="宋体"/>
                <w:szCs w:val="21"/>
              </w:rPr>
            </w:pPr>
            <w:r>
              <w:rPr>
                <w:rFonts w:hint="eastAsia" w:ascii="宋体" w:hAnsi="宋体" w:cs="宋体"/>
                <w:szCs w:val="21"/>
              </w:rPr>
              <w:t>7.会议中未进行服务（例如：倒茶）</w:t>
            </w:r>
          </w:p>
        </w:tc>
        <w:tc>
          <w:tcPr>
            <w:tcW w:w="539" w:type="pct"/>
            <w:vAlign w:val="center"/>
          </w:tcPr>
          <w:p>
            <w:pPr>
              <w:widowControl/>
              <w:jc w:val="center"/>
              <w:rPr>
                <w:rFonts w:hint="eastAsia" w:ascii="宋体" w:hAnsi="宋体" w:cs="宋体"/>
                <w:szCs w:val="21"/>
              </w:rPr>
            </w:pPr>
            <w:r>
              <w:rPr>
                <w:rFonts w:hint="eastAsia" w:ascii="宋体" w:hAnsi="宋体" w:cs="宋体"/>
                <w:szCs w:val="21"/>
              </w:rPr>
              <w:t>10</w:t>
            </w:r>
          </w:p>
        </w:tc>
        <w:tc>
          <w:tcPr>
            <w:tcW w:w="1060"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pct"/>
            <w:vAlign w:val="center"/>
          </w:tcPr>
          <w:p>
            <w:pPr>
              <w:widowControl/>
              <w:jc w:val="center"/>
              <w:rPr>
                <w:rFonts w:hint="eastAsia" w:ascii="宋体" w:hAnsi="宋体" w:cs="宋体"/>
                <w:szCs w:val="21"/>
              </w:rPr>
            </w:pPr>
            <w:r>
              <w:rPr>
                <w:rFonts w:hint="eastAsia" w:ascii="宋体" w:hAnsi="宋体" w:cs="宋体"/>
                <w:szCs w:val="21"/>
              </w:rPr>
              <w:t>总分</w:t>
            </w:r>
          </w:p>
        </w:tc>
        <w:tc>
          <w:tcPr>
            <w:tcW w:w="2739" w:type="pct"/>
            <w:vAlign w:val="center"/>
          </w:tcPr>
          <w:p>
            <w:pPr>
              <w:jc w:val="left"/>
              <w:rPr>
                <w:rFonts w:hint="eastAsia" w:ascii="宋体" w:hAnsi="宋体" w:cs="宋体"/>
                <w:szCs w:val="21"/>
              </w:rPr>
            </w:pPr>
          </w:p>
        </w:tc>
        <w:tc>
          <w:tcPr>
            <w:tcW w:w="539" w:type="pct"/>
            <w:vAlign w:val="center"/>
          </w:tcPr>
          <w:p>
            <w:pPr>
              <w:widowControl/>
              <w:jc w:val="center"/>
              <w:rPr>
                <w:rFonts w:hint="eastAsia" w:ascii="宋体" w:hAnsi="宋体" w:cs="宋体"/>
                <w:szCs w:val="21"/>
              </w:rPr>
            </w:pPr>
            <w:r>
              <w:rPr>
                <w:rFonts w:hint="eastAsia" w:ascii="宋体" w:hAnsi="宋体" w:cs="宋体"/>
                <w:szCs w:val="21"/>
              </w:rPr>
              <w:t>100</w:t>
            </w:r>
          </w:p>
        </w:tc>
        <w:tc>
          <w:tcPr>
            <w:tcW w:w="1060" w:type="pct"/>
            <w:vAlign w:val="center"/>
          </w:tcPr>
          <w:p>
            <w:pPr>
              <w:widowControl/>
              <w:jc w:val="center"/>
              <w:rPr>
                <w:rFonts w:hint="eastAsia" w:ascii="宋体" w:hAnsi="宋体" w:cs="宋体"/>
                <w:szCs w:val="21"/>
              </w:rPr>
            </w:pPr>
          </w:p>
        </w:tc>
      </w:tr>
    </w:tbl>
    <w:p/>
    <w:p>
      <w:pPr>
        <w:tabs>
          <w:tab w:val="left" w:pos="360"/>
          <w:tab w:val="left" w:pos="4320"/>
        </w:tabs>
        <w:adjustRightInd w:val="0"/>
        <w:snapToGrid w:val="0"/>
        <w:spacing w:line="440" w:lineRule="exact"/>
        <w:ind w:firstLine="241" w:firstLineChars="100"/>
        <w:jc w:val="center"/>
        <w:rPr>
          <w:rFonts w:hint="eastAsia" w:ascii="宋体" w:hAnsi="宋体" w:cs="宋体"/>
          <w:b/>
          <w:sz w:val="24"/>
          <w:szCs w:val="24"/>
        </w:rPr>
      </w:pPr>
      <w:r>
        <w:rPr>
          <w:rFonts w:hint="eastAsia" w:ascii="宋体" w:hAnsi="宋体" w:cs="宋体"/>
          <w:b/>
          <w:sz w:val="24"/>
          <w:szCs w:val="24"/>
        </w:rPr>
        <w:t>附件9：司梯工作质量月度考核表9—100分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5211"/>
        <w:gridCol w:w="102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Align w:val="center"/>
          </w:tcPr>
          <w:p>
            <w:pPr>
              <w:widowControl/>
              <w:spacing w:before="120" w:after="120"/>
              <w:jc w:val="center"/>
              <w:rPr>
                <w:rFonts w:hint="eastAsia" w:ascii="宋体" w:hAnsi="宋体" w:cs="宋体"/>
                <w:b/>
                <w:bCs/>
                <w:szCs w:val="21"/>
              </w:rPr>
            </w:pPr>
            <w:r>
              <w:rPr>
                <w:rFonts w:hint="eastAsia" w:ascii="宋体" w:hAnsi="宋体" w:cs="宋体"/>
                <w:b/>
                <w:bCs/>
                <w:szCs w:val="21"/>
              </w:rPr>
              <w:t>项目</w:t>
            </w:r>
          </w:p>
        </w:tc>
        <w:tc>
          <w:tcPr>
            <w:tcW w:w="2739" w:type="pct"/>
            <w:vAlign w:val="center"/>
          </w:tcPr>
          <w:p>
            <w:pPr>
              <w:widowControl/>
              <w:spacing w:before="120" w:after="120"/>
              <w:jc w:val="center"/>
              <w:rPr>
                <w:rFonts w:hint="eastAsia" w:ascii="宋体" w:hAnsi="宋体" w:cs="宋体"/>
                <w:b/>
                <w:bCs/>
                <w:szCs w:val="21"/>
              </w:rPr>
            </w:pPr>
            <w:r>
              <w:rPr>
                <w:rFonts w:hint="eastAsia" w:ascii="宋体" w:hAnsi="宋体" w:cs="宋体"/>
                <w:b/>
                <w:bCs/>
                <w:szCs w:val="21"/>
              </w:rPr>
              <w:t>考  核  内  容</w:t>
            </w:r>
          </w:p>
        </w:tc>
        <w:tc>
          <w:tcPr>
            <w:tcW w:w="539" w:type="pct"/>
            <w:vAlign w:val="center"/>
          </w:tcPr>
          <w:p>
            <w:pPr>
              <w:widowControl/>
              <w:spacing w:before="120" w:after="120"/>
              <w:jc w:val="center"/>
              <w:rPr>
                <w:rFonts w:hint="eastAsia" w:ascii="宋体" w:hAnsi="宋体" w:cs="宋体"/>
                <w:b/>
                <w:bCs/>
                <w:szCs w:val="21"/>
              </w:rPr>
            </w:pPr>
            <w:r>
              <w:rPr>
                <w:rFonts w:hint="eastAsia" w:ascii="宋体" w:hAnsi="宋体" w:cs="宋体"/>
                <w:b/>
                <w:bCs/>
                <w:szCs w:val="21"/>
              </w:rPr>
              <w:t>标准分</w:t>
            </w:r>
          </w:p>
        </w:tc>
        <w:tc>
          <w:tcPr>
            <w:tcW w:w="1060" w:type="pct"/>
            <w:vAlign w:val="center"/>
          </w:tcPr>
          <w:p>
            <w:pPr>
              <w:widowControl/>
              <w:spacing w:before="120" w:after="120"/>
              <w:jc w:val="center"/>
              <w:rPr>
                <w:rFonts w:hint="eastAsia" w:ascii="宋体" w:hAnsi="宋体" w:cs="宋体"/>
                <w:b/>
                <w:bCs/>
                <w:szCs w:val="21"/>
              </w:rPr>
            </w:pPr>
            <w:r>
              <w:rPr>
                <w:rFonts w:hint="eastAsia" w:ascii="宋体" w:hAnsi="宋体" w:cs="宋体"/>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61" w:type="pct"/>
            <w:vAlign w:val="center"/>
          </w:tcPr>
          <w:p>
            <w:pPr>
              <w:widowControl/>
              <w:spacing w:before="120" w:after="120"/>
              <w:jc w:val="center"/>
              <w:rPr>
                <w:rFonts w:hint="eastAsia" w:ascii="宋体" w:hAnsi="宋体" w:cs="宋体"/>
                <w:szCs w:val="21"/>
              </w:rPr>
            </w:pPr>
            <w:r>
              <w:rPr>
                <w:rFonts w:hint="eastAsia" w:ascii="宋体" w:hAnsi="宋体" w:cs="宋体"/>
                <w:szCs w:val="21"/>
              </w:rPr>
              <w:t>仪容仪表（10）</w:t>
            </w:r>
          </w:p>
        </w:tc>
        <w:tc>
          <w:tcPr>
            <w:tcW w:w="2739" w:type="pct"/>
            <w:vAlign w:val="center"/>
          </w:tcPr>
          <w:p>
            <w:pPr>
              <w:widowControl/>
              <w:jc w:val="left"/>
              <w:rPr>
                <w:rFonts w:hint="eastAsia" w:ascii="宋体" w:hAnsi="宋体" w:cs="宋体"/>
                <w:szCs w:val="21"/>
              </w:rPr>
            </w:pPr>
            <w:r>
              <w:rPr>
                <w:rFonts w:hint="eastAsia" w:ascii="宋体" w:hAnsi="宋体" w:cs="宋体"/>
                <w:szCs w:val="21"/>
              </w:rPr>
              <w:t>举止端庄大方，着装规范，佩戴工号牌上岗，无长发、长指甲、浓妆</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Align w:val="center"/>
          </w:tcPr>
          <w:p>
            <w:pPr>
              <w:widowControl/>
              <w:spacing w:before="120" w:after="120"/>
              <w:jc w:val="center"/>
              <w:rPr>
                <w:rFonts w:hint="eastAsia" w:ascii="宋体" w:hAnsi="宋体" w:cs="宋体"/>
                <w:szCs w:val="21"/>
              </w:rPr>
            </w:pPr>
            <w:r>
              <w:rPr>
                <w:rFonts w:hint="eastAsia" w:ascii="宋体" w:hAnsi="宋体" w:cs="宋体"/>
                <w:szCs w:val="21"/>
              </w:rPr>
              <w:t>服务态度（5）</w:t>
            </w: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坚持文明用语，耐心服务</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5</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1" w:type="pct"/>
            <w:vAlign w:val="center"/>
          </w:tcPr>
          <w:p>
            <w:pPr>
              <w:widowControl/>
              <w:spacing w:before="120" w:after="120"/>
              <w:jc w:val="center"/>
              <w:rPr>
                <w:rFonts w:hint="eastAsia" w:ascii="宋体" w:hAnsi="宋体" w:cs="宋体"/>
                <w:szCs w:val="21"/>
              </w:rPr>
            </w:pPr>
            <w:r>
              <w:rPr>
                <w:rFonts w:hint="eastAsia" w:ascii="宋体" w:hAnsi="宋体" w:cs="宋体"/>
                <w:szCs w:val="21"/>
              </w:rPr>
              <w:t>劳动纪律（10）</w:t>
            </w: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1.遵守劳动纪律，严格履行请假手续</w:t>
            </w:r>
          </w:p>
          <w:p>
            <w:pPr>
              <w:widowControl/>
              <w:spacing w:before="120" w:after="120"/>
              <w:jc w:val="left"/>
              <w:rPr>
                <w:rFonts w:hint="eastAsia" w:ascii="宋体" w:hAnsi="宋体" w:cs="宋体"/>
                <w:szCs w:val="21"/>
              </w:rPr>
            </w:pPr>
            <w:r>
              <w:rPr>
                <w:rFonts w:hint="eastAsia" w:ascii="宋体" w:hAnsi="宋体" w:cs="宋体"/>
                <w:szCs w:val="21"/>
              </w:rPr>
              <w:t>2.严禁串岗、聊岗、离岗，班内不做与本岗无关的事情</w:t>
            </w:r>
          </w:p>
          <w:p>
            <w:pPr>
              <w:widowControl/>
              <w:spacing w:before="120" w:after="120"/>
              <w:jc w:val="left"/>
              <w:rPr>
                <w:rFonts w:hint="eastAsia" w:ascii="宋体" w:hAnsi="宋体" w:cs="宋体"/>
                <w:szCs w:val="21"/>
              </w:rPr>
            </w:pPr>
            <w:r>
              <w:rPr>
                <w:rFonts w:hint="eastAsia" w:ascii="宋体" w:hAnsi="宋体" w:cs="宋体"/>
                <w:szCs w:val="21"/>
              </w:rPr>
              <w:t>3.服从安排并圆满完成任务，不得与病患、医护人员发生口角</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1" w:type="pct"/>
            <w:vMerge w:val="restart"/>
            <w:vAlign w:val="center"/>
          </w:tcPr>
          <w:p>
            <w:pPr>
              <w:widowControl/>
              <w:spacing w:before="120" w:after="120"/>
              <w:jc w:val="center"/>
              <w:rPr>
                <w:rFonts w:hint="eastAsia" w:ascii="宋体" w:hAnsi="宋体" w:cs="宋体"/>
                <w:szCs w:val="21"/>
              </w:rPr>
            </w:pPr>
            <w:r>
              <w:rPr>
                <w:rFonts w:hint="eastAsia" w:ascii="宋体" w:hAnsi="宋体" w:cs="宋体"/>
                <w:szCs w:val="21"/>
              </w:rPr>
              <w:t>工作质量（75）</w:t>
            </w: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1.保证电梯内外环境卫生清洁</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2.正确使用电梯手动操作</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3.熟知电梯故障应急处理流程</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4.主动服务意识，主动询问楼层并按键</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5.应急电话故障不通但并未发现</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6.因服务不到位被有效投诉</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7.执行电梯内劝烟</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5</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1" w:type="pct"/>
            <w:vMerge w:val="continue"/>
            <w:vAlign w:val="center"/>
          </w:tcPr>
          <w:p>
            <w:pPr>
              <w:spacing w:before="120" w:after="120"/>
              <w:jc w:val="center"/>
              <w:rPr>
                <w:rFonts w:hint="eastAsia" w:ascii="宋体" w:hAnsi="宋体" w:cs="宋体"/>
                <w:szCs w:val="21"/>
              </w:rPr>
            </w:pPr>
          </w:p>
        </w:tc>
        <w:tc>
          <w:tcPr>
            <w:tcW w:w="2739" w:type="pct"/>
            <w:vAlign w:val="center"/>
          </w:tcPr>
          <w:p>
            <w:pPr>
              <w:widowControl/>
              <w:spacing w:before="120" w:after="120"/>
              <w:jc w:val="left"/>
              <w:rPr>
                <w:rFonts w:hint="eastAsia" w:ascii="宋体" w:hAnsi="宋体" w:cs="宋体"/>
                <w:szCs w:val="21"/>
              </w:rPr>
            </w:pPr>
            <w:r>
              <w:rPr>
                <w:rFonts w:hint="eastAsia" w:ascii="宋体" w:hAnsi="宋体" w:cs="宋体"/>
                <w:szCs w:val="21"/>
              </w:rPr>
              <w:t>8.熟悉本岗位应知应会</w:t>
            </w: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w:t>
            </w:r>
          </w:p>
        </w:tc>
        <w:tc>
          <w:tcPr>
            <w:tcW w:w="1060" w:type="pct"/>
            <w:vAlign w:val="center"/>
          </w:tcPr>
          <w:p>
            <w:pPr>
              <w:spacing w:before="120" w:after="12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Align w:val="center"/>
          </w:tcPr>
          <w:p>
            <w:pPr>
              <w:widowControl/>
              <w:spacing w:before="120" w:after="120"/>
              <w:jc w:val="center"/>
              <w:rPr>
                <w:rFonts w:hint="eastAsia" w:ascii="宋体" w:hAnsi="宋体" w:cs="宋体"/>
                <w:szCs w:val="21"/>
              </w:rPr>
            </w:pPr>
            <w:r>
              <w:rPr>
                <w:rFonts w:hint="eastAsia" w:ascii="宋体" w:hAnsi="宋体" w:cs="宋体"/>
                <w:szCs w:val="21"/>
              </w:rPr>
              <w:t>总分</w:t>
            </w:r>
          </w:p>
        </w:tc>
        <w:tc>
          <w:tcPr>
            <w:tcW w:w="2739" w:type="pct"/>
            <w:vAlign w:val="center"/>
          </w:tcPr>
          <w:p>
            <w:pPr>
              <w:spacing w:before="120" w:after="120"/>
              <w:jc w:val="left"/>
              <w:rPr>
                <w:rFonts w:hint="eastAsia" w:ascii="宋体" w:hAnsi="宋体" w:cs="宋体"/>
                <w:szCs w:val="21"/>
              </w:rPr>
            </w:pPr>
          </w:p>
        </w:tc>
        <w:tc>
          <w:tcPr>
            <w:tcW w:w="539" w:type="pct"/>
            <w:vAlign w:val="center"/>
          </w:tcPr>
          <w:p>
            <w:pPr>
              <w:widowControl/>
              <w:spacing w:before="120" w:after="120"/>
              <w:jc w:val="center"/>
              <w:rPr>
                <w:rFonts w:hint="eastAsia" w:ascii="宋体" w:hAnsi="宋体" w:cs="宋体"/>
                <w:szCs w:val="21"/>
              </w:rPr>
            </w:pPr>
            <w:r>
              <w:rPr>
                <w:rFonts w:hint="eastAsia" w:ascii="宋体" w:hAnsi="宋体" w:cs="宋体"/>
                <w:szCs w:val="21"/>
              </w:rPr>
              <w:t>100</w:t>
            </w:r>
          </w:p>
        </w:tc>
        <w:tc>
          <w:tcPr>
            <w:tcW w:w="1060" w:type="pct"/>
            <w:vAlign w:val="center"/>
          </w:tcPr>
          <w:p>
            <w:pPr>
              <w:widowControl/>
              <w:spacing w:before="120" w:after="120"/>
              <w:jc w:val="center"/>
              <w:rPr>
                <w:rFonts w:hint="eastAsia" w:ascii="宋体" w:hAnsi="宋体" w:cs="宋体"/>
                <w:szCs w:val="21"/>
              </w:rPr>
            </w:pPr>
          </w:p>
        </w:tc>
      </w:tr>
    </w:tbl>
    <w:p>
      <w:pPr>
        <w:jc w:val="center"/>
        <w:rPr>
          <w:rFonts w:hint="eastAsia" w:ascii="宋体" w:hAnsi="宋体" w:cs="宋体"/>
          <w:b/>
          <w:sz w:val="28"/>
          <w:szCs w:val="28"/>
          <w:lang w:bidi="ar"/>
        </w:rPr>
      </w:pPr>
      <w:r>
        <w:rPr>
          <w:rFonts w:hint="eastAsia" w:ascii="宋体" w:hAnsi="宋体" w:cs="宋体"/>
          <w:b/>
          <w:bCs/>
          <w:sz w:val="36"/>
          <w:szCs w:val="36"/>
        </w:rPr>
        <w:br w:type="page"/>
      </w:r>
      <w:r>
        <w:rPr>
          <w:rFonts w:hint="eastAsia" w:ascii="宋体" w:hAnsi="宋体" w:cs="宋体"/>
          <w:b/>
          <w:bCs/>
          <w:sz w:val="36"/>
          <w:szCs w:val="36"/>
        </w:rPr>
        <w:t xml:space="preserve">附件10 </w:t>
      </w:r>
      <w:r>
        <w:rPr>
          <w:rFonts w:hint="eastAsia" w:ascii="宋体" w:hAnsi="宋体" w:cs="宋体"/>
          <w:b/>
          <w:sz w:val="28"/>
          <w:szCs w:val="28"/>
          <w:lang w:bidi="ar"/>
        </w:rPr>
        <w:t>扬州大学附属医院绿化养护质量考核表10—100分</w:t>
      </w:r>
    </w:p>
    <w:tbl>
      <w:tblPr>
        <w:tblStyle w:val="30"/>
        <w:tblpPr w:leftFromText="180" w:rightFromText="180" w:vertAnchor="text" w:horzAnchor="page" w:tblpXSpec="center" w:tblpY="302"/>
        <w:tblOverlap w:val="never"/>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405"/>
        <w:gridCol w:w="660"/>
        <w:gridCol w:w="284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l2br w:val="nil"/>
              <w:tr2bl w:val="nil"/>
            </w:tcBorders>
            <w:noWrap/>
            <w:vAlign w:val="center"/>
          </w:tcPr>
          <w:p>
            <w:pPr>
              <w:widowControl/>
              <w:jc w:val="center"/>
              <w:rPr>
                <w:rFonts w:hint="eastAsia" w:ascii="宋体" w:hAnsi="宋体" w:cs="宋体"/>
                <w:b/>
                <w:bCs/>
                <w:kern w:val="0"/>
                <w:szCs w:val="21"/>
              </w:rPr>
            </w:pPr>
            <w:r>
              <w:rPr>
                <w:rFonts w:hint="eastAsia" w:ascii="宋体" w:hAnsi="宋体" w:cs="宋体"/>
                <w:b/>
                <w:bCs/>
                <w:kern w:val="0"/>
                <w:szCs w:val="21"/>
                <w:lang w:bidi="ar"/>
              </w:rPr>
              <w:t>考核</w:t>
            </w:r>
          </w:p>
        </w:tc>
        <w:tc>
          <w:tcPr>
            <w:tcW w:w="4405" w:type="dxa"/>
            <w:tcBorders>
              <w:tl2br w:val="nil"/>
              <w:tr2bl w:val="nil"/>
            </w:tcBorders>
            <w:noWrap/>
            <w:vAlign w:val="center"/>
          </w:tcPr>
          <w:p>
            <w:pPr>
              <w:widowControl/>
              <w:jc w:val="center"/>
              <w:rPr>
                <w:rFonts w:hint="eastAsia" w:ascii="宋体" w:hAnsi="宋体" w:cs="宋体"/>
                <w:b/>
                <w:bCs/>
                <w:kern w:val="0"/>
                <w:szCs w:val="21"/>
              </w:rPr>
            </w:pPr>
            <w:r>
              <w:rPr>
                <w:rFonts w:hint="eastAsia" w:ascii="宋体" w:hAnsi="宋体" w:cs="宋体"/>
                <w:b/>
                <w:bCs/>
                <w:kern w:val="0"/>
                <w:szCs w:val="21"/>
                <w:lang w:bidi="ar"/>
              </w:rPr>
              <w:t>考核内容</w:t>
            </w:r>
          </w:p>
        </w:tc>
        <w:tc>
          <w:tcPr>
            <w:tcW w:w="660" w:type="dxa"/>
            <w:tcBorders>
              <w:tl2br w:val="nil"/>
              <w:tr2bl w:val="nil"/>
            </w:tcBorders>
            <w:noWrap/>
            <w:vAlign w:val="center"/>
          </w:tcPr>
          <w:p>
            <w:pPr>
              <w:widowControl/>
              <w:jc w:val="left"/>
              <w:rPr>
                <w:rFonts w:hint="eastAsia" w:ascii="宋体" w:hAnsi="宋体" w:cs="宋体"/>
                <w:b/>
                <w:bCs/>
                <w:kern w:val="0"/>
                <w:szCs w:val="21"/>
              </w:rPr>
            </w:pPr>
            <w:r>
              <w:rPr>
                <w:rFonts w:hint="eastAsia" w:ascii="宋体" w:hAnsi="宋体" w:cs="宋体"/>
                <w:b/>
                <w:bCs/>
                <w:kern w:val="0"/>
                <w:szCs w:val="21"/>
                <w:lang w:bidi="ar"/>
              </w:rPr>
              <w:t>分值</w:t>
            </w:r>
          </w:p>
        </w:tc>
        <w:tc>
          <w:tcPr>
            <w:tcW w:w="2841" w:type="dxa"/>
            <w:tcBorders>
              <w:tl2br w:val="nil"/>
              <w:tr2bl w:val="nil"/>
            </w:tcBorders>
            <w:noWrap/>
            <w:vAlign w:val="center"/>
          </w:tcPr>
          <w:p>
            <w:pPr>
              <w:widowControl/>
              <w:jc w:val="center"/>
              <w:rPr>
                <w:rFonts w:hint="eastAsia" w:ascii="宋体" w:hAnsi="宋体" w:cs="宋体"/>
                <w:b/>
                <w:bCs/>
                <w:kern w:val="0"/>
                <w:szCs w:val="21"/>
              </w:rPr>
            </w:pPr>
            <w:r>
              <w:rPr>
                <w:rFonts w:hint="eastAsia" w:ascii="宋体" w:hAnsi="宋体" w:cs="宋体"/>
                <w:b/>
                <w:bCs/>
                <w:kern w:val="0"/>
                <w:szCs w:val="21"/>
                <w:lang w:bidi="ar"/>
              </w:rPr>
              <w:t>每分金额</w:t>
            </w:r>
          </w:p>
        </w:tc>
        <w:tc>
          <w:tcPr>
            <w:tcW w:w="893" w:type="dxa"/>
            <w:tcBorders>
              <w:tl2br w:val="nil"/>
              <w:tr2bl w:val="nil"/>
            </w:tcBorders>
            <w:noWrap/>
            <w:vAlign w:val="center"/>
          </w:tcPr>
          <w:p>
            <w:pPr>
              <w:widowControl/>
              <w:jc w:val="center"/>
              <w:rPr>
                <w:rFonts w:hint="eastAsia" w:ascii="宋体" w:hAnsi="宋体" w:cs="宋体"/>
                <w:b/>
                <w:bCs/>
                <w:kern w:val="0"/>
                <w:szCs w:val="21"/>
              </w:rPr>
            </w:pPr>
            <w:r>
              <w:rPr>
                <w:rFonts w:hint="eastAsia" w:ascii="宋体" w:hAnsi="宋体" w:cs="宋体"/>
                <w:b/>
                <w:bCs/>
                <w:kern w:val="0"/>
                <w:szCs w:val="21"/>
                <w:lang w:bidi="ar"/>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4" w:type="dxa"/>
            <w:vMerge w:val="restart"/>
            <w:tcBorders>
              <w:tl2br w:val="nil"/>
              <w:tr2bl w:val="nil"/>
            </w:tcBorders>
            <w:noWrap/>
            <w:vAlign w:val="center"/>
          </w:tcPr>
          <w:p>
            <w:pPr>
              <w:widowControl/>
              <w:jc w:val="center"/>
              <w:rPr>
                <w:rFonts w:hint="eastAsia" w:ascii="宋体" w:hAnsi="宋体" w:cs="宋体"/>
                <w:b/>
                <w:bCs/>
                <w:kern w:val="0"/>
                <w:szCs w:val="21"/>
              </w:rPr>
            </w:pPr>
            <w:r>
              <w:rPr>
                <w:rFonts w:hint="eastAsia" w:ascii="宋体" w:hAnsi="宋体" w:cs="宋体"/>
                <w:b/>
                <w:bCs/>
                <w:kern w:val="0"/>
                <w:szCs w:val="21"/>
                <w:lang w:bidi="ar"/>
              </w:rPr>
              <w:t>绿化养护</w:t>
            </w:r>
          </w:p>
        </w:tc>
        <w:tc>
          <w:tcPr>
            <w:tcW w:w="4405"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rPr>
              <w:t>1.1.1工作时间必须穿戴园林专业工作服，配戴上岗证。</w:t>
            </w:r>
          </w:p>
        </w:tc>
        <w:tc>
          <w:tcPr>
            <w:tcW w:w="660" w:type="dxa"/>
            <w:vMerge w:val="restart"/>
            <w:tcBorders>
              <w:tl2br w:val="nil"/>
              <w:tr2bl w:val="nil"/>
            </w:tcBorders>
            <w:noWrap/>
            <w:vAlign w:val="center"/>
          </w:tcPr>
          <w:p>
            <w:pPr>
              <w:widowControl/>
              <w:jc w:val="center"/>
              <w:rPr>
                <w:rFonts w:hint="eastAsia" w:ascii="宋体" w:hAnsi="宋体" w:cs="宋体"/>
                <w:kern w:val="0"/>
                <w:szCs w:val="21"/>
              </w:rPr>
            </w:pPr>
            <w:r>
              <w:rPr>
                <w:rFonts w:hint="eastAsia" w:ascii="宋体" w:hAnsi="宋体" w:cs="宋体"/>
                <w:kern w:val="0"/>
                <w:szCs w:val="21"/>
              </w:rPr>
              <w:t>70</w:t>
            </w: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一人不符扣1分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vMerge w:val="restart"/>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1.1.2每周一至周六根据季节必须有2-3人进行养护工作，上班时间准时，不迟到、不早退。</w:t>
            </w: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无故旷工一次扣2分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vMerge w:val="continue"/>
            <w:tcBorders>
              <w:tl2br w:val="nil"/>
              <w:tr2bl w:val="nil"/>
            </w:tcBorders>
            <w:noWrap/>
            <w:vAlign w:val="center"/>
          </w:tcPr>
          <w:p>
            <w:pPr>
              <w:widowControl/>
              <w:jc w:val="left"/>
              <w:rPr>
                <w:rFonts w:hint="eastAsia" w:ascii="宋体" w:hAnsi="宋体" w:cs="宋体"/>
                <w:kern w:val="0"/>
                <w:szCs w:val="21"/>
                <w:lang w:bidi="ar"/>
              </w:rPr>
            </w:pP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迟到、早退一次扣1分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vMerge w:val="continue"/>
            <w:tcBorders>
              <w:tl2br w:val="nil"/>
              <w:tr2bl w:val="nil"/>
            </w:tcBorders>
            <w:noWrap/>
            <w:vAlign w:val="center"/>
          </w:tcPr>
          <w:p>
            <w:pPr>
              <w:widowControl/>
              <w:jc w:val="left"/>
              <w:rPr>
                <w:rFonts w:hint="eastAsia" w:ascii="宋体" w:hAnsi="宋体" w:cs="宋体"/>
                <w:kern w:val="0"/>
                <w:szCs w:val="21"/>
                <w:lang w:bidi="ar"/>
              </w:rPr>
            </w:pP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脱岗一次扣2分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rPr>
              <w:t>1.1.3养护管理日常工作台账记录书写，及时完成处、科室安排的工作。</w:t>
            </w: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一项不符扣2-5分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4" w:type="dxa"/>
            <w:vMerge w:val="continue"/>
            <w:tcBorders>
              <w:tl2br w:val="nil"/>
              <w:tr2bl w:val="nil"/>
            </w:tcBorders>
            <w:noWrap/>
            <w:vAlign w:val="center"/>
          </w:tcPr>
          <w:p>
            <w:pPr>
              <w:widowControl/>
              <w:jc w:val="center"/>
              <w:rPr>
                <w:rFonts w:hint="eastAsia" w:ascii="宋体" w:hAnsi="宋体" w:cs="宋体"/>
                <w:b/>
                <w:bCs/>
                <w:kern w:val="0"/>
                <w:szCs w:val="21"/>
              </w:rPr>
            </w:pPr>
          </w:p>
        </w:tc>
        <w:tc>
          <w:tcPr>
            <w:tcW w:w="4405" w:type="dxa"/>
            <w:vMerge w:val="restart"/>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1.2.1要求花木生长态势良好，无明显枯枝。</w:t>
            </w:r>
          </w:p>
        </w:tc>
        <w:tc>
          <w:tcPr>
            <w:tcW w:w="660" w:type="dxa"/>
            <w:vMerge w:val="continue"/>
            <w:tcBorders>
              <w:tl2br w:val="nil"/>
              <w:tr2bl w:val="nil"/>
            </w:tcBorders>
            <w:noWrap/>
            <w:vAlign w:val="center"/>
          </w:tcPr>
          <w:p>
            <w:pPr>
              <w:widowControl/>
              <w:jc w:val="center"/>
              <w:rPr>
                <w:rFonts w:hint="eastAsia" w:ascii="宋体" w:hAnsi="宋体" w:cs="宋体"/>
                <w:kern w:val="0"/>
                <w:szCs w:val="21"/>
              </w:rPr>
            </w:pP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rPr>
              <w:t>杂草清理不及时，有杂物，树穴每年松土未达2次扣0.5分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4" w:type="dxa"/>
            <w:vMerge w:val="continue"/>
            <w:tcBorders>
              <w:tl2br w:val="nil"/>
              <w:tr2bl w:val="nil"/>
            </w:tcBorders>
            <w:noWrap/>
            <w:vAlign w:val="center"/>
          </w:tcPr>
          <w:p>
            <w:pPr>
              <w:widowControl/>
              <w:jc w:val="center"/>
              <w:rPr>
                <w:rFonts w:hint="eastAsia" w:ascii="宋体" w:hAnsi="宋体" w:cs="宋体"/>
                <w:b/>
                <w:bCs/>
                <w:kern w:val="0"/>
                <w:szCs w:val="21"/>
                <w:lang w:bidi="ar"/>
              </w:rPr>
            </w:pPr>
          </w:p>
        </w:tc>
        <w:tc>
          <w:tcPr>
            <w:tcW w:w="4405" w:type="dxa"/>
            <w:vMerge w:val="continue"/>
            <w:tcBorders>
              <w:tl2br w:val="nil"/>
              <w:tr2bl w:val="nil"/>
            </w:tcBorders>
            <w:noWrap/>
            <w:vAlign w:val="center"/>
          </w:tcPr>
          <w:p>
            <w:pPr>
              <w:widowControl/>
              <w:jc w:val="left"/>
              <w:rPr>
                <w:rFonts w:hint="eastAsia" w:ascii="宋体" w:hAnsi="宋体" w:cs="宋体"/>
                <w:kern w:val="0"/>
                <w:szCs w:val="21"/>
                <w:lang w:bidi="ar"/>
              </w:rPr>
            </w:pPr>
          </w:p>
        </w:tc>
        <w:tc>
          <w:tcPr>
            <w:tcW w:w="660" w:type="dxa"/>
            <w:vMerge w:val="continue"/>
            <w:tcBorders>
              <w:tl2br w:val="nil"/>
              <w:tr2bl w:val="nil"/>
            </w:tcBorders>
            <w:noWrap/>
            <w:vAlign w:val="center"/>
          </w:tcPr>
          <w:p>
            <w:pPr>
              <w:widowControl/>
              <w:jc w:val="center"/>
              <w:rPr>
                <w:rFonts w:hint="eastAsia" w:ascii="宋体" w:hAnsi="宋体" w:cs="宋体"/>
                <w:kern w:val="0"/>
                <w:szCs w:val="21"/>
                <w:lang w:bidi="ar"/>
              </w:rPr>
            </w:pPr>
          </w:p>
        </w:tc>
        <w:tc>
          <w:tcPr>
            <w:tcW w:w="2841"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有明显枯枝、杂草、杂物扣0.5分/处</w:t>
            </w:r>
          </w:p>
        </w:tc>
        <w:tc>
          <w:tcPr>
            <w:tcW w:w="893" w:type="dxa"/>
            <w:tcBorders>
              <w:tl2br w:val="nil"/>
              <w:tr2bl w:val="nil"/>
            </w:tcBorders>
            <w:noWrap/>
            <w:vAlign w:val="center"/>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64" w:type="dxa"/>
            <w:vMerge w:val="continue"/>
            <w:tcBorders>
              <w:tl2br w:val="nil"/>
              <w:tr2bl w:val="nil"/>
            </w:tcBorders>
            <w:noWrap/>
            <w:vAlign w:val="center"/>
          </w:tcPr>
          <w:p>
            <w:pPr>
              <w:widowControl/>
              <w:jc w:val="center"/>
              <w:rPr>
                <w:rFonts w:hint="eastAsia" w:ascii="宋体" w:hAnsi="宋体" w:cs="宋体"/>
                <w:b/>
                <w:bCs/>
                <w:kern w:val="0"/>
                <w:szCs w:val="21"/>
                <w:lang w:bidi="ar"/>
              </w:rPr>
            </w:pPr>
          </w:p>
        </w:tc>
        <w:tc>
          <w:tcPr>
            <w:tcW w:w="4405"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1.2.2及时防治和控制病虫害的发生，每次抽查50株。</w:t>
            </w:r>
          </w:p>
        </w:tc>
        <w:tc>
          <w:tcPr>
            <w:tcW w:w="660" w:type="dxa"/>
            <w:vMerge w:val="continue"/>
            <w:tcBorders>
              <w:tl2br w:val="nil"/>
              <w:tr2bl w:val="nil"/>
            </w:tcBorders>
            <w:noWrap/>
            <w:vAlign w:val="center"/>
          </w:tcPr>
          <w:p>
            <w:pPr>
              <w:widowControl/>
              <w:jc w:val="center"/>
              <w:rPr>
                <w:rFonts w:hint="eastAsia" w:ascii="宋体" w:hAnsi="宋体" w:cs="宋体"/>
                <w:kern w:val="0"/>
                <w:szCs w:val="21"/>
                <w:lang w:bidi="ar"/>
              </w:rPr>
            </w:pPr>
          </w:p>
        </w:tc>
        <w:tc>
          <w:tcPr>
            <w:tcW w:w="2841"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病虫害危害率达到10%至15%内扣1分，危害率超出15%扣2分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1.2.3花木无死株、缺株。</w:t>
            </w: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花木减少一棵扣1分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1.2.4被损花木及时扶正，倾斜度不超过10度。</w:t>
            </w: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超过10度扣0.5分/株</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1.2.5花木绿植是否及时清理</w:t>
            </w: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未及时清理扣0.5分/棵</w:t>
            </w:r>
          </w:p>
          <w:p>
            <w:pPr>
              <w:widowControl/>
              <w:jc w:val="left"/>
              <w:rPr>
                <w:rFonts w:hint="eastAsia" w:ascii="宋体" w:hAnsi="宋体" w:cs="宋体"/>
                <w:kern w:val="0"/>
                <w:szCs w:val="21"/>
              </w:rPr>
            </w:pPr>
            <w:r>
              <w:rPr>
                <w:rFonts w:hint="eastAsia" w:ascii="宋体" w:hAnsi="宋体" w:cs="宋体"/>
                <w:kern w:val="0"/>
                <w:szCs w:val="21"/>
                <w:lang w:bidi="ar"/>
              </w:rPr>
              <w:t>未及时修剪扣0.1分/棵</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4" w:type="dxa"/>
            <w:vMerge w:val="continue"/>
            <w:tcBorders>
              <w:tl2br w:val="nil"/>
              <w:tr2bl w:val="nil"/>
            </w:tcBorders>
            <w:noWrap/>
            <w:vAlign w:val="center"/>
          </w:tcPr>
          <w:p>
            <w:pPr>
              <w:rPr>
                <w:rFonts w:hint="eastAsia" w:ascii="宋体" w:hAnsi="宋体"/>
                <w:szCs w:val="21"/>
              </w:rPr>
            </w:pPr>
          </w:p>
        </w:tc>
        <w:tc>
          <w:tcPr>
            <w:tcW w:w="4405"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1.2.6花木保持正常水分、湿度。</w:t>
            </w:r>
          </w:p>
        </w:tc>
        <w:tc>
          <w:tcPr>
            <w:tcW w:w="660" w:type="dxa"/>
            <w:vMerge w:val="continue"/>
            <w:tcBorders>
              <w:tl2br w:val="nil"/>
              <w:tr2bl w:val="nil"/>
            </w:tcBorders>
            <w:noWrap/>
            <w:vAlign w:val="center"/>
          </w:tcPr>
          <w:p>
            <w:pPr>
              <w:rPr>
                <w:rFonts w:hint="eastAsia" w:ascii="宋体" w:hAnsi="宋体"/>
                <w:szCs w:val="21"/>
              </w:rPr>
            </w:pPr>
          </w:p>
        </w:tc>
        <w:tc>
          <w:tcPr>
            <w:tcW w:w="2841" w:type="dxa"/>
            <w:tcBorders>
              <w:tl2br w:val="nil"/>
              <w:tr2bl w:val="nil"/>
            </w:tcBorders>
            <w:noWrap/>
            <w:vAlign w:val="center"/>
          </w:tcPr>
          <w:p>
            <w:pPr>
              <w:widowControl/>
              <w:jc w:val="left"/>
              <w:rPr>
                <w:rFonts w:hint="eastAsia" w:ascii="宋体" w:hAnsi="宋体" w:cs="宋体"/>
                <w:kern w:val="0"/>
                <w:szCs w:val="21"/>
                <w:lang w:bidi="ar"/>
              </w:rPr>
            </w:pPr>
            <w:r>
              <w:rPr>
                <w:rFonts w:hint="eastAsia" w:ascii="宋体" w:hAnsi="宋体" w:cs="宋体"/>
                <w:kern w:val="0"/>
                <w:szCs w:val="21"/>
              </w:rPr>
              <w:t>干、粘现象扣0.5分/处，</w:t>
            </w:r>
            <w:r>
              <w:rPr>
                <w:rFonts w:hint="eastAsia" w:ascii="宋体" w:hAnsi="宋体" w:cs="宋体"/>
                <w:kern w:val="0"/>
                <w:szCs w:val="21"/>
                <w:lang w:bidi="ar"/>
              </w:rPr>
              <w:t>排水不正常扣1分/处</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164" w:type="dxa"/>
            <w:tcBorders>
              <w:tl2br w:val="nil"/>
              <w:tr2bl w:val="nil"/>
            </w:tcBorders>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清卫标准及设施维护</w:t>
            </w:r>
          </w:p>
        </w:tc>
        <w:tc>
          <w:tcPr>
            <w:tcW w:w="4405"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rPr>
              <w:t>1.3.1植物清洁卫生工作情况，无明显生活杂物和植物废弃物。</w:t>
            </w:r>
          </w:p>
        </w:tc>
        <w:tc>
          <w:tcPr>
            <w:tcW w:w="660" w:type="dxa"/>
            <w:tcBorders>
              <w:tl2br w:val="nil"/>
              <w:tr2bl w:val="nil"/>
            </w:tcBorders>
            <w:noWrap/>
            <w:vAlign w:val="center"/>
          </w:tcPr>
          <w:p>
            <w:pPr>
              <w:widowControl/>
              <w:jc w:val="center"/>
              <w:rPr>
                <w:rFonts w:hint="eastAsia" w:ascii="宋体" w:hAnsi="宋体" w:cs="宋体"/>
                <w:kern w:val="0"/>
                <w:szCs w:val="21"/>
              </w:rPr>
            </w:pPr>
            <w:r>
              <w:rPr>
                <w:rFonts w:hint="eastAsia" w:ascii="宋体" w:hAnsi="宋体" w:cs="宋体"/>
                <w:kern w:val="0"/>
                <w:szCs w:val="21"/>
              </w:rPr>
              <w:t>30</w:t>
            </w:r>
          </w:p>
        </w:tc>
        <w:tc>
          <w:tcPr>
            <w:tcW w:w="2841" w:type="dxa"/>
            <w:tcBorders>
              <w:tl2br w:val="nil"/>
              <w:tr2bl w:val="nil"/>
            </w:tcBorders>
            <w:noWrap/>
            <w:vAlign w:val="center"/>
          </w:tcPr>
          <w:p>
            <w:pPr>
              <w:widowControl/>
              <w:jc w:val="left"/>
              <w:rPr>
                <w:rFonts w:hint="eastAsia" w:ascii="宋体" w:hAnsi="宋体" w:cs="宋体"/>
                <w:kern w:val="0"/>
                <w:szCs w:val="21"/>
              </w:rPr>
            </w:pPr>
            <w:r>
              <w:rPr>
                <w:rFonts w:hint="eastAsia" w:ascii="宋体" w:hAnsi="宋体" w:cs="宋体"/>
                <w:kern w:val="0"/>
                <w:szCs w:val="21"/>
                <w:lang w:bidi="ar"/>
              </w:rPr>
              <w:t>一处不符扣0.5分</w:t>
            </w:r>
          </w:p>
        </w:tc>
        <w:tc>
          <w:tcPr>
            <w:tcW w:w="893" w:type="dxa"/>
            <w:tcBorders>
              <w:tl2br w:val="nil"/>
              <w:tr2bl w:val="nil"/>
            </w:tcBorders>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164" w:type="dxa"/>
            <w:tcBorders>
              <w:tl2br w:val="nil"/>
              <w:tr2bl w:val="nil"/>
            </w:tcBorders>
            <w:noWrap/>
            <w:vAlign w:val="center"/>
          </w:tcPr>
          <w:p>
            <w:pPr>
              <w:widowControl/>
              <w:jc w:val="center"/>
              <w:rPr>
                <w:rFonts w:hint="eastAsia" w:ascii="宋体" w:hAnsi="宋体" w:cs="宋体"/>
                <w:b/>
                <w:bCs/>
                <w:kern w:val="0"/>
                <w:szCs w:val="21"/>
              </w:rPr>
            </w:pPr>
            <w:r>
              <w:rPr>
                <w:rFonts w:hint="eastAsia" w:ascii="宋体" w:hAnsi="宋体" w:cs="宋体"/>
                <w:b/>
                <w:bCs/>
                <w:kern w:val="0"/>
                <w:szCs w:val="21"/>
                <w:lang w:bidi="ar"/>
              </w:rPr>
              <w:t>总分值</w:t>
            </w:r>
          </w:p>
        </w:tc>
        <w:tc>
          <w:tcPr>
            <w:tcW w:w="4405" w:type="dxa"/>
            <w:tcBorders>
              <w:tl2br w:val="nil"/>
              <w:tr2bl w:val="nil"/>
            </w:tcBorders>
            <w:noWrap/>
            <w:vAlign w:val="center"/>
          </w:tcPr>
          <w:p>
            <w:pPr>
              <w:widowControl/>
              <w:jc w:val="center"/>
              <w:rPr>
                <w:rFonts w:hint="eastAsia" w:ascii="宋体" w:hAnsi="宋体" w:cs="宋体"/>
                <w:kern w:val="0"/>
                <w:szCs w:val="21"/>
              </w:rPr>
            </w:pPr>
          </w:p>
        </w:tc>
        <w:tc>
          <w:tcPr>
            <w:tcW w:w="4394" w:type="dxa"/>
            <w:gridSpan w:val="3"/>
            <w:tcBorders>
              <w:tl2br w:val="nil"/>
              <w:tr2bl w:val="nil"/>
            </w:tcBorders>
            <w:noWrap/>
            <w:vAlign w:val="center"/>
          </w:tcPr>
          <w:p>
            <w:pPr>
              <w:widowControl/>
              <w:jc w:val="left"/>
              <w:rPr>
                <w:rFonts w:hint="eastAsia" w:ascii="宋体" w:hAnsi="宋体" w:cs="宋体"/>
                <w:kern w:val="0"/>
                <w:szCs w:val="21"/>
              </w:rPr>
            </w:pPr>
          </w:p>
        </w:tc>
      </w:tr>
    </w:tbl>
    <w:p>
      <w:pPr>
        <w:rPr>
          <w:rFonts w:hint="eastAsia" w:ascii="宋体" w:hAnsi="宋体" w:cs="宋体"/>
          <w:bCs/>
          <w:sz w:val="28"/>
          <w:szCs w:val="28"/>
          <w:lang w:bidi="ar"/>
        </w:rPr>
      </w:pPr>
      <w:r>
        <w:rPr>
          <w:rFonts w:hint="eastAsia" w:ascii="宋体" w:hAnsi="宋体" w:cs="宋体"/>
          <w:b/>
          <w:sz w:val="28"/>
          <w:szCs w:val="28"/>
          <w:lang w:bidi="ar"/>
        </w:rPr>
        <w:t>被考核单位：考核人：                           日期：</w:t>
      </w:r>
    </w:p>
    <w:p>
      <w:pPr>
        <w:widowControl/>
        <w:ind w:right="62" w:firstLine="723"/>
        <w:jc w:val="left"/>
        <w:rPr>
          <w:rFonts w:hint="eastAsia" w:ascii="宋体" w:hAnsi="宋体" w:cs="宋体"/>
          <w:b/>
          <w:bCs/>
          <w:sz w:val="36"/>
          <w:szCs w:val="36"/>
        </w:rPr>
      </w:pPr>
    </w:p>
    <w:p>
      <w:pPr>
        <w:widowControl/>
        <w:jc w:val="left"/>
        <w:rPr>
          <w:rFonts w:hint="eastAsia" w:ascii="宋体" w:hAnsi="宋体" w:cs="宋体"/>
          <w:b/>
          <w:bCs/>
          <w:sz w:val="36"/>
          <w:szCs w:val="36"/>
        </w:rPr>
      </w:pPr>
      <w:r>
        <w:rPr>
          <w:rFonts w:hint="eastAsia" w:ascii="宋体" w:hAnsi="宋体" w:cs="宋体"/>
          <w:b/>
          <w:bCs/>
          <w:sz w:val="36"/>
          <w:szCs w:val="36"/>
        </w:rPr>
        <w:br w:type="page"/>
      </w:r>
    </w:p>
    <w:p>
      <w:pPr>
        <w:ind w:right="62" w:firstLine="723"/>
        <w:jc w:val="center"/>
        <w:rPr>
          <w:rFonts w:hint="eastAsia" w:ascii="宋体" w:hAnsi="宋体" w:cs="宋体"/>
          <w:b/>
          <w:bCs/>
          <w:kern w:val="0"/>
          <w:szCs w:val="21"/>
        </w:rPr>
      </w:pPr>
      <w:r>
        <w:rPr>
          <w:rFonts w:hint="eastAsia" w:ascii="宋体" w:hAnsi="宋体" w:cs="宋体"/>
          <w:b/>
          <w:bCs/>
          <w:sz w:val="36"/>
          <w:szCs w:val="36"/>
        </w:rPr>
        <w:t>第二部分 评分标准</w:t>
      </w:r>
    </w:p>
    <w:p>
      <w:pPr>
        <w:pStyle w:val="90"/>
        <w:ind w:left="208" w:right="62" w:firstLine="422"/>
        <w:rPr>
          <w:rFonts w:hint="eastAsia" w:ascii="宋体" w:hAnsi="宋体" w:cs="宋体"/>
          <w:b/>
          <w:kern w:val="2"/>
          <w:sz w:val="21"/>
          <w:szCs w:val="21"/>
        </w:rPr>
      </w:pPr>
      <w:bookmarkStart w:id="22" w:name="_Toc78921652"/>
      <w:bookmarkStart w:id="23" w:name="_Toc47117315"/>
      <w:bookmarkStart w:id="24" w:name="_Toc528771313"/>
      <w:r>
        <w:rPr>
          <w:rFonts w:hint="eastAsia" w:ascii="宋体" w:hAnsi="宋体" w:cs="宋体"/>
          <w:b/>
          <w:kern w:val="2"/>
          <w:sz w:val="21"/>
          <w:szCs w:val="21"/>
        </w:rPr>
        <w:t>一、评审方法及评分标准</w:t>
      </w:r>
    </w:p>
    <w:p>
      <w:pPr>
        <w:pStyle w:val="90"/>
        <w:ind w:left="630" w:right="62" w:firstLine="422"/>
        <w:rPr>
          <w:rFonts w:hint="eastAsia" w:ascii="宋体" w:hAnsi="宋体" w:cs="宋体"/>
          <w:b/>
          <w:kern w:val="2"/>
          <w:sz w:val="21"/>
          <w:szCs w:val="21"/>
        </w:rPr>
      </w:pPr>
      <w:r>
        <w:rPr>
          <w:rFonts w:hint="eastAsia" w:ascii="宋体" w:hAnsi="宋体" w:cs="宋体"/>
          <w:b/>
          <w:kern w:val="2"/>
          <w:sz w:val="21"/>
          <w:szCs w:val="21"/>
        </w:rPr>
        <w:t>（一）评审方法</w:t>
      </w:r>
    </w:p>
    <w:p>
      <w:pPr>
        <w:pStyle w:val="90"/>
        <w:spacing w:before="0" w:after="0"/>
        <w:ind w:right="62" w:firstLineChars="200"/>
        <w:rPr>
          <w:rFonts w:hint="eastAsia" w:ascii="宋体" w:hAnsi="宋体" w:cs="宋体"/>
          <w:kern w:val="2"/>
        </w:rPr>
      </w:pPr>
      <w:r>
        <w:rPr>
          <w:rFonts w:hint="eastAsia" w:ascii="宋体" w:hAnsi="宋体" w:cs="宋体"/>
          <w:kern w:val="2"/>
        </w:rPr>
        <w:t>本项目采用综合评分法，评委会将对确定为实质性响应招标文件要求的投标文件进行评价和比较。评标结果按评审后得分由高到低顺序排列。得分相同的，按投标报价由低到高顺序排列。</w:t>
      </w:r>
    </w:p>
    <w:p>
      <w:pPr>
        <w:pStyle w:val="90"/>
        <w:spacing w:before="0" w:after="0"/>
        <w:ind w:right="62" w:firstLine="482"/>
        <w:rPr>
          <w:rFonts w:ascii="宋体" w:hAnsi="宋体" w:cs="宋体"/>
          <w:b/>
          <w:kern w:val="2"/>
        </w:rPr>
      </w:pPr>
      <w:r>
        <w:rPr>
          <w:rFonts w:hint="eastAsia" w:ascii="宋体" w:hAnsi="宋体" w:cs="宋体"/>
          <w:b/>
          <w:kern w:val="2"/>
        </w:rPr>
        <w:t>（二）评分标准</w:t>
      </w:r>
      <w:bookmarkEnd w:id="22"/>
      <w:bookmarkEnd w:id="23"/>
    </w:p>
    <w:tbl>
      <w:tblPr>
        <w:tblStyle w:val="30"/>
        <w:tblW w:w="89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1171"/>
        <w:gridCol w:w="5526"/>
        <w:gridCol w:w="588"/>
        <w:gridCol w:w="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jc w:val="center"/>
        </w:trPr>
        <w:tc>
          <w:tcPr>
            <w:tcW w:w="857" w:type="dxa"/>
            <w:vAlign w:val="center"/>
          </w:tcPr>
          <w:p>
            <w:pPr>
              <w:spacing w:line="24" w:lineRule="atLeast"/>
              <w:ind w:right="62"/>
              <w:rPr>
                <w:rFonts w:ascii="宋体"/>
                <w:b/>
                <w:bCs/>
                <w:color w:val="000000"/>
                <w:spacing w:val="-2"/>
                <w:sz w:val="24"/>
                <w:szCs w:val="24"/>
              </w:rPr>
            </w:pPr>
            <w:r>
              <w:rPr>
                <w:rFonts w:hint="eastAsia" w:ascii="宋体" w:hAnsi="宋体" w:cs="宋体"/>
                <w:b/>
                <w:bCs/>
                <w:color w:val="000000"/>
                <w:spacing w:val="-2"/>
                <w:sz w:val="24"/>
                <w:szCs w:val="24"/>
              </w:rPr>
              <w:t>序号</w:t>
            </w:r>
          </w:p>
        </w:tc>
        <w:tc>
          <w:tcPr>
            <w:tcW w:w="1171" w:type="dxa"/>
            <w:vAlign w:val="center"/>
          </w:tcPr>
          <w:p>
            <w:pPr>
              <w:spacing w:line="24" w:lineRule="atLeast"/>
              <w:ind w:right="62"/>
              <w:rPr>
                <w:rFonts w:ascii="宋体"/>
                <w:b/>
                <w:bCs/>
                <w:color w:val="000000"/>
                <w:spacing w:val="-2"/>
                <w:sz w:val="24"/>
                <w:szCs w:val="24"/>
              </w:rPr>
            </w:pPr>
            <w:r>
              <w:rPr>
                <w:rFonts w:hint="eastAsia" w:ascii="宋体" w:hAnsi="宋体" w:cs="宋体"/>
                <w:b/>
                <w:bCs/>
                <w:color w:val="000000"/>
                <w:spacing w:val="-2"/>
                <w:sz w:val="24"/>
                <w:szCs w:val="24"/>
              </w:rPr>
              <w:t>评审因素</w:t>
            </w:r>
          </w:p>
        </w:tc>
        <w:tc>
          <w:tcPr>
            <w:tcW w:w="5526" w:type="dxa"/>
            <w:vAlign w:val="center"/>
          </w:tcPr>
          <w:p>
            <w:pPr>
              <w:spacing w:line="24" w:lineRule="atLeast"/>
              <w:ind w:right="62" w:firstLine="474"/>
              <w:jc w:val="center"/>
              <w:rPr>
                <w:rFonts w:ascii="宋体"/>
                <w:b/>
                <w:bCs/>
                <w:color w:val="000000"/>
                <w:spacing w:val="-2"/>
                <w:sz w:val="24"/>
                <w:szCs w:val="24"/>
              </w:rPr>
            </w:pPr>
            <w:r>
              <w:rPr>
                <w:rFonts w:hint="eastAsia" w:ascii="宋体" w:hAnsi="宋体" w:cs="宋体"/>
                <w:b/>
                <w:bCs/>
                <w:color w:val="000000"/>
                <w:spacing w:val="-2"/>
                <w:sz w:val="24"/>
                <w:szCs w:val="24"/>
              </w:rPr>
              <w:t>评审细则</w:t>
            </w:r>
          </w:p>
        </w:tc>
        <w:tc>
          <w:tcPr>
            <w:tcW w:w="588" w:type="dxa"/>
            <w:vAlign w:val="center"/>
          </w:tcPr>
          <w:p>
            <w:pPr>
              <w:spacing w:line="24" w:lineRule="atLeast"/>
              <w:ind w:right="62"/>
              <w:rPr>
                <w:rFonts w:ascii="宋体"/>
                <w:b/>
                <w:bCs/>
                <w:color w:val="000000"/>
                <w:spacing w:val="-2"/>
                <w:sz w:val="24"/>
                <w:szCs w:val="24"/>
              </w:rPr>
            </w:pPr>
            <w:r>
              <w:rPr>
                <w:rFonts w:hint="eastAsia" w:ascii="宋体" w:hAnsi="宋体" w:cs="宋体"/>
                <w:b/>
                <w:bCs/>
                <w:color w:val="000000"/>
                <w:spacing w:val="-2"/>
                <w:sz w:val="24"/>
                <w:szCs w:val="24"/>
              </w:rPr>
              <w:t>分值</w:t>
            </w:r>
          </w:p>
        </w:tc>
        <w:tc>
          <w:tcPr>
            <w:tcW w:w="771" w:type="dxa"/>
            <w:vAlign w:val="center"/>
          </w:tcPr>
          <w:p>
            <w:pPr>
              <w:spacing w:line="24" w:lineRule="atLeast"/>
              <w:ind w:right="62"/>
              <w:rPr>
                <w:rFonts w:ascii="宋体"/>
                <w:b/>
                <w:bCs/>
                <w:color w:val="000000"/>
                <w:spacing w:val="-2"/>
                <w:sz w:val="24"/>
                <w:szCs w:val="24"/>
              </w:rPr>
            </w:pPr>
            <w:r>
              <w:rPr>
                <w:rFonts w:hint="eastAsia" w:ascii="宋体" w:hAnsi="宋体" w:cs="宋体"/>
                <w:b/>
                <w:bCs/>
                <w:color w:val="000000"/>
                <w:spacing w:val="-2"/>
                <w:sz w:val="24"/>
                <w:szCs w:val="24"/>
              </w:rPr>
              <w:t>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8913" w:type="dxa"/>
            <w:gridSpan w:val="5"/>
          </w:tcPr>
          <w:p>
            <w:pPr>
              <w:spacing w:line="24" w:lineRule="atLeast"/>
              <w:ind w:right="62" w:firstLine="470"/>
              <w:rPr>
                <w:rFonts w:ascii="宋体"/>
                <w:color w:val="000000"/>
                <w:sz w:val="24"/>
                <w:szCs w:val="24"/>
              </w:rPr>
            </w:pPr>
            <w:r>
              <w:rPr>
                <w:rFonts w:ascii="宋体" w:hAnsi="宋体" w:cs="宋体"/>
                <w:b/>
                <w:bCs/>
                <w:color w:val="000000"/>
                <w:spacing w:val="-3"/>
                <w:sz w:val="24"/>
                <w:szCs w:val="24"/>
              </w:rPr>
              <w:t>1</w:t>
            </w:r>
            <w:r>
              <w:rPr>
                <w:rFonts w:hint="eastAsia" w:ascii="宋体" w:hAnsi="宋体" w:cs="宋体"/>
                <w:b/>
                <w:bCs/>
                <w:color w:val="000000"/>
                <w:spacing w:val="-3"/>
                <w:sz w:val="24"/>
                <w:szCs w:val="24"/>
              </w:rPr>
              <w:t>价</w:t>
            </w:r>
            <w:r>
              <w:rPr>
                <w:rFonts w:hint="eastAsia" w:ascii="宋体" w:hAnsi="宋体" w:cs="宋体"/>
                <w:b/>
                <w:bCs/>
                <w:color w:val="000000"/>
                <w:spacing w:val="-2"/>
                <w:sz w:val="24"/>
                <w:szCs w:val="24"/>
              </w:rPr>
              <w:t>格（20分）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jc w:val="center"/>
        </w:trPr>
        <w:tc>
          <w:tcPr>
            <w:tcW w:w="857" w:type="dxa"/>
            <w:vAlign w:val="center"/>
          </w:tcPr>
          <w:p>
            <w:pPr>
              <w:spacing w:line="24" w:lineRule="atLeast"/>
              <w:ind w:right="62"/>
              <w:jc w:val="center"/>
              <w:rPr>
                <w:rFonts w:ascii="宋体"/>
                <w:color w:val="000000"/>
                <w:sz w:val="24"/>
                <w:szCs w:val="24"/>
              </w:rPr>
            </w:pPr>
            <w:r>
              <w:rPr>
                <w:rFonts w:ascii="宋体" w:hAnsi="宋体" w:cs="宋体"/>
                <w:color w:val="000000"/>
                <w:spacing w:val="-6"/>
                <w:sz w:val="24"/>
                <w:szCs w:val="24"/>
              </w:rPr>
              <w:t>1</w:t>
            </w:r>
            <w:r>
              <w:rPr>
                <w:rFonts w:ascii="宋体" w:hAnsi="宋体" w:cs="宋体"/>
                <w:color w:val="000000"/>
                <w:spacing w:val="-5"/>
                <w:sz w:val="24"/>
                <w:szCs w:val="24"/>
              </w:rPr>
              <w:t>.1</w:t>
            </w:r>
          </w:p>
        </w:tc>
        <w:tc>
          <w:tcPr>
            <w:tcW w:w="1171" w:type="dxa"/>
            <w:vAlign w:val="center"/>
          </w:tcPr>
          <w:p>
            <w:pPr>
              <w:spacing w:line="24" w:lineRule="atLeast"/>
              <w:ind w:right="62"/>
              <w:jc w:val="center"/>
              <w:rPr>
                <w:rFonts w:ascii="宋体"/>
                <w:color w:val="000000"/>
                <w:sz w:val="24"/>
                <w:szCs w:val="24"/>
              </w:rPr>
            </w:pPr>
            <w:r>
              <w:rPr>
                <w:rFonts w:hint="eastAsia" w:ascii="宋体" w:hAnsi="宋体" w:cs="宋体"/>
                <w:color w:val="000000"/>
                <w:spacing w:val="-2"/>
                <w:sz w:val="24"/>
                <w:szCs w:val="24"/>
              </w:rPr>
              <w:t>价格分</w:t>
            </w:r>
          </w:p>
        </w:tc>
        <w:tc>
          <w:tcPr>
            <w:tcW w:w="5526" w:type="dxa"/>
          </w:tcPr>
          <w:p>
            <w:pPr>
              <w:pStyle w:val="139"/>
              <w:spacing w:line="24" w:lineRule="atLeast"/>
              <w:ind w:right="62" w:firstLine="480"/>
              <w:jc w:val="left"/>
              <w:rPr>
                <w:rFonts w:hint="eastAsia" w:ascii="宋体"/>
                <w:color w:val="000000"/>
                <w:sz w:val="24"/>
                <w:szCs w:val="24"/>
              </w:rPr>
            </w:pPr>
            <w:r>
              <w:rPr>
                <w:rFonts w:hint="eastAsia" w:ascii="宋体" w:hAnsi="宋体" w:cs="宋体"/>
                <w:color w:val="000000"/>
                <w:sz w:val="24"/>
                <w:szCs w:val="24"/>
              </w:rPr>
              <w:t>供应商的价格分统一采用低价优先法计算，满足招标文件要求且投标价格最低的投标报价为评标基准价，</w:t>
            </w:r>
            <w:r>
              <w:rPr>
                <w:rFonts w:ascii="宋体" w:hAnsi="宋体" w:cs="宋体"/>
                <w:color w:val="000000"/>
                <w:sz w:val="24"/>
                <w:szCs w:val="24"/>
              </w:rPr>
              <w:t xml:space="preserve"> </w:t>
            </w:r>
            <w:r>
              <w:rPr>
                <w:rFonts w:hint="eastAsia" w:ascii="宋体" w:hAnsi="宋体" w:cs="宋体"/>
                <w:color w:val="000000"/>
                <w:sz w:val="24"/>
                <w:szCs w:val="24"/>
              </w:rPr>
              <w:t>其价格分为满分。其他供应商的价格分统一按照下列公式计算投标报价得分</w:t>
            </w:r>
            <w:r>
              <w:rPr>
                <w:rFonts w:ascii="宋体" w:hAnsi="宋体" w:cs="宋体"/>
                <w:color w:val="000000"/>
                <w:sz w:val="24"/>
                <w:szCs w:val="24"/>
              </w:rPr>
              <w:t>=(</w:t>
            </w:r>
            <w:r>
              <w:rPr>
                <w:rFonts w:hint="eastAsia" w:ascii="宋体" w:hAnsi="宋体" w:cs="宋体"/>
                <w:color w:val="000000"/>
                <w:sz w:val="24"/>
                <w:szCs w:val="24"/>
              </w:rPr>
              <w:t>评标基准价／投标报价</w:t>
            </w:r>
            <w:r>
              <w:rPr>
                <w:rFonts w:ascii="宋体" w:hAnsi="宋体" w:cs="宋体"/>
                <w:color w:val="000000"/>
                <w:sz w:val="24"/>
                <w:szCs w:val="24"/>
              </w:rPr>
              <w:t>)</w:t>
            </w:r>
            <w:r>
              <w:rPr>
                <w:rFonts w:hint="eastAsia" w:ascii="宋体" w:hAnsi="宋体" w:cs="宋体"/>
                <w:color w:val="000000"/>
                <w:sz w:val="24"/>
                <w:szCs w:val="24"/>
              </w:rPr>
              <w:t>×20</w:t>
            </w:r>
          </w:p>
        </w:tc>
        <w:tc>
          <w:tcPr>
            <w:tcW w:w="588" w:type="dxa"/>
            <w:vAlign w:val="center"/>
          </w:tcPr>
          <w:p>
            <w:pPr>
              <w:spacing w:line="24" w:lineRule="atLeast"/>
              <w:ind w:right="62"/>
              <w:jc w:val="center"/>
              <w:rPr>
                <w:rFonts w:hint="eastAsia" w:ascii="宋体"/>
                <w:color w:val="000000"/>
                <w:sz w:val="24"/>
                <w:szCs w:val="24"/>
              </w:rPr>
            </w:pPr>
            <w:r>
              <w:rPr>
                <w:rFonts w:hint="eastAsia" w:ascii="宋体" w:hAnsi="宋体" w:cs="宋体"/>
                <w:color w:val="000000"/>
                <w:sz w:val="24"/>
                <w:szCs w:val="24"/>
              </w:rPr>
              <w:t>20</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z w:val="24"/>
                <w:szCs w:val="24"/>
              </w:rPr>
              <w:t>价格分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8913" w:type="dxa"/>
            <w:gridSpan w:val="5"/>
          </w:tcPr>
          <w:p>
            <w:pPr>
              <w:spacing w:line="24" w:lineRule="atLeast"/>
              <w:ind w:right="62" w:firstLine="470"/>
              <w:jc w:val="left"/>
              <w:rPr>
                <w:rFonts w:ascii="宋体"/>
                <w:color w:val="000000"/>
                <w:sz w:val="24"/>
                <w:szCs w:val="24"/>
              </w:rPr>
            </w:pPr>
            <w:r>
              <w:rPr>
                <w:rFonts w:ascii="宋体" w:hAnsi="宋体" w:cs="宋体"/>
                <w:b/>
                <w:bCs/>
                <w:color w:val="000000"/>
                <w:spacing w:val="-3"/>
                <w:sz w:val="24"/>
                <w:szCs w:val="24"/>
              </w:rPr>
              <w:t>2</w:t>
            </w:r>
            <w:r>
              <w:rPr>
                <w:rFonts w:hint="eastAsia" w:ascii="宋体" w:hAnsi="宋体" w:cs="宋体"/>
                <w:b/>
                <w:bCs/>
                <w:color w:val="000000"/>
                <w:spacing w:val="-3"/>
                <w:sz w:val="24"/>
                <w:szCs w:val="24"/>
              </w:rPr>
              <w:t>服务（38分）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0" w:hRule="atLeast"/>
          <w:jc w:val="center"/>
        </w:trPr>
        <w:tc>
          <w:tcPr>
            <w:tcW w:w="857" w:type="dxa"/>
            <w:vAlign w:val="center"/>
          </w:tcPr>
          <w:p>
            <w:pPr>
              <w:spacing w:line="24" w:lineRule="atLeast"/>
              <w:ind w:right="62"/>
              <w:jc w:val="center"/>
              <w:rPr>
                <w:rFonts w:ascii="宋体"/>
                <w:color w:val="000000"/>
                <w:spacing w:val="-2"/>
                <w:sz w:val="24"/>
                <w:szCs w:val="24"/>
              </w:rPr>
            </w:pPr>
            <w:r>
              <w:rPr>
                <w:rFonts w:ascii="宋体" w:hAnsi="宋体" w:cs="宋体"/>
                <w:color w:val="000000"/>
                <w:spacing w:val="-2"/>
                <w:sz w:val="24"/>
                <w:szCs w:val="24"/>
              </w:rPr>
              <w:t>2.1</w:t>
            </w:r>
          </w:p>
        </w:tc>
        <w:tc>
          <w:tcPr>
            <w:tcW w:w="1171" w:type="dxa"/>
            <w:vAlign w:val="center"/>
          </w:tcPr>
          <w:p>
            <w:pPr>
              <w:spacing w:line="24" w:lineRule="atLeast"/>
              <w:ind w:right="62"/>
              <w:jc w:val="center"/>
              <w:rPr>
                <w:rFonts w:ascii="宋体"/>
                <w:color w:val="000000"/>
                <w:spacing w:val="-2"/>
                <w:sz w:val="24"/>
                <w:szCs w:val="24"/>
              </w:rPr>
            </w:pPr>
            <w:r>
              <w:rPr>
                <w:rFonts w:hint="eastAsia" w:ascii="宋体" w:hAnsi="宋体" w:cs="宋体"/>
                <w:color w:val="000000"/>
                <w:sz w:val="24"/>
                <w:szCs w:val="24"/>
              </w:rPr>
              <w:t>总体服务方案</w:t>
            </w:r>
          </w:p>
        </w:tc>
        <w:tc>
          <w:tcPr>
            <w:tcW w:w="5526" w:type="dxa"/>
            <w:vAlign w:val="center"/>
          </w:tcPr>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评委根据投标人提供的服务方案，包括对项目的建设思路、拟采取的管理措施、实施的具体计划、实施的具体流程和进退场方案评分：</w:t>
            </w:r>
          </w:p>
          <w:p>
            <w:pPr>
              <w:spacing w:line="24" w:lineRule="atLeast"/>
              <w:ind w:right="62" w:firstLine="476"/>
              <w:rPr>
                <w:rFonts w:ascii="宋体"/>
                <w:color w:val="000000"/>
                <w:spacing w:val="-1"/>
                <w:sz w:val="24"/>
                <w:szCs w:val="24"/>
                <w:lang w:val="zh-CN"/>
              </w:rPr>
            </w:pPr>
            <w:r>
              <w:rPr>
                <w:rFonts w:hint="eastAsia" w:ascii="宋体" w:hAnsi="宋体" w:cs="宋体"/>
                <w:color w:val="000000"/>
                <w:spacing w:val="-1"/>
                <w:sz w:val="24"/>
                <w:szCs w:val="24"/>
                <w:lang w:val="zh-CN"/>
              </w:rPr>
              <w:t>（</w:t>
            </w:r>
            <w:r>
              <w:rPr>
                <w:rFonts w:ascii="宋体" w:hAnsi="宋体" w:cs="宋体"/>
                <w:color w:val="000000"/>
                <w:spacing w:val="-1"/>
                <w:sz w:val="24"/>
                <w:szCs w:val="24"/>
                <w:lang w:val="zh-CN"/>
              </w:rPr>
              <w:t>1</w:t>
            </w:r>
            <w:r>
              <w:rPr>
                <w:rFonts w:hint="eastAsia" w:ascii="宋体" w:hAnsi="宋体" w:cs="宋体"/>
                <w:color w:val="000000"/>
                <w:spacing w:val="-1"/>
                <w:sz w:val="24"/>
                <w:szCs w:val="24"/>
                <w:lang w:val="zh-CN"/>
              </w:rPr>
              <w:t>）总体方案合理、分项内容齐全，对项目了解透彻，服务思路清晰，实施流程完善，实施计划合理，得</w:t>
            </w:r>
            <w:r>
              <w:rPr>
                <w:rFonts w:ascii="宋体" w:hAnsi="宋体" w:cs="宋体"/>
                <w:color w:val="000000"/>
                <w:spacing w:val="-1"/>
                <w:sz w:val="24"/>
                <w:szCs w:val="24"/>
              </w:rPr>
              <w:t>5</w:t>
            </w:r>
            <w:r>
              <w:rPr>
                <w:rFonts w:hint="eastAsia" w:ascii="宋体" w:hAnsi="宋体" w:cs="宋体"/>
                <w:color w:val="000000"/>
                <w:spacing w:val="-1"/>
                <w:sz w:val="24"/>
                <w:szCs w:val="24"/>
                <w:lang w:val="zh-CN"/>
              </w:rPr>
              <w:t>分；</w:t>
            </w:r>
          </w:p>
          <w:p>
            <w:pPr>
              <w:spacing w:line="24" w:lineRule="atLeast"/>
              <w:ind w:right="62" w:firstLine="476"/>
              <w:rPr>
                <w:rFonts w:ascii="宋体"/>
                <w:color w:val="000000"/>
                <w:spacing w:val="-1"/>
                <w:sz w:val="24"/>
                <w:szCs w:val="24"/>
                <w:lang w:val="zh-CN"/>
              </w:rPr>
            </w:pPr>
            <w:r>
              <w:rPr>
                <w:rFonts w:hint="eastAsia" w:ascii="宋体" w:hAnsi="宋体" w:cs="宋体"/>
                <w:color w:val="000000"/>
                <w:spacing w:val="-1"/>
                <w:sz w:val="24"/>
                <w:szCs w:val="24"/>
                <w:lang w:val="zh-CN"/>
              </w:rPr>
              <w:t>（</w:t>
            </w:r>
            <w:r>
              <w:rPr>
                <w:rFonts w:ascii="宋体" w:hAnsi="宋体" w:cs="宋体"/>
                <w:color w:val="000000"/>
                <w:spacing w:val="-1"/>
                <w:sz w:val="24"/>
                <w:szCs w:val="24"/>
                <w:lang w:val="zh-CN"/>
              </w:rPr>
              <w:t>2</w:t>
            </w:r>
            <w:r>
              <w:rPr>
                <w:rFonts w:hint="eastAsia" w:ascii="宋体" w:hAnsi="宋体" w:cs="宋体"/>
                <w:color w:val="000000"/>
                <w:spacing w:val="-1"/>
                <w:sz w:val="24"/>
                <w:szCs w:val="24"/>
                <w:lang w:val="zh-CN"/>
              </w:rPr>
              <w:t>）总体方案较合理，分项内容</w:t>
            </w:r>
            <w:r>
              <w:rPr>
                <w:rFonts w:hint="eastAsia" w:ascii="宋体" w:hAnsi="宋体" w:cs="宋体"/>
                <w:color w:val="000000"/>
                <w:spacing w:val="-1"/>
                <w:sz w:val="24"/>
                <w:szCs w:val="24"/>
              </w:rPr>
              <w:t>基本完整</w:t>
            </w:r>
            <w:r>
              <w:rPr>
                <w:rFonts w:hint="eastAsia" w:ascii="宋体" w:hAnsi="宋体" w:cs="宋体"/>
                <w:color w:val="000000"/>
                <w:spacing w:val="-1"/>
                <w:sz w:val="24"/>
                <w:szCs w:val="24"/>
                <w:lang w:val="zh-CN"/>
              </w:rPr>
              <w:t>，对项目了解较清晰，有一定的服务思路，实施流程较完善，实施计划较合理，得</w:t>
            </w:r>
            <w:r>
              <w:rPr>
                <w:rFonts w:ascii="宋体" w:hAnsi="宋体" w:cs="宋体"/>
                <w:color w:val="000000"/>
                <w:spacing w:val="-1"/>
                <w:sz w:val="24"/>
                <w:szCs w:val="24"/>
              </w:rPr>
              <w:t>3</w:t>
            </w:r>
            <w:r>
              <w:rPr>
                <w:rFonts w:hint="eastAsia" w:ascii="宋体" w:hAnsi="宋体" w:cs="宋体"/>
                <w:color w:val="000000"/>
                <w:spacing w:val="-1"/>
                <w:sz w:val="24"/>
                <w:szCs w:val="24"/>
                <w:lang w:val="zh-CN"/>
              </w:rPr>
              <w:t>分；</w:t>
            </w:r>
          </w:p>
          <w:p>
            <w:pPr>
              <w:spacing w:line="24" w:lineRule="atLeast"/>
              <w:ind w:right="62" w:firstLine="476"/>
              <w:rPr>
                <w:rFonts w:ascii="宋体"/>
                <w:color w:val="000000"/>
                <w:spacing w:val="-1"/>
                <w:sz w:val="24"/>
                <w:szCs w:val="24"/>
                <w:lang w:val="zh-CN"/>
              </w:rPr>
            </w:pPr>
            <w:r>
              <w:rPr>
                <w:rFonts w:hint="eastAsia" w:ascii="宋体" w:hAnsi="宋体" w:cs="宋体"/>
                <w:color w:val="000000"/>
                <w:spacing w:val="-1"/>
                <w:sz w:val="24"/>
                <w:szCs w:val="24"/>
                <w:lang w:val="zh-CN"/>
              </w:rPr>
              <w:t>（</w:t>
            </w:r>
            <w:r>
              <w:rPr>
                <w:rFonts w:ascii="宋体" w:hAnsi="宋体" w:cs="宋体"/>
                <w:color w:val="000000"/>
                <w:spacing w:val="-1"/>
                <w:sz w:val="24"/>
                <w:szCs w:val="24"/>
              </w:rPr>
              <w:t>3</w:t>
            </w:r>
            <w:r>
              <w:rPr>
                <w:rFonts w:hint="eastAsia" w:ascii="宋体" w:hAnsi="宋体" w:cs="宋体"/>
                <w:color w:val="000000"/>
                <w:spacing w:val="-1"/>
                <w:sz w:val="24"/>
                <w:szCs w:val="24"/>
                <w:lang w:val="zh-CN"/>
              </w:rPr>
              <w:t>）总体方案</w:t>
            </w:r>
            <w:r>
              <w:rPr>
                <w:rFonts w:hint="eastAsia" w:ascii="宋体" w:hAnsi="宋体" w:cs="宋体"/>
                <w:color w:val="000000"/>
                <w:spacing w:val="-1"/>
                <w:sz w:val="24"/>
                <w:szCs w:val="24"/>
              </w:rPr>
              <w:t>基本</w:t>
            </w:r>
            <w:r>
              <w:rPr>
                <w:rFonts w:hint="eastAsia" w:ascii="宋体" w:hAnsi="宋体" w:cs="宋体"/>
                <w:color w:val="000000"/>
                <w:spacing w:val="-1"/>
                <w:sz w:val="24"/>
                <w:szCs w:val="24"/>
                <w:lang w:val="zh-CN"/>
              </w:rPr>
              <w:t>合理，分项内容</w:t>
            </w:r>
            <w:r>
              <w:rPr>
                <w:rFonts w:hint="eastAsia" w:ascii="宋体" w:hAnsi="宋体" w:cs="宋体"/>
                <w:color w:val="000000"/>
                <w:spacing w:val="-1"/>
                <w:sz w:val="24"/>
                <w:szCs w:val="24"/>
              </w:rPr>
              <w:t>有漏缺</w:t>
            </w:r>
            <w:r>
              <w:rPr>
                <w:rFonts w:hint="eastAsia" w:ascii="宋体" w:hAnsi="宋体" w:cs="宋体"/>
                <w:color w:val="000000"/>
                <w:spacing w:val="-1"/>
                <w:sz w:val="24"/>
                <w:szCs w:val="24"/>
                <w:lang w:val="zh-CN"/>
              </w:rPr>
              <w:t>，对项目</w:t>
            </w:r>
            <w:r>
              <w:rPr>
                <w:rFonts w:hint="eastAsia" w:ascii="宋体" w:hAnsi="宋体" w:cs="宋体"/>
                <w:color w:val="000000"/>
                <w:spacing w:val="-1"/>
                <w:sz w:val="24"/>
                <w:szCs w:val="24"/>
              </w:rPr>
              <w:t>基本</w:t>
            </w:r>
            <w:r>
              <w:rPr>
                <w:rFonts w:hint="eastAsia" w:ascii="宋体" w:hAnsi="宋体" w:cs="宋体"/>
                <w:color w:val="000000"/>
                <w:spacing w:val="-1"/>
                <w:sz w:val="24"/>
                <w:szCs w:val="24"/>
                <w:lang w:val="zh-CN"/>
              </w:rPr>
              <w:t>了解，</w:t>
            </w:r>
            <w:r>
              <w:rPr>
                <w:rFonts w:hint="eastAsia" w:ascii="宋体" w:hAnsi="宋体" w:cs="宋体"/>
                <w:color w:val="000000"/>
                <w:spacing w:val="-1"/>
                <w:sz w:val="24"/>
                <w:szCs w:val="24"/>
              </w:rPr>
              <w:t>有自己的服务思路</w:t>
            </w:r>
            <w:r>
              <w:rPr>
                <w:rFonts w:hint="eastAsia" w:ascii="宋体" w:hAnsi="宋体" w:cs="宋体"/>
                <w:color w:val="000000"/>
                <w:spacing w:val="-1"/>
                <w:sz w:val="24"/>
                <w:szCs w:val="24"/>
                <w:lang w:val="zh-CN"/>
              </w:rPr>
              <w:t>，实施流程</w:t>
            </w:r>
            <w:r>
              <w:rPr>
                <w:rFonts w:hint="eastAsia" w:ascii="宋体" w:hAnsi="宋体" w:cs="宋体"/>
                <w:color w:val="000000"/>
                <w:spacing w:val="-1"/>
                <w:sz w:val="24"/>
                <w:szCs w:val="24"/>
              </w:rPr>
              <w:t>基本</w:t>
            </w:r>
            <w:r>
              <w:rPr>
                <w:rFonts w:hint="eastAsia" w:ascii="宋体" w:hAnsi="宋体" w:cs="宋体"/>
                <w:color w:val="000000"/>
                <w:spacing w:val="-1"/>
                <w:sz w:val="24"/>
                <w:szCs w:val="24"/>
                <w:lang w:val="zh-CN"/>
              </w:rPr>
              <w:t>完善，实施计划</w:t>
            </w:r>
            <w:r>
              <w:rPr>
                <w:rFonts w:hint="eastAsia" w:ascii="宋体" w:hAnsi="宋体" w:cs="宋体"/>
                <w:color w:val="000000"/>
                <w:spacing w:val="-1"/>
                <w:sz w:val="24"/>
                <w:szCs w:val="24"/>
              </w:rPr>
              <w:t>基本</w:t>
            </w:r>
            <w:r>
              <w:rPr>
                <w:rFonts w:hint="eastAsia" w:ascii="宋体" w:hAnsi="宋体" w:cs="宋体"/>
                <w:color w:val="000000"/>
                <w:spacing w:val="-1"/>
                <w:sz w:val="24"/>
                <w:szCs w:val="24"/>
                <w:lang w:val="zh-CN"/>
              </w:rPr>
              <w:t>合理，得</w:t>
            </w:r>
            <w:r>
              <w:rPr>
                <w:rFonts w:ascii="宋体" w:hAnsi="宋体" w:cs="宋体"/>
                <w:color w:val="000000"/>
                <w:spacing w:val="-1"/>
                <w:sz w:val="24"/>
                <w:szCs w:val="24"/>
              </w:rPr>
              <w:t>1</w:t>
            </w:r>
            <w:r>
              <w:rPr>
                <w:rFonts w:hint="eastAsia" w:ascii="宋体" w:hAnsi="宋体" w:cs="宋体"/>
                <w:color w:val="000000"/>
                <w:spacing w:val="-1"/>
                <w:sz w:val="24"/>
                <w:szCs w:val="24"/>
                <w:lang w:val="zh-CN"/>
              </w:rPr>
              <w:t>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lang w:val="zh-CN"/>
              </w:rPr>
              <w:t>（</w:t>
            </w:r>
            <w:r>
              <w:rPr>
                <w:rFonts w:ascii="宋体" w:hAnsi="宋体" w:cs="宋体"/>
                <w:color w:val="000000"/>
                <w:spacing w:val="-1"/>
                <w:sz w:val="24"/>
                <w:szCs w:val="24"/>
              </w:rPr>
              <w:t>4</w:t>
            </w:r>
            <w:r>
              <w:rPr>
                <w:rFonts w:hint="eastAsia" w:ascii="宋体" w:hAnsi="宋体" w:cs="宋体"/>
                <w:color w:val="000000"/>
                <w:spacing w:val="-1"/>
                <w:sz w:val="24"/>
                <w:szCs w:val="24"/>
                <w:lang w:val="zh-CN"/>
              </w:rPr>
              <w:t>）总体方案整体不符合项目情况，方案内容严重不全，或未提供方案的不得分。</w:t>
            </w:r>
          </w:p>
        </w:tc>
        <w:tc>
          <w:tcPr>
            <w:tcW w:w="588" w:type="dxa"/>
            <w:vAlign w:val="center"/>
          </w:tcPr>
          <w:p>
            <w:pPr>
              <w:spacing w:line="24" w:lineRule="atLeast"/>
              <w:ind w:right="62"/>
              <w:jc w:val="center"/>
              <w:rPr>
                <w:rFonts w:ascii="宋体"/>
                <w:color w:val="000000"/>
                <w:sz w:val="24"/>
                <w:szCs w:val="24"/>
              </w:rPr>
            </w:pPr>
            <w:r>
              <w:rPr>
                <w:rFonts w:ascii="宋体" w:hAnsi="宋体" w:cs="宋体"/>
                <w:color w:val="000000"/>
                <w:sz w:val="24"/>
                <w:szCs w:val="24"/>
              </w:rPr>
              <w:t>5</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pacing w:val="-6"/>
                <w:sz w:val="24"/>
                <w:szCs w:val="24"/>
              </w:rPr>
              <w:t>主</w:t>
            </w:r>
            <w:r>
              <w:rPr>
                <w:rFonts w:hint="eastAsia" w:ascii="宋体" w:hAnsi="宋体" w:cs="宋体"/>
                <w:color w:val="000000"/>
                <w:spacing w:val="-4"/>
                <w:sz w:val="24"/>
                <w:szCs w:val="24"/>
              </w:rPr>
              <w:t>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jc w:val="center"/>
        </w:trPr>
        <w:tc>
          <w:tcPr>
            <w:tcW w:w="857" w:type="dxa"/>
            <w:vAlign w:val="center"/>
          </w:tcPr>
          <w:p>
            <w:pPr>
              <w:spacing w:line="24" w:lineRule="atLeast"/>
              <w:ind w:right="62"/>
              <w:jc w:val="center"/>
              <w:rPr>
                <w:rFonts w:ascii="宋体"/>
                <w:color w:val="000000"/>
                <w:spacing w:val="-2"/>
                <w:sz w:val="24"/>
                <w:szCs w:val="24"/>
              </w:rPr>
            </w:pPr>
            <w:r>
              <w:rPr>
                <w:rFonts w:ascii="宋体" w:hAnsi="宋体" w:cs="宋体"/>
                <w:color w:val="000000"/>
                <w:spacing w:val="-2"/>
                <w:sz w:val="24"/>
                <w:szCs w:val="24"/>
              </w:rPr>
              <w:t>2.2</w:t>
            </w:r>
          </w:p>
        </w:tc>
        <w:tc>
          <w:tcPr>
            <w:tcW w:w="1171" w:type="dxa"/>
            <w:vAlign w:val="center"/>
          </w:tcPr>
          <w:p>
            <w:pPr>
              <w:spacing w:line="24" w:lineRule="atLeast"/>
              <w:ind w:right="62"/>
              <w:jc w:val="center"/>
              <w:rPr>
                <w:rFonts w:ascii="宋体"/>
                <w:color w:val="000000"/>
                <w:spacing w:val="-2"/>
                <w:sz w:val="24"/>
                <w:szCs w:val="24"/>
              </w:rPr>
            </w:pPr>
            <w:r>
              <w:rPr>
                <w:rFonts w:hint="eastAsia" w:ascii="宋体" w:hAnsi="宋体" w:cs="宋体"/>
                <w:color w:val="000000"/>
                <w:spacing w:val="-1"/>
                <w:sz w:val="24"/>
                <w:szCs w:val="24"/>
              </w:rPr>
              <w:t>投入设施设备情况</w:t>
            </w:r>
          </w:p>
        </w:tc>
        <w:tc>
          <w:tcPr>
            <w:tcW w:w="5526" w:type="dxa"/>
            <w:vAlign w:val="center"/>
          </w:tcPr>
          <w:p>
            <w:pPr>
              <w:spacing w:line="24" w:lineRule="atLeast"/>
              <w:ind w:right="62" w:firstLine="476"/>
              <w:jc w:val="left"/>
              <w:rPr>
                <w:rFonts w:ascii="宋体"/>
                <w:color w:val="000000"/>
                <w:spacing w:val="-1"/>
                <w:sz w:val="24"/>
                <w:szCs w:val="24"/>
                <w:lang w:val="zh-CN"/>
              </w:rPr>
            </w:pPr>
            <w:r>
              <w:rPr>
                <w:rFonts w:hint="eastAsia" w:ascii="宋体" w:hAnsi="宋体" w:cs="宋体"/>
                <w:color w:val="000000"/>
                <w:spacing w:val="-1"/>
                <w:sz w:val="24"/>
                <w:szCs w:val="24"/>
                <w:lang w:val="zh-CN"/>
              </w:rPr>
              <w:t>投标人根据招标文件必需物耗清单填报使用品牌、数量。</w:t>
            </w:r>
          </w:p>
          <w:p>
            <w:pPr>
              <w:spacing w:line="24" w:lineRule="atLeast"/>
              <w:ind w:right="62" w:firstLine="476"/>
              <w:jc w:val="left"/>
              <w:rPr>
                <w:rFonts w:ascii="宋体"/>
                <w:color w:val="000000"/>
                <w:spacing w:val="-1"/>
                <w:sz w:val="24"/>
                <w:szCs w:val="24"/>
                <w:lang w:val="zh-CN"/>
              </w:rPr>
            </w:pPr>
            <w:r>
              <w:rPr>
                <w:rFonts w:hint="eastAsia" w:ascii="宋体" w:hAnsi="宋体" w:cs="宋体"/>
                <w:color w:val="000000"/>
                <w:spacing w:val="-1"/>
                <w:sz w:val="24"/>
                <w:szCs w:val="24"/>
                <w:lang w:val="zh-CN"/>
              </w:rPr>
              <w:t>（</w:t>
            </w:r>
            <w:r>
              <w:rPr>
                <w:rFonts w:ascii="宋体" w:hAnsi="宋体" w:cs="宋体"/>
                <w:color w:val="000000"/>
                <w:spacing w:val="-1"/>
                <w:sz w:val="24"/>
                <w:szCs w:val="24"/>
                <w:lang w:val="zh-CN"/>
              </w:rPr>
              <w:t>1</w:t>
            </w:r>
            <w:r>
              <w:rPr>
                <w:rFonts w:hint="eastAsia" w:ascii="宋体" w:hAnsi="宋体" w:cs="宋体"/>
                <w:color w:val="000000"/>
                <w:spacing w:val="-1"/>
                <w:sz w:val="24"/>
                <w:szCs w:val="24"/>
                <w:lang w:val="zh-CN"/>
              </w:rPr>
              <w:t>）设备、工具及物资分列完整，详细合理，产品质量强，</w:t>
            </w:r>
            <w:r>
              <w:rPr>
                <w:rFonts w:hint="eastAsia" w:ascii="宋体" w:hAnsi="宋体" w:cs="宋体"/>
                <w:color w:val="000000"/>
                <w:spacing w:val="-1"/>
                <w:sz w:val="24"/>
                <w:szCs w:val="24"/>
              </w:rPr>
              <w:t>并优于采购人现有的</w:t>
            </w:r>
            <w:r>
              <w:rPr>
                <w:rFonts w:hint="eastAsia" w:ascii="宋体" w:hAnsi="宋体" w:cs="宋体"/>
                <w:color w:val="000000"/>
                <w:spacing w:val="-1"/>
                <w:sz w:val="24"/>
                <w:szCs w:val="24"/>
                <w:lang w:val="zh-CN"/>
              </w:rPr>
              <w:t>设备、工具及物资得</w:t>
            </w:r>
            <w:r>
              <w:rPr>
                <w:rFonts w:ascii="宋体" w:hAnsi="宋体" w:cs="宋体"/>
                <w:color w:val="000000"/>
                <w:spacing w:val="-1"/>
                <w:sz w:val="24"/>
                <w:szCs w:val="24"/>
              </w:rPr>
              <w:t>3</w:t>
            </w:r>
            <w:r>
              <w:rPr>
                <w:rFonts w:hint="eastAsia" w:ascii="宋体" w:hAnsi="宋体" w:cs="宋体"/>
                <w:color w:val="000000"/>
                <w:spacing w:val="-1"/>
                <w:sz w:val="24"/>
                <w:szCs w:val="24"/>
                <w:lang w:val="zh-CN"/>
              </w:rPr>
              <w:t>分。</w:t>
            </w:r>
          </w:p>
          <w:p>
            <w:pPr>
              <w:spacing w:line="24" w:lineRule="atLeast"/>
              <w:ind w:right="62" w:firstLine="476"/>
              <w:jc w:val="left"/>
              <w:rPr>
                <w:rFonts w:ascii="宋体"/>
                <w:color w:val="000000"/>
                <w:spacing w:val="-1"/>
                <w:sz w:val="24"/>
                <w:szCs w:val="24"/>
                <w:lang w:val="zh-CN"/>
              </w:rPr>
            </w:pPr>
            <w:r>
              <w:rPr>
                <w:rFonts w:hint="eastAsia" w:ascii="宋体" w:hAnsi="宋体" w:cs="宋体"/>
                <w:color w:val="000000"/>
                <w:spacing w:val="-1"/>
                <w:sz w:val="24"/>
                <w:szCs w:val="24"/>
                <w:lang w:val="zh-CN"/>
              </w:rPr>
              <w:t>（</w:t>
            </w:r>
            <w:r>
              <w:rPr>
                <w:rFonts w:ascii="宋体" w:hAnsi="宋体" w:cs="宋体"/>
                <w:color w:val="000000"/>
                <w:spacing w:val="-1"/>
                <w:sz w:val="24"/>
                <w:szCs w:val="24"/>
                <w:lang w:val="zh-CN"/>
              </w:rPr>
              <w:t>2</w:t>
            </w:r>
            <w:r>
              <w:rPr>
                <w:rFonts w:hint="eastAsia" w:ascii="宋体" w:hAnsi="宋体" w:cs="宋体"/>
                <w:color w:val="000000"/>
                <w:spacing w:val="-1"/>
                <w:sz w:val="24"/>
                <w:szCs w:val="24"/>
                <w:lang w:val="zh-CN"/>
              </w:rPr>
              <w:t>）设备、工具及物资分列较完整，较详细合理，产品质量较强，</w:t>
            </w:r>
            <w:r>
              <w:rPr>
                <w:rFonts w:hint="eastAsia" w:ascii="宋体" w:hAnsi="宋体" w:cs="宋体"/>
                <w:color w:val="000000"/>
                <w:spacing w:val="-1"/>
                <w:sz w:val="24"/>
                <w:szCs w:val="24"/>
              </w:rPr>
              <w:t>和采购人现有的</w:t>
            </w:r>
            <w:r>
              <w:rPr>
                <w:rFonts w:hint="eastAsia" w:ascii="宋体" w:hAnsi="宋体" w:cs="宋体"/>
                <w:color w:val="000000"/>
                <w:spacing w:val="-1"/>
                <w:sz w:val="24"/>
                <w:szCs w:val="24"/>
                <w:lang w:val="zh-CN"/>
              </w:rPr>
              <w:t>设备、工具及物资</w:t>
            </w:r>
            <w:r>
              <w:rPr>
                <w:rFonts w:hint="eastAsia" w:ascii="宋体" w:hAnsi="宋体" w:cs="宋体"/>
                <w:color w:val="000000"/>
                <w:spacing w:val="-1"/>
                <w:sz w:val="24"/>
                <w:szCs w:val="24"/>
              </w:rPr>
              <w:t>持平</w:t>
            </w:r>
            <w:r>
              <w:rPr>
                <w:rFonts w:hint="eastAsia" w:ascii="宋体" w:hAnsi="宋体" w:cs="宋体"/>
                <w:color w:val="000000"/>
                <w:spacing w:val="-1"/>
                <w:sz w:val="24"/>
                <w:szCs w:val="24"/>
                <w:lang w:val="zh-CN"/>
              </w:rPr>
              <w:t>得</w:t>
            </w:r>
            <w:r>
              <w:rPr>
                <w:rFonts w:ascii="宋体" w:hAnsi="宋体" w:cs="宋体"/>
                <w:color w:val="000000"/>
                <w:spacing w:val="-1"/>
                <w:sz w:val="24"/>
                <w:szCs w:val="24"/>
              </w:rPr>
              <w:t>2</w:t>
            </w:r>
            <w:r>
              <w:rPr>
                <w:rFonts w:hint="eastAsia" w:ascii="宋体" w:hAnsi="宋体" w:cs="宋体"/>
                <w:color w:val="000000"/>
                <w:spacing w:val="-1"/>
                <w:sz w:val="24"/>
                <w:szCs w:val="24"/>
                <w:lang w:val="zh-CN"/>
              </w:rPr>
              <w:t>分。</w:t>
            </w:r>
          </w:p>
          <w:p>
            <w:pPr>
              <w:spacing w:line="24" w:lineRule="atLeast"/>
              <w:ind w:right="62" w:firstLine="476"/>
              <w:jc w:val="left"/>
            </w:pPr>
            <w:r>
              <w:rPr>
                <w:rFonts w:hint="eastAsia" w:ascii="宋体" w:hAnsi="宋体" w:cs="宋体"/>
                <w:color w:val="000000"/>
                <w:spacing w:val="-1"/>
                <w:sz w:val="24"/>
                <w:szCs w:val="24"/>
                <w:lang w:val="zh-CN"/>
              </w:rPr>
              <w:t>（</w:t>
            </w:r>
            <w:r>
              <w:rPr>
                <w:rFonts w:ascii="宋体" w:hAnsi="宋体" w:cs="宋体"/>
                <w:color w:val="000000"/>
                <w:spacing w:val="-1"/>
                <w:sz w:val="24"/>
                <w:szCs w:val="24"/>
              </w:rPr>
              <w:t>3</w:t>
            </w:r>
            <w:r>
              <w:rPr>
                <w:rFonts w:hint="eastAsia" w:ascii="宋体" w:hAnsi="宋体" w:cs="宋体"/>
                <w:color w:val="000000"/>
                <w:spacing w:val="-1"/>
                <w:sz w:val="24"/>
                <w:szCs w:val="24"/>
                <w:lang w:val="zh-CN"/>
              </w:rPr>
              <w:t>）设备、工具及物资不完整不合理、产品质量弱，</w:t>
            </w:r>
            <w:r>
              <w:rPr>
                <w:rFonts w:hint="eastAsia" w:ascii="宋体" w:hAnsi="宋体" w:cs="宋体"/>
                <w:color w:val="000000"/>
                <w:spacing w:val="-1"/>
                <w:sz w:val="24"/>
                <w:szCs w:val="24"/>
              </w:rPr>
              <w:t>低于采购人目前的</w:t>
            </w:r>
            <w:r>
              <w:rPr>
                <w:rFonts w:hint="eastAsia" w:ascii="宋体" w:hAnsi="宋体" w:cs="宋体"/>
                <w:color w:val="000000"/>
                <w:spacing w:val="-1"/>
                <w:sz w:val="24"/>
                <w:szCs w:val="24"/>
                <w:lang w:val="zh-CN"/>
              </w:rPr>
              <w:t>设备、工具及物资或未提供的，不得分。</w:t>
            </w:r>
          </w:p>
        </w:tc>
        <w:tc>
          <w:tcPr>
            <w:tcW w:w="588" w:type="dxa"/>
            <w:vAlign w:val="center"/>
          </w:tcPr>
          <w:p>
            <w:pPr>
              <w:spacing w:line="24" w:lineRule="atLeast"/>
              <w:ind w:right="62"/>
              <w:jc w:val="center"/>
              <w:rPr>
                <w:rFonts w:ascii="宋体"/>
                <w:color w:val="000000"/>
                <w:sz w:val="24"/>
                <w:szCs w:val="24"/>
              </w:rPr>
            </w:pPr>
            <w:r>
              <w:rPr>
                <w:rFonts w:ascii="宋体" w:hAnsi="宋体" w:cs="宋体"/>
                <w:color w:val="000000"/>
                <w:sz w:val="24"/>
                <w:szCs w:val="24"/>
              </w:rPr>
              <w:t>3</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pacing w:val="-6"/>
                <w:sz w:val="24"/>
                <w:szCs w:val="24"/>
              </w:rPr>
              <w:t>主</w:t>
            </w:r>
            <w:r>
              <w:rPr>
                <w:rFonts w:hint="eastAsia" w:ascii="宋体" w:hAnsi="宋体" w:cs="宋体"/>
                <w:color w:val="000000"/>
                <w:spacing w:val="-4"/>
                <w:sz w:val="24"/>
                <w:szCs w:val="24"/>
              </w:rPr>
              <w:t>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0" w:hRule="atLeast"/>
          <w:jc w:val="center"/>
        </w:trPr>
        <w:tc>
          <w:tcPr>
            <w:tcW w:w="857" w:type="dxa"/>
            <w:vAlign w:val="center"/>
          </w:tcPr>
          <w:p>
            <w:pPr>
              <w:spacing w:line="24" w:lineRule="atLeast"/>
              <w:ind w:right="62"/>
              <w:jc w:val="center"/>
              <w:rPr>
                <w:rFonts w:ascii="宋体"/>
                <w:color w:val="000000"/>
                <w:spacing w:val="-2"/>
                <w:sz w:val="24"/>
                <w:szCs w:val="24"/>
              </w:rPr>
            </w:pPr>
            <w:r>
              <w:rPr>
                <w:rFonts w:ascii="宋体" w:hAnsi="宋体" w:cs="宋体"/>
                <w:color w:val="000000"/>
                <w:spacing w:val="-2"/>
                <w:sz w:val="24"/>
                <w:szCs w:val="24"/>
              </w:rPr>
              <w:t>2.3</w:t>
            </w:r>
          </w:p>
        </w:tc>
        <w:tc>
          <w:tcPr>
            <w:tcW w:w="1171" w:type="dxa"/>
            <w:vAlign w:val="center"/>
          </w:tcPr>
          <w:p>
            <w:pPr>
              <w:spacing w:line="24" w:lineRule="atLeast"/>
              <w:ind w:right="62"/>
              <w:jc w:val="center"/>
              <w:rPr>
                <w:rFonts w:ascii="宋体"/>
                <w:color w:val="000000"/>
                <w:spacing w:val="-2"/>
                <w:sz w:val="24"/>
                <w:szCs w:val="24"/>
              </w:rPr>
            </w:pPr>
            <w:r>
              <w:rPr>
                <w:rFonts w:hint="eastAsia" w:ascii="宋体" w:hAnsi="宋体" w:cs="宋体"/>
                <w:color w:val="000000"/>
                <w:sz w:val="24"/>
                <w:szCs w:val="24"/>
              </w:rPr>
              <w:t>组织框架</w:t>
            </w:r>
          </w:p>
        </w:tc>
        <w:tc>
          <w:tcPr>
            <w:tcW w:w="5526" w:type="dxa"/>
            <w:vAlign w:val="center"/>
          </w:tcPr>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供应商自行编制拟派驻本项目人员组织框架，人员配置明细、岗位职责及分工，评委根据供应商提供的配置情况进行评分：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1</w:t>
            </w:r>
            <w:r>
              <w:rPr>
                <w:rFonts w:hint="eastAsia" w:ascii="宋体" w:hAnsi="宋体" w:cs="宋体"/>
                <w:color w:val="000000"/>
                <w:spacing w:val="-1"/>
                <w:sz w:val="24"/>
                <w:szCs w:val="24"/>
              </w:rPr>
              <w:t>）人员框架、配置科学，岗位职责及分工详细得</w:t>
            </w:r>
            <w:r>
              <w:rPr>
                <w:rFonts w:ascii="宋体" w:hAnsi="宋体" w:cs="宋体"/>
                <w:color w:val="000000"/>
                <w:spacing w:val="-1"/>
                <w:sz w:val="24"/>
                <w:szCs w:val="24"/>
              </w:rPr>
              <w:t>3</w:t>
            </w:r>
            <w:r>
              <w:rPr>
                <w:rFonts w:hint="eastAsia" w:ascii="宋体" w:hAnsi="宋体" w:cs="宋体"/>
                <w:color w:val="000000"/>
                <w:spacing w:val="-1"/>
                <w:sz w:val="24"/>
                <w:szCs w:val="24"/>
              </w:rPr>
              <w:t>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2</w:t>
            </w:r>
            <w:r>
              <w:rPr>
                <w:rFonts w:hint="eastAsia" w:ascii="宋体" w:hAnsi="宋体" w:cs="宋体"/>
                <w:color w:val="000000"/>
                <w:spacing w:val="-1"/>
                <w:sz w:val="24"/>
                <w:szCs w:val="24"/>
              </w:rPr>
              <w:t>）人员框架、配置合理，岗位职责及分工较详细得</w:t>
            </w:r>
            <w:r>
              <w:rPr>
                <w:rFonts w:ascii="宋体" w:hAnsi="宋体" w:cs="宋体"/>
                <w:color w:val="000000"/>
                <w:spacing w:val="-1"/>
                <w:sz w:val="24"/>
                <w:szCs w:val="24"/>
              </w:rPr>
              <w:t>2</w:t>
            </w:r>
            <w:r>
              <w:rPr>
                <w:rFonts w:hint="eastAsia" w:ascii="宋体" w:hAnsi="宋体" w:cs="宋体"/>
                <w:color w:val="000000"/>
                <w:spacing w:val="-1"/>
                <w:sz w:val="24"/>
                <w:szCs w:val="24"/>
              </w:rPr>
              <w:t>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3</w:t>
            </w:r>
            <w:r>
              <w:rPr>
                <w:rFonts w:hint="eastAsia" w:ascii="宋体" w:hAnsi="宋体" w:cs="宋体"/>
                <w:color w:val="000000"/>
                <w:spacing w:val="-1"/>
                <w:sz w:val="24"/>
                <w:szCs w:val="24"/>
              </w:rPr>
              <w:t>）未提供或不合理不得分。</w:t>
            </w:r>
          </w:p>
        </w:tc>
        <w:tc>
          <w:tcPr>
            <w:tcW w:w="588" w:type="dxa"/>
            <w:vAlign w:val="center"/>
          </w:tcPr>
          <w:p>
            <w:pPr>
              <w:spacing w:line="24" w:lineRule="atLeast"/>
              <w:ind w:right="62"/>
              <w:jc w:val="center"/>
              <w:rPr>
                <w:rFonts w:ascii="宋体"/>
                <w:color w:val="000000"/>
                <w:sz w:val="24"/>
                <w:szCs w:val="24"/>
              </w:rPr>
            </w:pPr>
            <w:r>
              <w:rPr>
                <w:rFonts w:ascii="宋体" w:hAnsi="宋体" w:cs="宋体"/>
                <w:color w:val="000000"/>
                <w:sz w:val="24"/>
                <w:szCs w:val="24"/>
              </w:rPr>
              <w:t>3</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pacing w:val="-6"/>
                <w:sz w:val="24"/>
                <w:szCs w:val="24"/>
              </w:rPr>
              <w:t>主</w:t>
            </w:r>
            <w:r>
              <w:rPr>
                <w:rFonts w:hint="eastAsia" w:ascii="宋体" w:hAnsi="宋体" w:cs="宋体"/>
                <w:color w:val="000000"/>
                <w:spacing w:val="-4"/>
                <w:sz w:val="24"/>
                <w:szCs w:val="24"/>
              </w:rPr>
              <w:t>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8"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2.4</w:t>
            </w:r>
          </w:p>
        </w:tc>
        <w:tc>
          <w:tcPr>
            <w:tcW w:w="11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z w:val="24"/>
                <w:szCs w:val="24"/>
              </w:rPr>
              <w:t>临时突发事件应急预案</w:t>
            </w:r>
          </w:p>
        </w:tc>
        <w:tc>
          <w:tcPr>
            <w:tcW w:w="5526" w:type="dxa"/>
          </w:tcPr>
          <w:p>
            <w:pPr>
              <w:spacing w:line="24" w:lineRule="atLeast"/>
              <w:ind w:right="62"/>
              <w:rPr>
                <w:rFonts w:ascii="宋体"/>
                <w:color w:val="000000"/>
                <w:sz w:val="24"/>
                <w:szCs w:val="24"/>
                <w:lang w:val="zh-CN"/>
              </w:rPr>
            </w:pPr>
            <w:r>
              <w:rPr>
                <w:rFonts w:hint="eastAsia" w:ascii="宋体" w:hAnsi="宋体" w:cs="宋体"/>
                <w:color w:val="000000"/>
                <w:sz w:val="24"/>
                <w:szCs w:val="24"/>
                <w:lang w:val="zh-CN"/>
              </w:rPr>
              <w:t>评委根据投标文件提供的应急预案</w:t>
            </w:r>
            <w:r>
              <w:rPr>
                <w:rFonts w:ascii="宋体" w:hAnsi="宋体" w:cs="宋体"/>
                <w:color w:val="000000"/>
                <w:sz w:val="24"/>
                <w:szCs w:val="24"/>
                <w:lang w:val="zh-CN"/>
              </w:rPr>
              <w:t>(</w:t>
            </w:r>
            <w:r>
              <w:rPr>
                <w:rFonts w:hint="eastAsia" w:ascii="宋体" w:hAnsi="宋体" w:cs="宋体"/>
                <w:color w:val="000000"/>
                <w:sz w:val="24"/>
                <w:szCs w:val="24"/>
                <w:lang w:val="zh-CN"/>
              </w:rPr>
              <w:t>包括重大突发传染病疫情、医疗垃圾泄露、公共事件、消防、断水、断电等、恶劣天气及保洁、运送服务中突发的应急情况等</w:t>
            </w:r>
            <w:r>
              <w:rPr>
                <w:rFonts w:ascii="宋体" w:hAnsi="宋体" w:cs="宋体"/>
                <w:color w:val="000000"/>
                <w:sz w:val="24"/>
                <w:szCs w:val="24"/>
                <w:lang w:val="zh-CN"/>
              </w:rPr>
              <w:t>)</w:t>
            </w:r>
            <w:r>
              <w:rPr>
                <w:rFonts w:hint="eastAsia" w:ascii="宋体" w:hAnsi="宋体" w:cs="宋体"/>
                <w:color w:val="000000"/>
                <w:sz w:val="24"/>
                <w:szCs w:val="24"/>
                <w:lang w:val="zh-CN"/>
              </w:rPr>
              <w:t>综合评分。</w:t>
            </w:r>
          </w:p>
          <w:p>
            <w:pPr>
              <w:spacing w:line="24" w:lineRule="atLeast"/>
              <w:ind w:right="62"/>
              <w:rPr>
                <w:rFonts w:asci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）应急预案内容全面充实，有针对性，可操作性高，能结合医院实际情况根据不同类型的突发事件采取有效措施，方案侧重点强的，得</w:t>
            </w:r>
            <w:r>
              <w:rPr>
                <w:rFonts w:ascii="宋体" w:hAnsi="宋体" w:cs="宋体"/>
                <w:color w:val="000000"/>
                <w:sz w:val="24"/>
                <w:szCs w:val="24"/>
              </w:rPr>
              <w:t>3</w:t>
            </w:r>
            <w:r>
              <w:rPr>
                <w:rFonts w:hint="eastAsia" w:ascii="宋体" w:hAnsi="宋体" w:cs="宋体"/>
                <w:color w:val="000000"/>
                <w:sz w:val="24"/>
                <w:szCs w:val="24"/>
                <w:lang w:val="zh-CN"/>
              </w:rPr>
              <w:t>分；</w:t>
            </w:r>
          </w:p>
          <w:p>
            <w:pPr>
              <w:spacing w:line="24" w:lineRule="atLeast"/>
              <w:ind w:right="62"/>
              <w:rPr>
                <w:rFonts w:asci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）应急预案内容较全面充实，比较有针对性，可操作性较高，能结合医院实际情况根据不同类型的突发事件采取措施，方案侧重点较强的，得</w:t>
            </w:r>
            <w:r>
              <w:rPr>
                <w:rFonts w:ascii="宋体" w:hAnsi="宋体" w:cs="宋体"/>
                <w:color w:val="000000"/>
                <w:sz w:val="24"/>
                <w:szCs w:val="24"/>
              </w:rPr>
              <w:t>2</w:t>
            </w:r>
            <w:r>
              <w:rPr>
                <w:rFonts w:hint="eastAsia" w:ascii="宋体" w:hAnsi="宋体" w:cs="宋体"/>
                <w:color w:val="000000"/>
                <w:sz w:val="24"/>
                <w:szCs w:val="24"/>
                <w:lang w:val="zh-CN"/>
              </w:rPr>
              <w:t>分；</w:t>
            </w:r>
          </w:p>
          <w:p>
            <w:pPr>
              <w:spacing w:line="24" w:lineRule="atLeast"/>
              <w:ind w:right="62"/>
              <w:rPr>
                <w:rFonts w:ascii="宋体"/>
                <w:color w:val="000000"/>
                <w:spacing w:val="-3"/>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）应急预案内容严重缺失，方案措施不合理，或未提供的不得分。</w:t>
            </w:r>
          </w:p>
        </w:tc>
        <w:tc>
          <w:tcPr>
            <w:tcW w:w="588"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3</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3" w:hRule="atLeast"/>
          <w:jc w:val="center"/>
        </w:trPr>
        <w:tc>
          <w:tcPr>
            <w:tcW w:w="857" w:type="dxa"/>
            <w:vAlign w:val="center"/>
          </w:tcPr>
          <w:p>
            <w:pPr>
              <w:spacing w:line="24" w:lineRule="atLeast"/>
              <w:ind w:right="62"/>
              <w:jc w:val="center"/>
              <w:rPr>
                <w:rFonts w:ascii="宋体" w:cs="宋体"/>
                <w:color w:val="000000"/>
                <w:spacing w:val="-3"/>
                <w:sz w:val="24"/>
                <w:szCs w:val="24"/>
              </w:rPr>
            </w:pPr>
            <w:r>
              <w:rPr>
                <w:rFonts w:ascii="宋体" w:hAnsi="宋体" w:cs="宋体"/>
                <w:color w:val="000000"/>
                <w:spacing w:val="-3"/>
                <w:sz w:val="24"/>
                <w:szCs w:val="24"/>
              </w:rPr>
              <w:t>2.5</w:t>
            </w:r>
          </w:p>
        </w:tc>
        <w:tc>
          <w:tcPr>
            <w:tcW w:w="1171" w:type="dxa"/>
            <w:vAlign w:val="center"/>
          </w:tcPr>
          <w:p>
            <w:pPr>
              <w:widowControl/>
              <w:spacing w:line="320" w:lineRule="exact"/>
              <w:ind w:right="62"/>
              <w:jc w:val="center"/>
              <w:rPr>
                <w:rFonts w:ascii="宋体"/>
                <w:sz w:val="24"/>
                <w:szCs w:val="24"/>
              </w:rPr>
            </w:pPr>
            <w:r>
              <w:rPr>
                <w:rFonts w:hint="eastAsia" w:ascii="宋体" w:hAnsi="宋体" w:cs="宋体"/>
                <w:sz w:val="24"/>
                <w:szCs w:val="24"/>
              </w:rPr>
              <w:t>安全事故处理方案</w:t>
            </w:r>
          </w:p>
        </w:tc>
        <w:tc>
          <w:tcPr>
            <w:tcW w:w="5526" w:type="dxa"/>
            <w:vAlign w:val="center"/>
          </w:tcPr>
          <w:p>
            <w:pPr>
              <w:widowControl/>
              <w:spacing w:line="320" w:lineRule="exact"/>
              <w:ind w:right="62"/>
              <w:jc w:val="left"/>
              <w:rPr>
                <w:rFonts w:ascii="宋体"/>
                <w:sz w:val="24"/>
                <w:szCs w:val="24"/>
              </w:rPr>
            </w:pPr>
            <w:r>
              <w:rPr>
                <w:rFonts w:hint="eastAsia" w:ascii="宋体" w:hAnsi="宋体" w:cs="宋体"/>
                <w:sz w:val="24"/>
                <w:szCs w:val="24"/>
              </w:rPr>
              <w:t>根据本项目的具体服务要求，制定合理、完善的安全事故处理措施，包括意外伤害赔偿措施、工伤赔偿措施、风险规避措施。评委根据方案的完整性、合理性、科学性、可行性打分，优秀4分，良好2分，一般</w:t>
            </w:r>
            <w:r>
              <w:rPr>
                <w:rFonts w:ascii="宋体" w:hAnsi="宋体" w:cs="宋体"/>
                <w:sz w:val="24"/>
                <w:szCs w:val="24"/>
              </w:rPr>
              <w:t>1</w:t>
            </w:r>
            <w:r>
              <w:rPr>
                <w:rFonts w:hint="eastAsia" w:ascii="宋体" w:hAnsi="宋体" w:cs="宋体"/>
                <w:sz w:val="24"/>
                <w:szCs w:val="24"/>
              </w:rPr>
              <w:t>分，没有不得分。</w:t>
            </w:r>
          </w:p>
        </w:tc>
        <w:tc>
          <w:tcPr>
            <w:tcW w:w="588" w:type="dxa"/>
            <w:vAlign w:val="center"/>
          </w:tcPr>
          <w:p>
            <w:pPr>
              <w:spacing w:line="24" w:lineRule="atLeast"/>
              <w:ind w:right="62"/>
              <w:jc w:val="center"/>
              <w:rPr>
                <w:rFonts w:ascii="宋体" w:cs="宋体"/>
                <w:color w:val="000000"/>
                <w:spacing w:val="-3"/>
                <w:sz w:val="24"/>
                <w:szCs w:val="24"/>
              </w:rPr>
            </w:pPr>
            <w:r>
              <w:rPr>
                <w:rFonts w:hint="eastAsia" w:ascii="宋体" w:hAnsi="宋体" w:cs="宋体"/>
                <w:color w:val="000000"/>
                <w:spacing w:val="-3"/>
                <w:sz w:val="24"/>
                <w:szCs w:val="24"/>
              </w:rPr>
              <w:t>4</w:t>
            </w:r>
          </w:p>
        </w:tc>
        <w:tc>
          <w:tcPr>
            <w:tcW w:w="771" w:type="dxa"/>
            <w:vAlign w:val="center"/>
          </w:tcPr>
          <w:p>
            <w:pPr>
              <w:spacing w:line="24" w:lineRule="atLeast"/>
              <w:ind w:right="62"/>
              <w:jc w:val="center"/>
              <w:rPr>
                <w:rFonts w:ascii="宋体" w:cs="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9"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2.6</w:t>
            </w:r>
          </w:p>
        </w:tc>
        <w:tc>
          <w:tcPr>
            <w:tcW w:w="11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z w:val="24"/>
                <w:szCs w:val="24"/>
              </w:rPr>
              <w:t>专项实施方案</w:t>
            </w:r>
          </w:p>
        </w:tc>
        <w:tc>
          <w:tcPr>
            <w:tcW w:w="5526" w:type="dxa"/>
            <w:vAlign w:val="center"/>
          </w:tcPr>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供应商提供保洁、会务保障、陪检、司梯、运送实施方案，评委根据方案的全面性、合理性、质控标准、特殊部门、特殊岗位的特征性及可操作性等进行评分。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1</w:t>
            </w:r>
            <w:r>
              <w:rPr>
                <w:rFonts w:hint="eastAsia" w:ascii="宋体" w:hAnsi="宋体" w:cs="宋体"/>
                <w:color w:val="000000"/>
                <w:spacing w:val="-1"/>
                <w:sz w:val="24"/>
                <w:szCs w:val="24"/>
              </w:rPr>
              <w:t>）方案构建完整科学合理，特殊岗位完全满足需求得4分；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2</w:t>
            </w:r>
            <w:r>
              <w:rPr>
                <w:rFonts w:hint="eastAsia" w:ascii="宋体" w:hAnsi="宋体" w:cs="宋体"/>
                <w:color w:val="000000"/>
                <w:spacing w:val="-1"/>
                <w:sz w:val="24"/>
                <w:szCs w:val="24"/>
              </w:rPr>
              <w:t>）方案构建较合理，特殊岗位较满足需求得2分；</w:t>
            </w:r>
          </w:p>
          <w:p>
            <w:pPr>
              <w:spacing w:line="24" w:lineRule="atLeast"/>
              <w:ind w:right="62" w:firstLine="476"/>
              <w:rPr>
                <w:rFonts w:ascii="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3</w:t>
            </w:r>
            <w:r>
              <w:rPr>
                <w:rFonts w:hint="eastAsia" w:ascii="宋体" w:hAnsi="宋体" w:cs="宋体"/>
                <w:color w:val="000000"/>
                <w:spacing w:val="-1"/>
                <w:sz w:val="24"/>
                <w:szCs w:val="24"/>
              </w:rPr>
              <w:t>）方案构建基本合理，特殊岗位基本满足需求得</w:t>
            </w:r>
            <w:r>
              <w:rPr>
                <w:rFonts w:ascii="宋体" w:hAnsi="宋体" w:cs="宋体"/>
                <w:color w:val="000000"/>
                <w:spacing w:val="-1"/>
                <w:sz w:val="24"/>
                <w:szCs w:val="24"/>
              </w:rPr>
              <w:t>1</w:t>
            </w:r>
            <w:r>
              <w:rPr>
                <w:rFonts w:hint="eastAsia" w:ascii="宋体" w:hAnsi="宋体" w:cs="宋体"/>
                <w:color w:val="000000"/>
                <w:spacing w:val="-1"/>
                <w:sz w:val="24"/>
                <w:szCs w:val="24"/>
              </w:rPr>
              <w:t>分；</w:t>
            </w:r>
          </w:p>
          <w:p>
            <w:pPr>
              <w:spacing w:line="24" w:lineRule="atLeast"/>
              <w:ind w:right="62" w:firstLine="476"/>
              <w:rPr>
                <w:rFonts w:ascii="宋体"/>
                <w:color w:val="000000"/>
                <w:spacing w:val="-3"/>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4</w:t>
            </w:r>
            <w:r>
              <w:rPr>
                <w:rFonts w:hint="eastAsia" w:ascii="宋体" w:hAnsi="宋体" w:cs="宋体"/>
                <w:color w:val="000000"/>
                <w:spacing w:val="-1"/>
                <w:sz w:val="24"/>
                <w:szCs w:val="24"/>
              </w:rPr>
              <w:t>）方案构建欠缺，不能满足需求不得分。</w:t>
            </w:r>
          </w:p>
        </w:tc>
        <w:tc>
          <w:tcPr>
            <w:tcW w:w="588"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4</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6"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2.7</w:t>
            </w:r>
          </w:p>
        </w:tc>
        <w:tc>
          <w:tcPr>
            <w:tcW w:w="11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z w:val="24"/>
                <w:szCs w:val="24"/>
              </w:rPr>
              <w:t>人员培训计划</w:t>
            </w:r>
          </w:p>
        </w:tc>
        <w:tc>
          <w:tcPr>
            <w:tcW w:w="5526" w:type="dxa"/>
            <w:vAlign w:val="center"/>
          </w:tcPr>
          <w:p>
            <w:pPr>
              <w:spacing w:line="24" w:lineRule="atLeast"/>
              <w:ind w:right="62"/>
              <w:rPr>
                <w:rFonts w:ascii="宋体"/>
                <w:color w:val="000000"/>
                <w:spacing w:val="-1"/>
                <w:sz w:val="24"/>
                <w:szCs w:val="24"/>
              </w:rPr>
            </w:pPr>
            <w:r>
              <w:rPr>
                <w:rFonts w:hint="eastAsia" w:ascii="宋体" w:hAnsi="宋体" w:cs="宋体"/>
                <w:color w:val="000000"/>
                <w:sz w:val="24"/>
                <w:szCs w:val="24"/>
              </w:rPr>
              <w:t>供应商提供针对现场管理人员的培训（</w:t>
            </w:r>
            <w:r>
              <w:rPr>
                <w:rFonts w:hint="eastAsia" w:ascii="宋体" w:hAnsi="宋体" w:cs="宋体"/>
                <w:color w:val="000000"/>
                <w:spacing w:val="-3"/>
                <w:sz w:val="24"/>
                <w:szCs w:val="24"/>
              </w:rPr>
              <w:t>管理、领导力</w:t>
            </w:r>
            <w:r>
              <w:rPr>
                <w:rFonts w:hint="eastAsia" w:ascii="宋体" w:hAnsi="宋体" w:cs="宋体"/>
                <w:color w:val="000000"/>
                <w:sz w:val="24"/>
                <w:szCs w:val="24"/>
              </w:rPr>
              <w:t>等）、针对员工的培训（技能、服务、礼仪等）</w:t>
            </w:r>
            <w:r>
              <w:rPr>
                <w:rFonts w:hint="eastAsia" w:ascii="宋体" w:hAnsi="宋体" w:cs="宋体"/>
                <w:color w:val="000000"/>
                <w:spacing w:val="-9"/>
                <w:sz w:val="24"/>
                <w:szCs w:val="24"/>
              </w:rPr>
              <w:t>。评</w:t>
            </w:r>
            <w:r>
              <w:rPr>
                <w:rFonts w:hint="eastAsia" w:ascii="宋体" w:hAnsi="宋体" w:cs="宋体"/>
                <w:color w:val="000000"/>
                <w:spacing w:val="-1"/>
                <w:sz w:val="24"/>
                <w:szCs w:val="24"/>
              </w:rPr>
              <w:t>委根据供应商提供的培训计划评分。</w:t>
            </w:r>
          </w:p>
          <w:p>
            <w:pPr>
              <w:spacing w:line="24" w:lineRule="atLeast"/>
              <w:ind w:right="62" w:firstLine="476" w:firstLineChars="200"/>
              <w:rPr>
                <w:rFonts w:ascii="宋体"/>
                <w:color w:val="000000"/>
                <w:spacing w:val="-1"/>
                <w:sz w:val="24"/>
                <w:szCs w:val="24"/>
              </w:rPr>
            </w:pPr>
            <w:r>
              <w:rPr>
                <w:rFonts w:hint="eastAsia" w:ascii="宋体"/>
                <w:color w:val="000000"/>
                <w:spacing w:val="-1"/>
                <w:sz w:val="24"/>
                <w:szCs w:val="24"/>
              </w:rPr>
              <w:t>（1）</w:t>
            </w:r>
            <w:r>
              <w:rPr>
                <w:rFonts w:hint="eastAsia" w:ascii="宋体" w:hAnsi="宋体" w:cs="宋体"/>
                <w:color w:val="000000"/>
                <w:spacing w:val="-1"/>
                <w:sz w:val="24"/>
                <w:szCs w:val="24"/>
              </w:rPr>
              <w:t>培训计划完整合</w:t>
            </w:r>
            <w:r>
              <w:rPr>
                <w:rFonts w:hint="eastAsia" w:ascii="宋体" w:hAnsi="宋体" w:cs="宋体"/>
                <w:color w:val="000000"/>
                <w:sz w:val="24"/>
                <w:szCs w:val="24"/>
              </w:rPr>
              <w:t>理、可实施性强、有</w:t>
            </w:r>
            <w:r>
              <w:rPr>
                <w:rFonts w:ascii="宋体" w:hAnsi="宋体" w:cs="宋体"/>
                <w:color w:val="000000"/>
                <w:sz w:val="24"/>
                <w:szCs w:val="24"/>
              </w:rPr>
              <w:t>PDCA</w:t>
            </w:r>
            <w:r>
              <w:rPr>
                <w:rFonts w:hint="eastAsia" w:ascii="宋体" w:hAnsi="宋体" w:cs="宋体"/>
                <w:color w:val="000000"/>
                <w:sz w:val="24"/>
                <w:szCs w:val="24"/>
              </w:rPr>
              <w:t>措施得4分；</w:t>
            </w:r>
            <w:r>
              <w:rPr>
                <w:rFonts w:ascii="宋体" w:hAnsi="宋体" w:cs="宋体"/>
                <w:color w:val="000000"/>
                <w:sz w:val="24"/>
                <w:szCs w:val="24"/>
              </w:rPr>
              <w:t xml:space="preserve">   </w:t>
            </w:r>
          </w:p>
          <w:p>
            <w:pPr>
              <w:spacing w:line="24" w:lineRule="atLeast"/>
              <w:ind w:right="62" w:firstLine="476" w:firstLineChars="200"/>
              <w:rPr>
                <w:rFonts w:ascii="宋体" w:hAnsi="宋体" w:cs="宋体"/>
                <w:color w:val="000000"/>
                <w:spacing w:val="-1"/>
                <w:sz w:val="24"/>
                <w:szCs w:val="24"/>
              </w:rPr>
            </w:pPr>
            <w:r>
              <w:rPr>
                <w:rFonts w:hint="eastAsia" w:ascii="宋体" w:hAnsi="宋体" w:cs="宋体"/>
                <w:color w:val="000000"/>
                <w:spacing w:val="-1"/>
                <w:sz w:val="24"/>
                <w:szCs w:val="24"/>
              </w:rPr>
              <w:t>（</w:t>
            </w:r>
            <w:r>
              <w:rPr>
                <w:rFonts w:ascii="宋体" w:hAnsi="宋体" w:cs="宋体"/>
                <w:color w:val="000000"/>
                <w:spacing w:val="-1"/>
                <w:sz w:val="24"/>
                <w:szCs w:val="24"/>
              </w:rPr>
              <w:t>2</w:t>
            </w:r>
            <w:r>
              <w:rPr>
                <w:rFonts w:hint="eastAsia" w:ascii="宋体" w:hAnsi="宋体" w:cs="宋体"/>
                <w:color w:val="000000"/>
                <w:spacing w:val="-1"/>
                <w:sz w:val="24"/>
                <w:szCs w:val="24"/>
              </w:rPr>
              <w:t>）培训计划较完整、较合理、可实施性较强得2分；</w:t>
            </w:r>
          </w:p>
          <w:p>
            <w:pPr>
              <w:spacing w:line="24" w:lineRule="atLeast"/>
              <w:ind w:right="62" w:firstLine="472"/>
              <w:rPr>
                <w:rFonts w:ascii="宋体"/>
                <w:color w:val="000000"/>
                <w:spacing w:val="-2"/>
                <w:sz w:val="24"/>
                <w:szCs w:val="24"/>
              </w:rPr>
            </w:pPr>
            <w:r>
              <w:rPr>
                <w:rFonts w:hint="eastAsia" w:ascii="宋体" w:hAnsi="宋体" w:cs="宋体"/>
                <w:color w:val="000000"/>
                <w:spacing w:val="-2"/>
                <w:sz w:val="24"/>
                <w:szCs w:val="24"/>
              </w:rPr>
              <w:t>（</w:t>
            </w:r>
            <w:r>
              <w:rPr>
                <w:rFonts w:ascii="宋体" w:hAnsi="宋体" w:cs="宋体"/>
                <w:color w:val="000000"/>
                <w:spacing w:val="-2"/>
                <w:sz w:val="24"/>
                <w:szCs w:val="24"/>
              </w:rPr>
              <w:t>3</w:t>
            </w:r>
            <w:r>
              <w:rPr>
                <w:rFonts w:hint="eastAsia" w:ascii="宋体" w:hAnsi="宋体" w:cs="宋体"/>
                <w:color w:val="000000"/>
                <w:spacing w:val="-2"/>
                <w:sz w:val="24"/>
                <w:szCs w:val="24"/>
              </w:rPr>
              <w:t>）培训计划基本完整合理得</w:t>
            </w:r>
            <w:r>
              <w:rPr>
                <w:rFonts w:ascii="宋体" w:hAnsi="宋体" w:cs="宋体"/>
                <w:color w:val="000000"/>
                <w:spacing w:val="-2"/>
                <w:sz w:val="24"/>
                <w:szCs w:val="24"/>
              </w:rPr>
              <w:t>1</w:t>
            </w:r>
            <w:r>
              <w:rPr>
                <w:rFonts w:hint="eastAsia" w:ascii="宋体" w:hAnsi="宋体" w:cs="宋体"/>
                <w:color w:val="000000"/>
                <w:spacing w:val="-2"/>
                <w:sz w:val="24"/>
                <w:szCs w:val="24"/>
              </w:rPr>
              <w:t>分；</w:t>
            </w:r>
          </w:p>
          <w:p>
            <w:pPr>
              <w:spacing w:line="24" w:lineRule="atLeast"/>
              <w:ind w:right="62" w:firstLine="472"/>
              <w:rPr>
                <w:rFonts w:ascii="宋体"/>
                <w:color w:val="000000"/>
                <w:spacing w:val="-3"/>
                <w:sz w:val="24"/>
                <w:szCs w:val="24"/>
              </w:rPr>
            </w:pPr>
            <w:r>
              <w:rPr>
                <w:rFonts w:hint="eastAsia" w:ascii="宋体" w:hAnsi="宋体" w:cs="宋体"/>
                <w:color w:val="000000"/>
                <w:spacing w:val="-2"/>
                <w:sz w:val="24"/>
                <w:szCs w:val="24"/>
              </w:rPr>
              <w:t>（</w:t>
            </w:r>
            <w:r>
              <w:rPr>
                <w:rFonts w:ascii="宋体" w:hAnsi="宋体" w:cs="宋体"/>
                <w:color w:val="000000"/>
                <w:spacing w:val="-2"/>
                <w:sz w:val="24"/>
                <w:szCs w:val="24"/>
              </w:rPr>
              <w:t>4</w:t>
            </w:r>
            <w:r>
              <w:rPr>
                <w:rFonts w:hint="eastAsia" w:ascii="宋体" w:hAnsi="宋体" w:cs="宋体"/>
                <w:color w:val="000000"/>
                <w:spacing w:val="-2"/>
                <w:sz w:val="24"/>
                <w:szCs w:val="24"/>
              </w:rPr>
              <w:t>）培训计划不完整、</w:t>
            </w:r>
            <w:r>
              <w:rPr>
                <w:rFonts w:hint="eastAsia" w:ascii="宋体" w:hAnsi="宋体" w:cs="宋体"/>
                <w:color w:val="000000"/>
                <w:sz w:val="24"/>
                <w:szCs w:val="24"/>
              </w:rPr>
              <w:t>合理性欠佳、可行性较差不得分。</w:t>
            </w:r>
          </w:p>
        </w:tc>
        <w:tc>
          <w:tcPr>
            <w:tcW w:w="588"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4</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jc w:val="center"/>
        </w:trPr>
        <w:tc>
          <w:tcPr>
            <w:tcW w:w="857" w:type="dxa"/>
            <w:vAlign w:val="center"/>
          </w:tcPr>
          <w:p>
            <w:pPr>
              <w:spacing w:line="24" w:lineRule="atLeast"/>
              <w:ind w:right="62"/>
              <w:jc w:val="center"/>
              <w:rPr>
                <w:rFonts w:ascii="宋体" w:cs="宋体"/>
                <w:color w:val="000000"/>
                <w:spacing w:val="-3"/>
                <w:sz w:val="24"/>
                <w:szCs w:val="24"/>
              </w:rPr>
            </w:pPr>
            <w:r>
              <w:rPr>
                <w:rFonts w:ascii="宋体" w:hAnsi="宋体" w:cs="宋体"/>
                <w:color w:val="000000"/>
                <w:spacing w:val="-3"/>
                <w:sz w:val="24"/>
                <w:szCs w:val="24"/>
              </w:rPr>
              <w:t>2.8</w:t>
            </w:r>
          </w:p>
        </w:tc>
        <w:tc>
          <w:tcPr>
            <w:tcW w:w="1171" w:type="dxa"/>
            <w:vAlign w:val="center"/>
          </w:tcPr>
          <w:p>
            <w:pPr>
              <w:widowControl/>
              <w:spacing w:line="320" w:lineRule="exact"/>
              <w:ind w:right="62"/>
              <w:jc w:val="center"/>
              <w:rPr>
                <w:rFonts w:ascii="宋体"/>
                <w:sz w:val="24"/>
                <w:szCs w:val="24"/>
              </w:rPr>
            </w:pPr>
            <w:r>
              <w:rPr>
                <w:rFonts w:hint="eastAsia" w:ascii="宋体" w:hAnsi="宋体" w:cs="宋体"/>
                <w:sz w:val="24"/>
                <w:szCs w:val="24"/>
              </w:rPr>
              <w:t>档案管理</w:t>
            </w:r>
          </w:p>
        </w:tc>
        <w:tc>
          <w:tcPr>
            <w:tcW w:w="5526" w:type="dxa"/>
            <w:vAlign w:val="center"/>
          </w:tcPr>
          <w:p>
            <w:pPr>
              <w:widowControl/>
              <w:spacing w:line="320" w:lineRule="exact"/>
              <w:ind w:right="62"/>
              <w:jc w:val="left"/>
              <w:rPr>
                <w:rFonts w:ascii="宋体"/>
                <w:sz w:val="24"/>
                <w:szCs w:val="24"/>
              </w:rPr>
            </w:pPr>
            <w:r>
              <w:rPr>
                <w:rFonts w:hint="eastAsia" w:ascii="宋体" w:hAnsi="宋体" w:cs="宋体"/>
                <w:sz w:val="24"/>
                <w:szCs w:val="24"/>
              </w:rPr>
              <w:t>档案资料收集、保存规范全面。评委根据方案的完整性、合理性、科学性、可行性打分，优秀4分，良好2分，一般</w:t>
            </w:r>
            <w:r>
              <w:rPr>
                <w:rFonts w:ascii="宋体" w:hAnsi="宋体" w:cs="宋体"/>
                <w:sz w:val="24"/>
                <w:szCs w:val="24"/>
              </w:rPr>
              <w:t>1</w:t>
            </w:r>
            <w:r>
              <w:rPr>
                <w:rFonts w:hint="eastAsia" w:ascii="宋体" w:hAnsi="宋体" w:cs="宋体"/>
                <w:sz w:val="24"/>
                <w:szCs w:val="24"/>
              </w:rPr>
              <w:t>分，没有不得分。</w:t>
            </w:r>
          </w:p>
        </w:tc>
        <w:tc>
          <w:tcPr>
            <w:tcW w:w="588" w:type="dxa"/>
            <w:vAlign w:val="center"/>
          </w:tcPr>
          <w:p>
            <w:pPr>
              <w:spacing w:line="24" w:lineRule="atLeast"/>
              <w:ind w:right="62"/>
              <w:jc w:val="center"/>
              <w:rPr>
                <w:rFonts w:ascii="宋体" w:cs="宋体"/>
                <w:color w:val="000000"/>
                <w:spacing w:val="-3"/>
                <w:sz w:val="24"/>
                <w:szCs w:val="24"/>
              </w:rPr>
            </w:pPr>
            <w:r>
              <w:rPr>
                <w:rFonts w:hint="eastAsia" w:ascii="宋体" w:hAnsi="宋体" w:cs="宋体"/>
                <w:color w:val="000000"/>
                <w:spacing w:val="-3"/>
                <w:sz w:val="24"/>
                <w:szCs w:val="24"/>
              </w:rPr>
              <w:t>4</w:t>
            </w:r>
          </w:p>
        </w:tc>
        <w:tc>
          <w:tcPr>
            <w:tcW w:w="771" w:type="dxa"/>
            <w:vAlign w:val="center"/>
          </w:tcPr>
          <w:p>
            <w:pPr>
              <w:spacing w:line="24" w:lineRule="atLeast"/>
              <w:ind w:right="62"/>
              <w:jc w:val="center"/>
              <w:rPr>
                <w:rFonts w:ascii="宋体" w:cs="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857" w:type="dxa"/>
            <w:vAlign w:val="center"/>
          </w:tcPr>
          <w:p>
            <w:pPr>
              <w:spacing w:line="24" w:lineRule="atLeast"/>
              <w:ind w:right="62"/>
              <w:jc w:val="center"/>
              <w:rPr>
                <w:rFonts w:ascii="宋体" w:cs="宋体"/>
                <w:color w:val="000000"/>
                <w:spacing w:val="-3"/>
                <w:sz w:val="24"/>
                <w:szCs w:val="24"/>
              </w:rPr>
            </w:pPr>
            <w:r>
              <w:rPr>
                <w:rFonts w:ascii="宋体" w:hAnsi="宋体" w:cs="宋体"/>
                <w:color w:val="000000"/>
                <w:spacing w:val="-3"/>
                <w:sz w:val="24"/>
                <w:szCs w:val="24"/>
              </w:rPr>
              <w:t>2.9</w:t>
            </w:r>
          </w:p>
        </w:tc>
        <w:tc>
          <w:tcPr>
            <w:tcW w:w="1171" w:type="dxa"/>
            <w:vAlign w:val="center"/>
          </w:tcPr>
          <w:p>
            <w:pPr>
              <w:widowControl/>
              <w:spacing w:line="320" w:lineRule="exact"/>
              <w:ind w:right="62"/>
              <w:jc w:val="center"/>
              <w:rPr>
                <w:rFonts w:ascii="宋体"/>
                <w:sz w:val="24"/>
                <w:szCs w:val="24"/>
              </w:rPr>
            </w:pPr>
            <w:r>
              <w:rPr>
                <w:rFonts w:hint="eastAsia" w:ascii="宋体" w:hAnsi="宋体" w:cs="宋体"/>
                <w:sz w:val="24"/>
                <w:szCs w:val="24"/>
              </w:rPr>
              <w:t>特色增值服务</w:t>
            </w:r>
          </w:p>
        </w:tc>
        <w:tc>
          <w:tcPr>
            <w:tcW w:w="5526" w:type="dxa"/>
            <w:vAlign w:val="center"/>
          </w:tcPr>
          <w:p>
            <w:pPr>
              <w:widowControl/>
              <w:spacing w:line="320" w:lineRule="exact"/>
              <w:ind w:right="62"/>
              <w:jc w:val="left"/>
              <w:rPr>
                <w:rFonts w:ascii="宋体"/>
                <w:sz w:val="24"/>
                <w:szCs w:val="24"/>
              </w:rPr>
            </w:pPr>
            <w:r>
              <w:rPr>
                <w:rFonts w:hint="eastAsia" w:ascii="宋体" w:hAnsi="宋体" w:cs="宋体"/>
                <w:sz w:val="24"/>
                <w:szCs w:val="24"/>
              </w:rPr>
              <w:t>根据投标人提供的特色增值服务内容，评标委员会衡量其为本项目服务起的作用大小，优秀</w:t>
            </w:r>
            <w:r>
              <w:rPr>
                <w:rFonts w:ascii="宋体" w:hAnsi="宋体" w:cs="宋体"/>
                <w:sz w:val="24"/>
                <w:szCs w:val="24"/>
              </w:rPr>
              <w:t>5</w:t>
            </w:r>
            <w:r>
              <w:rPr>
                <w:rFonts w:hint="eastAsia" w:ascii="宋体" w:hAnsi="宋体" w:cs="宋体"/>
                <w:sz w:val="24"/>
                <w:szCs w:val="24"/>
              </w:rPr>
              <w:t>分，良好</w:t>
            </w:r>
            <w:r>
              <w:rPr>
                <w:rFonts w:ascii="宋体" w:hAnsi="宋体" w:cs="宋体"/>
                <w:sz w:val="24"/>
                <w:szCs w:val="24"/>
              </w:rPr>
              <w:t>3</w:t>
            </w:r>
            <w:r>
              <w:rPr>
                <w:rFonts w:hint="eastAsia" w:ascii="宋体" w:hAnsi="宋体" w:cs="宋体"/>
                <w:sz w:val="24"/>
                <w:szCs w:val="24"/>
              </w:rPr>
              <w:t>分，一般</w:t>
            </w:r>
            <w:r>
              <w:rPr>
                <w:rFonts w:ascii="宋体" w:hAnsi="宋体" w:cs="宋体"/>
                <w:sz w:val="24"/>
                <w:szCs w:val="24"/>
              </w:rPr>
              <w:t>1</w:t>
            </w:r>
            <w:r>
              <w:rPr>
                <w:rFonts w:hint="eastAsia" w:ascii="宋体" w:hAnsi="宋体" w:cs="宋体"/>
                <w:sz w:val="24"/>
                <w:szCs w:val="24"/>
              </w:rPr>
              <w:t>分，没有不得分。（需提供相关证明材料扫描件加盖公章作为得分依据）</w:t>
            </w:r>
          </w:p>
        </w:tc>
        <w:tc>
          <w:tcPr>
            <w:tcW w:w="588" w:type="dxa"/>
            <w:vAlign w:val="center"/>
          </w:tcPr>
          <w:p>
            <w:pPr>
              <w:spacing w:line="24" w:lineRule="atLeast"/>
              <w:ind w:right="62"/>
              <w:jc w:val="center"/>
              <w:rPr>
                <w:rFonts w:hint="eastAsia" w:ascii="宋体" w:hAnsi="宋体" w:cs="宋体"/>
                <w:color w:val="000000"/>
                <w:spacing w:val="-3"/>
                <w:sz w:val="24"/>
                <w:szCs w:val="24"/>
              </w:rPr>
            </w:pPr>
            <w:r>
              <w:rPr>
                <w:rFonts w:hint="eastAsia" w:ascii="宋体" w:hAnsi="宋体" w:cs="宋体"/>
                <w:color w:val="000000"/>
                <w:spacing w:val="-3"/>
                <w:sz w:val="24"/>
                <w:szCs w:val="24"/>
              </w:rPr>
              <w:t>4</w:t>
            </w:r>
          </w:p>
        </w:tc>
        <w:tc>
          <w:tcPr>
            <w:tcW w:w="771" w:type="dxa"/>
            <w:vAlign w:val="center"/>
          </w:tcPr>
          <w:p>
            <w:pPr>
              <w:spacing w:line="24" w:lineRule="atLeast"/>
              <w:ind w:right="62"/>
              <w:jc w:val="center"/>
              <w:rPr>
                <w:rFonts w:ascii="宋体" w:cs="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857" w:type="dxa"/>
            <w:vAlign w:val="center"/>
          </w:tcPr>
          <w:p>
            <w:pPr>
              <w:spacing w:line="24" w:lineRule="atLeast"/>
              <w:ind w:right="62"/>
              <w:jc w:val="center"/>
              <w:rPr>
                <w:rFonts w:ascii="宋体" w:cs="宋体"/>
                <w:color w:val="000000"/>
                <w:spacing w:val="-3"/>
                <w:sz w:val="24"/>
                <w:szCs w:val="24"/>
              </w:rPr>
            </w:pPr>
            <w:r>
              <w:rPr>
                <w:rFonts w:ascii="宋体" w:hAnsi="宋体" w:cs="宋体"/>
                <w:color w:val="000000"/>
                <w:spacing w:val="-3"/>
                <w:sz w:val="24"/>
                <w:szCs w:val="24"/>
              </w:rPr>
              <w:t>2.10</w:t>
            </w:r>
          </w:p>
        </w:tc>
        <w:tc>
          <w:tcPr>
            <w:tcW w:w="1171" w:type="dxa"/>
            <w:vAlign w:val="center"/>
          </w:tcPr>
          <w:p>
            <w:pPr>
              <w:widowControl/>
              <w:spacing w:line="320" w:lineRule="exact"/>
              <w:ind w:right="62"/>
              <w:jc w:val="center"/>
              <w:rPr>
                <w:rFonts w:ascii="宋体"/>
                <w:sz w:val="24"/>
                <w:szCs w:val="24"/>
              </w:rPr>
            </w:pPr>
            <w:r>
              <w:rPr>
                <w:rFonts w:hint="eastAsia" w:ascii="宋体" w:hAnsi="宋体" w:cs="宋体"/>
                <w:sz w:val="24"/>
                <w:szCs w:val="24"/>
              </w:rPr>
              <w:t>服务承诺</w:t>
            </w:r>
          </w:p>
        </w:tc>
        <w:tc>
          <w:tcPr>
            <w:tcW w:w="5526" w:type="dxa"/>
            <w:vAlign w:val="center"/>
          </w:tcPr>
          <w:p>
            <w:pPr>
              <w:widowControl/>
              <w:spacing w:line="320" w:lineRule="exact"/>
              <w:ind w:right="62"/>
              <w:jc w:val="left"/>
              <w:rPr>
                <w:rFonts w:ascii="宋体"/>
                <w:sz w:val="24"/>
                <w:szCs w:val="24"/>
              </w:rPr>
            </w:pPr>
            <w:r>
              <w:rPr>
                <w:rFonts w:hint="eastAsia" w:ascii="宋体" w:hAnsi="宋体" w:cs="宋体"/>
                <w:sz w:val="24"/>
                <w:szCs w:val="24"/>
              </w:rPr>
              <w:t>投标人承诺所有岗位人员薪资不低于招标文件中医院目前人员薪资明细的得4分，实际执行过程中，每1人薪资不符合要求，在每月的服务费用中扣10万/元/人。（提供加盖投标单位公章的承诺函。）</w:t>
            </w:r>
          </w:p>
        </w:tc>
        <w:tc>
          <w:tcPr>
            <w:tcW w:w="588" w:type="dxa"/>
            <w:vAlign w:val="center"/>
          </w:tcPr>
          <w:p>
            <w:pPr>
              <w:spacing w:line="24" w:lineRule="atLeast"/>
              <w:ind w:right="62"/>
              <w:jc w:val="center"/>
              <w:rPr>
                <w:rFonts w:hint="eastAsia" w:ascii="宋体" w:hAnsi="宋体" w:cs="宋体"/>
                <w:color w:val="000000"/>
                <w:spacing w:val="-3"/>
                <w:sz w:val="24"/>
                <w:szCs w:val="24"/>
              </w:rPr>
            </w:pPr>
            <w:r>
              <w:rPr>
                <w:rFonts w:hint="eastAsia" w:ascii="宋体" w:hAnsi="宋体" w:cs="宋体"/>
                <w:color w:val="000000"/>
                <w:spacing w:val="-3"/>
                <w:sz w:val="24"/>
                <w:szCs w:val="24"/>
              </w:rPr>
              <w:t>4</w:t>
            </w:r>
          </w:p>
        </w:tc>
        <w:tc>
          <w:tcPr>
            <w:tcW w:w="771" w:type="dxa"/>
            <w:vAlign w:val="center"/>
          </w:tcPr>
          <w:p>
            <w:pPr>
              <w:spacing w:line="24" w:lineRule="atLeast"/>
              <w:ind w:right="62"/>
              <w:jc w:val="center"/>
              <w:rPr>
                <w:rFonts w:ascii="宋体" w:cs="宋体"/>
                <w:color w:val="000000"/>
                <w:spacing w:val="-3"/>
                <w:sz w:val="24"/>
                <w:szCs w:val="24"/>
              </w:rPr>
            </w:pPr>
            <w:r>
              <w:rPr>
                <w:rFonts w:hint="eastAsia" w:ascii="宋体" w:hAnsi="宋体" w:cs="宋体"/>
                <w:color w:val="000000"/>
                <w:spacing w:val="-3"/>
                <w:sz w:val="24"/>
                <w:szCs w:val="24"/>
              </w:rPr>
              <w:t>主观分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8913" w:type="dxa"/>
            <w:gridSpan w:val="5"/>
            <w:vAlign w:val="center"/>
          </w:tcPr>
          <w:p>
            <w:pPr>
              <w:spacing w:line="24" w:lineRule="atLeast"/>
              <w:ind w:right="62" w:firstLine="470"/>
              <w:jc w:val="left"/>
              <w:rPr>
                <w:rFonts w:ascii="宋体"/>
                <w:color w:val="000000"/>
                <w:spacing w:val="-3"/>
                <w:sz w:val="24"/>
                <w:szCs w:val="24"/>
              </w:rPr>
            </w:pPr>
            <w:r>
              <w:rPr>
                <w:rFonts w:ascii="宋体" w:hAnsi="宋体" w:cs="宋体"/>
                <w:b/>
                <w:bCs/>
                <w:color w:val="000000"/>
                <w:spacing w:val="-3"/>
                <w:sz w:val="24"/>
                <w:szCs w:val="24"/>
              </w:rPr>
              <w:t>3</w:t>
            </w:r>
            <w:r>
              <w:rPr>
                <w:rFonts w:hint="eastAsia" w:ascii="宋体" w:hAnsi="宋体" w:cs="宋体"/>
                <w:b/>
                <w:bCs/>
                <w:color w:val="000000"/>
                <w:spacing w:val="-3"/>
                <w:sz w:val="24"/>
                <w:szCs w:val="24"/>
              </w:rPr>
              <w:t>业绩（16分）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7"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3.1</w:t>
            </w:r>
          </w:p>
        </w:tc>
        <w:tc>
          <w:tcPr>
            <w:tcW w:w="1171" w:type="dxa"/>
            <w:vAlign w:val="center"/>
          </w:tcPr>
          <w:p>
            <w:pPr>
              <w:spacing w:line="24" w:lineRule="atLeast"/>
              <w:ind w:right="62"/>
              <w:jc w:val="center"/>
              <w:rPr>
                <w:rFonts w:ascii="宋体"/>
                <w:color w:val="000000"/>
                <w:sz w:val="24"/>
                <w:szCs w:val="24"/>
              </w:rPr>
            </w:pPr>
            <w:r>
              <w:rPr>
                <w:rFonts w:hint="eastAsia" w:ascii="宋体" w:hAnsi="宋体" w:cs="宋体"/>
                <w:color w:val="000000"/>
                <w:sz w:val="24"/>
                <w:szCs w:val="24"/>
              </w:rPr>
              <w:t>业绩</w:t>
            </w:r>
          </w:p>
        </w:tc>
        <w:tc>
          <w:tcPr>
            <w:tcW w:w="5526" w:type="dxa"/>
            <w:vAlign w:val="center"/>
          </w:tcPr>
          <w:p>
            <w:pPr>
              <w:spacing w:line="24" w:lineRule="atLeast"/>
              <w:ind w:right="62"/>
              <w:rPr>
                <w:rFonts w:ascii="宋体"/>
                <w:color w:val="000000"/>
                <w:sz w:val="24"/>
                <w:szCs w:val="24"/>
              </w:rPr>
            </w:pPr>
            <w:r>
              <w:rPr>
                <w:rFonts w:hint="eastAsia" w:ascii="宋体" w:hAnsi="宋体" w:cs="宋体"/>
                <w:color w:val="000000"/>
                <w:sz w:val="24"/>
                <w:szCs w:val="24"/>
              </w:rPr>
              <w:t>供应商提供</w:t>
            </w:r>
            <w:r>
              <w:rPr>
                <w:rFonts w:ascii="宋体" w:hAnsi="宋体" w:cs="宋体"/>
                <w:color w:val="000000"/>
                <w:sz w:val="24"/>
                <w:szCs w:val="24"/>
              </w:rPr>
              <w:t>2021</w:t>
            </w:r>
            <w:r>
              <w:rPr>
                <w:rFonts w:hint="eastAsia" w:ascii="宋体" w:hAnsi="宋体" w:cs="宋体"/>
                <w:color w:val="000000"/>
                <w:sz w:val="24"/>
                <w:szCs w:val="24"/>
              </w:rPr>
              <w:t>年</w:t>
            </w:r>
            <w:r>
              <w:rPr>
                <w:rFonts w:ascii="宋体" w:hAnsi="宋体" w:cs="宋体"/>
                <w:color w:val="000000"/>
                <w:sz w:val="24"/>
                <w:szCs w:val="24"/>
              </w:rPr>
              <w:t>1</w:t>
            </w:r>
            <w:r>
              <w:rPr>
                <w:rFonts w:hint="eastAsia" w:ascii="宋体" w:hAnsi="宋体" w:cs="宋体"/>
                <w:color w:val="000000"/>
                <w:sz w:val="24"/>
                <w:szCs w:val="24"/>
              </w:rPr>
              <w:t>月</w:t>
            </w:r>
            <w:r>
              <w:rPr>
                <w:rFonts w:ascii="宋体" w:hAnsi="宋体" w:cs="宋体"/>
                <w:color w:val="000000"/>
                <w:sz w:val="24"/>
                <w:szCs w:val="24"/>
              </w:rPr>
              <w:t>1</w:t>
            </w:r>
            <w:r>
              <w:rPr>
                <w:rFonts w:hint="eastAsia" w:ascii="宋体" w:hAnsi="宋体" w:cs="宋体"/>
                <w:color w:val="000000"/>
                <w:sz w:val="24"/>
                <w:szCs w:val="24"/>
              </w:rPr>
              <w:t>日来承担的三级（含）以上医院物业服务案例。所提供的医院物业服务项目案例包含以下内容：保洁、陪检、司梯、运送、绿色通道及</w:t>
            </w:r>
            <w:r>
              <w:rPr>
                <w:rFonts w:ascii="宋体" w:hAnsi="宋体" w:cs="宋体"/>
                <w:color w:val="000000"/>
                <w:sz w:val="24"/>
                <w:szCs w:val="24"/>
              </w:rPr>
              <w:t>120</w:t>
            </w:r>
            <w:r>
              <w:rPr>
                <w:rFonts w:hint="eastAsia" w:ascii="宋体" w:hAnsi="宋体" w:cs="宋体"/>
                <w:color w:val="000000"/>
                <w:sz w:val="24"/>
                <w:szCs w:val="24"/>
              </w:rPr>
              <w:t>运送服务、太平间管理、医疗废物、危废医废及生活垃圾分类收集、学生宿舍管理、</w:t>
            </w:r>
            <w:r>
              <w:rPr>
                <w:rFonts w:ascii="宋体" w:hAnsi="宋体" w:cs="宋体"/>
                <w:color w:val="000000"/>
                <w:sz w:val="24"/>
                <w:szCs w:val="24"/>
              </w:rPr>
              <w:t>CU</w:t>
            </w:r>
            <w:r>
              <w:rPr>
                <w:rFonts w:hint="eastAsia" w:ascii="宋体" w:hAnsi="宋体" w:cs="宋体"/>
                <w:color w:val="000000"/>
                <w:sz w:val="24"/>
                <w:szCs w:val="24"/>
              </w:rPr>
              <w:t>单元保洁加</w:t>
            </w:r>
            <w:r>
              <w:rPr>
                <w:rFonts w:hint="eastAsia" w:ascii="宋体" w:hAnsi="宋体" w:cs="宋体"/>
                <w:sz w:val="24"/>
                <w:szCs w:val="24"/>
              </w:rPr>
              <w:t>生活照料</w:t>
            </w:r>
            <w:r>
              <w:rPr>
                <w:rFonts w:ascii="宋体" w:hAnsi="宋体" w:cs="宋体"/>
                <w:sz w:val="24"/>
                <w:szCs w:val="24"/>
              </w:rPr>
              <w:t>(ICU</w:t>
            </w:r>
            <w:r>
              <w:rPr>
                <w:rFonts w:hint="eastAsia" w:ascii="宋体" w:hAnsi="宋体" w:cs="宋体"/>
                <w:sz w:val="24"/>
                <w:szCs w:val="24"/>
              </w:rPr>
              <w:t>等特殊病区</w:t>
            </w:r>
            <w:r>
              <w:rPr>
                <w:rFonts w:ascii="宋体" w:hAnsi="宋体" w:cs="宋体"/>
                <w:sz w:val="24"/>
                <w:szCs w:val="24"/>
              </w:rPr>
              <w:t>)</w:t>
            </w:r>
            <w:r>
              <w:rPr>
                <w:rFonts w:hint="eastAsia" w:ascii="宋体" w:hAnsi="宋体" w:cs="宋体"/>
                <w:sz w:val="24"/>
                <w:szCs w:val="24"/>
              </w:rPr>
              <w:t>，至少包含其中6项，每个案例得3分，本项最多得6分。（案例同时提供以下证明材料：①与案例医院签订的物业服务项目的合同，合同能反应相关信息；②案例</w:t>
            </w:r>
            <w:r>
              <w:rPr>
                <w:rFonts w:hint="eastAsia" w:ascii="宋体" w:hAnsi="宋体" w:cs="宋体"/>
                <w:color w:val="000000"/>
                <w:sz w:val="24"/>
                <w:szCs w:val="24"/>
              </w:rPr>
              <w:t>医院对供应商服务的相应的书面证明并加盖</w:t>
            </w:r>
            <w:r>
              <w:rPr>
                <w:rFonts w:hint="eastAsia" w:ascii="宋体" w:hAnsi="宋体" w:cs="宋体"/>
                <w:color w:val="000000"/>
                <w:spacing w:val="-1"/>
                <w:sz w:val="24"/>
                <w:szCs w:val="24"/>
              </w:rPr>
              <w:t>所服务单位公章</w:t>
            </w:r>
            <w:r>
              <w:rPr>
                <w:rFonts w:hint="eastAsia" w:ascii="宋体" w:hAnsi="宋体" w:cs="宋体"/>
                <w:color w:val="000000"/>
                <w:sz w:val="24"/>
                <w:szCs w:val="24"/>
              </w:rPr>
              <w:t>。上述扫描材料上传）</w:t>
            </w:r>
          </w:p>
        </w:tc>
        <w:tc>
          <w:tcPr>
            <w:tcW w:w="588"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6</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6"/>
                <w:sz w:val="24"/>
                <w:szCs w:val="24"/>
              </w:rPr>
              <w:t>客</w:t>
            </w:r>
            <w:r>
              <w:rPr>
                <w:rFonts w:hint="eastAsia" w:ascii="宋体" w:hAnsi="宋体" w:cs="宋体"/>
                <w:color w:val="000000"/>
                <w:spacing w:val="-4"/>
                <w:sz w:val="24"/>
                <w:szCs w:val="24"/>
              </w:rPr>
              <w:t>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0"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3.2</w:t>
            </w:r>
          </w:p>
        </w:tc>
        <w:tc>
          <w:tcPr>
            <w:tcW w:w="1171" w:type="dxa"/>
            <w:vAlign w:val="center"/>
          </w:tcPr>
          <w:p>
            <w:pPr>
              <w:spacing w:line="24" w:lineRule="atLeast"/>
              <w:ind w:right="62"/>
              <w:jc w:val="center"/>
              <w:rPr>
                <w:rFonts w:ascii="宋体"/>
                <w:color w:val="000000"/>
                <w:sz w:val="24"/>
                <w:szCs w:val="24"/>
              </w:rPr>
            </w:pPr>
            <w:r>
              <w:rPr>
                <w:rFonts w:hint="eastAsia" w:ascii="宋体" w:hAnsi="宋体" w:cs="宋体"/>
                <w:color w:val="000000"/>
                <w:sz w:val="24"/>
                <w:szCs w:val="24"/>
              </w:rPr>
              <w:t>业绩评价</w:t>
            </w:r>
          </w:p>
        </w:tc>
        <w:tc>
          <w:tcPr>
            <w:tcW w:w="5526" w:type="dxa"/>
            <w:vAlign w:val="center"/>
          </w:tcPr>
          <w:p>
            <w:pPr>
              <w:spacing w:line="24" w:lineRule="atLeast"/>
              <w:ind w:right="62"/>
              <w:rPr>
                <w:rFonts w:ascii="宋体"/>
                <w:color w:val="000000"/>
                <w:sz w:val="24"/>
                <w:szCs w:val="24"/>
              </w:rPr>
            </w:pPr>
            <w:r>
              <w:rPr>
                <w:rFonts w:hint="eastAsia" w:ascii="宋体" w:hAnsi="宋体" w:cs="宋体"/>
                <w:color w:val="000000"/>
                <w:sz w:val="24"/>
                <w:szCs w:val="24"/>
              </w:rPr>
              <w:t>投标人提供上述投标人业绩对应的服务单位出具的满意度证明材料，履约评价为优（优秀）或满意等同等级评价，每提供一个符合要求的满意度证明得</w:t>
            </w:r>
            <w:r>
              <w:rPr>
                <w:rFonts w:ascii="宋体" w:hAnsi="宋体" w:cs="宋体"/>
                <w:sz w:val="24"/>
                <w:szCs w:val="24"/>
              </w:rPr>
              <w:t>1</w:t>
            </w:r>
            <w:r>
              <w:rPr>
                <w:rFonts w:hint="eastAsia" w:ascii="宋体" w:hAnsi="宋体" w:cs="宋体"/>
                <w:sz w:val="24"/>
                <w:szCs w:val="24"/>
              </w:rPr>
              <w:t>.5分，最多得</w:t>
            </w:r>
            <w:r>
              <w:rPr>
                <w:rFonts w:ascii="宋体" w:hAnsi="宋体" w:cs="宋体"/>
                <w:sz w:val="24"/>
                <w:szCs w:val="24"/>
              </w:rPr>
              <w:t>3</w:t>
            </w:r>
            <w:r>
              <w:rPr>
                <w:rFonts w:hint="eastAsia" w:ascii="宋体" w:hAnsi="宋体" w:cs="宋体"/>
                <w:sz w:val="24"/>
                <w:szCs w:val="24"/>
              </w:rPr>
              <w:t>分（提供满意度</w:t>
            </w:r>
            <w:r>
              <w:rPr>
                <w:rFonts w:hint="eastAsia" w:ascii="宋体" w:hAnsi="宋体" w:cs="宋体"/>
                <w:color w:val="000000"/>
                <w:sz w:val="24"/>
                <w:szCs w:val="24"/>
              </w:rPr>
              <w:t>证明材料，材料内容包括服务单位的联系人、固定电话，材料加盖所服务单位公章，证明材料缺项或未提供的不得分。）</w:t>
            </w:r>
          </w:p>
        </w:tc>
        <w:tc>
          <w:tcPr>
            <w:tcW w:w="588"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3</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2" w:hRule="atLeast"/>
          <w:jc w:val="center"/>
        </w:trPr>
        <w:tc>
          <w:tcPr>
            <w:tcW w:w="857" w:type="dxa"/>
            <w:vAlign w:val="center"/>
          </w:tcPr>
          <w:p>
            <w:pPr>
              <w:spacing w:line="24" w:lineRule="atLeast"/>
              <w:ind w:right="62"/>
              <w:jc w:val="center"/>
              <w:rPr>
                <w:rFonts w:hint="eastAsia" w:ascii="宋体" w:hAnsi="宋体" w:cs="宋体"/>
                <w:color w:val="000000"/>
                <w:spacing w:val="-3"/>
                <w:sz w:val="24"/>
                <w:szCs w:val="24"/>
              </w:rPr>
            </w:pPr>
            <w:r>
              <w:rPr>
                <w:rFonts w:hint="eastAsia" w:ascii="宋体" w:hAnsi="宋体" w:cs="宋体"/>
                <w:color w:val="000000"/>
                <w:spacing w:val="-3"/>
                <w:sz w:val="24"/>
                <w:szCs w:val="24"/>
              </w:rPr>
              <w:t>3.3</w:t>
            </w:r>
          </w:p>
        </w:tc>
        <w:tc>
          <w:tcPr>
            <w:tcW w:w="1171" w:type="dxa"/>
            <w:vAlign w:val="center"/>
          </w:tcPr>
          <w:p>
            <w:pPr>
              <w:spacing w:line="24" w:lineRule="atLeast"/>
              <w:ind w:right="62"/>
              <w:jc w:val="center"/>
              <w:rPr>
                <w:rFonts w:hint="eastAsia" w:ascii="宋体" w:hAnsi="宋体" w:cs="宋体"/>
                <w:color w:val="000000"/>
                <w:sz w:val="24"/>
                <w:szCs w:val="24"/>
              </w:rPr>
            </w:pPr>
            <w:r>
              <w:rPr>
                <w:rFonts w:hint="eastAsia" w:ascii="宋体" w:hAnsi="宋体" w:cs="宋体"/>
                <w:sz w:val="24"/>
                <w:szCs w:val="24"/>
              </w:rPr>
              <w:t>企业荣誉</w:t>
            </w:r>
            <w:r>
              <w:rPr>
                <w:rFonts w:hint="eastAsia"/>
                <w:sz w:val="24"/>
                <w:szCs w:val="24"/>
              </w:rPr>
              <w:t>及资质</w:t>
            </w:r>
          </w:p>
        </w:tc>
        <w:tc>
          <w:tcPr>
            <w:tcW w:w="5526" w:type="dxa"/>
            <w:vAlign w:val="center"/>
          </w:tcPr>
          <w:p>
            <w:pPr>
              <w:numPr>
                <w:ilvl w:val="0"/>
                <w:numId w:val="14"/>
              </w:numPr>
              <w:spacing w:line="24" w:lineRule="atLeast"/>
              <w:ind w:right="62"/>
              <w:rPr>
                <w:rFonts w:hint="eastAsia" w:ascii="宋体" w:hAnsi="宋体" w:cs="宋体"/>
                <w:sz w:val="24"/>
                <w:szCs w:val="24"/>
              </w:rPr>
            </w:pPr>
            <w:r>
              <w:rPr>
                <w:rFonts w:hint="eastAsia" w:ascii="宋体" w:hAnsi="宋体" w:cs="宋体"/>
                <w:sz w:val="24"/>
                <w:szCs w:val="24"/>
              </w:rPr>
              <w:t>企业荣誉（满分4分）：</w:t>
            </w:r>
          </w:p>
          <w:p>
            <w:pPr>
              <w:spacing w:line="24" w:lineRule="atLeast"/>
              <w:ind w:right="62"/>
              <w:rPr>
                <w:rFonts w:hint="eastAsia" w:ascii="宋体" w:hAnsi="宋体" w:cs="宋体"/>
                <w:sz w:val="24"/>
                <w:szCs w:val="24"/>
              </w:rPr>
            </w:pPr>
            <w:r>
              <w:rPr>
                <w:rFonts w:hint="eastAsia" w:ascii="宋体" w:hAnsi="宋体" w:cs="宋体"/>
                <w:sz w:val="24"/>
                <w:szCs w:val="24"/>
              </w:rPr>
              <w:t>投标人自2019 年1月1日以来服务的物业管理项目获得省级及以上，有一个得 3分；获得设区市级物业主管部门表彰的优秀示范项目，有一个得2分；获得县级物业主管部门表彰的优秀示范项目，有一个得1分。本项最多得4分。</w:t>
            </w:r>
          </w:p>
          <w:p>
            <w:pPr>
              <w:spacing w:line="24" w:lineRule="atLeast"/>
              <w:ind w:right="62"/>
              <w:rPr>
                <w:rFonts w:ascii="宋体" w:hAnsi="宋体" w:cs="宋体"/>
                <w:color w:val="000000"/>
                <w:sz w:val="24"/>
                <w:szCs w:val="24"/>
              </w:rPr>
            </w:pPr>
            <w:r>
              <w:rPr>
                <w:rFonts w:hint="eastAsia" w:ascii="宋体" w:hAnsi="宋体" w:cs="宋体"/>
                <w:color w:val="000000"/>
                <w:sz w:val="24"/>
                <w:szCs w:val="24"/>
              </w:rPr>
              <w:t>须提供获奖文件和奖牌（如有）复印件，获奖时间以表彰文件发文日期为准，未提供不得分。</w:t>
            </w:r>
          </w:p>
          <w:p>
            <w:pPr>
              <w:spacing w:line="24" w:lineRule="atLeast"/>
              <w:ind w:right="62"/>
              <w:rPr>
                <w:rFonts w:hint="eastAsia" w:ascii="宋体" w:hAnsi="宋体" w:cs="宋体"/>
                <w:color w:val="000000"/>
                <w:sz w:val="24"/>
                <w:szCs w:val="24"/>
              </w:rPr>
            </w:pPr>
            <w:r>
              <w:rPr>
                <w:rFonts w:hint="eastAsia" w:ascii="宋体" w:hAnsi="宋体" w:cs="宋体"/>
                <w:color w:val="000000"/>
                <w:sz w:val="24"/>
                <w:szCs w:val="24"/>
              </w:rPr>
              <w:t>2.投标人具有党建引领物业管理服务能力，提供企业建立党组织批复，并承诺在本项目建立功能性党组织，发挥党员先锋模范作用，且自2019 年1月1日以来获得县级及以上组织部门颁发的“党建引领物业管理服务工作示范点”的得1分。（须提供企业建立党组织批复、承诺函、组织部门颁发的文件和证书（奖牌）复印件，未提供不得分。）</w:t>
            </w:r>
          </w:p>
          <w:p>
            <w:pPr>
              <w:spacing w:line="24" w:lineRule="atLeast"/>
              <w:ind w:right="62"/>
              <w:rPr>
                <w:rFonts w:hint="eastAsia" w:ascii="宋体" w:hAnsi="宋体" w:cs="宋体"/>
                <w:color w:val="000000"/>
                <w:sz w:val="24"/>
                <w:szCs w:val="24"/>
              </w:rPr>
            </w:pPr>
            <w:r>
              <w:rPr>
                <w:rFonts w:hint="eastAsia" w:ascii="宋体" w:hAnsi="宋体" w:cs="宋体"/>
                <w:color w:val="000000"/>
                <w:sz w:val="24"/>
                <w:szCs w:val="24"/>
              </w:rPr>
              <w:t>3.企业资质（满分3分）：</w:t>
            </w:r>
          </w:p>
          <w:p>
            <w:pPr>
              <w:pStyle w:val="13"/>
              <w:ind w:firstLine="480"/>
              <w:rPr>
                <w:rFonts w:hint="eastAsia" w:ascii="宋体" w:hAnsi="宋体" w:cs="宋体"/>
                <w:sz w:val="24"/>
                <w:szCs w:val="24"/>
              </w:rPr>
            </w:pPr>
            <w:r>
              <w:rPr>
                <w:rFonts w:hint="eastAsia" w:ascii="宋体" w:hAnsi="宋体" w:cs="宋体"/>
                <w:sz w:val="24"/>
                <w:szCs w:val="24"/>
              </w:rPr>
              <w:t>（1）投标人具有</w:t>
            </w:r>
            <w:r>
              <w:rPr>
                <w:rFonts w:ascii="宋体" w:hAnsi="宋体" w:cs="宋体"/>
                <w:sz w:val="24"/>
                <w:szCs w:val="24"/>
              </w:rPr>
              <w:t>ISO9001</w:t>
            </w:r>
            <w:r>
              <w:rPr>
                <w:rFonts w:hint="eastAsia" w:ascii="宋体" w:hAnsi="宋体" w:cs="宋体"/>
                <w:sz w:val="24"/>
                <w:szCs w:val="24"/>
              </w:rPr>
              <w:t>系列质量管理体系认证证书、</w:t>
            </w:r>
            <w:r>
              <w:rPr>
                <w:rFonts w:ascii="宋体" w:hAnsi="宋体" w:cs="宋体"/>
                <w:sz w:val="24"/>
                <w:szCs w:val="24"/>
              </w:rPr>
              <w:t>ISO14001</w:t>
            </w:r>
            <w:r>
              <w:rPr>
                <w:rFonts w:hint="eastAsia" w:ascii="宋体" w:hAnsi="宋体" w:cs="宋体"/>
                <w:sz w:val="24"/>
                <w:szCs w:val="24"/>
              </w:rPr>
              <w:t>系列环境认证证书、</w:t>
            </w:r>
            <w:r>
              <w:rPr>
                <w:rFonts w:ascii="宋体" w:hAnsi="宋体" w:cs="宋体"/>
                <w:sz w:val="24"/>
                <w:szCs w:val="24"/>
              </w:rPr>
              <w:t>IS0</w:t>
            </w:r>
            <w:r>
              <w:rPr>
                <w:rFonts w:hint="eastAsia" w:ascii="宋体" w:hAnsi="宋体" w:cs="宋体"/>
                <w:sz w:val="24"/>
                <w:szCs w:val="24"/>
              </w:rPr>
              <w:t>45001系列职业健康安全认证证书、</w:t>
            </w:r>
            <w:r>
              <w:rPr>
                <w:rFonts w:hint="eastAsia" w:ascii="宋体" w:hAnsi="宋体"/>
                <w:color w:val="000000" w:themeColor="text1"/>
                <w:sz w:val="24"/>
                <w:szCs w:val="24"/>
                <w14:textFill>
                  <w14:solidFill>
                    <w14:schemeClr w14:val="tx1"/>
                  </w14:solidFill>
                </w14:textFill>
              </w:rPr>
              <w:t>物业服务认证证书、生活垃圾分类服务能力认证证书</w:t>
            </w:r>
            <w:r>
              <w:rPr>
                <w:rFonts w:hint="eastAsia" w:ascii="宋体" w:hAnsi="宋体" w:cs="宋体"/>
                <w:sz w:val="24"/>
                <w:szCs w:val="24"/>
              </w:rPr>
              <w:t>、</w:t>
            </w:r>
            <w:r>
              <w:rPr>
                <w:rFonts w:hint="eastAsia" w:ascii="宋体" w:hAnsi="宋体"/>
                <w:sz w:val="24"/>
                <w:szCs w:val="24"/>
              </w:rPr>
              <w:t>七星级售后服务认证证书</w:t>
            </w:r>
            <w:r>
              <w:rPr>
                <w:rFonts w:hint="eastAsia" w:ascii="宋体" w:hAnsi="宋体" w:cs="宋体"/>
                <w:sz w:val="24"/>
                <w:szCs w:val="24"/>
              </w:rPr>
              <w:t>，且通过年度审验的，有一项得0.5分，满分2分。</w:t>
            </w:r>
          </w:p>
          <w:p>
            <w:pPr>
              <w:pStyle w:val="13"/>
              <w:ind w:firstLine="480"/>
              <w:rPr>
                <w:rFonts w:hint="eastAsia" w:ascii="宋体" w:hAnsi="宋体" w:cs="宋体"/>
                <w:color w:val="000000"/>
                <w:sz w:val="24"/>
                <w:szCs w:val="24"/>
              </w:rPr>
            </w:pPr>
            <w:r>
              <w:rPr>
                <w:rFonts w:hint="eastAsia" w:ascii="宋体" w:hAnsi="宋体" w:cs="宋体"/>
                <w:sz w:val="24"/>
                <w:szCs w:val="24"/>
              </w:rPr>
              <w:t>（需提供证书复印件，及认可委网站查询截图）</w:t>
            </w:r>
          </w:p>
        </w:tc>
        <w:tc>
          <w:tcPr>
            <w:tcW w:w="588" w:type="dxa"/>
            <w:vAlign w:val="center"/>
          </w:tcPr>
          <w:p>
            <w:pPr>
              <w:spacing w:line="24" w:lineRule="atLeast"/>
              <w:ind w:right="62"/>
              <w:jc w:val="center"/>
              <w:rPr>
                <w:rFonts w:hint="eastAsia" w:ascii="宋体" w:hAnsi="宋体" w:cs="宋体"/>
                <w:color w:val="000000"/>
                <w:spacing w:val="-3"/>
                <w:sz w:val="24"/>
                <w:szCs w:val="24"/>
              </w:rPr>
            </w:pPr>
            <w:r>
              <w:rPr>
                <w:rFonts w:hint="eastAsia" w:ascii="宋体" w:hAnsi="宋体" w:cs="宋体"/>
                <w:color w:val="000000"/>
                <w:spacing w:val="-3"/>
                <w:sz w:val="24"/>
                <w:szCs w:val="24"/>
              </w:rPr>
              <w:t>7</w:t>
            </w:r>
          </w:p>
        </w:tc>
        <w:tc>
          <w:tcPr>
            <w:tcW w:w="771" w:type="dxa"/>
            <w:vAlign w:val="center"/>
          </w:tcPr>
          <w:p>
            <w:pPr>
              <w:spacing w:line="24" w:lineRule="atLeast"/>
              <w:ind w:right="62"/>
              <w:jc w:val="center"/>
              <w:rPr>
                <w:rFonts w:hint="eastAsia" w:ascii="宋体" w:hAnsi="宋体" w:cs="宋体"/>
                <w:color w:val="000000"/>
                <w:spacing w:val="-3"/>
                <w:sz w:val="24"/>
                <w:szCs w:val="24"/>
              </w:rPr>
            </w:pPr>
            <w:r>
              <w:rPr>
                <w:rFonts w:hint="eastAsia" w:ascii="宋体" w:hAnsi="宋体" w:cs="宋体"/>
                <w:color w:val="000000"/>
                <w:spacing w:val="-3"/>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8913" w:type="dxa"/>
            <w:gridSpan w:val="5"/>
          </w:tcPr>
          <w:p>
            <w:pPr>
              <w:spacing w:line="24" w:lineRule="atLeast"/>
              <w:ind w:right="62" w:firstLine="470"/>
              <w:jc w:val="left"/>
              <w:rPr>
                <w:rFonts w:ascii="宋体"/>
                <w:color w:val="000000"/>
                <w:sz w:val="24"/>
                <w:szCs w:val="24"/>
              </w:rPr>
            </w:pPr>
            <w:r>
              <w:rPr>
                <w:rFonts w:ascii="宋体" w:hAnsi="宋体" w:cs="宋体"/>
                <w:b/>
                <w:bCs/>
                <w:color w:val="000000"/>
                <w:spacing w:val="-3"/>
                <w:sz w:val="24"/>
                <w:szCs w:val="24"/>
              </w:rPr>
              <w:t>4</w:t>
            </w:r>
            <w:r>
              <w:rPr>
                <w:rFonts w:hint="eastAsia" w:ascii="宋体" w:hAnsi="宋体" w:cs="宋体"/>
                <w:b/>
                <w:bCs/>
                <w:color w:val="000000"/>
                <w:spacing w:val="-3"/>
                <w:sz w:val="24"/>
                <w:szCs w:val="24"/>
              </w:rPr>
              <w:t>履约能力（26分）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jc w:val="center"/>
        </w:trPr>
        <w:tc>
          <w:tcPr>
            <w:tcW w:w="857" w:type="dxa"/>
            <w:vAlign w:val="center"/>
          </w:tcPr>
          <w:p>
            <w:pPr>
              <w:spacing w:line="24" w:lineRule="atLeast"/>
              <w:ind w:right="62"/>
              <w:jc w:val="center"/>
              <w:rPr>
                <w:rFonts w:ascii="宋体"/>
                <w:color w:val="000000"/>
                <w:spacing w:val="-2"/>
                <w:sz w:val="24"/>
                <w:szCs w:val="24"/>
              </w:rPr>
            </w:pPr>
            <w:r>
              <w:rPr>
                <w:rFonts w:ascii="宋体" w:hAnsi="宋体" w:cs="宋体"/>
                <w:color w:val="000000"/>
                <w:spacing w:val="-2"/>
                <w:sz w:val="24"/>
                <w:szCs w:val="24"/>
              </w:rPr>
              <w:t>4.1</w:t>
            </w:r>
          </w:p>
        </w:tc>
        <w:tc>
          <w:tcPr>
            <w:tcW w:w="1171" w:type="dxa"/>
            <w:vAlign w:val="center"/>
          </w:tcPr>
          <w:p>
            <w:pPr>
              <w:spacing w:line="24" w:lineRule="atLeast"/>
              <w:ind w:right="62"/>
              <w:jc w:val="center"/>
              <w:rPr>
                <w:rFonts w:ascii="宋体"/>
                <w:color w:val="000000"/>
                <w:spacing w:val="-1"/>
                <w:sz w:val="24"/>
                <w:szCs w:val="24"/>
              </w:rPr>
            </w:pPr>
            <w:r>
              <w:rPr>
                <w:rFonts w:hint="eastAsia" w:ascii="宋体" w:hAnsi="宋体" w:cs="宋体"/>
                <w:color w:val="000000"/>
                <w:sz w:val="24"/>
                <w:szCs w:val="24"/>
              </w:rPr>
              <w:t>履约能力</w:t>
            </w:r>
          </w:p>
        </w:tc>
        <w:tc>
          <w:tcPr>
            <w:tcW w:w="5526" w:type="dxa"/>
            <w:vAlign w:val="center"/>
          </w:tcPr>
          <w:p>
            <w:pPr>
              <w:spacing w:line="24" w:lineRule="atLeast"/>
              <w:ind w:right="62"/>
              <w:rPr>
                <w:rFonts w:ascii="宋体"/>
                <w:color w:val="000000"/>
                <w:spacing w:val="12"/>
                <w:sz w:val="24"/>
                <w:szCs w:val="24"/>
              </w:rPr>
            </w:pPr>
            <w:r>
              <w:rPr>
                <w:rFonts w:hint="eastAsia" w:ascii="宋体" w:hAnsi="宋体" w:cs="宋体"/>
                <w:color w:val="000000"/>
                <w:sz w:val="24"/>
                <w:szCs w:val="24"/>
              </w:rPr>
              <w:t>投标人承诺中标后购买公众责任商业险</w:t>
            </w:r>
            <w:r>
              <w:rPr>
                <w:rFonts w:ascii="宋体" w:hAnsi="宋体" w:cs="宋体"/>
                <w:color w:val="000000"/>
                <w:sz w:val="24"/>
                <w:szCs w:val="24"/>
              </w:rPr>
              <w:t>(</w:t>
            </w:r>
            <w:r>
              <w:rPr>
                <w:rFonts w:hint="eastAsia" w:ascii="宋体" w:hAnsi="宋体" w:cs="宋体"/>
                <w:color w:val="000000"/>
                <w:sz w:val="24"/>
                <w:szCs w:val="24"/>
              </w:rPr>
              <w:t>在从事物业管理过程中，造成第三方人身伤亡或财产损失，负责处理及赔偿事宜</w:t>
            </w:r>
            <w:r>
              <w:rPr>
                <w:rFonts w:ascii="宋体" w:hAnsi="宋体" w:cs="宋体"/>
                <w:color w:val="000000"/>
                <w:sz w:val="24"/>
                <w:szCs w:val="24"/>
              </w:rPr>
              <w:t>)</w:t>
            </w:r>
            <w:r>
              <w:rPr>
                <w:rFonts w:hint="eastAsia" w:ascii="宋体" w:hAnsi="宋体" w:cs="宋体"/>
                <w:color w:val="000000"/>
                <w:sz w:val="24"/>
                <w:szCs w:val="24"/>
              </w:rPr>
              <w:t>、雇主责任险（高风险岗位）（投标人提供承诺书，格式自拟）。提供书面承诺购买保额额度不低于</w:t>
            </w:r>
            <w:r>
              <w:rPr>
                <w:rFonts w:ascii="宋体" w:hAnsi="宋体" w:cs="宋体"/>
                <w:color w:val="000000"/>
                <w:sz w:val="24"/>
                <w:szCs w:val="24"/>
              </w:rPr>
              <w:t>30</w:t>
            </w:r>
            <w:r>
              <w:rPr>
                <w:rFonts w:hint="eastAsia" w:ascii="宋体" w:hAnsi="宋体" w:cs="宋体"/>
                <w:color w:val="000000"/>
                <w:sz w:val="24"/>
                <w:szCs w:val="24"/>
              </w:rPr>
              <w:t>万元</w:t>
            </w:r>
            <w:r>
              <w:rPr>
                <w:rFonts w:ascii="宋体" w:hAnsi="宋体" w:cs="宋体"/>
                <w:color w:val="000000"/>
                <w:sz w:val="24"/>
                <w:szCs w:val="24"/>
              </w:rPr>
              <w:t>/</w:t>
            </w:r>
            <w:r>
              <w:rPr>
                <w:rFonts w:hint="eastAsia" w:ascii="宋体" w:hAnsi="宋体" w:cs="宋体"/>
                <w:color w:val="000000"/>
                <w:sz w:val="24"/>
                <w:szCs w:val="24"/>
              </w:rPr>
              <w:t>人</w:t>
            </w:r>
            <w:r>
              <w:rPr>
                <w:rFonts w:ascii="宋体" w:hAnsi="宋体" w:cs="宋体"/>
                <w:color w:val="000000"/>
                <w:sz w:val="24"/>
                <w:szCs w:val="24"/>
              </w:rPr>
              <w:t>/</w:t>
            </w:r>
            <w:r>
              <w:rPr>
                <w:rFonts w:hint="eastAsia" w:ascii="宋体" w:hAnsi="宋体" w:cs="宋体"/>
                <w:color w:val="000000"/>
                <w:sz w:val="24"/>
                <w:szCs w:val="24"/>
              </w:rPr>
              <w:t>年得</w:t>
            </w:r>
            <w:r>
              <w:rPr>
                <w:rFonts w:ascii="宋体" w:hAnsi="宋体" w:cs="宋体"/>
                <w:color w:val="000000"/>
                <w:sz w:val="24"/>
                <w:szCs w:val="24"/>
              </w:rPr>
              <w:t>2</w:t>
            </w:r>
            <w:r>
              <w:rPr>
                <w:rFonts w:hint="eastAsia" w:ascii="宋体" w:hAnsi="宋体" w:cs="宋体"/>
                <w:color w:val="000000"/>
                <w:sz w:val="24"/>
                <w:szCs w:val="24"/>
              </w:rPr>
              <w:t>分，承诺购买保额额度不低于</w:t>
            </w:r>
            <w:r>
              <w:rPr>
                <w:rFonts w:ascii="宋体" w:hAnsi="宋体" w:cs="宋体"/>
                <w:color w:val="000000"/>
                <w:sz w:val="24"/>
                <w:szCs w:val="24"/>
              </w:rPr>
              <w:t>10</w:t>
            </w:r>
            <w:r>
              <w:rPr>
                <w:rFonts w:hint="eastAsia" w:ascii="宋体" w:hAnsi="宋体" w:cs="宋体"/>
                <w:color w:val="000000"/>
                <w:sz w:val="24"/>
                <w:szCs w:val="24"/>
              </w:rPr>
              <w:t>万元</w:t>
            </w:r>
            <w:r>
              <w:rPr>
                <w:rFonts w:ascii="宋体" w:hAnsi="宋体" w:cs="宋体"/>
                <w:color w:val="000000"/>
                <w:sz w:val="24"/>
                <w:szCs w:val="24"/>
              </w:rPr>
              <w:t>/</w:t>
            </w:r>
            <w:r>
              <w:rPr>
                <w:rFonts w:hint="eastAsia" w:ascii="宋体" w:hAnsi="宋体" w:cs="宋体"/>
                <w:color w:val="000000"/>
                <w:sz w:val="24"/>
                <w:szCs w:val="24"/>
              </w:rPr>
              <w:t>人</w:t>
            </w:r>
            <w:r>
              <w:rPr>
                <w:rFonts w:ascii="宋体" w:hAnsi="宋体" w:cs="宋体"/>
                <w:color w:val="000000"/>
                <w:sz w:val="24"/>
                <w:szCs w:val="24"/>
              </w:rPr>
              <w:t>/</w:t>
            </w:r>
            <w:r>
              <w:rPr>
                <w:rFonts w:hint="eastAsia" w:ascii="宋体" w:hAnsi="宋体" w:cs="宋体"/>
                <w:color w:val="000000"/>
                <w:sz w:val="24"/>
                <w:szCs w:val="24"/>
              </w:rPr>
              <w:t>年得</w:t>
            </w:r>
            <w:r>
              <w:rPr>
                <w:rFonts w:ascii="宋体" w:hAnsi="宋体" w:cs="宋体"/>
                <w:color w:val="000000"/>
                <w:sz w:val="24"/>
                <w:szCs w:val="24"/>
              </w:rPr>
              <w:t>1</w:t>
            </w:r>
            <w:r>
              <w:rPr>
                <w:rFonts w:hint="eastAsia" w:ascii="宋体" w:hAnsi="宋体" w:cs="宋体"/>
                <w:color w:val="000000"/>
                <w:sz w:val="24"/>
                <w:szCs w:val="24"/>
              </w:rPr>
              <w:t>分，未提供的不得分。</w:t>
            </w:r>
            <w:r>
              <w:rPr>
                <w:rFonts w:ascii="宋体" w:hAnsi="宋体" w:cs="宋体"/>
                <w:color w:val="000000"/>
                <w:sz w:val="24"/>
                <w:szCs w:val="24"/>
              </w:rPr>
              <w:t xml:space="preserve">  </w:t>
            </w:r>
          </w:p>
        </w:tc>
        <w:tc>
          <w:tcPr>
            <w:tcW w:w="588" w:type="dxa"/>
            <w:vAlign w:val="center"/>
          </w:tcPr>
          <w:p>
            <w:pPr>
              <w:spacing w:line="24" w:lineRule="atLeast"/>
              <w:ind w:right="62"/>
              <w:jc w:val="center"/>
              <w:rPr>
                <w:rFonts w:ascii="宋体"/>
                <w:color w:val="000000"/>
                <w:sz w:val="24"/>
                <w:szCs w:val="24"/>
              </w:rPr>
            </w:pPr>
            <w:r>
              <w:rPr>
                <w:rFonts w:ascii="宋体" w:hAnsi="宋体" w:cs="宋体"/>
                <w:color w:val="000000"/>
                <w:sz w:val="24"/>
                <w:szCs w:val="24"/>
              </w:rPr>
              <w:t>2</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pacing w:val="-6"/>
                <w:sz w:val="24"/>
                <w:szCs w:val="24"/>
              </w:rPr>
              <w:t>客</w:t>
            </w:r>
            <w:r>
              <w:rPr>
                <w:rFonts w:hint="eastAsia" w:ascii="宋体" w:hAnsi="宋体" w:cs="宋体"/>
                <w:color w:val="000000"/>
                <w:spacing w:val="-4"/>
                <w:sz w:val="24"/>
                <w:szCs w:val="24"/>
              </w:rPr>
              <w:t>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0"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4.2</w:t>
            </w:r>
          </w:p>
        </w:tc>
        <w:tc>
          <w:tcPr>
            <w:tcW w:w="11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z w:val="24"/>
                <w:szCs w:val="24"/>
              </w:rPr>
              <w:t>管理系统</w:t>
            </w:r>
          </w:p>
        </w:tc>
        <w:tc>
          <w:tcPr>
            <w:tcW w:w="5526" w:type="dxa"/>
            <w:vAlign w:val="center"/>
          </w:tcPr>
          <w:p>
            <w:pPr>
              <w:spacing w:line="24" w:lineRule="atLeast"/>
              <w:ind w:right="62"/>
              <w:rPr>
                <w:rFonts w:ascii="宋体"/>
                <w:color w:val="000000"/>
                <w:spacing w:val="-3"/>
                <w:sz w:val="24"/>
                <w:szCs w:val="24"/>
              </w:rPr>
            </w:pPr>
            <w:r>
              <w:rPr>
                <w:rFonts w:hint="eastAsia" w:ascii="宋体" w:hAnsi="宋体" w:cs="宋体"/>
                <w:color w:val="000000"/>
                <w:spacing w:val="-2"/>
                <w:sz w:val="24"/>
                <w:szCs w:val="24"/>
              </w:rPr>
              <w:t>投标人拥有医废、运送、保洁设备运行管理系统软件，且提供该管理软件，得3分。（软件是投标人自主开发的须提供证书，原件扫描上传；如软件是投标人外购的须提供外购合同及购买发票，原件扫描上传）</w:t>
            </w:r>
          </w:p>
        </w:tc>
        <w:tc>
          <w:tcPr>
            <w:tcW w:w="588"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3</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 w:hRule="atLeast"/>
          <w:jc w:val="center"/>
        </w:trPr>
        <w:tc>
          <w:tcPr>
            <w:tcW w:w="857"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4.3</w:t>
            </w:r>
          </w:p>
        </w:tc>
        <w:tc>
          <w:tcPr>
            <w:tcW w:w="11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z w:val="24"/>
                <w:szCs w:val="24"/>
              </w:rPr>
              <w:t>感染防控实施能力</w:t>
            </w:r>
          </w:p>
        </w:tc>
        <w:tc>
          <w:tcPr>
            <w:tcW w:w="5526" w:type="dxa"/>
            <w:vAlign w:val="center"/>
          </w:tcPr>
          <w:p>
            <w:pPr>
              <w:spacing w:line="24" w:lineRule="atLeast"/>
              <w:ind w:right="62"/>
              <w:rPr>
                <w:rFonts w:ascii="宋体"/>
                <w:color w:val="000000"/>
                <w:spacing w:val="-3"/>
                <w:sz w:val="24"/>
                <w:szCs w:val="24"/>
              </w:rPr>
            </w:pPr>
            <w:r>
              <w:rPr>
                <w:rFonts w:ascii="宋体" w:hAnsi="宋体" w:cs="宋体"/>
                <w:color w:val="000000"/>
                <w:sz w:val="24"/>
                <w:szCs w:val="24"/>
              </w:rPr>
              <w:t>1</w:t>
            </w:r>
            <w:r>
              <w:rPr>
                <w:rFonts w:hint="eastAsia" w:ascii="宋体" w:hAnsi="宋体" w:cs="宋体"/>
                <w:color w:val="000000"/>
                <w:sz w:val="24"/>
                <w:szCs w:val="24"/>
              </w:rPr>
              <w:t>、供应商针对医院物业管理服务制定全面完善的感染防控方案，提供相应感染防控方案得</w:t>
            </w:r>
            <w:r>
              <w:rPr>
                <w:rFonts w:ascii="宋体" w:hAnsi="宋体" w:cs="宋体"/>
                <w:color w:val="000000"/>
                <w:sz w:val="24"/>
                <w:szCs w:val="24"/>
              </w:rPr>
              <w:t>2</w:t>
            </w:r>
            <w:r>
              <w:rPr>
                <w:rFonts w:hint="eastAsia" w:ascii="宋体" w:hAnsi="宋体" w:cs="宋体"/>
                <w:color w:val="000000"/>
                <w:sz w:val="24"/>
                <w:szCs w:val="24"/>
              </w:rPr>
              <w:t>分；不提供感染防控方案不得分。</w:t>
            </w:r>
            <w:r>
              <w:rPr>
                <w:rFonts w:ascii="宋体" w:hAnsi="宋体" w:cs="宋体"/>
                <w:color w:val="000000"/>
                <w:sz w:val="24"/>
                <w:szCs w:val="24"/>
              </w:rPr>
              <w:t>2</w:t>
            </w:r>
            <w:r>
              <w:rPr>
                <w:rFonts w:hint="eastAsia" w:ascii="宋体" w:hAnsi="宋体" w:cs="宋体"/>
                <w:color w:val="000000"/>
                <w:spacing w:val="-1"/>
                <w:sz w:val="24"/>
                <w:szCs w:val="24"/>
              </w:rPr>
              <w:t>、针对医院感染防控要求，供应商提供</w:t>
            </w:r>
            <w:r>
              <w:rPr>
                <w:rFonts w:hint="eastAsia" w:ascii="宋体" w:hAnsi="宋体" w:cs="宋体"/>
                <w:color w:val="000000"/>
                <w:sz w:val="24"/>
                <w:szCs w:val="24"/>
              </w:rPr>
              <w:t>在手术室、新生儿病房、产房、</w:t>
            </w:r>
            <w:r>
              <w:rPr>
                <w:rFonts w:ascii="宋体" w:hAnsi="宋体" w:cs="宋体"/>
                <w:color w:val="000000"/>
                <w:sz w:val="24"/>
                <w:szCs w:val="24"/>
              </w:rPr>
              <w:t>ICU</w:t>
            </w:r>
            <w:r>
              <w:rPr>
                <w:rFonts w:hint="eastAsia" w:ascii="宋体" w:hAnsi="宋体" w:cs="宋体"/>
                <w:color w:val="000000"/>
                <w:sz w:val="24"/>
                <w:szCs w:val="24"/>
              </w:rPr>
              <w:t>、血液净化中心</w:t>
            </w:r>
            <w:r>
              <w:rPr>
                <w:rFonts w:hint="eastAsia" w:ascii="宋体" w:hAnsi="宋体" w:cs="宋体"/>
                <w:color w:val="000000"/>
                <w:spacing w:val="-1"/>
                <w:sz w:val="24"/>
                <w:szCs w:val="24"/>
              </w:rPr>
              <w:t>、普通病房、洗涤收发等部门进行的培训案</w:t>
            </w:r>
            <w:r>
              <w:rPr>
                <w:rFonts w:hint="eastAsia" w:ascii="宋体" w:hAnsi="宋体" w:cs="宋体"/>
                <w:color w:val="000000"/>
                <w:sz w:val="24"/>
                <w:szCs w:val="24"/>
              </w:rPr>
              <w:t>例（培训记录中包含通知、培训内容、签到、现场照片）。每提供一个得</w:t>
            </w:r>
            <w:r>
              <w:rPr>
                <w:rFonts w:ascii="宋体" w:hAnsi="宋体" w:cs="宋体"/>
                <w:color w:val="000000"/>
                <w:sz w:val="24"/>
                <w:szCs w:val="24"/>
              </w:rPr>
              <w:t>0.25</w:t>
            </w:r>
            <w:r>
              <w:rPr>
                <w:rFonts w:hint="eastAsia" w:ascii="宋体" w:hAnsi="宋体" w:cs="宋体"/>
                <w:color w:val="000000"/>
                <w:spacing w:val="-2"/>
                <w:sz w:val="24"/>
                <w:szCs w:val="24"/>
              </w:rPr>
              <w:t>分，同一感染防控单元的培训</w:t>
            </w:r>
            <w:r>
              <w:rPr>
                <w:rFonts w:hint="eastAsia" w:ascii="宋体" w:hAnsi="宋体" w:cs="宋体"/>
                <w:color w:val="000000"/>
                <w:sz w:val="24"/>
                <w:szCs w:val="24"/>
              </w:rPr>
              <w:t>案例不重复计分，本项最高得</w:t>
            </w:r>
            <w:r>
              <w:rPr>
                <w:rFonts w:ascii="宋体" w:hAnsi="宋体" w:cs="宋体"/>
                <w:color w:val="000000"/>
                <w:sz w:val="24"/>
                <w:szCs w:val="24"/>
              </w:rPr>
              <w:t>2</w:t>
            </w:r>
            <w:r>
              <w:rPr>
                <w:rFonts w:hint="eastAsia" w:ascii="宋体" w:hAnsi="宋体" w:cs="宋体"/>
                <w:color w:val="000000"/>
                <w:spacing w:val="-2"/>
                <w:sz w:val="24"/>
                <w:szCs w:val="24"/>
              </w:rPr>
              <w:t>分。</w:t>
            </w:r>
            <w:r>
              <w:rPr>
                <w:rFonts w:ascii="宋体" w:hAnsi="宋体" w:cs="宋体"/>
                <w:color w:val="000000"/>
                <w:spacing w:val="-2"/>
                <w:sz w:val="24"/>
                <w:szCs w:val="24"/>
              </w:rPr>
              <w:t>(</w:t>
            </w:r>
            <w:r>
              <w:rPr>
                <w:rFonts w:hint="eastAsia" w:ascii="宋体" w:hAnsi="宋体" w:cs="宋体"/>
                <w:color w:val="000000"/>
                <w:spacing w:val="-2"/>
                <w:sz w:val="24"/>
                <w:szCs w:val="24"/>
              </w:rPr>
              <w:t>提供针对上述每</w:t>
            </w:r>
            <w:r>
              <w:rPr>
                <w:rFonts w:hint="eastAsia" w:ascii="宋体" w:hAnsi="宋体" w:cs="宋体"/>
                <w:color w:val="000000"/>
                <w:spacing w:val="-1"/>
                <w:sz w:val="24"/>
                <w:szCs w:val="24"/>
              </w:rPr>
              <w:t>个感染防控单元要求所进行的培训记录，并提供加盖</w:t>
            </w:r>
            <w:r>
              <w:rPr>
                <w:rFonts w:hint="eastAsia" w:ascii="宋体" w:hAnsi="宋体" w:cs="宋体"/>
                <w:color w:val="000000"/>
                <w:sz w:val="24"/>
                <w:szCs w:val="24"/>
              </w:rPr>
              <w:t>被服务单位</w:t>
            </w:r>
            <w:r>
              <w:rPr>
                <w:rFonts w:hint="eastAsia" w:ascii="宋体" w:hAnsi="宋体" w:cs="宋体"/>
                <w:color w:val="000000"/>
                <w:spacing w:val="-1"/>
                <w:sz w:val="24"/>
                <w:szCs w:val="24"/>
              </w:rPr>
              <w:t>公章</w:t>
            </w:r>
            <w:r>
              <w:rPr>
                <w:rFonts w:hint="eastAsia" w:ascii="宋体" w:hAnsi="宋体" w:cs="宋体"/>
                <w:color w:val="000000"/>
                <w:sz w:val="24"/>
                <w:szCs w:val="24"/>
              </w:rPr>
              <w:t>的证明材料。不提供不得分。将上述材料扫描件上传</w:t>
            </w:r>
            <w:r>
              <w:rPr>
                <w:rFonts w:ascii="宋体" w:hAnsi="宋体" w:cs="宋体"/>
                <w:color w:val="000000"/>
                <w:sz w:val="24"/>
                <w:szCs w:val="24"/>
              </w:rPr>
              <w:t>)</w:t>
            </w:r>
          </w:p>
        </w:tc>
        <w:tc>
          <w:tcPr>
            <w:tcW w:w="588" w:type="dxa"/>
            <w:vAlign w:val="center"/>
          </w:tcPr>
          <w:p>
            <w:pPr>
              <w:spacing w:line="24" w:lineRule="atLeast"/>
              <w:ind w:right="62"/>
              <w:jc w:val="center"/>
              <w:rPr>
                <w:rFonts w:ascii="宋体"/>
                <w:color w:val="000000"/>
                <w:spacing w:val="-3"/>
                <w:sz w:val="24"/>
                <w:szCs w:val="24"/>
              </w:rPr>
            </w:pPr>
            <w:r>
              <w:rPr>
                <w:rFonts w:ascii="宋体" w:hAnsi="宋体" w:cs="宋体"/>
                <w:color w:val="000000"/>
                <w:spacing w:val="-3"/>
                <w:sz w:val="24"/>
                <w:szCs w:val="24"/>
              </w:rPr>
              <w:t>4</w:t>
            </w:r>
          </w:p>
        </w:tc>
        <w:tc>
          <w:tcPr>
            <w:tcW w:w="771" w:type="dxa"/>
            <w:vAlign w:val="center"/>
          </w:tcPr>
          <w:p>
            <w:pPr>
              <w:spacing w:line="24" w:lineRule="atLeast"/>
              <w:ind w:right="62"/>
              <w:jc w:val="center"/>
              <w:rPr>
                <w:rFonts w:ascii="宋体"/>
                <w:color w:val="000000"/>
                <w:spacing w:val="-3"/>
                <w:sz w:val="24"/>
                <w:szCs w:val="24"/>
              </w:rPr>
            </w:pPr>
            <w:r>
              <w:rPr>
                <w:rFonts w:hint="eastAsia" w:ascii="宋体" w:hAnsi="宋体" w:cs="宋体"/>
                <w:color w:val="000000"/>
                <w:spacing w:val="-3"/>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6" w:hRule="atLeast"/>
          <w:jc w:val="center"/>
        </w:trPr>
        <w:tc>
          <w:tcPr>
            <w:tcW w:w="857" w:type="dxa"/>
            <w:vAlign w:val="center"/>
          </w:tcPr>
          <w:p>
            <w:pPr>
              <w:spacing w:line="24" w:lineRule="atLeast"/>
              <w:ind w:right="62"/>
              <w:jc w:val="center"/>
              <w:rPr>
                <w:rFonts w:ascii="宋体"/>
                <w:color w:val="000000"/>
                <w:spacing w:val="-2"/>
                <w:sz w:val="24"/>
                <w:szCs w:val="24"/>
              </w:rPr>
            </w:pPr>
            <w:r>
              <w:rPr>
                <w:rFonts w:ascii="宋体" w:hAnsi="宋体" w:cs="宋体"/>
                <w:color w:val="000000"/>
                <w:spacing w:val="-2"/>
                <w:sz w:val="24"/>
                <w:szCs w:val="24"/>
              </w:rPr>
              <w:t>4.4</w:t>
            </w:r>
          </w:p>
        </w:tc>
        <w:tc>
          <w:tcPr>
            <w:tcW w:w="1171" w:type="dxa"/>
            <w:vAlign w:val="center"/>
          </w:tcPr>
          <w:p>
            <w:pPr>
              <w:spacing w:line="24" w:lineRule="atLeast"/>
              <w:ind w:right="62"/>
              <w:jc w:val="center"/>
              <w:rPr>
                <w:rFonts w:hint="eastAsia" w:ascii="宋体" w:hAnsi="宋体" w:cs="宋体"/>
                <w:color w:val="000000"/>
                <w:sz w:val="24"/>
                <w:szCs w:val="24"/>
              </w:rPr>
            </w:pPr>
            <w:r>
              <w:rPr>
                <w:rFonts w:hint="eastAsia" w:ascii="宋体" w:hAnsi="宋体" w:cs="宋体"/>
                <w:color w:val="000000"/>
                <w:sz w:val="24"/>
                <w:szCs w:val="24"/>
              </w:rPr>
              <w:t>物业经理</w:t>
            </w:r>
          </w:p>
          <w:p>
            <w:pPr>
              <w:spacing w:line="24" w:lineRule="atLeast"/>
              <w:ind w:right="62"/>
              <w:jc w:val="center"/>
              <w:rPr>
                <w:rFonts w:ascii="宋体"/>
                <w:color w:val="000000"/>
                <w:sz w:val="24"/>
                <w:szCs w:val="24"/>
              </w:rPr>
            </w:pPr>
            <w:r>
              <w:rPr>
                <w:rFonts w:hint="eastAsia" w:ascii="宋体" w:hAnsi="宋体" w:cs="宋体"/>
                <w:color w:val="000000"/>
                <w:sz w:val="24"/>
                <w:szCs w:val="24"/>
              </w:rPr>
              <w:t>（项目经理）</w:t>
            </w:r>
          </w:p>
        </w:tc>
        <w:tc>
          <w:tcPr>
            <w:tcW w:w="5526" w:type="dxa"/>
            <w:vAlign w:val="center"/>
          </w:tcPr>
          <w:p>
            <w:pPr>
              <w:spacing w:line="24" w:lineRule="atLeast"/>
              <w:ind w:right="62"/>
              <w:rPr>
                <w:rFonts w:ascii="宋体"/>
                <w:color w:val="000000"/>
                <w:spacing w:val="1"/>
                <w:sz w:val="24"/>
                <w:szCs w:val="24"/>
              </w:rPr>
            </w:pPr>
            <w:r>
              <w:rPr>
                <w:rFonts w:hint="eastAsia" w:cs="宋体"/>
                <w:color w:val="000000"/>
                <w:sz w:val="24"/>
                <w:szCs w:val="24"/>
              </w:rPr>
              <w:t>物业经理具有本科及以上学历、具有高级物业管理师证、具有3年以上三级医院服务经验、中共党员，有一项得1分，最多得4分；</w:t>
            </w:r>
            <w:r>
              <w:rPr>
                <w:rFonts w:hint="eastAsia" w:ascii="宋体" w:hAnsi="宋体" w:cs="宋体"/>
                <w:color w:val="000000"/>
                <w:sz w:val="24"/>
                <w:szCs w:val="24"/>
              </w:rPr>
              <w:t>（项目管理经历可累计。提供物业</w:t>
            </w:r>
            <w:r>
              <w:rPr>
                <w:rFonts w:hint="eastAsia" w:ascii="宋体" w:hAnsi="宋体" w:cs="宋体"/>
                <w:color w:val="000000"/>
                <w:spacing w:val="-1"/>
                <w:sz w:val="24"/>
                <w:szCs w:val="24"/>
              </w:rPr>
              <w:t>经理学历证书复印件、党员证明、物业管理师证书、所服务单位盖章的任职证明及供应商为其缴纳</w:t>
            </w:r>
            <w:r>
              <w:rPr>
                <w:rFonts w:ascii="宋体" w:hAnsi="宋体" w:cs="宋体"/>
                <w:color w:val="000000"/>
                <w:spacing w:val="-1"/>
                <w:sz w:val="24"/>
                <w:szCs w:val="24"/>
              </w:rPr>
              <w:t>2024</w:t>
            </w:r>
            <w:r>
              <w:rPr>
                <w:rFonts w:hint="eastAsia" w:ascii="宋体" w:hAnsi="宋体" w:cs="宋体"/>
                <w:color w:val="000000"/>
                <w:spacing w:val="-1"/>
                <w:sz w:val="24"/>
                <w:szCs w:val="24"/>
              </w:rPr>
              <w:t>年任意三个月的社保证明，</w:t>
            </w:r>
            <w:r>
              <w:rPr>
                <w:rFonts w:hint="eastAsia" w:ascii="宋体" w:hAnsi="宋体" w:cs="宋体"/>
                <w:color w:val="000000"/>
                <w:spacing w:val="-2"/>
                <w:sz w:val="24"/>
                <w:szCs w:val="24"/>
              </w:rPr>
              <w:t>缺一项</w:t>
            </w:r>
            <w:r>
              <w:rPr>
                <w:rFonts w:hint="eastAsia" w:ascii="宋体" w:hAnsi="宋体" w:cs="宋体"/>
                <w:color w:val="000000"/>
                <w:sz w:val="24"/>
                <w:szCs w:val="24"/>
              </w:rPr>
              <w:t>不得分。上述材料加盖公章扫描上传）</w:t>
            </w:r>
          </w:p>
        </w:tc>
        <w:tc>
          <w:tcPr>
            <w:tcW w:w="588" w:type="dxa"/>
            <w:vAlign w:val="center"/>
          </w:tcPr>
          <w:p>
            <w:pPr>
              <w:spacing w:line="24" w:lineRule="atLeast"/>
              <w:ind w:right="62"/>
              <w:jc w:val="center"/>
              <w:rPr>
                <w:rFonts w:ascii="宋体"/>
                <w:color w:val="000000"/>
                <w:sz w:val="24"/>
                <w:szCs w:val="24"/>
              </w:rPr>
            </w:pPr>
            <w:r>
              <w:rPr>
                <w:rFonts w:hint="eastAsia" w:ascii="宋体" w:hAnsi="宋体" w:cs="宋体"/>
                <w:color w:val="000000"/>
                <w:sz w:val="24"/>
                <w:szCs w:val="24"/>
              </w:rPr>
              <w:t>4</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3" w:hRule="atLeast"/>
          <w:jc w:val="center"/>
        </w:trPr>
        <w:tc>
          <w:tcPr>
            <w:tcW w:w="857" w:type="dxa"/>
            <w:vAlign w:val="center"/>
          </w:tcPr>
          <w:p>
            <w:pPr>
              <w:spacing w:line="24" w:lineRule="atLeast"/>
              <w:ind w:right="62"/>
              <w:jc w:val="center"/>
              <w:rPr>
                <w:rFonts w:ascii="宋体"/>
                <w:color w:val="000000"/>
                <w:spacing w:val="-2"/>
                <w:sz w:val="24"/>
                <w:szCs w:val="24"/>
              </w:rPr>
            </w:pPr>
            <w:r>
              <w:rPr>
                <w:rFonts w:ascii="宋体" w:hAnsi="宋体" w:cs="宋体"/>
                <w:color w:val="000000"/>
                <w:spacing w:val="-2"/>
                <w:sz w:val="24"/>
                <w:szCs w:val="24"/>
              </w:rPr>
              <w:t>4.5</w:t>
            </w:r>
          </w:p>
        </w:tc>
        <w:tc>
          <w:tcPr>
            <w:tcW w:w="1171" w:type="dxa"/>
            <w:vAlign w:val="center"/>
          </w:tcPr>
          <w:p>
            <w:pPr>
              <w:spacing w:line="24" w:lineRule="atLeast"/>
              <w:ind w:right="62"/>
              <w:jc w:val="center"/>
              <w:rPr>
                <w:rFonts w:hint="eastAsia" w:ascii="宋体" w:hAnsi="宋体" w:cs="宋体"/>
                <w:color w:val="000000"/>
                <w:sz w:val="24"/>
                <w:szCs w:val="24"/>
              </w:rPr>
            </w:pPr>
            <w:r>
              <w:rPr>
                <w:rFonts w:hint="eastAsia" w:ascii="宋体" w:hAnsi="宋体" w:cs="宋体"/>
                <w:color w:val="000000"/>
                <w:sz w:val="24"/>
                <w:szCs w:val="24"/>
              </w:rPr>
              <w:t>物业主管</w:t>
            </w:r>
          </w:p>
          <w:p>
            <w:pPr>
              <w:spacing w:line="24" w:lineRule="atLeast"/>
              <w:ind w:right="62"/>
              <w:jc w:val="center"/>
              <w:rPr>
                <w:rFonts w:ascii="宋体"/>
                <w:color w:val="000000"/>
                <w:spacing w:val="-4"/>
                <w:sz w:val="24"/>
                <w:szCs w:val="24"/>
              </w:rPr>
            </w:pPr>
            <w:r>
              <w:rPr>
                <w:rFonts w:hint="eastAsia" w:ascii="宋体" w:hAnsi="宋体" w:cs="宋体"/>
                <w:color w:val="000000"/>
                <w:sz w:val="24"/>
                <w:szCs w:val="24"/>
              </w:rPr>
              <w:t>（项目主管）</w:t>
            </w:r>
          </w:p>
        </w:tc>
        <w:tc>
          <w:tcPr>
            <w:tcW w:w="5526" w:type="dxa"/>
            <w:vAlign w:val="center"/>
          </w:tcPr>
          <w:p>
            <w:pPr>
              <w:spacing w:line="24" w:lineRule="atLeast"/>
              <w:ind w:right="62"/>
              <w:rPr>
                <w:rFonts w:hint="eastAsia" w:cs="宋体"/>
                <w:color w:val="000000"/>
                <w:sz w:val="24"/>
                <w:szCs w:val="24"/>
              </w:rPr>
            </w:pPr>
            <w:r>
              <w:rPr>
                <w:rFonts w:hint="eastAsia" w:ascii="宋体" w:hAnsi="宋体"/>
                <w:sz w:val="24"/>
                <w:szCs w:val="24"/>
              </w:rPr>
              <w:t>1.</w:t>
            </w:r>
            <w:r>
              <w:rPr>
                <w:rFonts w:hint="eastAsia" w:ascii="宋体" w:hAnsi="宋体" w:cs="宋体"/>
                <w:color w:val="000000"/>
                <w:sz w:val="24"/>
                <w:szCs w:val="24"/>
              </w:rPr>
              <w:t>物业主管</w:t>
            </w:r>
            <w:r>
              <w:rPr>
                <w:rFonts w:hint="eastAsia" w:ascii="宋体" w:hAnsi="宋体"/>
                <w:sz w:val="24"/>
                <w:szCs w:val="24"/>
              </w:rPr>
              <w:t>为</w:t>
            </w:r>
            <w:r>
              <w:rPr>
                <w:rFonts w:hint="eastAsia" w:cs="宋体"/>
                <w:color w:val="000000"/>
                <w:sz w:val="24"/>
                <w:szCs w:val="24"/>
              </w:rPr>
              <w:t>共产党员的，有1名得1分，满分2分；</w:t>
            </w:r>
          </w:p>
          <w:p>
            <w:pPr>
              <w:spacing w:line="24" w:lineRule="atLeast"/>
              <w:ind w:right="62"/>
              <w:rPr>
                <w:rFonts w:cs="宋体"/>
                <w:color w:val="000000"/>
                <w:sz w:val="24"/>
                <w:szCs w:val="24"/>
              </w:rPr>
            </w:pPr>
            <w:r>
              <w:rPr>
                <w:rFonts w:hint="eastAsia" w:ascii="宋体" w:hAnsi="宋体"/>
                <w:sz w:val="24"/>
                <w:szCs w:val="24"/>
              </w:rPr>
              <w:t>2.项目管理团队</w:t>
            </w:r>
            <w:r>
              <w:rPr>
                <w:rFonts w:hint="eastAsia" w:ascii="宋体" w:hAnsi="宋体" w:cs="宋体"/>
                <w:sz w:val="24"/>
                <w:szCs w:val="24"/>
              </w:rPr>
              <w:t>具有红十字救护员证的，</w:t>
            </w:r>
            <w:r>
              <w:rPr>
                <w:rFonts w:hint="eastAsia" w:ascii="宋体" w:hAnsi="宋体"/>
                <w:sz w:val="24"/>
                <w:szCs w:val="24"/>
              </w:rPr>
              <w:t>有一人得0.4分，满分2分。</w:t>
            </w:r>
          </w:p>
          <w:p>
            <w:pPr>
              <w:spacing w:line="24" w:lineRule="atLeast"/>
              <w:ind w:right="62"/>
              <w:rPr>
                <w:rFonts w:ascii="宋体"/>
                <w:color w:val="000000"/>
                <w:spacing w:val="1"/>
                <w:sz w:val="24"/>
                <w:szCs w:val="24"/>
              </w:rPr>
            </w:pPr>
            <w:r>
              <w:rPr>
                <w:rFonts w:hint="eastAsia" w:ascii="宋体" w:hAnsi="宋体" w:cs="宋体"/>
                <w:color w:val="000000"/>
                <w:sz w:val="24"/>
                <w:szCs w:val="24"/>
              </w:rPr>
              <w:t>3.具有三级（含）以上医</w:t>
            </w:r>
            <w:r>
              <w:rPr>
                <w:rFonts w:hint="eastAsia" w:ascii="宋体" w:hAnsi="宋体" w:cs="宋体"/>
                <w:sz w:val="24"/>
                <w:szCs w:val="24"/>
              </w:rPr>
              <w:t>院</w:t>
            </w:r>
            <w:r>
              <w:rPr>
                <w:rFonts w:ascii="宋体" w:hAnsi="宋体" w:cs="宋体"/>
                <w:sz w:val="24"/>
                <w:szCs w:val="24"/>
              </w:rPr>
              <w:t>2</w:t>
            </w:r>
            <w:r>
              <w:rPr>
                <w:rFonts w:hint="eastAsia" w:ascii="宋体" w:hAnsi="宋体" w:cs="宋体"/>
                <w:sz w:val="24"/>
                <w:szCs w:val="24"/>
              </w:rPr>
              <w:t>年以上物业主管管理经历的得</w:t>
            </w:r>
            <w:r>
              <w:rPr>
                <w:rFonts w:ascii="宋体" w:hAnsi="宋体" w:cs="宋体"/>
                <w:sz w:val="24"/>
                <w:szCs w:val="24"/>
              </w:rPr>
              <w:t>1</w:t>
            </w:r>
            <w:r>
              <w:rPr>
                <w:rFonts w:hint="eastAsia" w:ascii="宋体" w:hAnsi="宋体" w:cs="宋体"/>
                <w:sz w:val="24"/>
                <w:szCs w:val="24"/>
              </w:rPr>
              <w:t>分</w:t>
            </w:r>
            <w:r>
              <w:rPr>
                <w:rFonts w:ascii="宋体" w:hAnsi="宋体" w:cs="宋体"/>
                <w:sz w:val="24"/>
                <w:szCs w:val="24"/>
              </w:rPr>
              <w:t>/</w:t>
            </w:r>
            <w:r>
              <w:rPr>
                <w:rFonts w:hint="eastAsia" w:ascii="宋体" w:hAnsi="宋体" w:cs="宋体"/>
                <w:sz w:val="24"/>
                <w:szCs w:val="24"/>
              </w:rPr>
              <w:t>人，本项最高得5分</w:t>
            </w:r>
            <w:r>
              <w:rPr>
                <w:rFonts w:hint="eastAsia" w:ascii="宋体" w:hAnsi="宋体" w:cs="宋体"/>
                <w:color w:val="000000"/>
                <w:sz w:val="24"/>
                <w:szCs w:val="24"/>
              </w:rPr>
              <w:t>。</w:t>
            </w:r>
            <w:r>
              <w:rPr>
                <w:rFonts w:hint="eastAsia" w:ascii="宋体" w:hAnsi="宋体" w:cs="宋体"/>
                <w:color w:val="000000"/>
                <w:spacing w:val="-1"/>
                <w:sz w:val="24"/>
                <w:szCs w:val="24"/>
              </w:rPr>
              <w:t>按照采购人配置要求提供每位物业主管的管理经历证</w:t>
            </w:r>
            <w:r>
              <w:rPr>
                <w:rFonts w:hint="eastAsia" w:ascii="宋体" w:hAnsi="宋体" w:cs="宋体"/>
                <w:color w:val="000000"/>
                <w:sz w:val="24"/>
                <w:szCs w:val="24"/>
              </w:rPr>
              <w:t>明</w:t>
            </w:r>
            <w:r>
              <w:rPr>
                <w:rFonts w:hint="eastAsia" w:ascii="宋体" w:hAnsi="宋体" w:cs="宋体"/>
                <w:color w:val="000000"/>
                <w:spacing w:val="-1"/>
                <w:sz w:val="24"/>
                <w:szCs w:val="24"/>
              </w:rPr>
              <w:t>及供应商为其缴纳</w:t>
            </w:r>
            <w:r>
              <w:rPr>
                <w:rFonts w:ascii="宋体" w:hAnsi="宋体" w:cs="宋体"/>
                <w:color w:val="000000"/>
                <w:spacing w:val="-1"/>
                <w:sz w:val="24"/>
                <w:szCs w:val="24"/>
              </w:rPr>
              <w:t>2024</w:t>
            </w:r>
            <w:r>
              <w:rPr>
                <w:rFonts w:hint="eastAsia" w:ascii="宋体" w:hAnsi="宋体" w:cs="宋体"/>
                <w:color w:val="000000"/>
                <w:spacing w:val="-1"/>
                <w:sz w:val="24"/>
                <w:szCs w:val="24"/>
              </w:rPr>
              <w:t>年任意三个月的社保证明</w:t>
            </w:r>
            <w:r>
              <w:rPr>
                <w:rFonts w:hint="eastAsia" w:ascii="宋体" w:hAnsi="宋体" w:cs="宋体"/>
                <w:color w:val="000000"/>
                <w:sz w:val="24"/>
                <w:szCs w:val="24"/>
              </w:rPr>
              <w:t>资料；（项目管理经历可累计。提供物业</w:t>
            </w:r>
            <w:r>
              <w:rPr>
                <w:rFonts w:hint="eastAsia" w:ascii="宋体" w:hAnsi="宋体" w:cs="宋体"/>
                <w:color w:val="000000"/>
                <w:spacing w:val="-1"/>
                <w:sz w:val="24"/>
                <w:szCs w:val="24"/>
              </w:rPr>
              <w:t>主管红十字救护员</w:t>
            </w:r>
            <w:r>
              <w:rPr>
                <w:rFonts w:hint="eastAsia" w:ascii="宋体" w:hAnsi="宋体" w:cs="宋体"/>
                <w:color w:val="000000" w:themeColor="text1"/>
                <w:spacing w:val="-1"/>
                <w:sz w:val="24"/>
                <w:szCs w:val="24"/>
                <w14:textFill>
                  <w14:solidFill>
                    <w14:schemeClr w14:val="tx1"/>
                  </w14:solidFill>
                </w14:textFill>
              </w:rPr>
              <w:t>证复印件、党员证明、毕业证书、</w:t>
            </w:r>
            <w:r>
              <w:rPr>
                <w:rFonts w:hint="eastAsia" w:ascii="宋体" w:hAnsi="宋体" w:cs="宋体"/>
                <w:color w:val="000000"/>
                <w:spacing w:val="-1"/>
                <w:sz w:val="24"/>
                <w:szCs w:val="24"/>
              </w:rPr>
              <w:t>所服务单位盖章的任职证明、供应商为其缴纳</w:t>
            </w:r>
            <w:r>
              <w:rPr>
                <w:rFonts w:ascii="宋体" w:hAnsi="宋体" w:cs="宋体"/>
                <w:color w:val="000000"/>
                <w:spacing w:val="-1"/>
                <w:sz w:val="24"/>
                <w:szCs w:val="24"/>
              </w:rPr>
              <w:t>2024</w:t>
            </w:r>
            <w:r>
              <w:rPr>
                <w:rFonts w:hint="eastAsia" w:ascii="宋体" w:hAnsi="宋体" w:cs="宋体"/>
                <w:color w:val="000000"/>
                <w:spacing w:val="-1"/>
                <w:sz w:val="24"/>
                <w:szCs w:val="24"/>
              </w:rPr>
              <w:t>年任意三个月的社保证明。</w:t>
            </w:r>
            <w:r>
              <w:rPr>
                <w:rFonts w:hint="eastAsia" w:ascii="宋体" w:hAnsi="宋体" w:cs="宋体"/>
                <w:color w:val="000000"/>
                <w:sz w:val="24"/>
                <w:szCs w:val="24"/>
              </w:rPr>
              <w:t>上述材料加盖公章扫描上传）</w:t>
            </w:r>
          </w:p>
        </w:tc>
        <w:tc>
          <w:tcPr>
            <w:tcW w:w="588" w:type="dxa"/>
            <w:vAlign w:val="center"/>
          </w:tcPr>
          <w:p>
            <w:pPr>
              <w:spacing w:line="24" w:lineRule="atLeast"/>
              <w:ind w:right="62"/>
              <w:jc w:val="center"/>
              <w:rPr>
                <w:rFonts w:ascii="宋体"/>
                <w:color w:val="000000"/>
                <w:sz w:val="24"/>
                <w:szCs w:val="24"/>
              </w:rPr>
            </w:pPr>
            <w:r>
              <w:rPr>
                <w:rFonts w:hint="eastAsia" w:ascii="宋体" w:hAnsi="宋体" w:cs="宋体"/>
                <w:color w:val="000000"/>
                <w:sz w:val="24"/>
                <w:szCs w:val="24"/>
              </w:rPr>
              <w:t>9</w:t>
            </w:r>
          </w:p>
        </w:tc>
        <w:tc>
          <w:tcPr>
            <w:tcW w:w="771" w:type="dxa"/>
            <w:vAlign w:val="center"/>
          </w:tcPr>
          <w:p>
            <w:pPr>
              <w:spacing w:line="24" w:lineRule="atLeast"/>
              <w:ind w:right="62"/>
              <w:jc w:val="center"/>
              <w:rPr>
                <w:rFonts w:ascii="宋体"/>
                <w:color w:val="000000"/>
                <w:sz w:val="24"/>
                <w:szCs w:val="24"/>
              </w:rPr>
            </w:pPr>
            <w:r>
              <w:rPr>
                <w:rFonts w:hint="eastAsia" w:ascii="宋体" w:hAnsi="宋体" w:cs="宋体"/>
                <w:color w:val="000000"/>
                <w:spacing w:val="-6"/>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6" w:hRule="atLeast"/>
          <w:jc w:val="center"/>
        </w:trPr>
        <w:tc>
          <w:tcPr>
            <w:tcW w:w="857" w:type="dxa"/>
            <w:vAlign w:val="center"/>
          </w:tcPr>
          <w:p>
            <w:pPr>
              <w:spacing w:line="24" w:lineRule="atLeast"/>
              <w:ind w:right="62"/>
              <w:jc w:val="center"/>
              <w:rPr>
                <w:rFonts w:ascii="宋体" w:cs="宋体"/>
                <w:color w:val="000000"/>
                <w:spacing w:val="-2"/>
                <w:sz w:val="24"/>
                <w:szCs w:val="24"/>
              </w:rPr>
            </w:pPr>
            <w:r>
              <w:rPr>
                <w:rFonts w:ascii="宋体" w:hAnsi="宋体" w:cs="宋体"/>
                <w:color w:val="000000"/>
                <w:spacing w:val="-2"/>
                <w:sz w:val="24"/>
                <w:szCs w:val="24"/>
              </w:rPr>
              <w:t>4.6</w:t>
            </w:r>
          </w:p>
        </w:tc>
        <w:tc>
          <w:tcPr>
            <w:tcW w:w="1171" w:type="dxa"/>
            <w:vAlign w:val="center"/>
          </w:tcPr>
          <w:p>
            <w:pPr>
              <w:spacing w:line="24" w:lineRule="atLeast"/>
              <w:ind w:right="62"/>
              <w:jc w:val="center"/>
              <w:rPr>
                <w:rFonts w:ascii="宋体" w:cs="宋体"/>
                <w:color w:val="000000"/>
                <w:sz w:val="24"/>
                <w:szCs w:val="24"/>
              </w:rPr>
            </w:pPr>
            <w:r>
              <w:rPr>
                <w:rFonts w:hint="eastAsia" w:ascii="宋体" w:hAnsi="宋体" w:cs="宋体"/>
                <w:color w:val="000000"/>
                <w:sz w:val="24"/>
                <w:szCs w:val="24"/>
              </w:rPr>
              <w:t>后勤一站式中心及会务接待</w:t>
            </w:r>
          </w:p>
        </w:tc>
        <w:tc>
          <w:tcPr>
            <w:tcW w:w="5526" w:type="dxa"/>
            <w:vAlign w:val="center"/>
          </w:tcPr>
          <w:p>
            <w:pPr>
              <w:spacing w:line="24" w:lineRule="atLeast"/>
              <w:ind w:right="62"/>
              <w:rPr>
                <w:rFonts w:hint="eastAsia" w:ascii="宋体" w:hAnsi="宋体" w:cs="宋体"/>
                <w:sz w:val="24"/>
                <w:szCs w:val="24"/>
              </w:rPr>
            </w:pPr>
            <w:r>
              <w:rPr>
                <w:rFonts w:hint="eastAsia" w:ascii="宋体" w:hAnsi="宋体" w:cs="宋体"/>
                <w:sz w:val="24"/>
                <w:szCs w:val="24"/>
              </w:rPr>
              <w:t>具有酒店或旅游大专及以上专业，得2分</w:t>
            </w:r>
            <w:r>
              <w:rPr>
                <w:rFonts w:ascii="宋体" w:hAnsi="宋体" w:cs="宋体"/>
                <w:color w:val="000000"/>
                <w:sz w:val="24"/>
                <w:szCs w:val="24"/>
              </w:rPr>
              <w:t>/</w:t>
            </w:r>
            <w:r>
              <w:rPr>
                <w:rFonts w:hint="eastAsia" w:ascii="宋体" w:hAnsi="宋体" w:cs="宋体"/>
                <w:color w:val="000000"/>
                <w:sz w:val="24"/>
                <w:szCs w:val="24"/>
              </w:rPr>
              <w:t>人，最高2分</w:t>
            </w:r>
            <w:r>
              <w:rPr>
                <w:rFonts w:hint="eastAsia" w:ascii="宋体" w:hAnsi="宋体" w:cs="宋体"/>
                <w:sz w:val="24"/>
                <w:szCs w:val="24"/>
              </w:rPr>
              <w:t>；</w:t>
            </w:r>
          </w:p>
          <w:p>
            <w:pPr>
              <w:spacing w:line="24" w:lineRule="atLeast"/>
              <w:ind w:right="62"/>
              <w:rPr>
                <w:rFonts w:hint="eastAsia" w:ascii="宋体" w:hAnsi="宋体" w:cs="宋体"/>
                <w:sz w:val="24"/>
                <w:szCs w:val="24"/>
              </w:rPr>
            </w:pPr>
            <w:r>
              <w:rPr>
                <w:rFonts w:hint="eastAsia" w:ascii="宋体" w:hAnsi="宋体" w:cs="宋体"/>
                <w:sz w:val="24"/>
                <w:szCs w:val="24"/>
              </w:rPr>
              <w:t>具有3年及以上高端会务接待经验，得1分</w:t>
            </w:r>
            <w:r>
              <w:rPr>
                <w:rFonts w:ascii="宋体" w:hAnsi="宋体" w:cs="宋体"/>
                <w:color w:val="000000"/>
                <w:sz w:val="24"/>
                <w:szCs w:val="24"/>
              </w:rPr>
              <w:t>/</w:t>
            </w:r>
            <w:r>
              <w:rPr>
                <w:rFonts w:hint="eastAsia" w:ascii="宋体" w:hAnsi="宋体" w:cs="宋体"/>
                <w:color w:val="000000"/>
                <w:sz w:val="24"/>
                <w:szCs w:val="24"/>
              </w:rPr>
              <w:t>人，最高2分</w:t>
            </w:r>
            <w:r>
              <w:rPr>
                <w:rFonts w:hint="eastAsia" w:ascii="宋体" w:hAnsi="宋体" w:cs="宋体"/>
                <w:sz w:val="24"/>
                <w:szCs w:val="24"/>
              </w:rPr>
              <w:t>；</w:t>
            </w:r>
          </w:p>
          <w:p>
            <w:pPr>
              <w:spacing w:line="24" w:lineRule="atLeast"/>
              <w:ind w:right="62"/>
              <w:rPr>
                <w:rFonts w:ascii="宋体" w:cs="宋体"/>
                <w:color w:val="000000"/>
                <w:sz w:val="24"/>
                <w:szCs w:val="24"/>
              </w:rPr>
            </w:pPr>
            <w:r>
              <w:rPr>
                <w:rFonts w:hint="eastAsia" w:ascii="宋体" w:cs="宋体"/>
                <w:color w:val="000000"/>
                <w:sz w:val="24"/>
                <w:szCs w:val="24"/>
              </w:rPr>
              <w:t>备注：提供相关职称、学历、专业证书、合同、招标人出具的工作经验（业绩）证明、提供投标人为该人员开标日前近3个月缴纳社保的证明材料（</w:t>
            </w:r>
            <w:r>
              <w:rPr>
                <w:rFonts w:hint="eastAsia" w:ascii="宋体" w:hAnsi="宋体" w:cs="宋体"/>
                <w:color w:val="000000"/>
                <w:spacing w:val="-1"/>
                <w:sz w:val="24"/>
                <w:szCs w:val="24"/>
              </w:rPr>
              <w:t>供应商为其缴纳</w:t>
            </w:r>
            <w:r>
              <w:rPr>
                <w:rFonts w:ascii="宋体" w:hAnsi="宋体" w:cs="宋体"/>
                <w:color w:val="000000"/>
                <w:spacing w:val="-1"/>
                <w:sz w:val="24"/>
                <w:szCs w:val="24"/>
              </w:rPr>
              <w:t>2024</w:t>
            </w:r>
            <w:r>
              <w:rPr>
                <w:rFonts w:hint="eastAsia" w:ascii="宋体" w:hAnsi="宋体" w:cs="宋体"/>
                <w:color w:val="000000"/>
                <w:spacing w:val="-1"/>
                <w:sz w:val="24"/>
                <w:szCs w:val="24"/>
              </w:rPr>
              <w:t>年任意三个月的社保证明</w:t>
            </w:r>
            <w:r>
              <w:rPr>
                <w:rFonts w:hint="eastAsia" w:ascii="宋体" w:cs="宋体"/>
                <w:color w:val="000000"/>
                <w:sz w:val="24"/>
                <w:szCs w:val="24"/>
              </w:rPr>
              <w:t>），</w:t>
            </w:r>
            <w:r>
              <w:rPr>
                <w:rFonts w:hint="eastAsia" w:ascii="宋体" w:hAnsi="宋体" w:cs="宋体"/>
                <w:color w:val="000000"/>
                <w:sz w:val="24"/>
                <w:szCs w:val="24"/>
              </w:rPr>
              <w:t>上述材料加盖公章扫描上传</w:t>
            </w:r>
            <w:r>
              <w:rPr>
                <w:rFonts w:hint="eastAsia" w:ascii="宋体" w:cs="宋体"/>
                <w:color w:val="000000"/>
                <w:sz w:val="24"/>
                <w:szCs w:val="24"/>
              </w:rPr>
              <w:t>。</w:t>
            </w:r>
          </w:p>
        </w:tc>
        <w:tc>
          <w:tcPr>
            <w:tcW w:w="588" w:type="dxa"/>
            <w:vAlign w:val="center"/>
          </w:tcPr>
          <w:p>
            <w:pPr>
              <w:spacing w:line="24" w:lineRule="atLeast"/>
              <w:ind w:right="62"/>
              <w:jc w:val="center"/>
              <w:rPr>
                <w:rFonts w:ascii="宋体" w:cs="宋体"/>
                <w:color w:val="000000"/>
                <w:sz w:val="24"/>
                <w:szCs w:val="24"/>
              </w:rPr>
            </w:pPr>
            <w:r>
              <w:rPr>
                <w:rFonts w:hint="eastAsia" w:ascii="宋体" w:hAnsi="宋体" w:cs="宋体"/>
                <w:color w:val="000000"/>
                <w:sz w:val="24"/>
                <w:szCs w:val="24"/>
              </w:rPr>
              <w:t>4</w:t>
            </w:r>
          </w:p>
        </w:tc>
        <w:tc>
          <w:tcPr>
            <w:tcW w:w="771" w:type="dxa"/>
            <w:vAlign w:val="center"/>
          </w:tcPr>
          <w:p>
            <w:pPr>
              <w:spacing w:line="24" w:lineRule="atLeast"/>
              <w:ind w:right="62"/>
              <w:jc w:val="center"/>
              <w:rPr>
                <w:rFonts w:ascii="宋体" w:cs="宋体"/>
                <w:color w:val="000000"/>
                <w:spacing w:val="-6"/>
                <w:sz w:val="24"/>
                <w:szCs w:val="24"/>
              </w:rPr>
            </w:pPr>
            <w:r>
              <w:rPr>
                <w:rFonts w:hint="eastAsia" w:ascii="宋体" w:hAnsi="宋体" w:cs="宋体"/>
                <w:color w:val="000000"/>
                <w:spacing w:val="-6"/>
                <w:sz w:val="24"/>
                <w:szCs w:val="24"/>
              </w:rPr>
              <w:t>客观分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jc w:val="center"/>
        </w:trPr>
        <w:tc>
          <w:tcPr>
            <w:tcW w:w="857" w:type="dxa"/>
            <w:vAlign w:val="center"/>
          </w:tcPr>
          <w:p>
            <w:pPr>
              <w:spacing w:line="24" w:lineRule="atLeast"/>
              <w:ind w:right="62"/>
              <w:rPr>
                <w:rFonts w:ascii="宋体"/>
                <w:color w:val="000000"/>
                <w:sz w:val="24"/>
                <w:szCs w:val="24"/>
              </w:rPr>
            </w:pPr>
            <w:r>
              <w:rPr>
                <w:rFonts w:hint="eastAsia" w:ascii="宋体" w:hAnsi="宋体" w:cs="宋体"/>
                <w:color w:val="000000"/>
                <w:spacing w:val="-3"/>
                <w:sz w:val="24"/>
                <w:szCs w:val="24"/>
              </w:rPr>
              <w:t>合</w:t>
            </w:r>
            <w:r>
              <w:rPr>
                <w:rFonts w:hint="eastAsia" w:ascii="宋体" w:hAnsi="宋体" w:cs="宋体"/>
                <w:color w:val="000000"/>
                <w:spacing w:val="-2"/>
                <w:sz w:val="24"/>
                <w:szCs w:val="24"/>
              </w:rPr>
              <w:t>计</w:t>
            </w:r>
          </w:p>
        </w:tc>
        <w:tc>
          <w:tcPr>
            <w:tcW w:w="6697" w:type="dxa"/>
            <w:gridSpan w:val="2"/>
            <w:vAlign w:val="center"/>
          </w:tcPr>
          <w:p>
            <w:pPr>
              <w:spacing w:line="24" w:lineRule="atLeast"/>
              <w:ind w:right="62" w:firstLine="472"/>
              <w:jc w:val="center"/>
              <w:rPr>
                <w:rFonts w:ascii="宋体"/>
                <w:color w:val="000000"/>
                <w:spacing w:val="-2"/>
                <w:sz w:val="24"/>
                <w:szCs w:val="24"/>
              </w:rPr>
            </w:pPr>
          </w:p>
        </w:tc>
        <w:tc>
          <w:tcPr>
            <w:tcW w:w="1359" w:type="dxa"/>
            <w:gridSpan w:val="2"/>
            <w:vAlign w:val="center"/>
          </w:tcPr>
          <w:p>
            <w:pPr>
              <w:spacing w:line="24" w:lineRule="atLeast"/>
              <w:ind w:right="62" w:firstLine="436"/>
              <w:jc w:val="center"/>
              <w:rPr>
                <w:rFonts w:ascii="宋体"/>
                <w:color w:val="000000"/>
                <w:sz w:val="24"/>
                <w:szCs w:val="24"/>
              </w:rPr>
            </w:pPr>
            <w:r>
              <w:rPr>
                <w:rFonts w:ascii="宋体" w:hAnsi="宋体" w:cs="宋体"/>
                <w:color w:val="000000"/>
                <w:spacing w:val="-11"/>
                <w:sz w:val="24"/>
                <w:szCs w:val="24"/>
              </w:rPr>
              <w:t>100</w:t>
            </w:r>
            <w:r>
              <w:rPr>
                <w:rFonts w:hint="eastAsia" w:ascii="宋体" w:hAnsi="宋体" w:cs="宋体"/>
                <w:color w:val="000000"/>
                <w:spacing w:val="-11"/>
                <w:sz w:val="24"/>
                <w:szCs w:val="24"/>
              </w:rPr>
              <w:t>分</w:t>
            </w:r>
          </w:p>
        </w:tc>
      </w:tr>
    </w:tbl>
    <w:p>
      <w:pPr>
        <w:pStyle w:val="90"/>
        <w:spacing w:before="0" w:after="0"/>
        <w:ind w:right="62" w:firstLine="482"/>
        <w:rPr>
          <w:rFonts w:ascii="宋体" w:hAnsi="宋体" w:cs="宋体"/>
          <w:b/>
          <w:kern w:val="2"/>
        </w:rPr>
      </w:pPr>
    </w:p>
    <w:p>
      <w:pPr>
        <w:spacing w:line="360" w:lineRule="auto"/>
        <w:ind w:right="62" w:firstLine="360"/>
        <w:rPr>
          <w:sz w:val="18"/>
          <w:szCs w:val="18"/>
        </w:rPr>
      </w:pPr>
    </w:p>
    <w:p>
      <w:pPr>
        <w:pStyle w:val="90"/>
        <w:ind w:right="62" w:firstLine="361"/>
        <w:rPr>
          <w:rFonts w:hint="eastAsia" w:ascii="宋体" w:hAnsi="宋体" w:cs="宋体"/>
          <w:b/>
          <w:kern w:val="2"/>
          <w:sz w:val="18"/>
          <w:szCs w:val="18"/>
        </w:rPr>
        <w:sectPr>
          <w:headerReference r:id="rId3" w:type="default"/>
          <w:footerReference r:id="rId4" w:type="default"/>
          <w:pgSz w:w="11906" w:h="16838"/>
          <w:pgMar w:top="1134" w:right="1304" w:bottom="851" w:left="1304" w:header="851" w:footer="992" w:gutter="0"/>
          <w:cols w:space="720" w:num="1"/>
          <w:docGrid w:type="lines" w:linePitch="312" w:charSpace="0"/>
        </w:sectPr>
      </w:pPr>
    </w:p>
    <w:bookmarkEnd w:id="24"/>
    <w:p>
      <w:pPr>
        <w:pStyle w:val="142"/>
        <w:ind w:right="62" w:firstLine="482"/>
        <w:rPr>
          <w:rFonts w:hint="eastAsia"/>
        </w:rPr>
      </w:pPr>
      <w:r>
        <w:rPr>
          <w:rFonts w:hint="eastAsia"/>
        </w:rPr>
        <w:t>二、分项报价表</w:t>
      </w:r>
    </w:p>
    <w:p>
      <w:pPr>
        <w:pStyle w:val="3"/>
        <w:numPr>
          <w:ilvl w:val="1"/>
          <w:numId w:val="0"/>
        </w:numPr>
        <w:spacing w:before="312" w:after="312" w:line="360" w:lineRule="auto"/>
        <w:ind w:right="62" w:firstLine="2891" w:firstLineChars="900"/>
        <w:jc w:val="both"/>
        <w:rPr>
          <w:rFonts w:eastAsia="仿宋_GB2312"/>
          <w:sz w:val="24"/>
          <w:szCs w:val="20"/>
        </w:rPr>
      </w:pPr>
      <w:r>
        <w:rPr>
          <w:rFonts w:hint="eastAsia" w:ascii="宋体" w:hAnsi="宋体"/>
          <w:sz w:val="32"/>
          <w:szCs w:val="32"/>
        </w:rPr>
        <w:t>开标一览表</w:t>
      </w:r>
    </w:p>
    <w:p>
      <w:pPr>
        <w:spacing w:line="360" w:lineRule="auto"/>
        <w:ind w:right="62" w:firstLine="480"/>
        <w:rPr>
          <w:szCs w:val="21"/>
        </w:rPr>
      </w:pPr>
      <w:r>
        <w:rPr>
          <w:rFonts w:hint="eastAsia" w:ascii="宋体" w:hAnsi="宋体"/>
          <w:szCs w:val="21"/>
        </w:rPr>
        <w:t>项目名称：</w:t>
      </w:r>
    </w:p>
    <w:p>
      <w:pPr>
        <w:spacing w:line="360" w:lineRule="auto"/>
        <w:ind w:right="62" w:firstLine="480"/>
        <w:rPr>
          <w:rFonts w:hint="eastAsia" w:ascii="宋体" w:hAnsi="宋体"/>
          <w:szCs w:val="21"/>
        </w:rPr>
      </w:pPr>
      <w:r>
        <w:rPr>
          <w:rFonts w:hint="eastAsia" w:ascii="宋体" w:hAnsi="宋体"/>
          <w:szCs w:val="21"/>
        </w:rPr>
        <w:t>项目编号：</w:t>
      </w:r>
    </w:p>
    <w:p>
      <w:pPr>
        <w:spacing w:line="360" w:lineRule="auto"/>
        <w:ind w:right="62" w:firstLine="480"/>
        <w:rPr>
          <w:rFonts w:hint="eastAsia" w:ascii="宋体" w:hAnsi="宋体"/>
          <w:szCs w:val="21"/>
        </w:rPr>
      </w:pPr>
      <w:r>
        <w:rPr>
          <w:rFonts w:hint="eastAsia" w:ascii="宋体" w:hAnsi="宋体"/>
          <w:szCs w:val="21"/>
        </w:rPr>
        <w:t xml:space="preserve">分包号(如有)： </w:t>
      </w:r>
    </w:p>
    <w:p>
      <w:pPr>
        <w:ind w:right="62" w:firstLine="480"/>
        <w:rPr>
          <w:rFonts w:hint="eastAsia" w:ascii="宋体" w:hAnsi="宋体"/>
          <w:szCs w:val="21"/>
        </w:rPr>
      </w:pPr>
      <w:r>
        <w:rPr>
          <w:rFonts w:hint="eastAsia" w:ascii="宋体" w:hAnsi="宋体"/>
          <w:szCs w:val="21"/>
        </w:rPr>
        <w:t xml:space="preserve">                       </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15"/>
              <w:adjustRightInd w:val="0"/>
              <w:snapToGrid w:val="0"/>
              <w:spacing w:line="300" w:lineRule="auto"/>
              <w:ind w:right="62"/>
              <w:rPr>
                <w:rFonts w:hint="eastAsia" w:ascii="宋体" w:hAnsi="宋体" w:eastAsia="宋体" w:cs="宋体"/>
                <w:sz w:val="21"/>
                <w:szCs w:val="21"/>
              </w:rPr>
            </w:pPr>
            <w:r>
              <w:rPr>
                <w:rFonts w:hint="eastAsia" w:ascii="宋体" w:hAnsi="宋体" w:eastAsia="宋体" w:cs="宋体"/>
                <w:sz w:val="21"/>
                <w:szCs w:val="21"/>
              </w:rPr>
              <w:t>投标服务或产品名称</w:t>
            </w:r>
          </w:p>
        </w:tc>
        <w:tc>
          <w:tcPr>
            <w:tcW w:w="6405" w:type="dxa"/>
            <w:vAlign w:val="center"/>
          </w:tcPr>
          <w:p>
            <w:pPr>
              <w:ind w:right="62"/>
              <w:rPr>
                <w:rFonts w:hint="eastAsia" w:ascii="宋体" w:hAnsi="宋体"/>
                <w:szCs w:val="21"/>
              </w:rPr>
            </w:pPr>
            <w:r>
              <w:rPr>
                <w:rFonts w:hint="eastAsia" w:ascii="宋体" w:hAnsi="宋体" w:cs="宋体"/>
                <w:szCs w:val="21"/>
              </w:rPr>
              <w:t xml:space="preserve">                      </w:t>
            </w: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15"/>
              <w:adjustRightInd w:val="0"/>
              <w:snapToGrid w:val="0"/>
              <w:spacing w:line="300" w:lineRule="auto"/>
              <w:ind w:right="62" w:firstLine="420"/>
              <w:rPr>
                <w:rFonts w:hint="eastAsia" w:ascii="宋体" w:hAnsi="宋体" w:eastAsia="宋体" w:cs="宋体"/>
                <w:sz w:val="21"/>
                <w:szCs w:val="21"/>
              </w:rPr>
            </w:pPr>
          </w:p>
        </w:tc>
        <w:tc>
          <w:tcPr>
            <w:tcW w:w="6405" w:type="dxa"/>
            <w:vAlign w:val="center"/>
          </w:tcPr>
          <w:p>
            <w:pPr>
              <w:pStyle w:val="90"/>
              <w:spacing w:before="0" w:after="0" w:line="500" w:lineRule="exact"/>
              <w:ind w:right="62" w:firstLine="420"/>
              <w:rPr>
                <w:rFonts w:hint="eastAsia" w:ascii="宋体" w:hAnsi="宋体" w:cs="宋体"/>
                <w:sz w:val="21"/>
                <w:szCs w:val="21"/>
              </w:rPr>
            </w:pPr>
            <w:r>
              <w:rPr>
                <w:rFonts w:hint="eastAsia" w:ascii="宋体" w:hAnsi="宋体" w:cs="宋体"/>
                <w:sz w:val="21"/>
                <w:szCs w:val="21"/>
              </w:rPr>
              <w:t>大写：                             （人民币：元）</w:t>
            </w:r>
          </w:p>
          <w:p>
            <w:pPr>
              <w:pStyle w:val="90"/>
              <w:spacing w:before="0" w:after="0" w:line="500" w:lineRule="exact"/>
              <w:ind w:right="62" w:firstLine="420"/>
              <w:rPr>
                <w:rFonts w:hint="eastAsia" w:ascii="宋体" w:hAnsi="宋体" w:cs="宋体"/>
                <w:sz w:val="21"/>
                <w:szCs w:val="21"/>
              </w:rPr>
            </w:pPr>
            <w:r>
              <w:rPr>
                <w:rFonts w:hint="eastAsia" w:ascii="宋体" w:hAnsi="宋体" w:cs="宋体"/>
                <w:sz w:val="21"/>
                <w:szCs w:val="21"/>
              </w:rPr>
              <w:t>小写：</w:t>
            </w:r>
          </w:p>
        </w:tc>
      </w:tr>
    </w:tbl>
    <w:p>
      <w:pPr>
        <w:ind w:right="62"/>
        <w:rPr>
          <w:rFonts w:hint="eastAsia" w:ascii="宋体" w:hAnsi="宋体"/>
          <w:szCs w:val="21"/>
        </w:rPr>
      </w:pPr>
    </w:p>
    <w:p>
      <w:pPr>
        <w:ind w:right="62" w:firstLine="480"/>
        <w:rPr>
          <w:rFonts w:hint="eastAsia" w:ascii="宋体" w:hAnsi="宋体"/>
          <w:szCs w:val="21"/>
        </w:rPr>
      </w:pPr>
      <w:r>
        <w:rPr>
          <w:rFonts w:hint="eastAsia" w:ascii="宋体" w:hAnsi="宋体"/>
          <w:szCs w:val="21"/>
        </w:rPr>
        <w:t xml:space="preserve">                                              日期：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right="62"/>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pStyle w:val="15"/>
        <w:ind w:right="62"/>
        <w:rPr>
          <w:rFonts w:hint="eastAsia" w:ascii="仿宋" w:hAnsi="仿宋" w:eastAsia="仿宋" w:cs="宋体"/>
          <w:i/>
          <w:iCs/>
          <w:color w:val="FF0000"/>
          <w:sz w:val="24"/>
          <w:szCs w:val="24"/>
          <w:u w:val="single"/>
        </w:rPr>
      </w:pPr>
    </w:p>
    <w:p>
      <w:pPr>
        <w:spacing w:line="360" w:lineRule="auto"/>
        <w:ind w:right="62" w:firstLine="480"/>
        <w:rPr>
          <w:rFonts w:ascii="宋体" w:hAnsi="宋体" w:cs="宋体"/>
        </w:rPr>
      </w:pPr>
    </w:p>
    <w:tbl>
      <w:tblPr>
        <w:tblStyle w:val="30"/>
        <w:tblpPr w:leftFromText="180" w:rightFromText="180" w:vertAnchor="text" w:horzAnchor="page" w:tblpX="1131" w:tblpY="217"/>
        <w:tblOverlap w:val="never"/>
        <w:tblW w:w="8920" w:type="dxa"/>
        <w:tblInd w:w="0" w:type="dxa"/>
        <w:tblLayout w:type="fixed"/>
        <w:tblCellMar>
          <w:top w:w="0" w:type="dxa"/>
          <w:left w:w="108" w:type="dxa"/>
          <w:bottom w:w="0" w:type="dxa"/>
          <w:right w:w="108" w:type="dxa"/>
        </w:tblCellMar>
      </w:tblPr>
      <w:tblGrid>
        <w:gridCol w:w="608"/>
        <w:gridCol w:w="2196"/>
        <w:gridCol w:w="1786"/>
        <w:gridCol w:w="722"/>
        <w:gridCol w:w="1143"/>
        <w:gridCol w:w="1266"/>
        <w:gridCol w:w="1199"/>
      </w:tblGrid>
      <w:tr>
        <w:tblPrEx>
          <w:tblCellMar>
            <w:top w:w="0" w:type="dxa"/>
            <w:left w:w="108" w:type="dxa"/>
            <w:bottom w:w="0" w:type="dxa"/>
            <w:right w:w="108" w:type="dxa"/>
          </w:tblCellMar>
        </w:tblPrEx>
        <w:trPr>
          <w:trHeight w:val="991" w:hRule="atLeast"/>
        </w:trPr>
        <w:tc>
          <w:tcPr>
            <w:tcW w:w="8920" w:type="dxa"/>
            <w:gridSpan w:val="7"/>
            <w:tcBorders>
              <w:top w:val="nil"/>
              <w:left w:val="nil"/>
              <w:bottom w:val="nil"/>
              <w:right w:val="nil"/>
            </w:tcBorders>
            <w:shd w:val="clear" w:color="auto" w:fill="auto"/>
            <w:noWrap/>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分项报价表</w:t>
            </w:r>
          </w:p>
        </w:tc>
      </w:tr>
      <w:tr>
        <w:tblPrEx>
          <w:tblCellMar>
            <w:top w:w="0" w:type="dxa"/>
            <w:left w:w="108" w:type="dxa"/>
            <w:bottom w:w="0" w:type="dxa"/>
            <w:right w:w="108" w:type="dxa"/>
          </w:tblCellMar>
        </w:tblPrEx>
        <w:trPr>
          <w:trHeight w:val="69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序号</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费 用 名 称</w:t>
            </w:r>
          </w:p>
        </w:tc>
        <w:tc>
          <w:tcPr>
            <w:tcW w:w="178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费用组成  （元/月）</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人数 （人）</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标准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（元/月/人）</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20" w:firstLineChars="100"/>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金额     （月/元）</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备     注</w:t>
            </w:r>
          </w:p>
        </w:tc>
      </w:tr>
      <w:tr>
        <w:tblPrEx>
          <w:tblCellMar>
            <w:top w:w="0" w:type="dxa"/>
            <w:left w:w="108" w:type="dxa"/>
            <w:bottom w:w="0" w:type="dxa"/>
            <w:right w:w="108" w:type="dxa"/>
          </w:tblCellMar>
        </w:tblPrEx>
        <w:trPr>
          <w:trHeight w:val="561"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测算依据</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 xml:space="preserve">标准×人数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一级岗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项目经理</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11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二级岗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项目主管</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会务和调度</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四级岗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CU辅助</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24"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医疗废弃、生活垃圾、太平间管理人员</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手术室</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专项保洁</w:t>
            </w:r>
            <w:r>
              <w:rPr>
                <w:rFonts w:ascii="宋体" w:hAnsi="宋体" w:cs="宋体"/>
                <w:color w:val="000000"/>
                <w:kern w:val="0"/>
                <w:sz w:val="24"/>
                <w:szCs w:val="24"/>
                <w:lang w:bidi="ar"/>
              </w:rPr>
              <w:br w:type="textWrapping"/>
            </w:r>
            <w:r>
              <w:rPr>
                <w:rFonts w:hint="eastAsia" w:ascii="宋体" w:hAnsi="宋体" w:cs="宋体"/>
                <w:color w:val="000000"/>
                <w:kern w:val="0"/>
                <w:sz w:val="24"/>
                <w:szCs w:val="24"/>
                <w:lang w:bidi="ar"/>
              </w:rPr>
              <w:t>（含洗地、搬迁等）</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五级岗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电梯服务人员</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绿色通道</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担架工</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保洁运送</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275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宿管</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FF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13</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外环人员</w:t>
            </w:r>
          </w:p>
        </w:tc>
        <w:tc>
          <w:tcPr>
            <w:tcW w:w="72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FF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月工资小计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序号1-14小计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FF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法定社会保险</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不低于80%</w:t>
            </w: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医疗保险</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不低于80%</w:t>
            </w: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不低于5%</w:t>
            </w: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意外保险</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夜餐费</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员工福利</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高温费</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法定假日加班</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设备器材折旧及摊销</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22"/>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22"/>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69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易耗材                                                                                                                                                                                                           （保洁工具、药剂等）</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服装费</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夏、冬季各两套</w:t>
            </w:r>
          </w:p>
        </w:tc>
      </w:tr>
      <w:tr>
        <w:tblPrEx>
          <w:tblCellMar>
            <w:top w:w="0" w:type="dxa"/>
            <w:left w:w="108" w:type="dxa"/>
            <w:bottom w:w="0" w:type="dxa"/>
            <w:right w:w="108" w:type="dxa"/>
          </w:tblCellMar>
        </w:tblPrEx>
        <w:trPr>
          <w:trHeight w:val="716"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 xml:space="preserve">病媒生物防制                                                                                                                                                                                                         </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园林绿化</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r>
              <w:rPr>
                <w:rFonts w:hint="eastAsia" w:ascii="宋体" w:hAnsi="宋体" w:cs="宋体"/>
                <w:color w:val="000000"/>
                <w:sz w:val="20"/>
                <w:szCs w:val="20"/>
              </w:rPr>
              <w:t>人员不计入本项目中，需符合绿化需求</w:t>
            </w: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其他费用</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2"/>
                <w:lang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管理费</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0"/>
                <w:szCs w:val="20"/>
                <w:lang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  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61"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2"/>
                <w:lang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月费用合计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572" w:hRule="atLeast"/>
        </w:trPr>
        <w:tc>
          <w:tcPr>
            <w:tcW w:w="60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年费用合计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r>
    </w:tbl>
    <w:p>
      <w:pPr>
        <w:pStyle w:val="15"/>
        <w:ind w:firstLine="480"/>
        <w:rPr>
          <w:rFonts w:hint="eastAsia" w:ascii="仿宋" w:hAnsi="仿宋" w:eastAsia="仿宋" w:cs="宋体"/>
          <w:i/>
          <w:iCs/>
          <w:color w:val="FF0000"/>
          <w:sz w:val="24"/>
          <w:szCs w:val="24"/>
          <w:u w:val="single"/>
        </w:rPr>
      </w:pPr>
    </w:p>
    <w:p>
      <w:pPr>
        <w:pStyle w:val="15"/>
        <w:ind w:firstLine="480"/>
        <w:rPr>
          <w:rFonts w:ascii="宋体" w:hAnsi="宋体" w:cs="宋体"/>
        </w:rPr>
      </w:pPr>
      <w:r>
        <w:rPr>
          <w:rFonts w:hint="eastAsia" w:ascii="仿宋" w:hAnsi="仿宋" w:eastAsia="仿宋" w:cs="宋体"/>
          <w:i/>
          <w:iCs/>
          <w:color w:val="FF0000"/>
          <w:sz w:val="24"/>
          <w:szCs w:val="24"/>
          <w:u w:val="single"/>
        </w:rPr>
        <w:t>备注：分项报价表中已注明的“费用名称、人员数量”这两列的只可增加但不可减少。</w:t>
      </w:r>
    </w:p>
    <w:p>
      <w:pPr>
        <w:spacing w:line="360" w:lineRule="auto"/>
        <w:ind w:right="62" w:firstLine="480"/>
        <w:rPr>
          <w:rFonts w:hint="eastAsia" w:ascii="宋体" w:hAnsi="宋体" w:cs="宋体"/>
        </w:rPr>
      </w:pPr>
      <w:r>
        <w:rPr>
          <w:rFonts w:hint="eastAsia" w:ascii="宋体" w:hAnsi="宋体" w:cs="宋体"/>
        </w:rPr>
        <w:t>日期：    年   月   日</w:t>
      </w:r>
    </w:p>
    <w:p>
      <w:pPr>
        <w:spacing w:line="360" w:lineRule="auto"/>
        <w:ind w:right="62" w:firstLine="482"/>
        <w:rPr>
          <w:rFonts w:hint="eastAsia" w:ascii="宋体" w:hAnsi="宋体" w:cs="宋体"/>
          <w:b/>
          <w:bCs/>
          <w:szCs w:val="21"/>
        </w:rPr>
      </w:pPr>
      <w:r>
        <w:rPr>
          <w:rFonts w:hint="eastAsia" w:ascii="宋体" w:hAnsi="宋体" w:cs="宋体"/>
          <w:b/>
          <w:bCs/>
          <w:szCs w:val="21"/>
        </w:rPr>
        <w:t>备注：</w:t>
      </w:r>
    </w:p>
    <w:p>
      <w:pPr>
        <w:widowControl/>
        <w:numPr>
          <w:ilvl w:val="0"/>
          <w:numId w:val="15"/>
        </w:numPr>
        <w:spacing w:line="360" w:lineRule="auto"/>
        <w:ind w:right="62" w:firstLine="482"/>
        <w:jc w:val="left"/>
        <w:rPr>
          <w:rFonts w:hint="eastAsia" w:ascii="宋体" w:hAnsi="宋体" w:cs="宋体"/>
          <w:b/>
          <w:bCs/>
          <w:i/>
          <w:szCs w:val="21"/>
          <w:u w:val="single"/>
        </w:rPr>
      </w:pPr>
      <w:r>
        <w:rPr>
          <w:rFonts w:hint="eastAsia" w:ascii="宋体" w:hAnsi="宋体" w:cs="宋体"/>
          <w:b/>
          <w:bCs/>
          <w:i/>
          <w:szCs w:val="21"/>
          <w:u w:val="single"/>
        </w:rPr>
        <w:t>投标报价时，人员工资低于扬州市区最低工资标准及未依法测算缴纳社会保险、医疗保险、住房公积金、税金的作无效报价，低于项目需求中所列最低工资标准同样做无效报价处理。</w:t>
      </w:r>
    </w:p>
    <w:p>
      <w:pPr>
        <w:widowControl/>
        <w:numPr>
          <w:ilvl w:val="0"/>
          <w:numId w:val="15"/>
        </w:numPr>
        <w:spacing w:line="360" w:lineRule="auto"/>
        <w:ind w:right="62" w:firstLine="482"/>
        <w:jc w:val="left"/>
        <w:rPr>
          <w:rFonts w:hint="eastAsia" w:ascii="宋体" w:hAnsi="宋体" w:cs="宋体"/>
          <w:b/>
          <w:bCs/>
          <w:i/>
          <w:szCs w:val="21"/>
          <w:u w:val="single"/>
        </w:rPr>
      </w:pPr>
      <w:r>
        <w:rPr>
          <w:rFonts w:hint="eastAsia" w:ascii="宋体" w:hAnsi="宋体" w:cs="宋体"/>
          <w:b/>
          <w:bCs/>
          <w:i/>
          <w:szCs w:val="21"/>
          <w:u w:val="single"/>
        </w:rPr>
        <w:t>分项报价表中（除其他费用可自行添加外）列明的项目不可修改。</w:t>
      </w:r>
    </w:p>
    <w:p>
      <w:pPr>
        <w:widowControl/>
        <w:numPr>
          <w:ilvl w:val="0"/>
          <w:numId w:val="15"/>
        </w:numPr>
        <w:spacing w:line="360" w:lineRule="auto"/>
        <w:ind w:right="62" w:firstLine="482"/>
        <w:jc w:val="left"/>
        <w:rPr>
          <w:rFonts w:hint="eastAsia" w:ascii="宋体" w:hAnsi="宋体" w:cs="宋体"/>
          <w:i/>
        </w:rPr>
      </w:pPr>
      <w:r>
        <w:rPr>
          <w:rFonts w:hint="eastAsia" w:ascii="宋体" w:hAnsi="宋体" w:cs="宋体"/>
          <w:b/>
          <w:bCs/>
          <w:i/>
          <w:szCs w:val="21"/>
          <w:u w:val="single"/>
        </w:rPr>
        <w:t>分项报价表中已注明的“数量”这一列的具体数字只可适当增加但不可减少。</w:t>
      </w:r>
    </w:p>
    <w:p>
      <w:pPr>
        <w:widowControl/>
        <w:numPr>
          <w:ilvl w:val="0"/>
          <w:numId w:val="15"/>
        </w:numPr>
        <w:spacing w:line="360" w:lineRule="auto"/>
        <w:ind w:right="62" w:firstLine="482"/>
        <w:jc w:val="left"/>
        <w:rPr>
          <w:rFonts w:hint="eastAsia" w:ascii="宋体" w:hAnsi="宋体" w:cs="宋体"/>
          <w:b/>
          <w:bCs/>
          <w:i/>
          <w:szCs w:val="21"/>
          <w:u w:val="single"/>
        </w:rPr>
      </w:pPr>
      <w:r>
        <w:rPr>
          <w:rFonts w:hint="eastAsia" w:ascii="宋体" w:hAnsi="宋体" w:cs="宋体"/>
          <w:b/>
          <w:bCs/>
          <w:i/>
          <w:szCs w:val="21"/>
          <w:u w:val="single"/>
        </w:rPr>
        <w:t>分项报价表严禁总价让利。</w:t>
      </w:r>
    </w:p>
    <w:p>
      <w:pPr>
        <w:widowControl/>
        <w:numPr>
          <w:ilvl w:val="0"/>
          <w:numId w:val="15"/>
        </w:numPr>
        <w:spacing w:line="360" w:lineRule="auto"/>
        <w:ind w:right="62" w:firstLine="482"/>
        <w:jc w:val="left"/>
        <w:rPr>
          <w:rFonts w:hint="eastAsia" w:ascii="宋体" w:hAnsi="宋体" w:cs="宋体"/>
          <w:b/>
          <w:bCs/>
          <w:i/>
          <w:szCs w:val="21"/>
          <w:u w:val="single"/>
        </w:rPr>
      </w:pPr>
      <w:r>
        <w:rPr>
          <w:rFonts w:hint="eastAsia" w:ascii="宋体" w:hAnsi="宋体" w:cs="宋体"/>
          <w:b/>
          <w:bCs/>
          <w:i/>
          <w:szCs w:val="21"/>
          <w:u w:val="single"/>
        </w:rPr>
        <w:t>分项报价表中所列明的项目不接受赠送。</w:t>
      </w:r>
    </w:p>
    <w:p>
      <w:pPr>
        <w:widowControl/>
        <w:numPr>
          <w:ilvl w:val="0"/>
          <w:numId w:val="15"/>
        </w:numPr>
        <w:spacing w:line="360" w:lineRule="auto"/>
        <w:ind w:right="62" w:firstLine="482"/>
        <w:jc w:val="left"/>
        <w:rPr>
          <w:rFonts w:hint="eastAsia" w:ascii="宋体" w:hAnsi="宋体" w:cs="宋体"/>
          <w:b/>
          <w:bCs/>
          <w:i/>
          <w:szCs w:val="21"/>
          <w:u w:val="single"/>
        </w:rPr>
      </w:pPr>
      <w:r>
        <w:rPr>
          <w:rFonts w:hint="eastAsia" w:ascii="宋体" w:hAnsi="宋体" w:cs="宋体"/>
          <w:b/>
          <w:bCs/>
          <w:i/>
          <w:szCs w:val="21"/>
          <w:u w:val="single"/>
        </w:rPr>
        <w:t>人员工资需提供详细的工资测算表。</w:t>
      </w:r>
    </w:p>
    <w:p>
      <w:pPr>
        <w:spacing w:line="360" w:lineRule="auto"/>
        <w:ind w:right="62" w:firstLine="482"/>
        <w:rPr>
          <w:rFonts w:hint="eastAsia" w:ascii="宋体" w:hAnsi="宋体" w:cs="宋体"/>
          <w:iCs/>
        </w:rPr>
      </w:pPr>
      <w:r>
        <w:rPr>
          <w:rFonts w:hint="eastAsia" w:ascii="宋体" w:hAnsi="宋体" w:cs="宋体"/>
          <w:b/>
          <w:bCs/>
          <w:iCs/>
          <w:szCs w:val="21"/>
        </w:rPr>
        <w:t>7、</w:t>
      </w:r>
      <w:r>
        <w:rPr>
          <w:rFonts w:hint="eastAsia" w:ascii="宋体" w:hAnsi="宋体" w:cs="宋体"/>
          <w:b/>
          <w:bCs/>
          <w:i/>
          <w:szCs w:val="21"/>
          <w:u w:val="single"/>
        </w:rPr>
        <w:t>采购人要求依法缴纳社保、医保、住房公积金的人数不得少于总工作人员的80%（</w:t>
      </w:r>
      <w:r>
        <w:rPr>
          <w:rFonts w:hint="eastAsia" w:ascii="宋体" w:hAnsi="宋体" w:cs="宋体"/>
          <w:b/>
          <w:bCs/>
          <w:i/>
          <w:color w:val="FF0000"/>
          <w:szCs w:val="21"/>
          <w:u w:val="single"/>
        </w:rPr>
        <w:t>不得少于353人）</w:t>
      </w:r>
      <w:r>
        <w:rPr>
          <w:rFonts w:hint="eastAsia" w:ascii="宋体" w:hAnsi="宋体" w:cs="宋体"/>
          <w:b/>
          <w:bCs/>
          <w:i/>
          <w:szCs w:val="21"/>
          <w:u w:val="single"/>
        </w:rPr>
        <w:t>。</w:t>
      </w:r>
      <w:r>
        <w:rPr>
          <w:rFonts w:hint="eastAsia" w:ascii="宋体" w:hAnsi="宋体" w:cs="宋体"/>
          <w:b/>
          <w:bCs/>
          <w:iCs/>
          <w:szCs w:val="21"/>
        </w:rPr>
        <w:t>如投标人享受税收、社保、医保、住房公积金优惠政策或符合相关政策法规，请提供相应证明材料，并承诺材料真实有效，以便采购人、监管部门履约期间核查。若发现投标人在多个项目重复享受优惠政策的，将自行承担相应责任。</w:t>
      </w:r>
    </w:p>
    <w:p>
      <w:pPr>
        <w:spacing w:line="360" w:lineRule="auto"/>
        <w:ind w:right="62" w:firstLine="482"/>
        <w:rPr>
          <w:rFonts w:hint="eastAsia" w:ascii="宋体" w:hAnsi="宋体" w:cs="宋体"/>
          <w:b/>
          <w:bCs/>
        </w:rPr>
      </w:pPr>
      <w:r>
        <w:rPr>
          <w:rFonts w:hint="eastAsia" w:ascii="宋体" w:hAnsi="宋体" w:cs="宋体"/>
          <w:b/>
          <w:bCs/>
        </w:rPr>
        <w:t>附件：</w:t>
      </w:r>
    </w:p>
    <w:p>
      <w:pPr>
        <w:spacing w:line="360" w:lineRule="auto"/>
        <w:ind w:right="62" w:firstLine="480"/>
        <w:rPr>
          <w:rFonts w:hint="eastAsia" w:ascii="宋体" w:hAnsi="宋体" w:cs="宋体"/>
        </w:rPr>
      </w:pPr>
      <w:r>
        <w:rPr>
          <w:rFonts w:hint="eastAsia" w:ascii="宋体" w:hAnsi="宋体" w:cs="宋体"/>
        </w:rPr>
        <w:t>投标人根据本项目服务需求自行配置工具耗材。</w:t>
      </w:r>
    </w:p>
    <w:p>
      <w:pPr>
        <w:numPr>
          <w:ilvl w:val="0"/>
          <w:numId w:val="16"/>
        </w:numPr>
        <w:spacing w:line="360" w:lineRule="auto"/>
        <w:ind w:right="62" w:firstLine="480"/>
        <w:rPr>
          <w:rFonts w:hint="eastAsia" w:ascii="宋体" w:hAnsi="宋体" w:cs="宋体"/>
        </w:rPr>
      </w:pPr>
      <w:r>
        <w:rPr>
          <w:rFonts w:hint="eastAsia" w:ascii="宋体" w:hAnsi="宋体" w:cs="宋体"/>
        </w:rPr>
        <w:t>工具配置表</w:t>
      </w:r>
    </w:p>
    <w:p>
      <w:pPr>
        <w:widowControl/>
        <w:ind w:right="62" w:firstLine="482"/>
        <w:rPr>
          <w:rFonts w:hint="eastAsia" w:ascii="宋体" w:hAnsi="宋体" w:cs="宋体"/>
          <w:b/>
        </w:rPr>
      </w:pPr>
    </w:p>
    <w:p>
      <w:pPr>
        <w:spacing w:line="360" w:lineRule="auto"/>
        <w:ind w:right="62" w:firstLine="482"/>
        <w:jc w:val="center"/>
        <w:rPr>
          <w:rFonts w:hint="eastAsia" w:ascii="宋体" w:hAnsi="宋体" w:cs="宋体"/>
          <w:b/>
        </w:rPr>
      </w:pPr>
      <w:r>
        <w:rPr>
          <w:rFonts w:hint="eastAsia" w:ascii="宋体" w:hAnsi="宋体" w:cs="宋体"/>
          <w:b/>
        </w:rPr>
        <w:t>工具配置表</w:t>
      </w:r>
    </w:p>
    <w:tbl>
      <w:tblPr>
        <w:tblStyle w:val="30"/>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65"/>
        <w:gridCol w:w="1251"/>
        <w:gridCol w:w="842"/>
        <w:gridCol w:w="1063"/>
        <w:gridCol w:w="908"/>
        <w:gridCol w:w="1368"/>
        <w:gridCol w:w="13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4" w:type="pct"/>
            <w:noWrap/>
            <w:vAlign w:val="center"/>
          </w:tcPr>
          <w:p>
            <w:pPr>
              <w:widowControl/>
              <w:ind w:right="62"/>
              <w:rPr>
                <w:rFonts w:hint="eastAsia" w:ascii="宋体" w:hAnsi="宋体" w:cs="宋体"/>
                <w:b/>
                <w:bCs/>
                <w:szCs w:val="21"/>
              </w:rPr>
            </w:pPr>
            <w:r>
              <w:rPr>
                <w:rFonts w:hint="eastAsia" w:ascii="宋体" w:hAnsi="宋体" w:cs="宋体"/>
                <w:b/>
                <w:bCs/>
                <w:szCs w:val="21"/>
              </w:rPr>
              <w:t>序号</w:t>
            </w:r>
          </w:p>
        </w:tc>
        <w:tc>
          <w:tcPr>
            <w:tcW w:w="618" w:type="pct"/>
            <w:noWrap/>
            <w:vAlign w:val="center"/>
          </w:tcPr>
          <w:p>
            <w:pPr>
              <w:widowControl/>
              <w:ind w:right="62"/>
              <w:rPr>
                <w:rFonts w:hint="eastAsia" w:ascii="宋体" w:hAnsi="宋体" w:cs="宋体"/>
                <w:b/>
                <w:bCs/>
                <w:szCs w:val="21"/>
              </w:rPr>
            </w:pPr>
            <w:r>
              <w:rPr>
                <w:rFonts w:hint="eastAsia" w:ascii="宋体" w:hAnsi="宋体" w:cs="宋体"/>
                <w:b/>
                <w:bCs/>
                <w:szCs w:val="21"/>
              </w:rPr>
              <w:t>名称</w:t>
            </w:r>
          </w:p>
        </w:tc>
        <w:tc>
          <w:tcPr>
            <w:tcW w:w="664" w:type="pct"/>
            <w:noWrap/>
            <w:vAlign w:val="center"/>
          </w:tcPr>
          <w:p>
            <w:pPr>
              <w:widowControl/>
              <w:ind w:right="62"/>
              <w:rPr>
                <w:rFonts w:hint="eastAsia" w:ascii="宋体" w:hAnsi="宋体" w:cs="宋体"/>
                <w:b/>
                <w:bCs/>
                <w:szCs w:val="21"/>
              </w:rPr>
            </w:pPr>
            <w:r>
              <w:rPr>
                <w:rFonts w:hint="eastAsia" w:ascii="宋体" w:hAnsi="宋体" w:cs="宋体"/>
                <w:b/>
                <w:bCs/>
                <w:szCs w:val="21"/>
              </w:rPr>
              <w:t>型号/规格</w:t>
            </w:r>
          </w:p>
        </w:tc>
        <w:tc>
          <w:tcPr>
            <w:tcW w:w="448" w:type="pct"/>
            <w:noWrap/>
            <w:vAlign w:val="center"/>
          </w:tcPr>
          <w:p>
            <w:pPr>
              <w:widowControl/>
              <w:ind w:right="62"/>
              <w:rPr>
                <w:rFonts w:hint="eastAsia" w:ascii="宋体" w:hAnsi="宋体" w:cs="宋体"/>
                <w:b/>
                <w:bCs/>
                <w:szCs w:val="21"/>
              </w:rPr>
            </w:pPr>
            <w:r>
              <w:rPr>
                <w:rFonts w:hint="eastAsia" w:ascii="宋体" w:hAnsi="宋体" w:cs="宋体"/>
                <w:b/>
                <w:bCs/>
                <w:szCs w:val="21"/>
              </w:rPr>
              <w:t>单位</w:t>
            </w:r>
          </w:p>
        </w:tc>
        <w:tc>
          <w:tcPr>
            <w:tcW w:w="564" w:type="pct"/>
            <w:noWrap/>
            <w:vAlign w:val="center"/>
          </w:tcPr>
          <w:p>
            <w:pPr>
              <w:widowControl/>
              <w:ind w:right="62"/>
              <w:rPr>
                <w:rFonts w:hint="eastAsia" w:ascii="宋体" w:hAnsi="宋体" w:cs="宋体"/>
                <w:b/>
                <w:bCs/>
                <w:szCs w:val="21"/>
              </w:rPr>
            </w:pPr>
            <w:r>
              <w:rPr>
                <w:rFonts w:hint="eastAsia" w:ascii="宋体" w:hAnsi="宋体" w:cs="宋体"/>
                <w:b/>
                <w:bCs/>
                <w:szCs w:val="21"/>
              </w:rPr>
              <w:t>数量</w:t>
            </w:r>
          </w:p>
          <w:p>
            <w:pPr>
              <w:widowControl/>
              <w:ind w:right="62"/>
              <w:rPr>
                <w:rFonts w:hint="eastAsia" w:ascii="宋体" w:hAnsi="宋体" w:cs="宋体"/>
                <w:b/>
                <w:bCs/>
                <w:szCs w:val="21"/>
              </w:rPr>
            </w:pPr>
            <w:r>
              <w:rPr>
                <w:rFonts w:hint="eastAsia" w:ascii="宋体" w:hAnsi="宋体" w:cs="宋体"/>
                <w:b/>
                <w:bCs/>
                <w:szCs w:val="21"/>
              </w:rPr>
              <w:t>（/年）</w:t>
            </w:r>
          </w:p>
        </w:tc>
        <w:tc>
          <w:tcPr>
            <w:tcW w:w="483" w:type="pct"/>
            <w:noWrap/>
            <w:vAlign w:val="center"/>
          </w:tcPr>
          <w:p>
            <w:pPr>
              <w:widowControl/>
              <w:ind w:right="62"/>
              <w:rPr>
                <w:rFonts w:hint="eastAsia" w:ascii="宋体" w:hAnsi="宋体" w:cs="宋体"/>
                <w:b/>
                <w:bCs/>
                <w:szCs w:val="21"/>
              </w:rPr>
            </w:pPr>
            <w:r>
              <w:rPr>
                <w:rFonts w:hint="eastAsia" w:ascii="宋体" w:hAnsi="宋体" w:cs="宋体"/>
                <w:b/>
                <w:bCs/>
                <w:szCs w:val="21"/>
              </w:rPr>
              <w:t>单价（元）</w:t>
            </w:r>
          </w:p>
        </w:tc>
        <w:tc>
          <w:tcPr>
            <w:tcW w:w="726" w:type="pct"/>
            <w:noWrap/>
            <w:vAlign w:val="center"/>
          </w:tcPr>
          <w:p>
            <w:pPr>
              <w:widowControl/>
              <w:ind w:right="62"/>
              <w:rPr>
                <w:rFonts w:hint="eastAsia" w:ascii="宋体" w:hAnsi="宋体" w:cs="宋体"/>
                <w:b/>
                <w:bCs/>
                <w:szCs w:val="21"/>
              </w:rPr>
            </w:pPr>
            <w:r>
              <w:rPr>
                <w:rFonts w:hint="eastAsia" w:ascii="宋体" w:hAnsi="宋体" w:cs="宋体"/>
                <w:b/>
                <w:bCs/>
                <w:szCs w:val="21"/>
              </w:rPr>
              <w:t>总价</w:t>
            </w:r>
          </w:p>
          <w:p>
            <w:pPr>
              <w:widowControl/>
              <w:ind w:right="62"/>
              <w:rPr>
                <w:rFonts w:hint="eastAsia" w:ascii="宋体" w:hAnsi="宋体" w:cs="宋体"/>
                <w:b/>
                <w:bCs/>
                <w:szCs w:val="21"/>
              </w:rPr>
            </w:pPr>
            <w:r>
              <w:rPr>
                <w:rFonts w:hint="eastAsia" w:ascii="宋体" w:hAnsi="宋体" w:cs="宋体"/>
                <w:b/>
                <w:bCs/>
                <w:szCs w:val="21"/>
              </w:rPr>
              <w:t>（元/年）</w:t>
            </w:r>
          </w:p>
        </w:tc>
        <w:tc>
          <w:tcPr>
            <w:tcW w:w="726" w:type="pct"/>
            <w:noWrap/>
            <w:vAlign w:val="center"/>
          </w:tcPr>
          <w:p>
            <w:pPr>
              <w:widowControl/>
              <w:ind w:right="62"/>
              <w:rPr>
                <w:rFonts w:hint="eastAsia" w:ascii="宋体" w:hAnsi="宋体" w:cs="宋体"/>
                <w:b/>
                <w:bCs/>
                <w:szCs w:val="21"/>
              </w:rPr>
            </w:pPr>
            <w:r>
              <w:rPr>
                <w:rFonts w:hint="eastAsia" w:ascii="宋体" w:hAnsi="宋体" w:cs="宋体"/>
                <w:b/>
                <w:bCs/>
                <w:szCs w:val="21"/>
              </w:rPr>
              <w:t>总价</w:t>
            </w:r>
          </w:p>
          <w:p>
            <w:pPr>
              <w:widowControl/>
              <w:ind w:right="62"/>
              <w:rPr>
                <w:rFonts w:hint="eastAsia" w:ascii="宋体" w:hAnsi="宋体" w:cs="宋体"/>
                <w:b/>
                <w:bCs/>
                <w:szCs w:val="21"/>
              </w:rPr>
            </w:pPr>
            <w:r>
              <w:rPr>
                <w:rFonts w:hint="eastAsia" w:ascii="宋体" w:hAnsi="宋体" w:cs="宋体"/>
                <w:b/>
                <w:bCs/>
                <w:szCs w:val="21"/>
              </w:rPr>
              <w:t>（元/3年）</w:t>
            </w:r>
          </w:p>
        </w:tc>
        <w:tc>
          <w:tcPr>
            <w:tcW w:w="402" w:type="pct"/>
            <w:noWrap/>
            <w:vAlign w:val="center"/>
          </w:tcPr>
          <w:p>
            <w:pPr>
              <w:widowControl/>
              <w:ind w:right="62"/>
              <w:rPr>
                <w:rFonts w:hint="eastAsia"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r>
              <w:rPr>
                <w:rFonts w:hint="eastAsia" w:ascii="宋体" w:hAnsi="宋体" w:cs="宋体"/>
                <w:szCs w:val="21"/>
              </w:rPr>
              <w:t>1</w:t>
            </w:r>
          </w:p>
        </w:tc>
        <w:tc>
          <w:tcPr>
            <w:tcW w:w="618" w:type="pct"/>
            <w:noWrap/>
            <w:vAlign w:val="center"/>
          </w:tcPr>
          <w:p>
            <w:pPr>
              <w:widowControl/>
              <w:ind w:right="62"/>
              <w:jc w:val="center"/>
              <w:rPr>
                <w:rFonts w:hint="eastAsia" w:ascii="宋体" w:hAnsi="宋体" w:cs="宋体"/>
                <w:szCs w:val="21"/>
              </w:rPr>
            </w:pP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r>
              <w:rPr>
                <w:rFonts w:hint="eastAsia" w:ascii="宋体" w:hAnsi="宋体" w:cs="宋体"/>
                <w:szCs w:val="21"/>
              </w:rPr>
              <w:t>2</w:t>
            </w:r>
          </w:p>
        </w:tc>
        <w:tc>
          <w:tcPr>
            <w:tcW w:w="618" w:type="pct"/>
            <w:noWrap/>
            <w:vAlign w:val="center"/>
          </w:tcPr>
          <w:p>
            <w:pPr>
              <w:widowControl/>
              <w:ind w:right="62"/>
              <w:jc w:val="center"/>
              <w:rPr>
                <w:rFonts w:hint="eastAsia" w:ascii="宋体" w:hAnsi="宋体" w:cs="宋体"/>
                <w:szCs w:val="21"/>
              </w:rPr>
            </w:pP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r>
              <w:rPr>
                <w:rFonts w:hint="eastAsia" w:ascii="宋体" w:hAnsi="宋体" w:cs="宋体"/>
                <w:szCs w:val="21"/>
              </w:rPr>
              <w:t>3</w:t>
            </w:r>
          </w:p>
        </w:tc>
        <w:tc>
          <w:tcPr>
            <w:tcW w:w="618" w:type="pct"/>
            <w:noWrap/>
            <w:vAlign w:val="center"/>
          </w:tcPr>
          <w:p>
            <w:pPr>
              <w:widowControl/>
              <w:ind w:right="62"/>
              <w:jc w:val="center"/>
              <w:rPr>
                <w:rFonts w:hint="eastAsia" w:ascii="宋体" w:hAnsi="宋体" w:cs="宋体"/>
                <w:szCs w:val="21"/>
              </w:rPr>
            </w:pP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r>
              <w:rPr>
                <w:rFonts w:hint="eastAsia" w:ascii="宋体" w:hAnsi="宋体" w:cs="宋体"/>
                <w:szCs w:val="21"/>
              </w:rPr>
              <w:t>4</w:t>
            </w:r>
          </w:p>
        </w:tc>
        <w:tc>
          <w:tcPr>
            <w:tcW w:w="618" w:type="pct"/>
            <w:noWrap/>
            <w:vAlign w:val="center"/>
          </w:tcPr>
          <w:p>
            <w:pPr>
              <w:widowControl/>
              <w:ind w:right="62"/>
              <w:jc w:val="center"/>
              <w:rPr>
                <w:rFonts w:hint="eastAsia" w:ascii="宋体" w:hAnsi="宋体" w:cs="宋体"/>
                <w:szCs w:val="21"/>
              </w:rPr>
            </w:pP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r>
              <w:rPr>
                <w:rFonts w:hint="eastAsia" w:ascii="宋体" w:hAnsi="宋体" w:cs="宋体"/>
                <w:szCs w:val="21"/>
              </w:rPr>
              <w:t>5</w:t>
            </w:r>
          </w:p>
        </w:tc>
        <w:tc>
          <w:tcPr>
            <w:tcW w:w="618" w:type="pct"/>
            <w:noWrap/>
            <w:vAlign w:val="center"/>
          </w:tcPr>
          <w:p>
            <w:pPr>
              <w:widowControl/>
              <w:ind w:right="62"/>
              <w:jc w:val="center"/>
              <w:rPr>
                <w:rFonts w:hint="eastAsia" w:ascii="宋体" w:hAnsi="宋体" w:cs="宋体"/>
                <w:szCs w:val="21"/>
              </w:rPr>
            </w:pP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r>
              <w:rPr>
                <w:rFonts w:hint="eastAsia" w:ascii="宋体" w:hAnsi="宋体" w:cs="宋体"/>
                <w:szCs w:val="21"/>
              </w:rPr>
              <w:t>6</w:t>
            </w:r>
          </w:p>
        </w:tc>
        <w:tc>
          <w:tcPr>
            <w:tcW w:w="618" w:type="pct"/>
            <w:noWrap/>
            <w:vAlign w:val="center"/>
          </w:tcPr>
          <w:p>
            <w:pPr>
              <w:widowControl/>
              <w:ind w:right="62"/>
              <w:jc w:val="center"/>
              <w:rPr>
                <w:rFonts w:hint="eastAsia" w:ascii="宋体" w:hAnsi="宋体" w:cs="宋体"/>
                <w:szCs w:val="21"/>
              </w:rPr>
            </w:pP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p>
        </w:tc>
        <w:tc>
          <w:tcPr>
            <w:tcW w:w="618" w:type="pct"/>
            <w:noWrap/>
            <w:vAlign w:val="center"/>
          </w:tcPr>
          <w:p>
            <w:pPr>
              <w:widowControl/>
              <w:ind w:right="62"/>
              <w:jc w:val="center"/>
              <w:rPr>
                <w:rFonts w:hint="eastAsia" w:ascii="宋体" w:hAnsi="宋体" w:cs="宋体"/>
                <w:szCs w:val="21"/>
              </w:rPr>
            </w:pPr>
            <w:r>
              <w:rPr>
                <w:rFonts w:hint="eastAsia" w:ascii="宋体" w:hAnsi="宋体" w:cs="宋体"/>
                <w:szCs w:val="21"/>
              </w:rPr>
              <w:t>……</w:t>
            </w: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4" w:type="pct"/>
            <w:noWrap/>
            <w:vAlign w:val="center"/>
          </w:tcPr>
          <w:p>
            <w:pPr>
              <w:widowControl/>
              <w:ind w:right="62"/>
              <w:jc w:val="center"/>
              <w:rPr>
                <w:rFonts w:hint="eastAsia" w:ascii="宋体" w:hAnsi="宋体" w:cs="宋体"/>
                <w:szCs w:val="21"/>
              </w:rPr>
            </w:pPr>
          </w:p>
        </w:tc>
        <w:tc>
          <w:tcPr>
            <w:tcW w:w="618" w:type="pct"/>
            <w:noWrap/>
            <w:vAlign w:val="center"/>
          </w:tcPr>
          <w:p>
            <w:pPr>
              <w:widowControl/>
              <w:ind w:right="62"/>
              <w:jc w:val="center"/>
              <w:rPr>
                <w:rFonts w:hint="eastAsia" w:ascii="宋体" w:hAnsi="宋体" w:cs="宋体"/>
                <w:szCs w:val="21"/>
              </w:rPr>
            </w:pPr>
            <w:r>
              <w:rPr>
                <w:rFonts w:hint="eastAsia" w:ascii="宋体" w:hAnsi="宋体" w:cs="宋体"/>
                <w:szCs w:val="21"/>
              </w:rPr>
              <w:t>合计</w:t>
            </w:r>
          </w:p>
        </w:tc>
        <w:tc>
          <w:tcPr>
            <w:tcW w:w="664" w:type="pct"/>
            <w:noWrap/>
            <w:vAlign w:val="center"/>
          </w:tcPr>
          <w:p>
            <w:pPr>
              <w:widowControl/>
              <w:ind w:right="62"/>
              <w:jc w:val="center"/>
              <w:rPr>
                <w:rFonts w:hint="eastAsia" w:ascii="宋体" w:hAnsi="宋体" w:cs="宋体"/>
                <w:szCs w:val="21"/>
              </w:rPr>
            </w:pPr>
          </w:p>
        </w:tc>
        <w:tc>
          <w:tcPr>
            <w:tcW w:w="448" w:type="pct"/>
            <w:noWrap/>
            <w:vAlign w:val="center"/>
          </w:tcPr>
          <w:p>
            <w:pPr>
              <w:widowControl/>
              <w:ind w:right="62"/>
              <w:jc w:val="center"/>
              <w:rPr>
                <w:rFonts w:hint="eastAsia" w:ascii="宋体" w:hAnsi="宋体" w:cs="宋体"/>
                <w:szCs w:val="21"/>
              </w:rPr>
            </w:pPr>
          </w:p>
        </w:tc>
        <w:tc>
          <w:tcPr>
            <w:tcW w:w="564" w:type="pct"/>
            <w:noWrap/>
            <w:vAlign w:val="center"/>
          </w:tcPr>
          <w:p>
            <w:pPr>
              <w:widowControl/>
              <w:ind w:right="62"/>
              <w:jc w:val="center"/>
              <w:rPr>
                <w:rFonts w:hint="eastAsia" w:ascii="宋体" w:hAnsi="宋体" w:cs="宋体"/>
                <w:szCs w:val="21"/>
              </w:rPr>
            </w:pPr>
          </w:p>
        </w:tc>
        <w:tc>
          <w:tcPr>
            <w:tcW w:w="483"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726" w:type="pct"/>
            <w:noWrap/>
            <w:vAlign w:val="center"/>
          </w:tcPr>
          <w:p>
            <w:pPr>
              <w:widowControl/>
              <w:ind w:right="62"/>
              <w:jc w:val="center"/>
              <w:rPr>
                <w:rFonts w:hint="eastAsia" w:ascii="宋体" w:hAnsi="宋体" w:cs="宋体"/>
                <w:szCs w:val="21"/>
              </w:rPr>
            </w:pPr>
          </w:p>
        </w:tc>
        <w:tc>
          <w:tcPr>
            <w:tcW w:w="402" w:type="pct"/>
            <w:noWrap/>
            <w:vAlign w:val="center"/>
          </w:tcPr>
          <w:p>
            <w:pPr>
              <w:widowControl/>
              <w:ind w:right="62"/>
              <w:jc w:val="center"/>
              <w:rPr>
                <w:rFonts w:hint="eastAsia" w:ascii="宋体" w:hAnsi="宋体" w:cs="宋体"/>
                <w:szCs w:val="21"/>
              </w:rPr>
            </w:pPr>
          </w:p>
        </w:tc>
      </w:tr>
    </w:tbl>
    <w:p>
      <w:pPr>
        <w:pStyle w:val="29"/>
        <w:ind w:right="62" w:firstLine="210"/>
        <w:rPr>
          <w:strike/>
          <w:highlight w:val="yellow"/>
        </w:rPr>
      </w:pPr>
    </w:p>
    <w:p>
      <w:pPr>
        <w:spacing w:line="360" w:lineRule="auto"/>
        <w:ind w:right="62" w:firstLine="480"/>
        <w:jc w:val="left"/>
        <w:rPr>
          <w:rFonts w:hint="eastAsia" w:ascii="宋体" w:hAnsi="宋体" w:cs="宋体"/>
          <w:bCs/>
          <w:iCs/>
          <w:szCs w:val="21"/>
        </w:rPr>
      </w:pPr>
      <w:r>
        <w:rPr>
          <w:rFonts w:hint="eastAsia" w:ascii="宋体" w:hAnsi="宋体" w:cs="宋体"/>
          <w:bCs/>
          <w:iCs/>
          <w:szCs w:val="21"/>
        </w:rPr>
        <w:t>注：</w:t>
      </w:r>
    </w:p>
    <w:p>
      <w:pPr>
        <w:numPr>
          <w:ilvl w:val="0"/>
          <w:numId w:val="17"/>
        </w:numPr>
        <w:spacing w:line="360" w:lineRule="auto"/>
        <w:ind w:left="420" w:right="62"/>
        <w:rPr>
          <w:rFonts w:hint="eastAsia" w:ascii="宋体" w:hAnsi="宋体" w:cs="宋体"/>
          <w:iCs/>
          <w:szCs w:val="21"/>
        </w:rPr>
      </w:pPr>
      <w:r>
        <w:rPr>
          <w:rFonts w:hint="eastAsia" w:ascii="宋体" w:hAnsi="宋体" w:cs="宋体"/>
          <w:iCs/>
          <w:szCs w:val="21"/>
        </w:rPr>
        <w:t>投标人自报的工具及耗材数量应满足采购人项目现场实际需要，采购人后期不再</w:t>
      </w:r>
    </w:p>
    <w:p>
      <w:pPr>
        <w:spacing w:line="360" w:lineRule="auto"/>
        <w:ind w:right="62"/>
        <w:rPr>
          <w:rFonts w:hint="eastAsia" w:ascii="宋体" w:hAnsi="宋体" w:cs="宋体"/>
          <w:iCs/>
          <w:szCs w:val="21"/>
        </w:rPr>
      </w:pPr>
      <w:r>
        <w:rPr>
          <w:rFonts w:hint="eastAsia" w:ascii="宋体" w:hAnsi="宋体" w:cs="宋体"/>
          <w:iCs/>
          <w:szCs w:val="21"/>
        </w:rPr>
        <w:t>额外提供工具及耗材或另行支付相关费用。</w:t>
      </w:r>
    </w:p>
    <w:p>
      <w:pPr>
        <w:spacing w:line="360" w:lineRule="auto"/>
        <w:ind w:right="62" w:firstLine="480"/>
        <w:jc w:val="left"/>
        <w:rPr>
          <w:rFonts w:hint="eastAsia" w:ascii="宋体" w:hAnsi="宋体" w:cs="宋体"/>
          <w:bCs/>
          <w:iCs/>
          <w:szCs w:val="21"/>
        </w:rPr>
      </w:pPr>
      <w:r>
        <w:rPr>
          <w:rFonts w:hint="eastAsia" w:ascii="宋体" w:hAnsi="宋体" w:cs="宋体"/>
          <w:bCs/>
          <w:iCs/>
          <w:szCs w:val="21"/>
        </w:rPr>
        <w:t>（2）投标人所提供的工具配置表中所列明的项目不接受赠送。</w:t>
      </w:r>
    </w:p>
    <w:p>
      <w:pPr>
        <w:spacing w:line="360" w:lineRule="auto"/>
        <w:ind w:right="62" w:firstLine="480"/>
        <w:jc w:val="left"/>
        <w:rPr>
          <w:rFonts w:hint="eastAsia" w:ascii="宋体" w:hAnsi="宋体" w:cs="宋体"/>
          <w:strike/>
          <w:highlight w:val="yellow"/>
        </w:rPr>
      </w:pPr>
      <w:r>
        <w:rPr>
          <w:rFonts w:hint="eastAsia" w:ascii="宋体" w:hAnsi="宋体" w:cs="宋体"/>
          <w:bCs/>
          <w:iCs/>
          <w:szCs w:val="21"/>
        </w:rPr>
        <w:t>（3）投标人可根据服务需要自行增加相关工具。</w:t>
      </w:r>
    </w:p>
    <w:p>
      <w:pPr>
        <w:widowControl/>
        <w:ind w:right="62"/>
        <w:jc w:val="left"/>
        <w:rPr>
          <w:rFonts w:hint="eastAsia" w:ascii="宋体" w:hAnsi="宋体" w:cs="宋体"/>
        </w:rPr>
      </w:pPr>
      <w:r>
        <w:rPr>
          <w:rFonts w:hint="eastAsia" w:ascii="宋体" w:hAnsi="宋体" w:cs="宋体"/>
        </w:rPr>
        <w:br w:type="page"/>
      </w:r>
    </w:p>
    <w:p>
      <w:pPr>
        <w:tabs>
          <w:tab w:val="left" w:pos="910"/>
        </w:tabs>
        <w:spacing w:line="360" w:lineRule="auto"/>
        <w:ind w:right="62" w:firstLine="480"/>
        <w:rPr>
          <w:rFonts w:hint="eastAsia" w:ascii="宋体" w:hAnsi="宋体" w:cs="宋体"/>
        </w:rPr>
      </w:pPr>
      <w:r>
        <w:rPr>
          <w:rFonts w:hint="eastAsia" w:ascii="宋体" w:hAnsi="宋体" w:cs="宋体"/>
        </w:rPr>
        <w:t>2.耗材配置表</w:t>
      </w:r>
    </w:p>
    <w:p>
      <w:pPr>
        <w:ind w:right="62"/>
        <w:jc w:val="center"/>
        <w:rPr>
          <w:rFonts w:hint="eastAsia" w:ascii="宋体" w:hAnsi="宋体" w:cs="宋体"/>
        </w:rPr>
      </w:pPr>
      <w:r>
        <w:rPr>
          <w:rFonts w:hint="eastAsia" w:ascii="宋体" w:hAnsi="宋体" w:cs="宋体"/>
        </w:rPr>
        <w:t>耗材配置表</w:t>
      </w:r>
    </w:p>
    <w:tbl>
      <w:tblPr>
        <w:tblStyle w:val="30"/>
        <w:tblpPr w:leftFromText="180" w:rightFromText="180" w:vertAnchor="text" w:tblpXSpec="center" w:tblpY="1"/>
        <w:tblW w:w="5292" w:type="pct"/>
        <w:tblInd w:w="0" w:type="dxa"/>
        <w:tblLayout w:type="fixed"/>
        <w:tblCellMar>
          <w:top w:w="0" w:type="dxa"/>
          <w:left w:w="108" w:type="dxa"/>
          <w:bottom w:w="0" w:type="dxa"/>
          <w:right w:w="108" w:type="dxa"/>
        </w:tblCellMar>
      </w:tblPr>
      <w:tblGrid>
        <w:gridCol w:w="758"/>
        <w:gridCol w:w="1059"/>
        <w:gridCol w:w="1380"/>
        <w:gridCol w:w="682"/>
        <w:gridCol w:w="919"/>
        <w:gridCol w:w="918"/>
        <w:gridCol w:w="1413"/>
        <w:gridCol w:w="1366"/>
        <w:gridCol w:w="908"/>
      </w:tblGrid>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rPr>
                <w:rFonts w:hint="eastAsia" w:ascii="宋体" w:hAnsi="宋体" w:cs="宋体"/>
                <w:b/>
                <w:bCs/>
                <w:szCs w:val="21"/>
              </w:rPr>
            </w:pPr>
            <w:r>
              <w:rPr>
                <w:rFonts w:hint="eastAsia" w:ascii="宋体" w:hAnsi="宋体" w:cs="宋体"/>
                <w:b/>
                <w:bCs/>
                <w:szCs w:val="21"/>
              </w:rPr>
              <w:t>序号</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rPr>
                <w:rFonts w:hint="eastAsia" w:ascii="宋体" w:hAnsi="宋体" w:cs="宋体"/>
                <w:b/>
                <w:bCs/>
                <w:szCs w:val="21"/>
              </w:rPr>
            </w:pPr>
            <w:r>
              <w:rPr>
                <w:rFonts w:hint="eastAsia" w:ascii="宋体" w:hAnsi="宋体" w:cs="宋体"/>
                <w:b/>
                <w:bCs/>
                <w:szCs w:val="21"/>
              </w:rPr>
              <w:t>名称</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rPr>
                <w:rFonts w:hint="eastAsia" w:ascii="宋体" w:hAnsi="宋体" w:cs="宋体"/>
                <w:b/>
                <w:bCs/>
                <w:szCs w:val="21"/>
              </w:rPr>
            </w:pPr>
            <w:r>
              <w:rPr>
                <w:rFonts w:hint="eastAsia" w:ascii="宋体" w:hAnsi="宋体" w:cs="宋体"/>
                <w:b/>
                <w:bCs/>
                <w:szCs w:val="21"/>
              </w:rPr>
              <w:t>型号/规格</w:t>
            </w: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rPr>
                <w:rFonts w:hint="eastAsia" w:ascii="宋体" w:hAnsi="宋体" w:cs="宋体"/>
                <w:b/>
                <w:bCs/>
                <w:szCs w:val="21"/>
              </w:rPr>
            </w:pPr>
            <w:r>
              <w:rPr>
                <w:rFonts w:hint="eastAsia" w:ascii="宋体" w:hAnsi="宋体" w:cs="宋体"/>
                <w:b/>
                <w:bCs/>
                <w:szCs w:val="21"/>
              </w:rPr>
              <w:t>单位</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rPr>
                <w:rFonts w:hint="eastAsia" w:ascii="宋体" w:hAnsi="宋体" w:cs="宋体"/>
                <w:b/>
                <w:bCs/>
                <w:szCs w:val="21"/>
              </w:rPr>
            </w:pPr>
            <w:r>
              <w:rPr>
                <w:rFonts w:hint="eastAsia" w:ascii="宋体" w:hAnsi="宋体" w:cs="宋体"/>
                <w:b/>
                <w:bCs/>
                <w:szCs w:val="21"/>
              </w:rPr>
              <w:t>数量（/月）</w:t>
            </w: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ind w:right="62"/>
              <w:rPr>
                <w:rFonts w:hint="eastAsia" w:ascii="宋体" w:hAnsi="宋体" w:cs="宋体"/>
                <w:b/>
                <w:bCs/>
                <w:szCs w:val="21"/>
              </w:rPr>
            </w:pPr>
            <w:r>
              <w:rPr>
                <w:rFonts w:hint="eastAsia" w:ascii="宋体" w:hAnsi="宋体" w:cs="宋体"/>
                <w:b/>
                <w:bCs/>
                <w:szCs w:val="21"/>
              </w:rPr>
              <w:t>单价（元）</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ind w:right="62"/>
              <w:rPr>
                <w:rFonts w:hint="eastAsia" w:ascii="宋体" w:hAnsi="宋体" w:cs="宋体"/>
                <w:b/>
                <w:bCs/>
                <w:szCs w:val="21"/>
              </w:rPr>
            </w:pPr>
            <w:r>
              <w:rPr>
                <w:rFonts w:hint="eastAsia" w:ascii="宋体" w:hAnsi="宋体" w:cs="宋体"/>
                <w:b/>
                <w:bCs/>
                <w:szCs w:val="21"/>
              </w:rPr>
              <w:t>总价</w:t>
            </w:r>
          </w:p>
          <w:p>
            <w:pPr>
              <w:widowControl/>
              <w:ind w:right="62"/>
              <w:rPr>
                <w:rFonts w:hint="eastAsia" w:ascii="宋体" w:hAnsi="宋体" w:cs="宋体"/>
                <w:b/>
                <w:bCs/>
                <w:szCs w:val="21"/>
              </w:rPr>
            </w:pPr>
            <w:r>
              <w:rPr>
                <w:rFonts w:hint="eastAsia" w:ascii="宋体" w:hAnsi="宋体" w:cs="宋体"/>
                <w:b/>
                <w:bCs/>
                <w:szCs w:val="21"/>
              </w:rPr>
              <w:t>（元/年）</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ind w:right="62"/>
              <w:rPr>
                <w:rFonts w:hint="eastAsia" w:ascii="宋体" w:hAnsi="宋体" w:cs="宋体"/>
                <w:b/>
                <w:bCs/>
                <w:szCs w:val="21"/>
              </w:rPr>
            </w:pPr>
            <w:r>
              <w:rPr>
                <w:rFonts w:hint="eastAsia" w:ascii="宋体" w:hAnsi="宋体" w:cs="宋体"/>
                <w:b/>
                <w:bCs/>
                <w:szCs w:val="21"/>
              </w:rPr>
              <w:t>总价</w:t>
            </w:r>
          </w:p>
          <w:p>
            <w:pPr>
              <w:widowControl/>
              <w:ind w:right="62"/>
              <w:rPr>
                <w:rFonts w:hint="eastAsia" w:ascii="宋体" w:hAnsi="宋体" w:cs="宋体"/>
                <w:b/>
                <w:bCs/>
                <w:szCs w:val="21"/>
              </w:rPr>
            </w:pPr>
            <w:r>
              <w:rPr>
                <w:rFonts w:hint="eastAsia" w:ascii="宋体" w:hAnsi="宋体" w:cs="宋体"/>
                <w:b/>
                <w:bCs/>
                <w:szCs w:val="21"/>
              </w:rPr>
              <w:t>（元/3年）</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ind w:right="62"/>
              <w:rPr>
                <w:rFonts w:hint="eastAsia" w:ascii="宋体" w:hAnsi="宋体" w:cs="宋体"/>
                <w:b/>
                <w:bCs/>
                <w:szCs w:val="21"/>
              </w:rPr>
            </w:pPr>
            <w:r>
              <w:rPr>
                <w:rFonts w:hint="eastAsia" w:ascii="宋体" w:hAnsi="宋体" w:cs="宋体"/>
                <w:b/>
                <w:bCs/>
                <w:szCs w:val="21"/>
              </w:rPr>
              <w:t>备注</w:t>
            </w: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1</w:t>
            </w:r>
          </w:p>
        </w:tc>
        <w:tc>
          <w:tcPr>
            <w:tcW w:w="563" w:type="pct"/>
            <w:tcBorders>
              <w:top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2</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3</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4</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5</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6</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r>
              <w:rPr>
                <w:rFonts w:hint="eastAsia" w:ascii="宋体" w:hAnsi="宋体" w:cs="宋体"/>
                <w:szCs w:val="21"/>
              </w:rPr>
              <w:t>合计</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8"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right="62"/>
              <w:jc w:val="center"/>
              <w:rPr>
                <w:rFonts w:hint="eastAsia" w:ascii="宋体" w:hAnsi="宋体" w:cs="宋体"/>
                <w:szCs w:val="21"/>
              </w:rPr>
            </w:pPr>
          </w:p>
        </w:tc>
      </w:tr>
    </w:tbl>
    <w:p>
      <w:pPr>
        <w:spacing w:line="360" w:lineRule="auto"/>
        <w:ind w:right="62" w:firstLine="480"/>
        <w:jc w:val="left"/>
        <w:rPr>
          <w:rFonts w:hint="eastAsia" w:ascii="宋体" w:hAnsi="宋体" w:cs="宋体"/>
          <w:bCs/>
          <w:iCs/>
          <w:szCs w:val="21"/>
        </w:rPr>
      </w:pPr>
      <w:r>
        <w:rPr>
          <w:rFonts w:hint="eastAsia" w:ascii="宋体" w:hAnsi="宋体" w:cs="宋体"/>
          <w:bCs/>
          <w:iCs/>
          <w:szCs w:val="21"/>
        </w:rPr>
        <w:t>注：</w:t>
      </w:r>
    </w:p>
    <w:p>
      <w:pPr>
        <w:numPr>
          <w:ilvl w:val="0"/>
          <w:numId w:val="18"/>
        </w:numPr>
        <w:spacing w:line="360" w:lineRule="auto"/>
        <w:ind w:left="420" w:right="62"/>
        <w:rPr>
          <w:rFonts w:hint="eastAsia" w:ascii="宋体" w:hAnsi="宋体" w:cs="宋体"/>
          <w:iCs/>
          <w:szCs w:val="21"/>
        </w:rPr>
      </w:pPr>
      <w:r>
        <w:rPr>
          <w:rFonts w:hint="eastAsia" w:ascii="宋体" w:hAnsi="宋体" w:cs="宋体"/>
          <w:iCs/>
          <w:szCs w:val="21"/>
        </w:rPr>
        <w:t>投标人自报的工具及耗材数量应满足采购人项目现场实际需要，采购人后期不再</w:t>
      </w:r>
    </w:p>
    <w:p>
      <w:pPr>
        <w:spacing w:line="360" w:lineRule="auto"/>
        <w:ind w:right="62"/>
        <w:rPr>
          <w:rFonts w:hint="eastAsia" w:ascii="宋体" w:hAnsi="宋体" w:cs="宋体"/>
          <w:iCs/>
          <w:szCs w:val="21"/>
        </w:rPr>
      </w:pPr>
      <w:r>
        <w:rPr>
          <w:rFonts w:hint="eastAsia" w:ascii="宋体" w:hAnsi="宋体" w:cs="宋体"/>
          <w:iCs/>
          <w:szCs w:val="21"/>
        </w:rPr>
        <w:t>额外提供工具及耗材或另行支付相关费用。</w:t>
      </w:r>
    </w:p>
    <w:p>
      <w:pPr>
        <w:spacing w:line="360" w:lineRule="auto"/>
        <w:ind w:right="62" w:firstLine="480"/>
        <w:jc w:val="left"/>
        <w:rPr>
          <w:rFonts w:hint="eastAsia" w:ascii="宋体" w:hAnsi="宋体" w:cs="宋体"/>
          <w:bCs/>
          <w:iCs/>
          <w:szCs w:val="21"/>
        </w:rPr>
      </w:pPr>
      <w:r>
        <w:rPr>
          <w:rFonts w:hint="eastAsia" w:ascii="宋体" w:hAnsi="宋体" w:cs="宋体"/>
          <w:bCs/>
          <w:iCs/>
          <w:szCs w:val="21"/>
        </w:rPr>
        <w:t>（2）投标人所提供的工具配置表中所列明的项目不接受赠送。</w:t>
      </w:r>
    </w:p>
    <w:p>
      <w:pPr>
        <w:spacing w:line="360" w:lineRule="auto"/>
        <w:ind w:right="62" w:firstLine="480"/>
        <w:jc w:val="left"/>
        <w:rPr>
          <w:rFonts w:hint="eastAsia" w:ascii="宋体" w:hAnsi="宋体" w:cs="宋体"/>
          <w:bCs/>
          <w:iCs/>
          <w:szCs w:val="21"/>
        </w:rPr>
      </w:pPr>
      <w:r>
        <w:rPr>
          <w:rFonts w:hint="eastAsia" w:ascii="宋体" w:hAnsi="宋体" w:cs="宋体"/>
          <w:bCs/>
          <w:iCs/>
          <w:szCs w:val="21"/>
        </w:rPr>
        <w:t>（3）投标人可根据服务需要自行增加相关工具。</w:t>
      </w:r>
    </w:p>
    <w:p>
      <w:pPr>
        <w:spacing w:line="360" w:lineRule="auto"/>
        <w:ind w:right="62"/>
        <w:rPr>
          <w:rFonts w:hint="eastAsia" w:ascii="宋体" w:hAnsi="宋体" w:cs="宋体"/>
        </w:rPr>
      </w:pPr>
    </w:p>
    <w:p>
      <w:pPr>
        <w:spacing w:line="360" w:lineRule="auto"/>
        <w:ind w:right="62" w:firstLine="480" w:firstLineChars="200"/>
        <w:rPr>
          <w:rFonts w:hint="eastAsia" w:ascii="仿宋" w:hAnsi="仿宋" w:eastAsia="仿宋"/>
          <w:sz w:val="24"/>
          <w:szCs w:val="24"/>
        </w:rPr>
      </w:pPr>
    </w:p>
    <w:sectPr>
      <w:footerReference r:id="rId5" w:type="default"/>
      <w:pgSz w:w="11906" w:h="16838"/>
      <w:pgMar w:top="1440" w:right="179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62"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pPr>
      <w:pStyle w:val="21"/>
      <w:ind w:right="62"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89174"/>
    <w:multiLevelType w:val="singleLevel"/>
    <w:tmpl w:val="8A689174"/>
    <w:lvl w:ilvl="0" w:tentative="0">
      <w:start w:val="1"/>
      <w:numFmt w:val="decimal"/>
      <w:lvlText w:val="%1."/>
      <w:lvlJc w:val="left"/>
      <w:pPr>
        <w:tabs>
          <w:tab w:val="left" w:pos="312"/>
        </w:tabs>
      </w:pPr>
    </w:lvl>
  </w:abstractNum>
  <w:abstractNum w:abstractNumId="1">
    <w:nsid w:val="B140611E"/>
    <w:multiLevelType w:val="singleLevel"/>
    <w:tmpl w:val="B140611E"/>
    <w:lvl w:ilvl="0" w:tentative="0">
      <w:start w:val="1"/>
      <w:numFmt w:val="decimal"/>
      <w:lvlText w:val="%1."/>
      <w:lvlJc w:val="left"/>
      <w:pPr>
        <w:tabs>
          <w:tab w:val="left" w:pos="312"/>
        </w:tabs>
      </w:pPr>
    </w:lvl>
  </w:abstractNum>
  <w:abstractNum w:abstractNumId="2">
    <w:nsid w:val="C5E024B5"/>
    <w:multiLevelType w:val="singleLevel"/>
    <w:tmpl w:val="C5E024B5"/>
    <w:lvl w:ilvl="0" w:tentative="0">
      <w:start w:val="1"/>
      <w:numFmt w:val="decimal"/>
      <w:lvlText w:val="%1."/>
      <w:lvlJc w:val="left"/>
      <w:pPr>
        <w:tabs>
          <w:tab w:val="left" w:pos="312"/>
        </w:tabs>
      </w:pPr>
    </w:lvl>
  </w:abstractNum>
  <w:abstractNum w:abstractNumId="3">
    <w:nsid w:val="CEE85E96"/>
    <w:multiLevelType w:val="singleLevel"/>
    <w:tmpl w:val="CEE85E96"/>
    <w:lvl w:ilvl="0" w:tentative="0">
      <w:start w:val="1"/>
      <w:numFmt w:val="decimal"/>
      <w:lvlText w:val="%1."/>
      <w:lvlJc w:val="left"/>
      <w:pPr>
        <w:tabs>
          <w:tab w:val="left" w:pos="312"/>
        </w:tabs>
      </w:pPr>
    </w:lvl>
  </w:abstractNum>
  <w:abstractNum w:abstractNumId="4">
    <w:nsid w:val="EB336D98"/>
    <w:multiLevelType w:val="singleLevel"/>
    <w:tmpl w:val="EB336D98"/>
    <w:lvl w:ilvl="0" w:tentative="0">
      <w:start w:val="1"/>
      <w:numFmt w:val="decimal"/>
      <w:lvlText w:val="%1."/>
      <w:lvlJc w:val="left"/>
      <w:pPr>
        <w:tabs>
          <w:tab w:val="left" w:pos="312"/>
        </w:tabs>
      </w:pPr>
    </w:lvl>
  </w:abstractNum>
  <w:abstractNum w:abstractNumId="5">
    <w:nsid w:val="00000012"/>
    <w:multiLevelType w:val="multilevel"/>
    <w:tmpl w:val="00000012"/>
    <w:lvl w:ilvl="0" w:tentative="0">
      <w:start w:val="1"/>
      <w:numFmt w:val="japaneseCounting"/>
      <w:pStyle w:val="7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60"/>
      <w:isLgl/>
      <w:lvlText w:val="%1.%2"/>
      <w:lvlJc w:val="left"/>
      <w:pPr>
        <w:tabs>
          <w:tab w:val="left" w:pos="851"/>
        </w:tabs>
        <w:ind w:left="0" w:firstLine="0"/>
      </w:pPr>
    </w:lvl>
    <w:lvl w:ilvl="2" w:tentative="0">
      <w:start w:val="1"/>
      <w:numFmt w:val="decimal"/>
      <w:pStyle w:val="61"/>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240ED718"/>
    <w:multiLevelType w:val="singleLevel"/>
    <w:tmpl w:val="240ED718"/>
    <w:lvl w:ilvl="0" w:tentative="0">
      <w:start w:val="1"/>
      <w:numFmt w:val="decimal"/>
      <w:lvlText w:val="%1."/>
      <w:lvlJc w:val="left"/>
      <w:pPr>
        <w:tabs>
          <w:tab w:val="left" w:pos="312"/>
        </w:tabs>
      </w:pPr>
    </w:lvl>
  </w:abstractNum>
  <w:abstractNum w:abstractNumId="8">
    <w:nsid w:val="38948572"/>
    <w:multiLevelType w:val="singleLevel"/>
    <w:tmpl w:val="38948572"/>
    <w:lvl w:ilvl="0" w:tentative="0">
      <w:start w:val="1"/>
      <w:numFmt w:val="decimal"/>
      <w:lvlText w:val="%1."/>
      <w:lvlJc w:val="left"/>
      <w:pPr>
        <w:tabs>
          <w:tab w:val="left" w:pos="312"/>
        </w:tabs>
      </w:pPr>
    </w:lvl>
  </w:abstractNum>
  <w:abstractNum w:abstractNumId="9">
    <w:nsid w:val="4FE32455"/>
    <w:multiLevelType w:val="singleLevel"/>
    <w:tmpl w:val="4FE32455"/>
    <w:lvl w:ilvl="0" w:tentative="0">
      <w:start w:val="1"/>
      <w:numFmt w:val="decimal"/>
      <w:lvlText w:val="%1."/>
      <w:lvlJc w:val="left"/>
      <w:pPr>
        <w:tabs>
          <w:tab w:val="left" w:pos="312"/>
        </w:tabs>
      </w:pPr>
    </w:lvl>
  </w:abstractNum>
  <w:abstractNum w:abstractNumId="10">
    <w:nsid w:val="5C256E83"/>
    <w:multiLevelType w:val="singleLevel"/>
    <w:tmpl w:val="5C256E83"/>
    <w:lvl w:ilvl="0" w:tentative="0">
      <w:start w:val="1"/>
      <w:numFmt w:val="decimal"/>
      <w:lvlText w:val="%1."/>
      <w:lvlJc w:val="left"/>
      <w:pPr>
        <w:tabs>
          <w:tab w:val="left" w:pos="312"/>
        </w:tabs>
      </w:pPr>
    </w:lvl>
  </w:abstractNum>
  <w:abstractNum w:abstractNumId="11">
    <w:nsid w:val="5FC144B6"/>
    <w:multiLevelType w:val="singleLevel"/>
    <w:tmpl w:val="5FC144B6"/>
    <w:lvl w:ilvl="0" w:tentative="0">
      <w:start w:val="1"/>
      <w:numFmt w:val="decimal"/>
      <w:lvlText w:val="%1."/>
      <w:lvlJc w:val="left"/>
      <w:pPr>
        <w:tabs>
          <w:tab w:val="left" w:pos="312"/>
        </w:tabs>
      </w:pPr>
    </w:lvl>
  </w:abstractNum>
  <w:abstractNum w:abstractNumId="12">
    <w:nsid w:val="62133DFB"/>
    <w:multiLevelType w:val="multilevel"/>
    <w:tmpl w:val="62133DFB"/>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650C3CE9"/>
    <w:multiLevelType w:val="multilevel"/>
    <w:tmpl w:val="650C3CE9"/>
    <w:lvl w:ilvl="0" w:tentative="0">
      <w:start w:val="1"/>
      <w:numFmt w:val="decimal"/>
      <w:suff w:val="nothing"/>
      <w:lvlText w:val="%1、"/>
      <w:lvlJc w:val="left"/>
      <w:rPr>
        <w:rFonts w:hint="default" w:ascii="宋体" w:hAnsi="宋体" w:eastAsia="宋体" w:cs="宋体"/>
        <w:b/>
        <w:bC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6607547B"/>
    <w:multiLevelType w:val="multilevel"/>
    <w:tmpl w:val="6607547B"/>
    <w:lvl w:ilvl="0" w:tentative="0">
      <w:start w:val="1"/>
      <w:numFmt w:val="bullet"/>
      <w:pStyle w:val="7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699B3200"/>
    <w:multiLevelType w:val="multilevel"/>
    <w:tmpl w:val="699B3200"/>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6">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color w:val="000000"/>
        <w:spacing w:val="0"/>
        <w:kern w:val="0"/>
        <w:position w:val="0"/>
        <w:sz w:val="21"/>
        <w:szCs w:val="32"/>
        <w:u w:val="none"/>
        <w:vertAlign w:val="baseline"/>
        <w14:shadow w14:blurRad="0" w14:dist="0" w14:dir="0" w14:sx="0" w14:sy="0" w14:kx="0" w14:ky="0" w14:algn="none">
          <w14:srgbClr w14:val="000000"/>
        </w14:shadow>
      </w:rPr>
    </w:lvl>
    <w:lvl w:ilvl="1" w:tentative="0">
      <w:start w:val="1"/>
      <w:numFmt w:val="decimal"/>
      <w:pStyle w:val="3"/>
      <w:suff w:val="space"/>
      <w:lvlText w:val="%1.%2"/>
      <w:lvlJc w:val="left"/>
      <w:pPr>
        <w:ind w:left="851" w:hanging="567"/>
      </w:pPr>
      <w:rPr>
        <w:rFonts w:hint="default" w:ascii="Arial" w:hAnsi="Arial" w:eastAsia="黑体"/>
        <w:b/>
        <w:i w:val="0"/>
        <w:sz w:val="28"/>
        <w:szCs w:val="28"/>
      </w:rPr>
    </w:lvl>
    <w:lvl w:ilvl="2" w:tentative="0">
      <w:start w:val="1"/>
      <w:numFmt w:val="decimal"/>
      <w:pStyle w:val="5"/>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7DF466A3"/>
    <w:multiLevelType w:val="singleLevel"/>
    <w:tmpl w:val="7DF466A3"/>
    <w:lvl w:ilvl="0" w:tentative="0">
      <w:start w:val="1"/>
      <w:numFmt w:val="decimal"/>
      <w:lvlText w:val="%1."/>
      <w:lvlJc w:val="left"/>
      <w:pPr>
        <w:tabs>
          <w:tab w:val="left" w:pos="312"/>
        </w:tabs>
      </w:pPr>
    </w:lvl>
  </w:abstractNum>
  <w:num w:numId="1">
    <w:abstractNumId w:val="16"/>
  </w:num>
  <w:num w:numId="2">
    <w:abstractNumId w:val="6"/>
  </w:num>
  <w:num w:numId="3">
    <w:abstractNumId w:val="5"/>
  </w:num>
  <w:num w:numId="4">
    <w:abstractNumId w:val="14"/>
  </w:num>
  <w:num w:numId="5">
    <w:abstractNumId w:val="0"/>
  </w:num>
  <w:num w:numId="6">
    <w:abstractNumId w:val="3"/>
  </w:num>
  <w:num w:numId="7">
    <w:abstractNumId w:val="1"/>
  </w:num>
  <w:num w:numId="8">
    <w:abstractNumId w:val="4"/>
  </w:num>
  <w:num w:numId="9">
    <w:abstractNumId w:val="11"/>
  </w:num>
  <w:num w:numId="10">
    <w:abstractNumId w:val="9"/>
  </w:num>
  <w:num w:numId="11">
    <w:abstractNumId w:val="8"/>
  </w:num>
  <w:num w:numId="12">
    <w:abstractNumId w:val="10"/>
  </w:num>
  <w:num w:numId="13">
    <w:abstractNumId w:val="2"/>
  </w:num>
  <w:num w:numId="14">
    <w:abstractNumId w:val="7"/>
  </w:num>
  <w:num w:numId="15">
    <w:abstractNumId w:val="13"/>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MTAyMWIwNGM3MTY4YzI1ODQ1YzE1MTBmYmRlNDgifQ=="/>
  </w:docVars>
  <w:rsids>
    <w:rsidRoot w:val="002817FE"/>
    <w:rsid w:val="000031BD"/>
    <w:rsid w:val="0002144F"/>
    <w:rsid w:val="00022CBA"/>
    <w:rsid w:val="00031339"/>
    <w:rsid w:val="00034C3B"/>
    <w:rsid w:val="0003567E"/>
    <w:rsid w:val="00036FFD"/>
    <w:rsid w:val="00044709"/>
    <w:rsid w:val="00046FDA"/>
    <w:rsid w:val="00055B25"/>
    <w:rsid w:val="00070282"/>
    <w:rsid w:val="0007052D"/>
    <w:rsid w:val="00070CCC"/>
    <w:rsid w:val="00077ED0"/>
    <w:rsid w:val="000827A3"/>
    <w:rsid w:val="000829A4"/>
    <w:rsid w:val="0008702D"/>
    <w:rsid w:val="00091440"/>
    <w:rsid w:val="000A158C"/>
    <w:rsid w:val="000A1D59"/>
    <w:rsid w:val="000A2FE5"/>
    <w:rsid w:val="000A4B14"/>
    <w:rsid w:val="000B6FE0"/>
    <w:rsid w:val="000C1DB7"/>
    <w:rsid w:val="000C2349"/>
    <w:rsid w:val="000E3942"/>
    <w:rsid w:val="000F1029"/>
    <w:rsid w:val="000F38C5"/>
    <w:rsid w:val="00104487"/>
    <w:rsid w:val="00107D81"/>
    <w:rsid w:val="00110B4C"/>
    <w:rsid w:val="00113576"/>
    <w:rsid w:val="00113ED8"/>
    <w:rsid w:val="00115FAE"/>
    <w:rsid w:val="00117187"/>
    <w:rsid w:val="00127F75"/>
    <w:rsid w:val="00130D7B"/>
    <w:rsid w:val="001310C9"/>
    <w:rsid w:val="0013187F"/>
    <w:rsid w:val="00133A2A"/>
    <w:rsid w:val="0014447C"/>
    <w:rsid w:val="00147DAC"/>
    <w:rsid w:val="001520C1"/>
    <w:rsid w:val="0015338B"/>
    <w:rsid w:val="0016205D"/>
    <w:rsid w:val="00163AEE"/>
    <w:rsid w:val="0016759D"/>
    <w:rsid w:val="00174201"/>
    <w:rsid w:val="0018797C"/>
    <w:rsid w:val="00190371"/>
    <w:rsid w:val="001934A3"/>
    <w:rsid w:val="00193ECB"/>
    <w:rsid w:val="001A2811"/>
    <w:rsid w:val="001A3AE6"/>
    <w:rsid w:val="001A695E"/>
    <w:rsid w:val="001B5E6F"/>
    <w:rsid w:val="001C2E2A"/>
    <w:rsid w:val="001D1B71"/>
    <w:rsid w:val="001D411A"/>
    <w:rsid w:val="001D5BFB"/>
    <w:rsid w:val="001D6AB1"/>
    <w:rsid w:val="001E243C"/>
    <w:rsid w:val="001F1C88"/>
    <w:rsid w:val="00201A44"/>
    <w:rsid w:val="00202316"/>
    <w:rsid w:val="00206D3B"/>
    <w:rsid w:val="002100FB"/>
    <w:rsid w:val="002104FD"/>
    <w:rsid w:val="0021164E"/>
    <w:rsid w:val="00217B28"/>
    <w:rsid w:val="00220375"/>
    <w:rsid w:val="00225935"/>
    <w:rsid w:val="002271DF"/>
    <w:rsid w:val="002376DD"/>
    <w:rsid w:val="00240709"/>
    <w:rsid w:val="00242590"/>
    <w:rsid w:val="00245E0C"/>
    <w:rsid w:val="00246DA5"/>
    <w:rsid w:val="00261A3E"/>
    <w:rsid w:val="00265338"/>
    <w:rsid w:val="002738AF"/>
    <w:rsid w:val="002753DE"/>
    <w:rsid w:val="00276C5C"/>
    <w:rsid w:val="002817FE"/>
    <w:rsid w:val="002826F6"/>
    <w:rsid w:val="002B0BD7"/>
    <w:rsid w:val="002B0DB7"/>
    <w:rsid w:val="002C2B81"/>
    <w:rsid w:val="002C3ACE"/>
    <w:rsid w:val="002D56F4"/>
    <w:rsid w:val="002E2415"/>
    <w:rsid w:val="002F7A10"/>
    <w:rsid w:val="00302D81"/>
    <w:rsid w:val="003110A1"/>
    <w:rsid w:val="0031253C"/>
    <w:rsid w:val="003126B9"/>
    <w:rsid w:val="00326CF1"/>
    <w:rsid w:val="00336D50"/>
    <w:rsid w:val="0034372B"/>
    <w:rsid w:val="00343F01"/>
    <w:rsid w:val="00350514"/>
    <w:rsid w:val="00356920"/>
    <w:rsid w:val="00364F01"/>
    <w:rsid w:val="00376E83"/>
    <w:rsid w:val="003848F1"/>
    <w:rsid w:val="00385871"/>
    <w:rsid w:val="00390621"/>
    <w:rsid w:val="003932AB"/>
    <w:rsid w:val="003A53AB"/>
    <w:rsid w:val="003B030D"/>
    <w:rsid w:val="003B54B1"/>
    <w:rsid w:val="003C2196"/>
    <w:rsid w:val="003C3F34"/>
    <w:rsid w:val="003C4C3B"/>
    <w:rsid w:val="003D36B5"/>
    <w:rsid w:val="003D4493"/>
    <w:rsid w:val="003F333D"/>
    <w:rsid w:val="003F55E3"/>
    <w:rsid w:val="003F5CF8"/>
    <w:rsid w:val="0040324F"/>
    <w:rsid w:val="00405E01"/>
    <w:rsid w:val="0040709F"/>
    <w:rsid w:val="00416DF5"/>
    <w:rsid w:val="00417E9B"/>
    <w:rsid w:val="00422CF6"/>
    <w:rsid w:val="00424235"/>
    <w:rsid w:val="004275F1"/>
    <w:rsid w:val="00430C8E"/>
    <w:rsid w:val="00432398"/>
    <w:rsid w:val="00435CAB"/>
    <w:rsid w:val="00446C30"/>
    <w:rsid w:val="00446F2B"/>
    <w:rsid w:val="00453AE8"/>
    <w:rsid w:val="00460296"/>
    <w:rsid w:val="00463D33"/>
    <w:rsid w:val="00465C38"/>
    <w:rsid w:val="00474C9C"/>
    <w:rsid w:val="0047694A"/>
    <w:rsid w:val="00476C69"/>
    <w:rsid w:val="00491D09"/>
    <w:rsid w:val="004A1DB3"/>
    <w:rsid w:val="004B0008"/>
    <w:rsid w:val="004C413E"/>
    <w:rsid w:val="004C662A"/>
    <w:rsid w:val="004D19CA"/>
    <w:rsid w:val="004E139D"/>
    <w:rsid w:val="004E3955"/>
    <w:rsid w:val="004F64A9"/>
    <w:rsid w:val="0050219C"/>
    <w:rsid w:val="005022CB"/>
    <w:rsid w:val="005120BA"/>
    <w:rsid w:val="0051482E"/>
    <w:rsid w:val="00526236"/>
    <w:rsid w:val="005453C8"/>
    <w:rsid w:val="00546538"/>
    <w:rsid w:val="00551BC4"/>
    <w:rsid w:val="00572C54"/>
    <w:rsid w:val="00573A07"/>
    <w:rsid w:val="00592E6C"/>
    <w:rsid w:val="005B27D0"/>
    <w:rsid w:val="005C0F92"/>
    <w:rsid w:val="005C492E"/>
    <w:rsid w:val="005D0063"/>
    <w:rsid w:val="005D0450"/>
    <w:rsid w:val="005D2D83"/>
    <w:rsid w:val="005D4C5A"/>
    <w:rsid w:val="005D4D10"/>
    <w:rsid w:val="005D7942"/>
    <w:rsid w:val="005E06D3"/>
    <w:rsid w:val="005E1C1D"/>
    <w:rsid w:val="005E58B8"/>
    <w:rsid w:val="005E7E18"/>
    <w:rsid w:val="005F384F"/>
    <w:rsid w:val="005F3F06"/>
    <w:rsid w:val="00602A98"/>
    <w:rsid w:val="0060486C"/>
    <w:rsid w:val="00612B6B"/>
    <w:rsid w:val="00612F3A"/>
    <w:rsid w:val="00613B3C"/>
    <w:rsid w:val="00614AB3"/>
    <w:rsid w:val="006150B1"/>
    <w:rsid w:val="00620487"/>
    <w:rsid w:val="00622688"/>
    <w:rsid w:val="00625139"/>
    <w:rsid w:val="00637298"/>
    <w:rsid w:val="00642374"/>
    <w:rsid w:val="00647A54"/>
    <w:rsid w:val="006666D0"/>
    <w:rsid w:val="00673153"/>
    <w:rsid w:val="006753DE"/>
    <w:rsid w:val="0067611D"/>
    <w:rsid w:val="00680EFE"/>
    <w:rsid w:val="0068502C"/>
    <w:rsid w:val="00685FCB"/>
    <w:rsid w:val="00694EEC"/>
    <w:rsid w:val="006A02C7"/>
    <w:rsid w:val="006A3658"/>
    <w:rsid w:val="006A6081"/>
    <w:rsid w:val="006A6646"/>
    <w:rsid w:val="006B01C3"/>
    <w:rsid w:val="006B26C0"/>
    <w:rsid w:val="006B3A5F"/>
    <w:rsid w:val="006C787B"/>
    <w:rsid w:val="006E333C"/>
    <w:rsid w:val="006E7405"/>
    <w:rsid w:val="00705818"/>
    <w:rsid w:val="00713DE9"/>
    <w:rsid w:val="00713E56"/>
    <w:rsid w:val="007264DE"/>
    <w:rsid w:val="007460E7"/>
    <w:rsid w:val="007504CE"/>
    <w:rsid w:val="007510E1"/>
    <w:rsid w:val="007607F9"/>
    <w:rsid w:val="00772663"/>
    <w:rsid w:val="00777740"/>
    <w:rsid w:val="00777E26"/>
    <w:rsid w:val="0079473B"/>
    <w:rsid w:val="007966C1"/>
    <w:rsid w:val="00796C58"/>
    <w:rsid w:val="007977EC"/>
    <w:rsid w:val="007B6A15"/>
    <w:rsid w:val="007B79AC"/>
    <w:rsid w:val="007C41CF"/>
    <w:rsid w:val="007E1989"/>
    <w:rsid w:val="007E5E7D"/>
    <w:rsid w:val="007F2ABD"/>
    <w:rsid w:val="00803A17"/>
    <w:rsid w:val="00820A30"/>
    <w:rsid w:val="0082204C"/>
    <w:rsid w:val="00823E20"/>
    <w:rsid w:val="008346EB"/>
    <w:rsid w:val="0083700E"/>
    <w:rsid w:val="0083713A"/>
    <w:rsid w:val="008437D6"/>
    <w:rsid w:val="00845759"/>
    <w:rsid w:val="0085112F"/>
    <w:rsid w:val="00855090"/>
    <w:rsid w:val="0086227A"/>
    <w:rsid w:val="00867B93"/>
    <w:rsid w:val="008732A7"/>
    <w:rsid w:val="00884FEA"/>
    <w:rsid w:val="0088696A"/>
    <w:rsid w:val="00887591"/>
    <w:rsid w:val="00892778"/>
    <w:rsid w:val="008A0092"/>
    <w:rsid w:val="008D68AB"/>
    <w:rsid w:val="008D733E"/>
    <w:rsid w:val="008F015A"/>
    <w:rsid w:val="008F01DE"/>
    <w:rsid w:val="008F3AC3"/>
    <w:rsid w:val="008F604F"/>
    <w:rsid w:val="0090505A"/>
    <w:rsid w:val="00910E16"/>
    <w:rsid w:val="00916894"/>
    <w:rsid w:val="00917E00"/>
    <w:rsid w:val="0092084D"/>
    <w:rsid w:val="00927A9E"/>
    <w:rsid w:val="00936CA3"/>
    <w:rsid w:val="009416BE"/>
    <w:rsid w:val="00953BB9"/>
    <w:rsid w:val="00963013"/>
    <w:rsid w:val="00967A91"/>
    <w:rsid w:val="00971A75"/>
    <w:rsid w:val="009B5FE5"/>
    <w:rsid w:val="009C12E4"/>
    <w:rsid w:val="009C40DB"/>
    <w:rsid w:val="009D30AC"/>
    <w:rsid w:val="009D4DD9"/>
    <w:rsid w:val="009E1792"/>
    <w:rsid w:val="009E2A91"/>
    <w:rsid w:val="009E6A85"/>
    <w:rsid w:val="009F024F"/>
    <w:rsid w:val="009F0593"/>
    <w:rsid w:val="009F18EF"/>
    <w:rsid w:val="009F5FA2"/>
    <w:rsid w:val="009F7E60"/>
    <w:rsid w:val="00A04F8D"/>
    <w:rsid w:val="00A06ACD"/>
    <w:rsid w:val="00A16830"/>
    <w:rsid w:val="00A30B36"/>
    <w:rsid w:val="00A30EB2"/>
    <w:rsid w:val="00A33A80"/>
    <w:rsid w:val="00A37018"/>
    <w:rsid w:val="00A41135"/>
    <w:rsid w:val="00A4269F"/>
    <w:rsid w:val="00A51EFA"/>
    <w:rsid w:val="00A56835"/>
    <w:rsid w:val="00A61F09"/>
    <w:rsid w:val="00A62D10"/>
    <w:rsid w:val="00A718D2"/>
    <w:rsid w:val="00A75345"/>
    <w:rsid w:val="00A7770A"/>
    <w:rsid w:val="00A77CE8"/>
    <w:rsid w:val="00A863B6"/>
    <w:rsid w:val="00A920FA"/>
    <w:rsid w:val="00A9255B"/>
    <w:rsid w:val="00A97005"/>
    <w:rsid w:val="00AA22F3"/>
    <w:rsid w:val="00AA43B3"/>
    <w:rsid w:val="00AA7DFA"/>
    <w:rsid w:val="00AB1E22"/>
    <w:rsid w:val="00AD0297"/>
    <w:rsid w:val="00AD06DD"/>
    <w:rsid w:val="00AD1981"/>
    <w:rsid w:val="00AD2E71"/>
    <w:rsid w:val="00AD6DEA"/>
    <w:rsid w:val="00AE21C3"/>
    <w:rsid w:val="00AF6E0F"/>
    <w:rsid w:val="00B04CDD"/>
    <w:rsid w:val="00B06338"/>
    <w:rsid w:val="00B1122C"/>
    <w:rsid w:val="00B11D21"/>
    <w:rsid w:val="00B12AA4"/>
    <w:rsid w:val="00B13357"/>
    <w:rsid w:val="00B35684"/>
    <w:rsid w:val="00B3631E"/>
    <w:rsid w:val="00B40B45"/>
    <w:rsid w:val="00B60B46"/>
    <w:rsid w:val="00B72667"/>
    <w:rsid w:val="00B755B4"/>
    <w:rsid w:val="00B85308"/>
    <w:rsid w:val="00BA2BB1"/>
    <w:rsid w:val="00BA5FAF"/>
    <w:rsid w:val="00BA663C"/>
    <w:rsid w:val="00BB0CA4"/>
    <w:rsid w:val="00BB1528"/>
    <w:rsid w:val="00BC145F"/>
    <w:rsid w:val="00BD6AE8"/>
    <w:rsid w:val="00BE0E5D"/>
    <w:rsid w:val="00BE664C"/>
    <w:rsid w:val="00C012EC"/>
    <w:rsid w:val="00C037BF"/>
    <w:rsid w:val="00C119BD"/>
    <w:rsid w:val="00C26818"/>
    <w:rsid w:val="00C31DD9"/>
    <w:rsid w:val="00C32B07"/>
    <w:rsid w:val="00C474A4"/>
    <w:rsid w:val="00C47BE8"/>
    <w:rsid w:val="00C54F23"/>
    <w:rsid w:val="00C558E1"/>
    <w:rsid w:val="00C6735D"/>
    <w:rsid w:val="00C84A04"/>
    <w:rsid w:val="00C90D72"/>
    <w:rsid w:val="00C90E68"/>
    <w:rsid w:val="00C91E6D"/>
    <w:rsid w:val="00C96BE1"/>
    <w:rsid w:val="00CA2960"/>
    <w:rsid w:val="00CA49B2"/>
    <w:rsid w:val="00CD4601"/>
    <w:rsid w:val="00CE7C53"/>
    <w:rsid w:val="00CF4F46"/>
    <w:rsid w:val="00D07464"/>
    <w:rsid w:val="00D14EF7"/>
    <w:rsid w:val="00D16C6F"/>
    <w:rsid w:val="00D33E2E"/>
    <w:rsid w:val="00D36374"/>
    <w:rsid w:val="00D51E3A"/>
    <w:rsid w:val="00D530E0"/>
    <w:rsid w:val="00D572D4"/>
    <w:rsid w:val="00D64566"/>
    <w:rsid w:val="00D81B1D"/>
    <w:rsid w:val="00D91EB9"/>
    <w:rsid w:val="00DA14FA"/>
    <w:rsid w:val="00DB185E"/>
    <w:rsid w:val="00DB47AB"/>
    <w:rsid w:val="00DC6ACF"/>
    <w:rsid w:val="00DE29AD"/>
    <w:rsid w:val="00DE71DD"/>
    <w:rsid w:val="00DF7EBF"/>
    <w:rsid w:val="00E0289C"/>
    <w:rsid w:val="00E0344A"/>
    <w:rsid w:val="00E22EE7"/>
    <w:rsid w:val="00E25550"/>
    <w:rsid w:val="00E25C02"/>
    <w:rsid w:val="00E26265"/>
    <w:rsid w:val="00E275C2"/>
    <w:rsid w:val="00E54C33"/>
    <w:rsid w:val="00E6043E"/>
    <w:rsid w:val="00E71865"/>
    <w:rsid w:val="00E855C2"/>
    <w:rsid w:val="00E937A1"/>
    <w:rsid w:val="00EA40E2"/>
    <w:rsid w:val="00EA6778"/>
    <w:rsid w:val="00EB7EFF"/>
    <w:rsid w:val="00EC19D2"/>
    <w:rsid w:val="00EC6196"/>
    <w:rsid w:val="00ED310E"/>
    <w:rsid w:val="00EE65BB"/>
    <w:rsid w:val="00EF2790"/>
    <w:rsid w:val="00EF4025"/>
    <w:rsid w:val="00F06474"/>
    <w:rsid w:val="00F10A8E"/>
    <w:rsid w:val="00F12E43"/>
    <w:rsid w:val="00F131A4"/>
    <w:rsid w:val="00F1567C"/>
    <w:rsid w:val="00F16D00"/>
    <w:rsid w:val="00F300F4"/>
    <w:rsid w:val="00F34F26"/>
    <w:rsid w:val="00F41596"/>
    <w:rsid w:val="00F45C7D"/>
    <w:rsid w:val="00F46579"/>
    <w:rsid w:val="00F63599"/>
    <w:rsid w:val="00F63BEA"/>
    <w:rsid w:val="00F67D64"/>
    <w:rsid w:val="00F95884"/>
    <w:rsid w:val="00FA7C4D"/>
    <w:rsid w:val="00FB41CA"/>
    <w:rsid w:val="00FC2263"/>
    <w:rsid w:val="00FC5A98"/>
    <w:rsid w:val="00FD53CB"/>
    <w:rsid w:val="00FE101C"/>
    <w:rsid w:val="00FF1ECE"/>
    <w:rsid w:val="00FF6375"/>
    <w:rsid w:val="013D6A37"/>
    <w:rsid w:val="015D3EE6"/>
    <w:rsid w:val="035A6031"/>
    <w:rsid w:val="0773731D"/>
    <w:rsid w:val="07F63DEF"/>
    <w:rsid w:val="09763C4E"/>
    <w:rsid w:val="0A233311"/>
    <w:rsid w:val="0E30206B"/>
    <w:rsid w:val="0F213C9F"/>
    <w:rsid w:val="167C0DE6"/>
    <w:rsid w:val="17374026"/>
    <w:rsid w:val="1A954C84"/>
    <w:rsid w:val="1D0C3F0A"/>
    <w:rsid w:val="200A3B2A"/>
    <w:rsid w:val="2123018C"/>
    <w:rsid w:val="21803FB5"/>
    <w:rsid w:val="254F07E6"/>
    <w:rsid w:val="259A582D"/>
    <w:rsid w:val="269D7FCE"/>
    <w:rsid w:val="28C20B96"/>
    <w:rsid w:val="2900011E"/>
    <w:rsid w:val="2D4E7AB3"/>
    <w:rsid w:val="300809F5"/>
    <w:rsid w:val="3187496F"/>
    <w:rsid w:val="34A24E84"/>
    <w:rsid w:val="34CA45AF"/>
    <w:rsid w:val="34FB796B"/>
    <w:rsid w:val="3505097E"/>
    <w:rsid w:val="352F323E"/>
    <w:rsid w:val="36C86387"/>
    <w:rsid w:val="37F66761"/>
    <w:rsid w:val="3B692912"/>
    <w:rsid w:val="3C504A40"/>
    <w:rsid w:val="3C8F64CD"/>
    <w:rsid w:val="3CB605D4"/>
    <w:rsid w:val="3D1C0182"/>
    <w:rsid w:val="413C7F8F"/>
    <w:rsid w:val="417936FD"/>
    <w:rsid w:val="41A054EA"/>
    <w:rsid w:val="42FD668D"/>
    <w:rsid w:val="45D32EDF"/>
    <w:rsid w:val="469103B4"/>
    <w:rsid w:val="49293410"/>
    <w:rsid w:val="495A50AF"/>
    <w:rsid w:val="4A24029D"/>
    <w:rsid w:val="4B8F1EEF"/>
    <w:rsid w:val="4CE95AE1"/>
    <w:rsid w:val="4E842117"/>
    <w:rsid w:val="500033E8"/>
    <w:rsid w:val="51153803"/>
    <w:rsid w:val="537B1F4B"/>
    <w:rsid w:val="542D0F45"/>
    <w:rsid w:val="57A42CD4"/>
    <w:rsid w:val="584F47ED"/>
    <w:rsid w:val="5B4A5024"/>
    <w:rsid w:val="5B5214FC"/>
    <w:rsid w:val="5D0A556A"/>
    <w:rsid w:val="5D440C9C"/>
    <w:rsid w:val="5D8B3E7E"/>
    <w:rsid w:val="614A7C83"/>
    <w:rsid w:val="61665FE8"/>
    <w:rsid w:val="61E5671C"/>
    <w:rsid w:val="63940828"/>
    <w:rsid w:val="65EF43AF"/>
    <w:rsid w:val="66C116C1"/>
    <w:rsid w:val="6BFF54D2"/>
    <w:rsid w:val="6E1E63E9"/>
    <w:rsid w:val="6F2474ED"/>
    <w:rsid w:val="6F5A2F04"/>
    <w:rsid w:val="71241C02"/>
    <w:rsid w:val="712D33AD"/>
    <w:rsid w:val="714464CB"/>
    <w:rsid w:val="72FE69EA"/>
    <w:rsid w:val="756374E9"/>
    <w:rsid w:val="761C0F14"/>
    <w:rsid w:val="79CF7C6E"/>
    <w:rsid w:val="7A601268"/>
    <w:rsid w:val="7F0F6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6"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41"/>
    <w:autoRedefine/>
    <w:qFormat/>
    <w:uiPriority w:val="0"/>
    <w:pPr>
      <w:keepNext/>
      <w:keepLines/>
      <w:numPr>
        <w:ilvl w:val="1"/>
        <w:numId w:val="1"/>
      </w:numPr>
      <w:spacing w:beforeLines="100" w:afterLines="100"/>
      <w:jc w:val="left"/>
      <w:outlineLvl w:val="1"/>
    </w:pPr>
    <w:rPr>
      <w:rFonts w:ascii="Arial" w:hAnsi="Arial"/>
      <w:b/>
      <w:bCs/>
      <w:kern w:val="0"/>
      <w:sz w:val="28"/>
      <w:szCs w:val="36"/>
    </w:rPr>
  </w:style>
  <w:style w:type="paragraph" w:styleId="5">
    <w:name w:val="heading 3"/>
    <w:basedOn w:val="1"/>
    <w:next w:val="1"/>
    <w:link w:val="42"/>
    <w:autoRedefine/>
    <w:qFormat/>
    <w:uiPriority w:val="0"/>
    <w:pPr>
      <w:keepNext/>
      <w:keepLines/>
      <w:numPr>
        <w:ilvl w:val="2"/>
        <w:numId w:val="1"/>
      </w:numPr>
      <w:spacing w:beforeLines="100" w:afterLines="100"/>
      <w:jc w:val="left"/>
      <w:outlineLvl w:val="2"/>
    </w:pPr>
    <w:rPr>
      <w:rFonts w:ascii="Arial" w:hAnsi="Arial" w:eastAsia="黑体"/>
      <w:b/>
      <w:bCs/>
      <w:kern w:val="0"/>
      <w:sz w:val="30"/>
      <w:szCs w:val="32"/>
    </w:rPr>
  </w:style>
  <w:style w:type="paragraph" w:styleId="6">
    <w:name w:val="heading 4"/>
    <w:basedOn w:val="1"/>
    <w:next w:val="4"/>
    <w:link w:val="43"/>
    <w:autoRedefine/>
    <w:qFormat/>
    <w:uiPriority w:val="0"/>
    <w:pPr>
      <w:spacing w:before="280" w:after="290" w:line="377" w:lineRule="auto"/>
      <w:outlineLvl w:val="3"/>
    </w:pPr>
    <w:rPr>
      <w:rFonts w:ascii="Arial" w:hAnsi="Arial" w:eastAsia="黑体"/>
      <w:b/>
      <w:bCs/>
      <w:kern w:val="0"/>
      <w:sz w:val="28"/>
      <w:szCs w:val="28"/>
    </w:rPr>
  </w:style>
  <w:style w:type="paragraph" w:styleId="7">
    <w:name w:val="heading 5"/>
    <w:basedOn w:val="1"/>
    <w:next w:val="1"/>
    <w:link w:val="44"/>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45"/>
    <w:autoRedefine/>
    <w:qFormat/>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1"/>
    <w:next w:val="1"/>
    <w:link w:val="46"/>
    <w:autoRedefine/>
    <w:qFormat/>
    <w:uiPriority w:val="0"/>
    <w:pPr>
      <w:keepNext/>
      <w:keepLines/>
      <w:spacing w:before="240" w:after="64" w:line="320" w:lineRule="auto"/>
      <w:ind w:left="1296" w:hanging="1296"/>
      <w:outlineLvl w:val="6"/>
    </w:pPr>
    <w:rPr>
      <w:rFonts w:ascii="Times New Roman" w:hAnsi="Times New Roman"/>
      <w:b/>
      <w:bCs/>
      <w:kern w:val="0"/>
      <w:sz w:val="24"/>
      <w:szCs w:val="24"/>
    </w:rPr>
  </w:style>
  <w:style w:type="paragraph" w:styleId="10">
    <w:name w:val="heading 8"/>
    <w:basedOn w:val="1"/>
    <w:next w:val="1"/>
    <w:link w:val="47"/>
    <w:autoRedefine/>
    <w:qFormat/>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48"/>
    <w:autoRedefine/>
    <w:qFormat/>
    <w:uiPriority w:val="0"/>
    <w:pPr>
      <w:keepNext/>
      <w:keepLines/>
      <w:spacing w:before="240" w:after="64" w:line="320" w:lineRule="auto"/>
      <w:ind w:left="1584" w:hanging="1584"/>
      <w:outlineLvl w:val="8"/>
    </w:pPr>
    <w:rPr>
      <w:rFonts w:ascii="Cambria" w:hAnsi="Cambria"/>
      <w:kern w:val="0"/>
      <w:sz w:val="2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02"/>
    <w:autoRedefine/>
    <w:unhideWhenUsed/>
    <w:qFormat/>
    <w:uiPriority w:val="0"/>
    <w:pPr>
      <w:ind w:firstLine="420" w:firstLineChars="200"/>
    </w:pPr>
  </w:style>
  <w:style w:type="paragraph" w:styleId="12">
    <w:name w:val="Document Map"/>
    <w:basedOn w:val="1"/>
    <w:link w:val="51"/>
    <w:autoRedefine/>
    <w:qFormat/>
    <w:uiPriority w:val="0"/>
    <w:rPr>
      <w:rFonts w:ascii="宋体" w:hAnsi="Times New Roman"/>
      <w:sz w:val="18"/>
      <w:szCs w:val="18"/>
    </w:rPr>
  </w:style>
  <w:style w:type="paragraph" w:styleId="13">
    <w:name w:val="annotation text"/>
    <w:basedOn w:val="1"/>
    <w:link w:val="49"/>
    <w:autoRedefine/>
    <w:unhideWhenUsed/>
    <w:qFormat/>
    <w:uiPriority w:val="99"/>
    <w:pPr>
      <w:jc w:val="left"/>
    </w:pPr>
  </w:style>
  <w:style w:type="paragraph" w:styleId="14">
    <w:name w:val="Body Text 3"/>
    <w:basedOn w:val="1"/>
    <w:link w:val="52"/>
    <w:autoRedefine/>
    <w:qFormat/>
    <w:uiPriority w:val="0"/>
    <w:rPr>
      <w:rFonts w:ascii="宋体" w:hAnsi="Times New Roman"/>
      <w:sz w:val="24"/>
      <w:szCs w:val="20"/>
    </w:rPr>
  </w:style>
  <w:style w:type="paragraph" w:styleId="15">
    <w:name w:val="Body Text"/>
    <w:basedOn w:val="1"/>
    <w:link w:val="53"/>
    <w:autoRedefine/>
    <w:qFormat/>
    <w:uiPriority w:val="0"/>
    <w:rPr>
      <w:rFonts w:ascii="楷体_GB2312" w:hAnsi="Arial" w:eastAsia="楷体_GB2312"/>
      <w:kern w:val="0"/>
      <w:sz w:val="28"/>
      <w:szCs w:val="28"/>
    </w:rPr>
  </w:style>
  <w:style w:type="paragraph" w:styleId="16">
    <w:name w:val="Body Text Indent"/>
    <w:basedOn w:val="1"/>
    <w:link w:val="54"/>
    <w:autoRedefine/>
    <w:qFormat/>
    <w:uiPriority w:val="99"/>
    <w:pPr>
      <w:spacing w:after="120"/>
      <w:ind w:left="420" w:leftChars="200"/>
    </w:pPr>
    <w:rPr>
      <w:rFonts w:ascii="Times New Roman" w:hAnsi="Times New Roman"/>
      <w:kern w:val="0"/>
      <w:sz w:val="20"/>
      <w:szCs w:val="24"/>
    </w:rPr>
  </w:style>
  <w:style w:type="paragraph" w:styleId="17">
    <w:name w:val="toc 3"/>
    <w:basedOn w:val="1"/>
    <w:next w:val="1"/>
    <w:autoRedefine/>
    <w:unhideWhenUsed/>
    <w:qFormat/>
    <w:uiPriority w:val="39"/>
    <w:pPr>
      <w:ind w:left="840" w:leftChars="400"/>
    </w:pPr>
  </w:style>
  <w:style w:type="paragraph" w:styleId="18">
    <w:name w:val="Plain Text"/>
    <w:basedOn w:val="1"/>
    <w:link w:val="55"/>
    <w:autoRedefine/>
    <w:qFormat/>
    <w:uiPriority w:val="0"/>
    <w:rPr>
      <w:rFonts w:ascii="宋体" w:hAnsi="Courier New"/>
      <w:kern w:val="0"/>
      <w:sz w:val="20"/>
      <w:szCs w:val="21"/>
    </w:rPr>
  </w:style>
  <w:style w:type="paragraph" w:styleId="19">
    <w:name w:val="Body Text Indent 2"/>
    <w:basedOn w:val="1"/>
    <w:link w:val="56"/>
    <w:autoRedefine/>
    <w:qFormat/>
    <w:uiPriority w:val="0"/>
    <w:pPr>
      <w:snapToGrid w:val="0"/>
      <w:spacing w:line="480" w:lineRule="exact"/>
      <w:ind w:firstLine="562" w:firstLineChars="200"/>
    </w:pPr>
    <w:rPr>
      <w:rFonts w:ascii="楷体_GB2312" w:hAnsi="Times New Roman" w:eastAsia="楷体_GB2312"/>
      <w:b/>
      <w:bCs/>
      <w:kern w:val="0"/>
      <w:sz w:val="28"/>
      <w:szCs w:val="24"/>
    </w:rPr>
  </w:style>
  <w:style w:type="paragraph" w:styleId="20">
    <w:name w:val="Balloon Text"/>
    <w:basedOn w:val="1"/>
    <w:link w:val="57"/>
    <w:autoRedefine/>
    <w:unhideWhenUsed/>
    <w:qFormat/>
    <w:uiPriority w:val="99"/>
    <w:rPr>
      <w:kern w:val="0"/>
      <w:sz w:val="18"/>
      <w:szCs w:val="18"/>
    </w:rPr>
  </w:style>
  <w:style w:type="paragraph" w:styleId="21">
    <w:name w:val="footer"/>
    <w:basedOn w:val="1"/>
    <w:link w:val="39"/>
    <w:autoRedefine/>
    <w:unhideWhenUsed/>
    <w:qFormat/>
    <w:uiPriority w:val="99"/>
    <w:pPr>
      <w:tabs>
        <w:tab w:val="center" w:pos="4153"/>
        <w:tab w:val="right" w:pos="8306"/>
      </w:tabs>
      <w:snapToGrid w:val="0"/>
      <w:jc w:val="left"/>
    </w:pPr>
    <w:rPr>
      <w:sz w:val="18"/>
      <w:szCs w:val="18"/>
    </w:rPr>
  </w:style>
  <w:style w:type="paragraph" w:styleId="22">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table of figures"/>
    <w:basedOn w:val="1"/>
    <w:next w:val="1"/>
    <w:autoRedefine/>
    <w:semiHidden/>
    <w:qFormat/>
    <w:uiPriority w:val="0"/>
    <w:pPr>
      <w:spacing w:beforeLines="50" w:afterLines="50"/>
      <w:ind w:left="840" w:leftChars="200" w:hanging="420" w:hangingChars="200"/>
    </w:pPr>
    <w:rPr>
      <w:rFonts w:ascii="Times New Roman" w:hAnsi="Times New Roman"/>
      <w:sz w:val="24"/>
      <w:szCs w:val="24"/>
    </w:rPr>
  </w:style>
  <w:style w:type="paragraph" w:styleId="25">
    <w:name w:val="toc 2"/>
    <w:basedOn w:val="1"/>
    <w:next w:val="1"/>
    <w:autoRedefine/>
    <w:unhideWhenUsed/>
    <w:qFormat/>
    <w:uiPriority w:val="39"/>
    <w:pPr>
      <w:ind w:left="420" w:leftChars="200"/>
    </w:pPr>
  </w:style>
  <w:style w:type="paragraph" w:styleId="26">
    <w:name w:val="Normal (Web)"/>
    <w:basedOn w:val="1"/>
    <w:autoRedefine/>
    <w:unhideWhenUsed/>
    <w:qFormat/>
    <w:uiPriority w:val="99"/>
    <w:rPr>
      <w:rFonts w:ascii="Times New Roman" w:hAnsi="Times New Roman"/>
      <w:sz w:val="24"/>
    </w:rPr>
  </w:style>
  <w:style w:type="paragraph" w:styleId="27">
    <w:name w:val="Title"/>
    <w:basedOn w:val="1"/>
    <w:next w:val="1"/>
    <w:autoRedefine/>
    <w:qFormat/>
    <w:uiPriority w:val="0"/>
    <w:pPr>
      <w:spacing w:line="520" w:lineRule="exact"/>
      <w:jc w:val="center"/>
      <w:outlineLvl w:val="3"/>
    </w:pPr>
    <w:rPr>
      <w:rFonts w:ascii="Cambria" w:hAnsi="Cambria"/>
      <w:b/>
      <w:bCs/>
      <w:sz w:val="28"/>
      <w:szCs w:val="32"/>
    </w:rPr>
  </w:style>
  <w:style w:type="paragraph" w:styleId="28">
    <w:name w:val="annotation subject"/>
    <w:basedOn w:val="13"/>
    <w:next w:val="13"/>
    <w:link w:val="50"/>
    <w:autoRedefine/>
    <w:unhideWhenUsed/>
    <w:qFormat/>
    <w:uiPriority w:val="99"/>
    <w:rPr>
      <w:b/>
      <w:bCs/>
      <w:kern w:val="0"/>
      <w:sz w:val="20"/>
      <w:szCs w:val="20"/>
    </w:rPr>
  </w:style>
  <w:style w:type="paragraph" w:styleId="29">
    <w:name w:val="Body Text First Indent"/>
    <w:basedOn w:val="15"/>
    <w:autoRedefine/>
    <w:unhideWhenUsed/>
    <w:qFormat/>
    <w:uiPriority w:val="99"/>
    <w:pPr>
      <w:spacing w:after="120"/>
      <w:ind w:firstLine="420" w:firstLineChars="100"/>
    </w:pPr>
    <w:rPr>
      <w:rFonts w:ascii="Calibri" w:hAnsi="Calibri" w:eastAsia="宋体"/>
      <w:kern w:val="2"/>
      <w:sz w:val="21"/>
      <w:szCs w:val="22"/>
    </w:rPr>
  </w:style>
  <w:style w:type="table" w:styleId="31">
    <w:name w:val="Table Grid"/>
    <w:basedOn w:val="3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ascii="Tahoma" w:hAnsi="Tahoma" w:eastAsia="宋体"/>
      <w:b/>
      <w:bCs/>
      <w:spacing w:val="10"/>
      <w:sz w:val="24"/>
      <w:lang w:val="en-US" w:eastAsia="zh-CN" w:bidi="ar-SA"/>
    </w:rPr>
  </w:style>
  <w:style w:type="character" w:styleId="34">
    <w:name w:val="page number"/>
    <w:autoRedefine/>
    <w:qFormat/>
    <w:uiPriority w:val="0"/>
  </w:style>
  <w:style w:type="character" w:styleId="35">
    <w:name w:val="Emphasis"/>
    <w:autoRedefine/>
    <w:qFormat/>
    <w:uiPriority w:val="0"/>
    <w:rPr>
      <w:rFonts w:ascii="Times New Roman" w:hAnsi="Times New Roman"/>
      <w:i/>
      <w:iCs/>
      <w:sz w:val="21"/>
      <w:szCs w:val="20"/>
    </w:rPr>
  </w:style>
  <w:style w:type="character" w:styleId="36">
    <w:name w:val="Hyperlink"/>
    <w:basedOn w:val="32"/>
    <w:autoRedefine/>
    <w:unhideWhenUsed/>
    <w:qFormat/>
    <w:uiPriority w:val="0"/>
    <w:rPr>
      <w:color w:val="0000FF"/>
      <w:u w:val="single"/>
    </w:rPr>
  </w:style>
  <w:style w:type="character" w:styleId="37">
    <w:name w:val="annotation reference"/>
    <w:autoRedefine/>
    <w:unhideWhenUsed/>
    <w:qFormat/>
    <w:uiPriority w:val="99"/>
    <w:rPr>
      <w:sz w:val="21"/>
      <w:szCs w:val="21"/>
    </w:rPr>
  </w:style>
  <w:style w:type="character" w:customStyle="1" w:styleId="38">
    <w:name w:val="页眉 字符"/>
    <w:basedOn w:val="32"/>
    <w:link w:val="22"/>
    <w:autoRedefine/>
    <w:qFormat/>
    <w:uiPriority w:val="99"/>
    <w:rPr>
      <w:sz w:val="18"/>
      <w:szCs w:val="18"/>
    </w:rPr>
  </w:style>
  <w:style w:type="character" w:customStyle="1" w:styleId="39">
    <w:name w:val="页脚 字符"/>
    <w:basedOn w:val="32"/>
    <w:link w:val="21"/>
    <w:autoRedefine/>
    <w:qFormat/>
    <w:uiPriority w:val="99"/>
    <w:rPr>
      <w:sz w:val="18"/>
      <w:szCs w:val="18"/>
    </w:rPr>
  </w:style>
  <w:style w:type="character" w:customStyle="1" w:styleId="40">
    <w:name w:val="标题 1 字符"/>
    <w:basedOn w:val="32"/>
    <w:link w:val="2"/>
    <w:autoRedefine/>
    <w:qFormat/>
    <w:uiPriority w:val="0"/>
    <w:rPr>
      <w:rFonts w:ascii="Calibri" w:hAnsi="Calibri" w:eastAsia="宋体" w:cs="Times New Roman"/>
      <w:b/>
      <w:bCs/>
      <w:kern w:val="44"/>
      <w:sz w:val="44"/>
      <w:szCs w:val="44"/>
    </w:rPr>
  </w:style>
  <w:style w:type="character" w:customStyle="1" w:styleId="41">
    <w:name w:val="标题 2 字符"/>
    <w:basedOn w:val="32"/>
    <w:link w:val="3"/>
    <w:autoRedefine/>
    <w:qFormat/>
    <w:uiPriority w:val="0"/>
    <w:rPr>
      <w:rFonts w:ascii="Arial" w:hAnsi="Arial" w:eastAsia="宋体" w:cs="Times New Roman"/>
      <w:b/>
      <w:bCs/>
      <w:kern w:val="0"/>
      <w:sz w:val="28"/>
      <w:szCs w:val="36"/>
    </w:rPr>
  </w:style>
  <w:style w:type="character" w:customStyle="1" w:styleId="42">
    <w:name w:val="标题 3 字符"/>
    <w:basedOn w:val="32"/>
    <w:link w:val="5"/>
    <w:autoRedefine/>
    <w:qFormat/>
    <w:uiPriority w:val="0"/>
    <w:rPr>
      <w:rFonts w:ascii="Arial" w:hAnsi="Arial" w:eastAsia="黑体" w:cs="Times New Roman"/>
      <w:b/>
      <w:bCs/>
      <w:kern w:val="0"/>
      <w:sz w:val="30"/>
      <w:szCs w:val="32"/>
    </w:rPr>
  </w:style>
  <w:style w:type="character" w:customStyle="1" w:styleId="43">
    <w:name w:val="标题 4 字符"/>
    <w:basedOn w:val="32"/>
    <w:link w:val="6"/>
    <w:autoRedefine/>
    <w:qFormat/>
    <w:uiPriority w:val="0"/>
    <w:rPr>
      <w:rFonts w:ascii="Arial" w:hAnsi="Arial" w:eastAsia="黑体" w:cs="Times New Roman"/>
      <w:b/>
      <w:bCs/>
      <w:kern w:val="0"/>
      <w:sz w:val="28"/>
      <w:szCs w:val="28"/>
    </w:rPr>
  </w:style>
  <w:style w:type="character" w:customStyle="1" w:styleId="44">
    <w:name w:val="标题 5 字符1"/>
    <w:basedOn w:val="32"/>
    <w:link w:val="7"/>
    <w:autoRedefine/>
    <w:qFormat/>
    <w:uiPriority w:val="0"/>
    <w:rPr>
      <w:rFonts w:ascii="Calibri" w:hAnsi="Calibri" w:eastAsia="宋体" w:cs="Times New Roman"/>
      <w:b/>
      <w:bCs/>
      <w:kern w:val="0"/>
      <w:sz w:val="28"/>
      <w:szCs w:val="28"/>
    </w:rPr>
  </w:style>
  <w:style w:type="character" w:customStyle="1" w:styleId="45">
    <w:name w:val="标题 6 字符"/>
    <w:basedOn w:val="32"/>
    <w:link w:val="8"/>
    <w:autoRedefine/>
    <w:qFormat/>
    <w:uiPriority w:val="0"/>
    <w:rPr>
      <w:rFonts w:ascii="Cambria" w:hAnsi="Cambria" w:eastAsia="宋体" w:cs="Times New Roman"/>
      <w:b/>
      <w:bCs/>
      <w:kern w:val="0"/>
      <w:sz w:val="24"/>
      <w:szCs w:val="24"/>
    </w:rPr>
  </w:style>
  <w:style w:type="character" w:customStyle="1" w:styleId="46">
    <w:name w:val="标题 7 字符"/>
    <w:basedOn w:val="32"/>
    <w:link w:val="9"/>
    <w:autoRedefine/>
    <w:qFormat/>
    <w:uiPriority w:val="0"/>
    <w:rPr>
      <w:rFonts w:ascii="Times New Roman" w:hAnsi="Times New Roman" w:eastAsia="宋体" w:cs="Times New Roman"/>
      <w:b/>
      <w:bCs/>
      <w:kern w:val="0"/>
      <w:sz w:val="24"/>
      <w:szCs w:val="24"/>
    </w:rPr>
  </w:style>
  <w:style w:type="character" w:customStyle="1" w:styleId="47">
    <w:name w:val="标题 8 字符"/>
    <w:basedOn w:val="32"/>
    <w:link w:val="10"/>
    <w:autoRedefine/>
    <w:qFormat/>
    <w:uiPriority w:val="0"/>
    <w:rPr>
      <w:rFonts w:ascii="Cambria" w:hAnsi="Cambria" w:eastAsia="宋体" w:cs="Times New Roman"/>
      <w:kern w:val="0"/>
      <w:sz w:val="24"/>
      <w:szCs w:val="24"/>
    </w:rPr>
  </w:style>
  <w:style w:type="character" w:customStyle="1" w:styleId="48">
    <w:name w:val="标题 9 字符"/>
    <w:basedOn w:val="32"/>
    <w:link w:val="11"/>
    <w:autoRedefine/>
    <w:qFormat/>
    <w:uiPriority w:val="0"/>
    <w:rPr>
      <w:rFonts w:ascii="Cambria" w:hAnsi="Cambria" w:eastAsia="宋体" w:cs="Times New Roman"/>
      <w:kern w:val="0"/>
      <w:sz w:val="20"/>
      <w:szCs w:val="21"/>
    </w:rPr>
  </w:style>
  <w:style w:type="character" w:customStyle="1" w:styleId="49">
    <w:name w:val="批注文字 字符"/>
    <w:basedOn w:val="32"/>
    <w:link w:val="13"/>
    <w:autoRedefine/>
    <w:qFormat/>
    <w:uiPriority w:val="99"/>
    <w:rPr>
      <w:rFonts w:ascii="Calibri" w:hAnsi="Calibri" w:eastAsia="宋体" w:cs="Times New Roman"/>
    </w:rPr>
  </w:style>
  <w:style w:type="character" w:customStyle="1" w:styleId="50">
    <w:name w:val="批注主题 字符"/>
    <w:basedOn w:val="49"/>
    <w:link w:val="28"/>
    <w:autoRedefine/>
    <w:qFormat/>
    <w:uiPriority w:val="99"/>
    <w:rPr>
      <w:rFonts w:ascii="Calibri" w:hAnsi="Calibri" w:eastAsia="宋体" w:cs="Times New Roman"/>
      <w:b/>
      <w:bCs/>
      <w:kern w:val="0"/>
      <w:sz w:val="20"/>
      <w:szCs w:val="20"/>
    </w:rPr>
  </w:style>
  <w:style w:type="character" w:customStyle="1" w:styleId="51">
    <w:name w:val="文档结构图 字符"/>
    <w:basedOn w:val="32"/>
    <w:link w:val="12"/>
    <w:autoRedefine/>
    <w:qFormat/>
    <w:uiPriority w:val="0"/>
    <w:rPr>
      <w:rFonts w:ascii="宋体" w:hAnsi="Times New Roman" w:eastAsia="宋体" w:cs="Times New Roman"/>
      <w:sz w:val="18"/>
      <w:szCs w:val="18"/>
    </w:rPr>
  </w:style>
  <w:style w:type="character" w:customStyle="1" w:styleId="52">
    <w:name w:val="正文文本 3 字符"/>
    <w:basedOn w:val="32"/>
    <w:link w:val="14"/>
    <w:autoRedefine/>
    <w:qFormat/>
    <w:uiPriority w:val="0"/>
    <w:rPr>
      <w:rFonts w:ascii="宋体" w:hAnsi="Times New Roman" w:eastAsia="宋体" w:cs="Times New Roman"/>
      <w:sz w:val="24"/>
      <w:szCs w:val="20"/>
    </w:rPr>
  </w:style>
  <w:style w:type="character" w:customStyle="1" w:styleId="53">
    <w:name w:val="正文文本 字符"/>
    <w:basedOn w:val="32"/>
    <w:link w:val="15"/>
    <w:autoRedefine/>
    <w:qFormat/>
    <w:uiPriority w:val="0"/>
    <w:rPr>
      <w:rFonts w:ascii="楷体_GB2312" w:hAnsi="Arial" w:eastAsia="楷体_GB2312" w:cs="Times New Roman"/>
      <w:kern w:val="0"/>
      <w:sz w:val="28"/>
      <w:szCs w:val="28"/>
    </w:rPr>
  </w:style>
  <w:style w:type="character" w:customStyle="1" w:styleId="54">
    <w:name w:val="正文文本缩进 字符"/>
    <w:basedOn w:val="32"/>
    <w:link w:val="16"/>
    <w:autoRedefine/>
    <w:qFormat/>
    <w:uiPriority w:val="99"/>
    <w:rPr>
      <w:rFonts w:ascii="Times New Roman" w:hAnsi="Times New Roman" w:eastAsia="宋体" w:cs="Times New Roman"/>
      <w:kern w:val="0"/>
      <w:sz w:val="20"/>
      <w:szCs w:val="24"/>
    </w:rPr>
  </w:style>
  <w:style w:type="character" w:customStyle="1" w:styleId="55">
    <w:name w:val="纯文本 字符"/>
    <w:basedOn w:val="32"/>
    <w:link w:val="18"/>
    <w:autoRedefine/>
    <w:qFormat/>
    <w:uiPriority w:val="0"/>
    <w:rPr>
      <w:rFonts w:ascii="宋体" w:hAnsi="Courier New" w:eastAsia="宋体" w:cs="Times New Roman"/>
      <w:kern w:val="0"/>
      <w:sz w:val="20"/>
      <w:szCs w:val="21"/>
    </w:rPr>
  </w:style>
  <w:style w:type="character" w:customStyle="1" w:styleId="56">
    <w:name w:val="正文文本缩进 2 字符"/>
    <w:basedOn w:val="32"/>
    <w:link w:val="19"/>
    <w:autoRedefine/>
    <w:qFormat/>
    <w:uiPriority w:val="0"/>
    <w:rPr>
      <w:rFonts w:ascii="楷体_GB2312" w:hAnsi="Times New Roman" w:eastAsia="楷体_GB2312" w:cs="Times New Roman"/>
      <w:b/>
      <w:bCs/>
      <w:kern w:val="0"/>
      <w:sz w:val="28"/>
      <w:szCs w:val="24"/>
    </w:rPr>
  </w:style>
  <w:style w:type="character" w:customStyle="1" w:styleId="57">
    <w:name w:val="批注框文本 字符"/>
    <w:basedOn w:val="32"/>
    <w:link w:val="20"/>
    <w:autoRedefine/>
    <w:qFormat/>
    <w:uiPriority w:val="99"/>
    <w:rPr>
      <w:rFonts w:ascii="Calibri" w:hAnsi="Calibri" w:eastAsia="宋体" w:cs="Times New Roman"/>
      <w:kern w:val="0"/>
      <w:sz w:val="18"/>
      <w:szCs w:val="18"/>
    </w:rPr>
  </w:style>
  <w:style w:type="paragraph" w:customStyle="1" w:styleId="58">
    <w:name w:val="表格样式居中"/>
    <w:link w:val="92"/>
    <w:autoRedefine/>
    <w:qFormat/>
    <w:uiPriority w:val="0"/>
    <w:pPr>
      <w:adjustRightInd w:val="0"/>
      <w:snapToGrid w:val="0"/>
      <w:spacing w:line="360" w:lineRule="auto"/>
      <w:jc w:val="center"/>
    </w:pPr>
    <w:rPr>
      <w:rFonts w:ascii="宋体" w:hAnsi="宋体" w:eastAsia="宋体" w:cs="Times New Roman"/>
      <w:bCs/>
      <w:kern w:val="44"/>
      <w:sz w:val="21"/>
      <w:szCs w:val="21"/>
      <w:lang w:val="zh-CN" w:eastAsia="zh-CN" w:bidi="ar-SA"/>
    </w:rPr>
  </w:style>
  <w:style w:type="paragraph" w:customStyle="1" w:styleId="59">
    <w:name w:val="List Paragraph1"/>
    <w:basedOn w:val="1"/>
    <w:autoRedefine/>
    <w:qFormat/>
    <w:uiPriority w:val="0"/>
    <w:pPr>
      <w:ind w:firstLine="420" w:firstLineChars="200"/>
    </w:pPr>
    <w:rPr>
      <w:rFonts w:ascii="Times New Roman" w:hAnsi="Times New Roman"/>
      <w:szCs w:val="20"/>
    </w:rPr>
  </w:style>
  <w:style w:type="paragraph" w:customStyle="1" w:styleId="60">
    <w:name w:val="正文 1.1"/>
    <w:basedOn w:val="1"/>
    <w:next w:val="61"/>
    <w:autoRedefine/>
    <w:qFormat/>
    <w:uiPriority w:val="0"/>
    <w:pPr>
      <w:numPr>
        <w:ilvl w:val="1"/>
        <w:numId w:val="2"/>
      </w:numPr>
      <w:ind w:firstLine="550"/>
      <w:outlineLvl w:val="1"/>
    </w:pPr>
    <w:rPr>
      <w:rFonts w:ascii="仿宋" w:hAnsi="仿宋"/>
      <w:b/>
    </w:rPr>
  </w:style>
  <w:style w:type="paragraph" w:customStyle="1" w:styleId="61">
    <w:name w:val="正文 1.1.1"/>
    <w:basedOn w:val="1"/>
    <w:next w:val="1"/>
    <w:autoRedefine/>
    <w:qFormat/>
    <w:uiPriority w:val="0"/>
    <w:pPr>
      <w:numPr>
        <w:ilvl w:val="2"/>
        <w:numId w:val="2"/>
      </w:numPr>
      <w:outlineLvl w:val="2"/>
    </w:pPr>
    <w:rPr>
      <w:rFonts w:hAnsi="宋体"/>
      <w:color w:val="FF0000"/>
    </w:rPr>
  </w:style>
  <w:style w:type="paragraph" w:customStyle="1" w:styleId="62">
    <w:name w:val="一级缩进"/>
    <w:link w:val="103"/>
    <w:autoRedefine/>
    <w:qFormat/>
    <w:uiPriority w:val="0"/>
    <w:pPr>
      <w:tabs>
        <w:tab w:val="left" w:pos="720"/>
      </w:tabs>
      <w:adjustRightInd w:val="0"/>
      <w:snapToGrid w:val="0"/>
      <w:spacing w:before="120" w:after="120" w:line="360" w:lineRule="auto"/>
      <w:ind w:left="987"/>
      <w:jc w:val="both"/>
    </w:pPr>
    <w:rPr>
      <w:rFonts w:ascii="Calibri" w:hAnsi="Calibri" w:eastAsia="仿宋_GB2312" w:cs="Times New Roman"/>
      <w:kern w:val="2"/>
      <w:sz w:val="32"/>
      <w:szCs w:val="32"/>
      <w:lang w:val="en-US" w:eastAsia="zh-CN" w:bidi="ar-SA"/>
    </w:rPr>
  </w:style>
  <w:style w:type="paragraph" w:customStyle="1" w:styleId="63">
    <w:name w:val="unnamed1"/>
    <w:basedOn w:val="1"/>
    <w:autoRedefine/>
    <w:qFormat/>
    <w:uiPriority w:val="0"/>
    <w:pPr>
      <w:widowControl/>
      <w:spacing w:before="100" w:beforeAutospacing="1" w:after="100" w:afterAutospacing="1" w:line="288" w:lineRule="auto"/>
      <w:jc w:val="left"/>
    </w:pPr>
    <w:rPr>
      <w:rFonts w:hint="eastAsia" w:ascii="宋体" w:hAnsi="宋体"/>
      <w:kern w:val="0"/>
      <w:szCs w:val="21"/>
    </w:rPr>
  </w:style>
  <w:style w:type="paragraph" w:customStyle="1" w:styleId="64">
    <w:name w:val="段落"/>
    <w:link w:val="130"/>
    <w:autoRedefine/>
    <w:qFormat/>
    <w:uiPriority w:val="0"/>
    <w:pPr>
      <w:adjustRightInd w:val="0"/>
      <w:snapToGrid w:val="0"/>
      <w:spacing w:before="120" w:after="120" w:line="360" w:lineRule="auto"/>
      <w:ind w:firstLine="640" w:firstLineChars="200"/>
      <w:jc w:val="both"/>
    </w:pPr>
    <w:rPr>
      <w:rFonts w:ascii="Calibri" w:hAnsi="Calibri" w:eastAsia="仿宋_GB2312" w:cs="Times New Roman"/>
      <w:kern w:val="2"/>
      <w:sz w:val="32"/>
      <w:szCs w:val="32"/>
      <w:lang w:val="en-US" w:eastAsia="zh-CN" w:bidi="ar-SA"/>
    </w:rPr>
  </w:style>
  <w:style w:type="paragraph" w:customStyle="1" w:styleId="65">
    <w:name w:val="Char Char Char Char Char Char Char"/>
    <w:basedOn w:val="12"/>
    <w:autoRedefine/>
    <w:qFormat/>
    <w:uiPriority w:val="0"/>
    <w:pPr>
      <w:shd w:val="clear" w:color="auto" w:fill="000080"/>
    </w:pPr>
    <w:rPr>
      <w:rFonts w:ascii="Times New Roman"/>
      <w:sz w:val="21"/>
      <w:szCs w:val="20"/>
    </w:rPr>
  </w:style>
  <w:style w:type="paragraph" w:customStyle="1" w:styleId="66">
    <w:name w:val="列出段落1"/>
    <w:basedOn w:val="1"/>
    <w:link w:val="126"/>
    <w:autoRedefine/>
    <w:qFormat/>
    <w:uiPriority w:val="0"/>
    <w:pPr>
      <w:ind w:firstLine="200" w:firstLineChars="200"/>
    </w:pPr>
    <w:rPr>
      <w:kern w:val="0"/>
      <w:sz w:val="20"/>
      <w:szCs w:val="20"/>
    </w:rPr>
  </w:style>
  <w:style w:type="paragraph" w:customStyle="1" w:styleId="67">
    <w:name w:val="msonospacing"/>
    <w:link w:val="13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缩进1"/>
    <w:basedOn w:val="1"/>
    <w:autoRedefine/>
    <w:qFormat/>
    <w:uiPriority w:val="0"/>
    <w:pPr>
      <w:widowControl/>
      <w:spacing w:line="360" w:lineRule="auto"/>
      <w:ind w:firstLine="420"/>
      <w:jc w:val="left"/>
    </w:pPr>
    <w:rPr>
      <w:rFonts w:ascii="宋体" w:hAnsi="Times New Roman"/>
      <w:kern w:val="0"/>
      <w:sz w:val="20"/>
      <w:szCs w:val="20"/>
    </w:rPr>
  </w:style>
  <w:style w:type="paragraph" w:customStyle="1" w:styleId="6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70">
    <w:name w:val="Char1 Char Char Char Char Char Char"/>
    <w:basedOn w:val="1"/>
    <w:autoRedefine/>
    <w:qFormat/>
    <w:uiPriority w:val="0"/>
    <w:rPr>
      <w:rFonts w:ascii="Times New Roman" w:hAnsi="Times New Roman"/>
      <w:szCs w:val="24"/>
    </w:rPr>
  </w:style>
  <w:style w:type="paragraph" w:customStyle="1" w:styleId="71">
    <w:name w:val="CD 正文"/>
    <w:basedOn w:val="1"/>
    <w:autoRedefine/>
    <w:qFormat/>
    <w:uiPriority w:val="0"/>
    <w:pPr>
      <w:jc w:val="left"/>
    </w:pPr>
    <w:rPr>
      <w:rFonts w:ascii="Arial" w:hAnsi="Arial" w:eastAsia="微软雅黑" w:cs="Arial"/>
      <w:szCs w:val="21"/>
    </w:rPr>
  </w:style>
  <w:style w:type="paragraph" w:customStyle="1" w:styleId="72">
    <w:name w:val="表格文字"/>
    <w:basedOn w:val="1"/>
    <w:link w:val="125"/>
    <w:qFormat/>
    <w:uiPriority w:val="0"/>
    <w:pPr>
      <w:jc w:val="left"/>
    </w:pPr>
    <w:rPr>
      <w:kern w:val="21"/>
      <w:sz w:val="20"/>
      <w:szCs w:val="21"/>
    </w:rPr>
  </w:style>
  <w:style w:type="paragraph" w:customStyle="1" w:styleId="73">
    <w:name w:val="_Style 2"/>
    <w:basedOn w:val="1"/>
    <w:autoRedefine/>
    <w:qFormat/>
    <w:uiPriority w:val="34"/>
    <w:pPr>
      <w:ind w:firstLine="420" w:firstLineChars="200"/>
    </w:pPr>
    <w:rPr>
      <w:rFonts w:ascii="Times New Roman" w:hAnsi="Times New Roman"/>
      <w:szCs w:val="24"/>
    </w:rPr>
  </w:style>
  <w:style w:type="paragraph" w:customStyle="1" w:styleId="74">
    <w:name w:val="FUNO正文"/>
    <w:autoRedefine/>
    <w:qFormat/>
    <w:uiPriority w:val="0"/>
    <w:pPr>
      <w:spacing w:line="360" w:lineRule="auto"/>
      <w:ind w:firstLine="480" w:firstLineChars="200"/>
      <w:jc w:val="both"/>
    </w:pPr>
    <w:rPr>
      <w:rFonts w:ascii="宋体" w:hAnsi="宋体" w:eastAsia="宋体" w:cs="Times New Roman"/>
      <w:kern w:val="2"/>
      <w:sz w:val="24"/>
      <w:szCs w:val="21"/>
      <w:lang w:val="en-US" w:eastAsia="zh-CN" w:bidi="ar-SA"/>
    </w:rPr>
  </w:style>
  <w:style w:type="paragraph" w:customStyle="1" w:styleId="75">
    <w:name w:val="表格样式居左"/>
    <w:link w:val="134"/>
    <w:autoRedefine/>
    <w:qFormat/>
    <w:uiPriority w:val="0"/>
    <w:pPr>
      <w:adjustRightInd w:val="0"/>
      <w:snapToGrid w:val="0"/>
      <w:spacing w:line="360" w:lineRule="exact"/>
    </w:pPr>
    <w:rPr>
      <w:rFonts w:ascii="Calibri" w:hAnsi="Calibri" w:eastAsia="仿宋_GB2312" w:cs="Times New Roman"/>
      <w:bCs/>
      <w:color w:val="000000"/>
      <w:kern w:val="2"/>
      <w:sz w:val="21"/>
      <w:szCs w:val="44"/>
      <w:lang w:val="en-US" w:eastAsia="zh-CN" w:bidi="ar-SA"/>
    </w:rPr>
  </w:style>
  <w:style w:type="paragraph" w:customStyle="1" w:styleId="76">
    <w:name w:val="p0"/>
    <w:basedOn w:val="1"/>
    <w:autoRedefine/>
    <w:qFormat/>
    <w:uiPriority w:val="0"/>
    <w:pPr>
      <w:widowControl/>
    </w:pPr>
    <w:rPr>
      <w:rFonts w:ascii="Times New Roman" w:hAnsi="Times New Roman"/>
      <w:kern w:val="0"/>
      <w:szCs w:val="21"/>
    </w:rPr>
  </w:style>
  <w:style w:type="paragraph" w:styleId="77">
    <w:name w:val="List Paragraph"/>
    <w:basedOn w:val="1"/>
    <w:autoRedefine/>
    <w:qFormat/>
    <w:uiPriority w:val="34"/>
    <w:pPr>
      <w:ind w:left="720"/>
    </w:pPr>
    <w:rPr>
      <w:rFonts w:ascii="Times New Roman" w:hAnsi="Times New Roman"/>
      <w:szCs w:val="21"/>
    </w:rPr>
  </w:style>
  <w:style w:type="paragraph" w:customStyle="1" w:styleId="78">
    <w:name w:val="二级目录"/>
    <w:next w:val="1"/>
    <w:autoRedefine/>
    <w:qFormat/>
    <w:uiPriority w:val="0"/>
    <w:pPr>
      <w:numPr>
        <w:ilvl w:val="0"/>
        <w:numId w:val="3"/>
      </w:numPr>
      <w:outlineLvl w:val="1"/>
    </w:pPr>
    <w:rPr>
      <w:rFonts w:ascii="Times New Roman" w:hAnsi="Times New Roman" w:eastAsia="宋体" w:cs="Times New Roman"/>
      <w:b/>
      <w:kern w:val="2"/>
      <w:sz w:val="30"/>
      <w:szCs w:val="28"/>
      <w:lang w:val="en-US" w:eastAsia="zh-CN" w:bidi="ar-SA"/>
    </w:rPr>
  </w:style>
  <w:style w:type="paragraph" w:customStyle="1" w:styleId="79">
    <w:name w:val="项目排列"/>
    <w:basedOn w:val="1"/>
    <w:link w:val="93"/>
    <w:autoRedefine/>
    <w:qFormat/>
    <w:uiPriority w:val="0"/>
    <w:pPr>
      <w:numPr>
        <w:ilvl w:val="0"/>
        <w:numId w:val="4"/>
      </w:numPr>
      <w:tabs>
        <w:tab w:val="left" w:pos="900"/>
      </w:tabs>
      <w:spacing w:beforeLines="50" w:afterLines="50" w:line="300" w:lineRule="auto"/>
    </w:pPr>
    <w:rPr>
      <w:kern w:val="0"/>
      <w:sz w:val="24"/>
      <w:szCs w:val="24"/>
    </w:rPr>
  </w:style>
  <w:style w:type="paragraph" w:customStyle="1" w:styleId="80">
    <w:name w:val="文档标题"/>
    <w:basedOn w:val="1"/>
    <w:autoRedefine/>
    <w:qFormat/>
    <w:uiPriority w:val="0"/>
    <w:pPr>
      <w:spacing w:beforeLines="100" w:afterLines="100" w:line="300" w:lineRule="auto"/>
      <w:jc w:val="center"/>
    </w:pPr>
    <w:rPr>
      <w:rFonts w:ascii="Arial" w:hAnsi="Arial" w:eastAsia="黑体" w:cs="Arial"/>
      <w:b/>
      <w:sz w:val="48"/>
      <w:szCs w:val="32"/>
    </w:rPr>
  </w:style>
  <w:style w:type="paragraph" w:customStyle="1" w:styleId="81">
    <w:name w:val="Char1"/>
    <w:basedOn w:val="1"/>
    <w:autoRedefine/>
    <w:qFormat/>
    <w:uiPriority w:val="0"/>
    <w:rPr>
      <w:rFonts w:ascii="仿宋_GB2312" w:hAnsi="Times New Roman" w:eastAsia="仿宋_GB2312"/>
      <w:b/>
      <w:sz w:val="32"/>
      <w:szCs w:val="32"/>
    </w:rPr>
  </w:style>
  <w:style w:type="paragraph" w:customStyle="1" w:styleId="82">
    <w:name w:val="正文2"/>
    <w:basedOn w:val="1"/>
    <w:autoRedefine/>
    <w:qFormat/>
    <w:uiPriority w:val="99"/>
    <w:pPr>
      <w:spacing w:before="156" w:line="360" w:lineRule="auto"/>
      <w:ind w:firstLine="510" w:firstLineChars="200"/>
    </w:pPr>
    <w:rPr>
      <w:rFonts w:ascii="Times New Roman" w:hAnsi="Times New Roman"/>
      <w:sz w:val="24"/>
      <w:szCs w:val="24"/>
    </w:rPr>
  </w:style>
  <w:style w:type="paragraph" w:customStyle="1" w:styleId="83">
    <w:name w:val="Char"/>
    <w:basedOn w:val="1"/>
    <w:autoRedefine/>
    <w:qFormat/>
    <w:uiPriority w:val="0"/>
    <w:pPr>
      <w:tabs>
        <w:tab w:val="left" w:pos="1350"/>
      </w:tabs>
      <w:ind w:left="1350" w:hanging="1350"/>
    </w:pPr>
    <w:rPr>
      <w:rFonts w:ascii="Times New Roman" w:hAnsi="Times New Roman"/>
      <w:sz w:val="24"/>
      <w:szCs w:val="24"/>
    </w:rPr>
  </w:style>
  <w:style w:type="paragraph" w:customStyle="1" w:styleId="84">
    <w:name w:val="正文1"/>
    <w:basedOn w:val="1"/>
    <w:link w:val="133"/>
    <w:autoRedefine/>
    <w:qFormat/>
    <w:uiPriority w:val="99"/>
    <w:pPr>
      <w:snapToGrid w:val="0"/>
      <w:spacing w:line="440" w:lineRule="exact"/>
      <w:ind w:firstLine="480" w:firstLineChars="200"/>
    </w:pPr>
    <w:rPr>
      <w:rFonts w:ascii="微软雅黑" w:hAnsi="微软雅黑" w:eastAsia="微软雅黑"/>
      <w:sz w:val="24"/>
      <w:szCs w:val="20"/>
    </w:rPr>
  </w:style>
  <w:style w:type="paragraph" w:customStyle="1" w:styleId="8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6">
    <w:name w:val="Default Paragraph Font Para Char"/>
    <w:basedOn w:val="1"/>
    <w:autoRedefine/>
    <w:qFormat/>
    <w:uiPriority w:val="0"/>
    <w:pPr>
      <w:widowControl/>
      <w:spacing w:beforeLines="50" w:after="160" w:line="240" w:lineRule="exact"/>
      <w:jc w:val="left"/>
    </w:pPr>
    <w:rPr>
      <w:rFonts w:ascii="Verdana" w:hAnsi="Verdana"/>
      <w:kern w:val="0"/>
      <w:sz w:val="20"/>
      <w:szCs w:val="20"/>
      <w:lang w:eastAsia="en-US"/>
    </w:rPr>
  </w:style>
  <w:style w:type="paragraph" w:customStyle="1" w:styleId="87">
    <w:name w:val="Normal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文档正文"/>
    <w:basedOn w:val="1"/>
    <w:autoRedefine/>
    <w:qFormat/>
    <w:uiPriority w:val="0"/>
    <w:pPr>
      <w:adjustRightInd w:val="0"/>
      <w:spacing w:line="480" w:lineRule="atLeast"/>
      <w:ind w:firstLine="567"/>
      <w:textAlignment w:val="baseline"/>
    </w:pPr>
    <w:rPr>
      <w:rFonts w:ascii="仿宋_GB2312" w:hAnsi="Times New Roman" w:eastAsia="仿宋_GB2312"/>
      <w:kern w:val="0"/>
      <w:sz w:val="28"/>
      <w:szCs w:val="24"/>
    </w:rPr>
  </w:style>
  <w:style w:type="paragraph" w:styleId="8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91">
    <w:name w:val="Char Char9"/>
    <w:autoRedefine/>
    <w:qFormat/>
    <w:uiPriority w:val="0"/>
    <w:rPr>
      <w:rFonts w:ascii="等线 Light" w:hAnsi="等线 Light" w:eastAsia="等线 Light" w:cs="Times New Roman"/>
      <w:b/>
      <w:bCs/>
      <w:sz w:val="28"/>
      <w:szCs w:val="28"/>
    </w:rPr>
  </w:style>
  <w:style w:type="character" w:customStyle="1" w:styleId="92">
    <w:name w:val="表格样式居中 Char"/>
    <w:link w:val="58"/>
    <w:autoRedefine/>
    <w:qFormat/>
    <w:uiPriority w:val="0"/>
    <w:rPr>
      <w:rFonts w:ascii="宋体" w:hAnsi="宋体" w:eastAsia="宋体" w:cs="Times New Roman"/>
      <w:bCs/>
      <w:kern w:val="44"/>
      <w:szCs w:val="21"/>
      <w:lang w:val="zh-CN"/>
    </w:rPr>
  </w:style>
  <w:style w:type="character" w:customStyle="1" w:styleId="93">
    <w:name w:val="项目排列 Char"/>
    <w:link w:val="79"/>
    <w:autoRedefine/>
    <w:qFormat/>
    <w:uiPriority w:val="0"/>
    <w:rPr>
      <w:rFonts w:ascii="Calibri" w:hAnsi="Calibri" w:eastAsia="宋体" w:cs="Times New Roman"/>
      <w:kern w:val="0"/>
      <w:sz w:val="24"/>
      <w:szCs w:val="24"/>
    </w:rPr>
  </w:style>
  <w:style w:type="character" w:customStyle="1" w:styleId="94">
    <w:name w:val="文档结构图 Char1"/>
    <w:basedOn w:val="32"/>
    <w:autoRedefine/>
    <w:semiHidden/>
    <w:qFormat/>
    <w:uiPriority w:val="99"/>
    <w:rPr>
      <w:rFonts w:ascii="宋体"/>
      <w:kern w:val="2"/>
      <w:sz w:val="18"/>
      <w:szCs w:val="18"/>
    </w:rPr>
  </w:style>
  <w:style w:type="character" w:customStyle="1" w:styleId="95">
    <w:name w:val="font231"/>
    <w:autoRedefine/>
    <w:qFormat/>
    <w:uiPriority w:val="0"/>
    <w:rPr>
      <w:rFonts w:hint="eastAsia" w:ascii="宋体" w:hAnsi="宋体" w:eastAsia="宋体" w:cs="宋体"/>
      <w:color w:val="000000"/>
      <w:sz w:val="20"/>
      <w:szCs w:val="20"/>
      <w:u w:val="none"/>
    </w:rPr>
  </w:style>
  <w:style w:type="character" w:customStyle="1" w:styleId="96">
    <w:name w:val="font191"/>
    <w:basedOn w:val="32"/>
    <w:autoRedefine/>
    <w:qFormat/>
    <w:uiPriority w:val="0"/>
    <w:rPr>
      <w:rFonts w:ascii="Wingdings 2" w:hAnsi="Wingdings 2" w:eastAsia="Wingdings 2" w:cs="Wingdings 2"/>
      <w:color w:val="000000"/>
      <w:sz w:val="20"/>
      <w:szCs w:val="20"/>
      <w:u w:val="none"/>
    </w:rPr>
  </w:style>
  <w:style w:type="character" w:customStyle="1" w:styleId="97">
    <w:name w:val="font211"/>
    <w:basedOn w:val="32"/>
    <w:autoRedefine/>
    <w:qFormat/>
    <w:uiPriority w:val="0"/>
    <w:rPr>
      <w:rFonts w:hint="eastAsia" w:ascii="宋体" w:hAnsi="宋体" w:eastAsia="宋体" w:cs="宋体"/>
      <w:color w:val="FF0000"/>
      <w:sz w:val="20"/>
      <w:szCs w:val="20"/>
      <w:u w:val="none"/>
      <w:vertAlign w:val="superscript"/>
    </w:rPr>
  </w:style>
  <w:style w:type="character" w:customStyle="1" w:styleId="98">
    <w:name w:val="font101"/>
    <w:basedOn w:val="32"/>
    <w:autoRedefine/>
    <w:qFormat/>
    <w:uiPriority w:val="0"/>
    <w:rPr>
      <w:rFonts w:hint="eastAsia" w:ascii="宋体" w:hAnsi="宋体" w:eastAsia="宋体" w:cs="宋体"/>
      <w:b/>
      <w:color w:val="000000"/>
      <w:sz w:val="18"/>
      <w:szCs w:val="18"/>
      <w:u w:val="none"/>
    </w:rPr>
  </w:style>
  <w:style w:type="character" w:customStyle="1" w:styleId="99">
    <w:name w:val="批注框文本 Char1"/>
    <w:autoRedefine/>
    <w:semiHidden/>
    <w:qFormat/>
    <w:uiPriority w:val="99"/>
    <w:rPr>
      <w:rFonts w:ascii="Times New Roman" w:hAnsi="Times New Roman"/>
      <w:kern w:val="2"/>
      <w:sz w:val="18"/>
      <w:szCs w:val="18"/>
    </w:rPr>
  </w:style>
  <w:style w:type="character" w:customStyle="1" w:styleId="100">
    <w:name w:val="font201"/>
    <w:autoRedefine/>
    <w:qFormat/>
    <w:uiPriority w:val="0"/>
    <w:rPr>
      <w:rFonts w:hint="default" w:ascii="Times New Roman" w:hAnsi="Times New Roman" w:cs="Times New Roman"/>
      <w:color w:val="000000"/>
      <w:sz w:val="20"/>
      <w:szCs w:val="20"/>
      <w:u w:val="none"/>
    </w:rPr>
  </w:style>
  <w:style w:type="character" w:customStyle="1" w:styleId="101">
    <w:name w:val="font171"/>
    <w:basedOn w:val="32"/>
    <w:autoRedefine/>
    <w:qFormat/>
    <w:uiPriority w:val="0"/>
    <w:rPr>
      <w:rFonts w:hint="eastAsia" w:ascii="宋体" w:hAnsi="宋体" w:eastAsia="宋体" w:cs="宋体"/>
      <w:color w:val="000000"/>
      <w:sz w:val="20"/>
      <w:szCs w:val="20"/>
      <w:u w:val="none"/>
    </w:rPr>
  </w:style>
  <w:style w:type="character" w:customStyle="1" w:styleId="102">
    <w:name w:val="正文缩进 字符"/>
    <w:link w:val="4"/>
    <w:autoRedefine/>
    <w:qFormat/>
    <w:uiPriority w:val="0"/>
    <w:rPr>
      <w:rFonts w:ascii="Calibri" w:hAnsi="Calibri" w:eastAsia="宋体" w:cs="Times New Roman"/>
    </w:rPr>
  </w:style>
  <w:style w:type="character" w:customStyle="1" w:styleId="103">
    <w:name w:val="一级缩进 Char"/>
    <w:link w:val="62"/>
    <w:autoRedefine/>
    <w:qFormat/>
    <w:uiPriority w:val="0"/>
    <w:rPr>
      <w:rFonts w:ascii="Calibri" w:hAnsi="Calibri" w:eastAsia="仿宋_GB2312" w:cs="Times New Roman"/>
      <w:sz w:val="32"/>
      <w:szCs w:val="32"/>
    </w:rPr>
  </w:style>
  <w:style w:type="character" w:customStyle="1" w:styleId="104">
    <w:name w:val="Char Char11"/>
    <w:autoRedefine/>
    <w:qFormat/>
    <w:uiPriority w:val="0"/>
    <w:rPr>
      <w:rFonts w:ascii="Arial" w:hAnsi="Arial" w:eastAsia="宋体" w:cs="Times New Roman"/>
      <w:b/>
      <w:bCs/>
      <w:sz w:val="28"/>
      <w:szCs w:val="36"/>
    </w:rPr>
  </w:style>
  <w:style w:type="character" w:customStyle="1" w:styleId="105">
    <w:name w:val="Char Char10"/>
    <w:autoRedefine/>
    <w:qFormat/>
    <w:uiPriority w:val="0"/>
    <w:rPr>
      <w:rFonts w:ascii="Arial" w:hAnsi="Arial" w:eastAsia="黑体" w:cs="Times New Roman"/>
      <w:b/>
      <w:bCs/>
      <w:sz w:val="30"/>
      <w:szCs w:val="32"/>
    </w:rPr>
  </w:style>
  <w:style w:type="character" w:customStyle="1" w:styleId="106">
    <w:name w:val="ca-161"/>
    <w:autoRedefine/>
    <w:qFormat/>
    <w:uiPriority w:val="0"/>
    <w:rPr>
      <w:rFonts w:hint="eastAsia" w:ascii="宋体" w:hAnsi="宋体" w:eastAsia="宋体"/>
      <w:spacing w:val="0"/>
      <w:sz w:val="21"/>
      <w:szCs w:val="21"/>
    </w:rPr>
  </w:style>
  <w:style w:type="character" w:customStyle="1" w:styleId="107">
    <w:name w:val="正文文本 3 Char1"/>
    <w:basedOn w:val="32"/>
    <w:autoRedefine/>
    <w:semiHidden/>
    <w:qFormat/>
    <w:uiPriority w:val="99"/>
    <w:rPr>
      <w:kern w:val="2"/>
      <w:sz w:val="16"/>
      <w:szCs w:val="16"/>
    </w:rPr>
  </w:style>
  <w:style w:type="character" w:customStyle="1" w:styleId="108">
    <w:name w:val="批注文字 Char1"/>
    <w:autoRedefine/>
    <w:qFormat/>
    <w:uiPriority w:val="99"/>
    <w:rPr>
      <w:rFonts w:ascii="Times New Roman" w:hAnsi="Times New Roman" w:eastAsia="宋体" w:cs="Times New Roman"/>
      <w:szCs w:val="24"/>
    </w:rPr>
  </w:style>
  <w:style w:type="character" w:customStyle="1" w:styleId="109">
    <w:name w:val="Char Char12"/>
    <w:autoRedefine/>
    <w:qFormat/>
    <w:uiPriority w:val="0"/>
    <w:rPr>
      <w:b/>
      <w:bCs/>
      <w:kern w:val="44"/>
      <w:sz w:val="44"/>
      <w:szCs w:val="44"/>
    </w:rPr>
  </w:style>
  <w:style w:type="character" w:customStyle="1" w:styleId="110">
    <w:name w:val="font241"/>
    <w:autoRedefine/>
    <w:qFormat/>
    <w:uiPriority w:val="0"/>
    <w:rPr>
      <w:rFonts w:hint="eastAsia" w:ascii="宋体" w:hAnsi="宋体" w:eastAsia="宋体" w:cs="宋体"/>
      <w:color w:val="000000"/>
      <w:sz w:val="20"/>
      <w:szCs w:val="20"/>
      <w:u w:val="none"/>
    </w:rPr>
  </w:style>
  <w:style w:type="character" w:customStyle="1" w:styleId="111">
    <w:name w:val="font51"/>
    <w:basedOn w:val="32"/>
    <w:autoRedefine/>
    <w:qFormat/>
    <w:uiPriority w:val="0"/>
    <w:rPr>
      <w:rFonts w:hint="eastAsia" w:ascii="宋体" w:hAnsi="宋体" w:eastAsia="宋体" w:cs="宋体"/>
      <w:b/>
      <w:color w:val="000000"/>
      <w:sz w:val="20"/>
      <w:szCs w:val="20"/>
      <w:u w:val="none"/>
    </w:rPr>
  </w:style>
  <w:style w:type="character" w:customStyle="1" w:styleId="112">
    <w:name w:val="font131"/>
    <w:autoRedefine/>
    <w:qFormat/>
    <w:uiPriority w:val="0"/>
    <w:rPr>
      <w:rFonts w:ascii="Wingdings 2" w:hAnsi="Wingdings 2" w:eastAsia="Wingdings 2" w:cs="Wingdings 2"/>
      <w:color w:val="000000"/>
      <w:sz w:val="20"/>
      <w:szCs w:val="20"/>
      <w:u w:val="none"/>
    </w:rPr>
  </w:style>
  <w:style w:type="character" w:customStyle="1" w:styleId="113">
    <w:name w:val="font61"/>
    <w:autoRedefine/>
    <w:qFormat/>
    <w:uiPriority w:val="0"/>
    <w:rPr>
      <w:rFonts w:hint="eastAsia" w:ascii="宋体" w:hAnsi="宋体" w:eastAsia="宋体" w:cs="宋体"/>
      <w:color w:val="000000"/>
      <w:sz w:val="20"/>
      <w:szCs w:val="20"/>
      <w:u w:val="none"/>
    </w:rPr>
  </w:style>
  <w:style w:type="character" w:customStyle="1" w:styleId="114">
    <w:name w:val="font21"/>
    <w:autoRedefine/>
    <w:qFormat/>
    <w:uiPriority w:val="0"/>
    <w:rPr>
      <w:rFonts w:hint="eastAsia" w:ascii="仿宋_GB2312" w:hAnsi="Times New Roman" w:eastAsia="仿宋_GB2312" w:cs="仿宋_GB2312"/>
      <w:color w:val="000000"/>
      <w:sz w:val="22"/>
      <w:szCs w:val="22"/>
      <w:u w:val="none"/>
    </w:rPr>
  </w:style>
  <w:style w:type="character" w:customStyle="1" w:styleId="115">
    <w:name w:val="font91"/>
    <w:basedOn w:val="32"/>
    <w:autoRedefine/>
    <w:qFormat/>
    <w:uiPriority w:val="0"/>
    <w:rPr>
      <w:rFonts w:hint="eastAsia" w:ascii="宋体" w:hAnsi="宋体" w:eastAsia="宋体" w:cs="宋体"/>
      <w:color w:val="000000"/>
      <w:sz w:val="16"/>
      <w:szCs w:val="16"/>
      <w:u w:val="none"/>
    </w:rPr>
  </w:style>
  <w:style w:type="character" w:customStyle="1" w:styleId="116">
    <w:name w:val="font81"/>
    <w:autoRedefine/>
    <w:qFormat/>
    <w:uiPriority w:val="0"/>
    <w:rPr>
      <w:rFonts w:ascii="Symbol" w:hAnsi="Symbol" w:cs="Symbol"/>
      <w:color w:val="000000"/>
      <w:sz w:val="20"/>
      <w:szCs w:val="20"/>
      <w:u w:val="none"/>
    </w:rPr>
  </w:style>
  <w:style w:type="character" w:customStyle="1" w:styleId="117">
    <w:name w:val="font01"/>
    <w:autoRedefine/>
    <w:qFormat/>
    <w:uiPriority w:val="0"/>
    <w:rPr>
      <w:rFonts w:hint="eastAsia" w:ascii="宋体" w:hAnsi="宋体" w:eastAsia="宋体"/>
      <w:color w:val="000000"/>
      <w:sz w:val="24"/>
      <w:szCs w:val="24"/>
      <w:u w:val="none"/>
    </w:rPr>
  </w:style>
  <w:style w:type="character" w:customStyle="1" w:styleId="118">
    <w:name w:val="_Style 103"/>
    <w:autoRedefine/>
    <w:qFormat/>
    <w:uiPriority w:val="19"/>
    <w:rPr>
      <w:rFonts w:ascii="Times New Roman" w:hAnsi="Times New Roman"/>
      <w:i/>
      <w:iCs/>
      <w:color w:val="808080"/>
      <w:sz w:val="21"/>
      <w:szCs w:val="20"/>
    </w:rPr>
  </w:style>
  <w:style w:type="character" w:customStyle="1" w:styleId="119">
    <w:name w:val="font11"/>
    <w:basedOn w:val="32"/>
    <w:autoRedefine/>
    <w:qFormat/>
    <w:uiPriority w:val="0"/>
    <w:rPr>
      <w:rFonts w:hint="eastAsia" w:ascii="宋体" w:hAnsi="宋体" w:eastAsia="宋体" w:cs="宋体"/>
      <w:color w:val="000000"/>
      <w:sz w:val="20"/>
      <w:szCs w:val="20"/>
      <w:u w:val="none"/>
    </w:rPr>
  </w:style>
  <w:style w:type="character" w:customStyle="1" w:styleId="120">
    <w:name w:val="unnamed11"/>
    <w:autoRedefine/>
    <w:qFormat/>
    <w:uiPriority w:val="99"/>
    <w:rPr>
      <w:rFonts w:hint="eastAsia" w:ascii="宋体" w:hAnsi="宋体" w:eastAsia="宋体"/>
      <w:sz w:val="21"/>
      <w:szCs w:val="21"/>
    </w:rPr>
  </w:style>
  <w:style w:type="character" w:customStyle="1" w:styleId="121">
    <w:name w:val="font41"/>
    <w:autoRedefine/>
    <w:qFormat/>
    <w:uiPriority w:val="0"/>
    <w:rPr>
      <w:rFonts w:hint="eastAsia" w:ascii="宋体" w:hAnsi="宋体" w:eastAsia="宋体"/>
      <w:color w:val="000000"/>
      <w:sz w:val="32"/>
      <w:szCs w:val="32"/>
      <w:u w:val="none"/>
    </w:rPr>
  </w:style>
  <w:style w:type="character" w:customStyle="1" w:styleId="122">
    <w:name w:val="正文文本缩进 Char1"/>
    <w:basedOn w:val="32"/>
    <w:autoRedefine/>
    <w:semiHidden/>
    <w:qFormat/>
    <w:uiPriority w:val="99"/>
  </w:style>
  <w:style w:type="character" w:customStyle="1" w:styleId="123">
    <w:name w:val="font161"/>
    <w:qFormat/>
    <w:uiPriority w:val="0"/>
    <w:rPr>
      <w:rFonts w:hint="eastAsia" w:ascii="宋体" w:hAnsi="宋体" w:eastAsia="宋体" w:cs="宋体"/>
      <w:b/>
      <w:color w:val="FF0000"/>
      <w:sz w:val="20"/>
      <w:szCs w:val="20"/>
      <w:u w:val="none"/>
    </w:rPr>
  </w:style>
  <w:style w:type="character" w:customStyle="1" w:styleId="124">
    <w:name w:val="Char Char8"/>
    <w:autoRedefine/>
    <w:qFormat/>
    <w:uiPriority w:val="0"/>
    <w:rPr>
      <w:rFonts w:ascii="Calibri" w:hAnsi="Calibri" w:eastAsia="宋体" w:cs="Times New Roman"/>
      <w:b/>
      <w:bCs/>
      <w:sz w:val="28"/>
      <w:szCs w:val="28"/>
    </w:rPr>
  </w:style>
  <w:style w:type="character" w:customStyle="1" w:styleId="125">
    <w:name w:val="表格文字 Char"/>
    <w:link w:val="72"/>
    <w:autoRedefine/>
    <w:qFormat/>
    <w:uiPriority w:val="0"/>
    <w:rPr>
      <w:rFonts w:ascii="Calibri" w:hAnsi="Calibri" w:eastAsia="宋体" w:cs="Times New Roman"/>
      <w:kern w:val="21"/>
      <w:sz w:val="20"/>
      <w:szCs w:val="21"/>
    </w:rPr>
  </w:style>
  <w:style w:type="character" w:customStyle="1" w:styleId="126">
    <w:name w:val="列出段落 Char"/>
    <w:link w:val="66"/>
    <w:autoRedefine/>
    <w:qFormat/>
    <w:locked/>
    <w:uiPriority w:val="0"/>
    <w:rPr>
      <w:rFonts w:ascii="Calibri" w:hAnsi="Calibri" w:eastAsia="宋体" w:cs="Times New Roman"/>
      <w:kern w:val="0"/>
      <w:sz w:val="20"/>
      <w:szCs w:val="20"/>
    </w:rPr>
  </w:style>
  <w:style w:type="character" w:customStyle="1" w:styleId="127">
    <w:name w:val="标题 5 字符"/>
    <w:autoRedefine/>
    <w:semiHidden/>
    <w:qFormat/>
    <w:uiPriority w:val="0"/>
    <w:rPr>
      <w:rFonts w:ascii="Calibri" w:hAnsi="Calibri"/>
      <w:b/>
      <w:bCs/>
      <w:kern w:val="2"/>
      <w:sz w:val="28"/>
      <w:szCs w:val="28"/>
    </w:rPr>
  </w:style>
  <w:style w:type="character" w:customStyle="1" w:styleId="128">
    <w:name w:val="正文缩进 Char1"/>
    <w:autoRedefine/>
    <w:qFormat/>
    <w:locked/>
    <w:uiPriority w:val="0"/>
    <w:rPr>
      <w:rFonts w:ascii="Times New Roman" w:hAnsi="Times New Roman" w:eastAsia="宋体" w:cs="Times New Roman"/>
      <w:szCs w:val="20"/>
    </w:rPr>
  </w:style>
  <w:style w:type="character" w:customStyle="1" w:styleId="129">
    <w:name w:val="apple-style-span"/>
    <w:autoRedefine/>
    <w:qFormat/>
    <w:uiPriority w:val="0"/>
  </w:style>
  <w:style w:type="character" w:customStyle="1" w:styleId="130">
    <w:name w:val="段落 Char1"/>
    <w:link w:val="64"/>
    <w:autoRedefine/>
    <w:qFormat/>
    <w:uiPriority w:val="0"/>
    <w:rPr>
      <w:rFonts w:ascii="Calibri" w:hAnsi="Calibri" w:eastAsia="仿宋_GB2312" w:cs="Times New Roman"/>
      <w:sz w:val="32"/>
      <w:szCs w:val="32"/>
    </w:rPr>
  </w:style>
  <w:style w:type="character" w:customStyle="1" w:styleId="131">
    <w:name w:val="font221"/>
    <w:autoRedefine/>
    <w:qFormat/>
    <w:uiPriority w:val="0"/>
    <w:rPr>
      <w:rFonts w:hint="eastAsia" w:ascii="宋体" w:hAnsi="宋体" w:eastAsia="宋体" w:cs="宋体"/>
      <w:b/>
      <w:color w:val="000000"/>
      <w:sz w:val="20"/>
      <w:szCs w:val="20"/>
      <w:u w:val="none"/>
    </w:rPr>
  </w:style>
  <w:style w:type="character" w:customStyle="1" w:styleId="132">
    <w:name w:val="批注主题 Char1"/>
    <w:autoRedefine/>
    <w:semiHidden/>
    <w:qFormat/>
    <w:uiPriority w:val="99"/>
    <w:rPr>
      <w:rFonts w:ascii="Times New Roman" w:hAnsi="Times New Roman" w:eastAsia="宋体" w:cs="Times New Roman"/>
      <w:b/>
      <w:bCs/>
      <w:szCs w:val="24"/>
    </w:rPr>
  </w:style>
  <w:style w:type="character" w:customStyle="1" w:styleId="133">
    <w:name w:val="正文1 Char Char"/>
    <w:link w:val="84"/>
    <w:autoRedefine/>
    <w:qFormat/>
    <w:locked/>
    <w:uiPriority w:val="99"/>
    <w:rPr>
      <w:rFonts w:ascii="微软雅黑" w:hAnsi="微软雅黑" w:eastAsia="微软雅黑" w:cs="Times New Roman"/>
      <w:sz w:val="24"/>
      <w:szCs w:val="20"/>
    </w:rPr>
  </w:style>
  <w:style w:type="character" w:customStyle="1" w:styleId="134">
    <w:name w:val="表格样式居左 Char"/>
    <w:link w:val="75"/>
    <w:autoRedefine/>
    <w:qFormat/>
    <w:uiPriority w:val="0"/>
    <w:rPr>
      <w:rFonts w:ascii="Calibri" w:hAnsi="Calibri" w:eastAsia="仿宋_GB2312" w:cs="Times New Roman"/>
      <w:bCs/>
      <w:color w:val="000000"/>
      <w:szCs w:val="44"/>
    </w:rPr>
  </w:style>
  <w:style w:type="character" w:customStyle="1" w:styleId="135">
    <w:name w:val="正文文本缩进 2 Char1"/>
    <w:basedOn w:val="32"/>
    <w:autoRedefine/>
    <w:semiHidden/>
    <w:qFormat/>
    <w:uiPriority w:val="99"/>
  </w:style>
  <w:style w:type="character" w:customStyle="1" w:styleId="136">
    <w:name w:val="font141"/>
    <w:autoRedefine/>
    <w:qFormat/>
    <w:uiPriority w:val="0"/>
    <w:rPr>
      <w:rFonts w:hint="eastAsia" w:ascii="宋体" w:hAnsi="宋体" w:eastAsia="宋体" w:cs="宋体"/>
      <w:color w:val="FF0000"/>
      <w:sz w:val="20"/>
      <w:szCs w:val="20"/>
      <w:u w:val="none"/>
      <w:vertAlign w:val="superscript"/>
    </w:rPr>
  </w:style>
  <w:style w:type="character" w:customStyle="1" w:styleId="137">
    <w:name w:val="无间隔 Char"/>
    <w:link w:val="67"/>
    <w:autoRedefine/>
    <w:qFormat/>
    <w:locked/>
    <w:uiPriority w:val="0"/>
    <w:rPr>
      <w:rFonts w:ascii="Calibri" w:hAnsi="Calibri" w:eastAsia="宋体" w:cs="Times New Roman"/>
    </w:rPr>
  </w:style>
  <w:style w:type="character" w:customStyle="1" w:styleId="138">
    <w:name w:val="font71"/>
    <w:autoRedefine/>
    <w:qFormat/>
    <w:uiPriority w:val="0"/>
    <w:rPr>
      <w:rFonts w:hint="eastAsia" w:ascii="宋体" w:hAnsi="宋体" w:eastAsia="宋体" w:cs="宋体"/>
      <w:color w:val="000000"/>
      <w:sz w:val="20"/>
      <w:szCs w:val="20"/>
      <w:u w:val="none"/>
    </w:rPr>
  </w:style>
  <w:style w:type="paragraph" w:customStyle="1" w:styleId="139">
    <w:name w:val="Table Paragraph"/>
    <w:basedOn w:val="1"/>
    <w:autoRedefine/>
    <w:qFormat/>
    <w:uiPriority w:val="99"/>
    <w:pPr>
      <w:jc w:val="center"/>
    </w:pPr>
  </w:style>
  <w:style w:type="character" w:customStyle="1" w:styleId="140">
    <w:name w:val="Heading 1 Char"/>
    <w:basedOn w:val="32"/>
    <w:link w:val="141"/>
    <w:autoRedefine/>
    <w:qFormat/>
    <w:uiPriority w:val="0"/>
    <w:rPr>
      <w:rFonts w:ascii="Arial" w:hAnsi="Arial" w:eastAsia="Arial" w:cs="Arial"/>
      <w:sz w:val="40"/>
      <w:szCs w:val="40"/>
    </w:rPr>
  </w:style>
  <w:style w:type="paragraph" w:customStyle="1" w:styleId="141">
    <w:name w:val="标题 11"/>
    <w:basedOn w:val="1"/>
    <w:next w:val="1"/>
    <w:link w:val="140"/>
    <w:autoRedefine/>
    <w:qFormat/>
    <w:uiPriority w:val="0"/>
    <w:pPr>
      <w:keepNext/>
      <w:keepLines/>
      <w:spacing w:line="360" w:lineRule="auto"/>
      <w:jc w:val="center"/>
      <w:outlineLvl w:val="0"/>
    </w:pPr>
    <w:rPr>
      <w:rFonts w:ascii="Arial" w:hAnsi="Arial" w:eastAsia="Arial" w:cs="Arial"/>
      <w:kern w:val="0"/>
      <w:sz w:val="40"/>
      <w:szCs w:val="40"/>
    </w:rPr>
  </w:style>
  <w:style w:type="paragraph" w:customStyle="1" w:styleId="142">
    <w:name w:val="标题 21"/>
    <w:basedOn w:val="1"/>
    <w:next w:val="4"/>
    <w:autoRedefine/>
    <w:unhideWhenUsed/>
    <w:qFormat/>
    <w:uiPriority w:val="0"/>
    <w:pPr>
      <w:keepNext/>
      <w:keepLines/>
      <w:spacing w:line="360" w:lineRule="auto"/>
      <w:outlineLvl w:val="1"/>
    </w:pPr>
    <w:rPr>
      <w:rFonts w:ascii="宋体" w:hAnsi="宋体" w:cs="宋体"/>
      <w:b/>
      <w:kern w:val="0"/>
    </w:rPr>
  </w:style>
  <w:style w:type="paragraph" w:customStyle="1" w:styleId="143">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AD766-C831-4344-8057-5592162D9506}">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53</Pages>
  <Words>37072</Words>
  <Characters>38705</Characters>
  <Lines>298</Lines>
  <Paragraphs>84</Paragraphs>
  <TotalTime>352</TotalTime>
  <ScaleCrop>false</ScaleCrop>
  <LinksUpToDate>false</LinksUpToDate>
  <CharactersWithSpaces>39417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2025-01-05T02:36:00Z</dcterms:created>
  <dc:creator>admin</dc:creator>
  <cp:lastModifiedBy>胡永田</cp:lastModifiedBy>
  <dcterms:modified xsi:type="dcterms:W3CDTF">2025-02-18T08:50:14Z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9439B59DA4F64F38B2BF366DBB42F43E_13</vt:lpwstr>
  </property>
  <property fmtid="{D5CDD505-2E9C-101B-9397-08002B2CF9AE}" pid="4" name="KSOTemplateDocerSaveRecord">
    <vt:lpwstr>eyJoZGlkIjoiMjAzNWIxMjExZDFiZjdkNzkyY2YwZTU2YWJhYzY1MTYifQ==</vt:lpwstr>
  </property>
</Properties>
</file>