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EAB4" w14:textId="1D6B2653" w:rsidR="00C853D5" w:rsidRDefault="00C9672D">
      <w:pPr>
        <w:pStyle w:val="a5"/>
      </w:pPr>
      <w:r>
        <w:rPr>
          <w:rFonts w:hint="eastAsia"/>
        </w:rPr>
        <w:t>扬州大学附属医院国有资产清查利用工作</w:t>
      </w:r>
      <w:r>
        <w:rPr>
          <w:rFonts w:hint="eastAsia"/>
        </w:rPr>
        <w:t xml:space="preserve">                    </w:t>
      </w:r>
      <w:r>
        <w:rPr>
          <w:rFonts w:hint="eastAsia"/>
        </w:rPr>
        <w:t>审计</w:t>
      </w:r>
      <w:r w:rsidR="00760827">
        <w:rPr>
          <w:rFonts w:hint="eastAsia"/>
        </w:rPr>
        <w:t>服务</w:t>
      </w:r>
      <w:r>
        <w:rPr>
          <w:rFonts w:hint="eastAsia"/>
        </w:rPr>
        <w:t>招标评标方法及评标标准</w:t>
      </w:r>
    </w:p>
    <w:p w14:paraId="501564A5" w14:textId="77777777" w:rsidR="00C853D5" w:rsidRDefault="00C9672D">
      <w:pPr>
        <w:pStyle w:val="a6"/>
        <w:ind w:firstLineChars="200" w:firstLine="422"/>
        <w:rPr>
          <w:rFonts w:ascii="Times New Roman" w:hAnsi="Times New Roman" w:cs="宋体"/>
          <w:b/>
          <w:kern w:val="2"/>
          <w:sz w:val="21"/>
          <w:szCs w:val="21"/>
        </w:rPr>
      </w:pPr>
      <w:r>
        <w:rPr>
          <w:rFonts w:ascii="Times New Roman" w:hAnsi="Times New Roman" w:cs="宋体" w:hint="eastAsia"/>
          <w:b/>
          <w:kern w:val="2"/>
          <w:sz w:val="21"/>
          <w:szCs w:val="21"/>
        </w:rPr>
        <w:t>一、评标方法</w:t>
      </w:r>
    </w:p>
    <w:p w14:paraId="3FE812A7" w14:textId="77777777" w:rsidR="00C853D5" w:rsidRDefault="00C9672D">
      <w:pPr>
        <w:pStyle w:val="a6"/>
        <w:ind w:firstLineChars="200" w:firstLine="420"/>
        <w:rPr>
          <w:rFonts w:ascii="Times New Roman" w:hAnsi="Times New Roman" w:cs="宋体"/>
          <w:kern w:val="2"/>
          <w:sz w:val="21"/>
          <w:szCs w:val="21"/>
        </w:rPr>
      </w:pPr>
      <w:r>
        <w:rPr>
          <w:rFonts w:ascii="Times New Roman" w:hAnsi="Times New Roman" w:cs="宋体" w:hint="eastAsia"/>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Times New Roman" w:hAnsi="Times New Roman" w:cs="宋体" w:hint="eastAsia"/>
          <w:kern w:val="2"/>
          <w:sz w:val="21"/>
          <w:szCs w:val="21"/>
        </w:rPr>
        <w:t>且按照</w:t>
      </w:r>
      <w:proofErr w:type="gramEnd"/>
      <w:r>
        <w:rPr>
          <w:rFonts w:ascii="Times New Roman" w:hAnsi="Times New Roman" w:cs="宋体" w:hint="eastAsia"/>
          <w:kern w:val="2"/>
          <w:sz w:val="21"/>
          <w:szCs w:val="21"/>
        </w:rPr>
        <w:t>评审因素的量化指标评审得分最高的投标人为排名第一的中标候选人。</w:t>
      </w:r>
    </w:p>
    <w:p w14:paraId="133ACA7D" w14:textId="77777777" w:rsidR="00C853D5" w:rsidRDefault="00C9672D">
      <w:pPr>
        <w:adjustRightInd w:val="0"/>
        <w:spacing w:before="120" w:after="120" w:line="0" w:lineRule="atLeast"/>
        <w:ind w:firstLineChars="200" w:firstLine="422"/>
        <w:jc w:val="left"/>
        <w:textAlignment w:val="baseline"/>
        <w:rPr>
          <w:rFonts w:ascii="宋体" w:hAnsi="宋体"/>
          <w:b/>
          <w:sz w:val="24"/>
          <w:szCs w:val="24"/>
        </w:rPr>
      </w:pPr>
      <w:r>
        <w:rPr>
          <w:rFonts w:ascii="宋体" w:hAnsi="宋体" w:hint="eastAsia"/>
          <w:b/>
          <w:szCs w:val="21"/>
        </w:rPr>
        <w:t>二、</w:t>
      </w:r>
      <w:r>
        <w:rPr>
          <w:rFonts w:ascii="宋体" w:hAnsi="宋体" w:hint="eastAsia"/>
          <w:b/>
          <w:sz w:val="24"/>
          <w:szCs w:val="24"/>
        </w:rPr>
        <w:t>评审标准</w:t>
      </w:r>
    </w:p>
    <w:tbl>
      <w:tblPr>
        <w:tblW w:w="484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841"/>
        <w:gridCol w:w="1406"/>
        <w:gridCol w:w="5154"/>
        <w:gridCol w:w="848"/>
      </w:tblGrid>
      <w:tr w:rsidR="00C853D5" w14:paraId="15E3A558" w14:textId="77777777">
        <w:trPr>
          <w:trHeight w:val="90"/>
          <w:jc w:val="center"/>
        </w:trPr>
        <w:tc>
          <w:tcPr>
            <w:tcW w:w="509" w:type="pct"/>
            <w:tcMar>
              <w:top w:w="0" w:type="dxa"/>
              <w:left w:w="105" w:type="dxa"/>
              <w:bottom w:w="0" w:type="dxa"/>
              <w:right w:w="105" w:type="dxa"/>
            </w:tcMar>
            <w:vAlign w:val="center"/>
          </w:tcPr>
          <w:p w14:paraId="3FBAF88C"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序号</w:t>
            </w:r>
          </w:p>
        </w:tc>
        <w:tc>
          <w:tcPr>
            <w:tcW w:w="852" w:type="pct"/>
            <w:tcMar>
              <w:top w:w="0" w:type="dxa"/>
              <w:left w:w="105" w:type="dxa"/>
              <w:bottom w:w="0" w:type="dxa"/>
              <w:right w:w="105" w:type="dxa"/>
            </w:tcMar>
            <w:vAlign w:val="center"/>
          </w:tcPr>
          <w:p w14:paraId="5D9D72C4"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评分要素</w:t>
            </w:r>
          </w:p>
        </w:tc>
        <w:tc>
          <w:tcPr>
            <w:tcW w:w="3123" w:type="pct"/>
            <w:tcMar>
              <w:top w:w="0" w:type="dxa"/>
              <w:left w:w="105" w:type="dxa"/>
              <w:bottom w:w="0" w:type="dxa"/>
              <w:right w:w="105" w:type="dxa"/>
            </w:tcMar>
            <w:vAlign w:val="center"/>
          </w:tcPr>
          <w:p w14:paraId="4218C222"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评分标准</w:t>
            </w:r>
          </w:p>
        </w:tc>
        <w:tc>
          <w:tcPr>
            <w:tcW w:w="514" w:type="pct"/>
            <w:tcMar>
              <w:top w:w="0" w:type="dxa"/>
              <w:left w:w="105" w:type="dxa"/>
              <w:bottom w:w="0" w:type="dxa"/>
              <w:right w:w="105" w:type="dxa"/>
            </w:tcMar>
            <w:vAlign w:val="center"/>
          </w:tcPr>
          <w:p w14:paraId="12B00E00"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分值</w:t>
            </w:r>
          </w:p>
        </w:tc>
      </w:tr>
      <w:tr w:rsidR="00C853D5" w14:paraId="14E6BEE7" w14:textId="77777777">
        <w:trPr>
          <w:trHeight w:val="150"/>
          <w:jc w:val="center"/>
        </w:trPr>
        <w:tc>
          <w:tcPr>
            <w:tcW w:w="509" w:type="pct"/>
            <w:tcMar>
              <w:top w:w="0" w:type="dxa"/>
              <w:left w:w="105" w:type="dxa"/>
              <w:bottom w:w="0" w:type="dxa"/>
              <w:right w:w="105" w:type="dxa"/>
            </w:tcMar>
            <w:vAlign w:val="center"/>
          </w:tcPr>
          <w:p w14:paraId="56F44484"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1</w:t>
            </w:r>
          </w:p>
        </w:tc>
        <w:tc>
          <w:tcPr>
            <w:tcW w:w="852" w:type="pct"/>
            <w:tcMar>
              <w:top w:w="0" w:type="dxa"/>
              <w:left w:w="105" w:type="dxa"/>
              <w:bottom w:w="0" w:type="dxa"/>
              <w:right w:w="105" w:type="dxa"/>
            </w:tcMar>
            <w:vAlign w:val="center"/>
          </w:tcPr>
          <w:p w14:paraId="70038D05"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价格分</w:t>
            </w:r>
          </w:p>
          <w:p w14:paraId="367DA7DD"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（30分）</w:t>
            </w:r>
          </w:p>
        </w:tc>
        <w:tc>
          <w:tcPr>
            <w:tcW w:w="3123" w:type="pct"/>
            <w:tcMar>
              <w:top w:w="0" w:type="dxa"/>
              <w:left w:w="105" w:type="dxa"/>
              <w:bottom w:w="0" w:type="dxa"/>
              <w:right w:w="105" w:type="dxa"/>
            </w:tcMar>
            <w:vAlign w:val="center"/>
          </w:tcPr>
          <w:p w14:paraId="5358C524" w14:textId="4B488966"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满足招标文件要求且投标价格最低的投标报价为评标基准价，其价格分为满分</w:t>
            </w:r>
            <w:r w:rsidR="00F208DC">
              <w:rPr>
                <w:rFonts w:ascii="宋体" w:hAnsi="宋体" w:cs="宋体" w:hint="eastAsia"/>
                <w:color w:val="333333"/>
                <w:kern w:val="0"/>
                <w:szCs w:val="21"/>
              </w:rPr>
              <w:t>30</w:t>
            </w:r>
            <w:r>
              <w:rPr>
                <w:rFonts w:ascii="宋体" w:hAnsi="宋体" w:cs="宋体" w:hint="eastAsia"/>
                <w:color w:val="333333"/>
                <w:kern w:val="0"/>
                <w:szCs w:val="21"/>
              </w:rPr>
              <w:t>分，其他投标人的报价得分依据下列公式计算：投标报价得分=（评标基准价/投标报价）*30（保留小数点后两位）。</w:t>
            </w:r>
          </w:p>
        </w:tc>
        <w:tc>
          <w:tcPr>
            <w:tcW w:w="514" w:type="pct"/>
            <w:tcMar>
              <w:top w:w="0" w:type="dxa"/>
              <w:left w:w="105" w:type="dxa"/>
              <w:bottom w:w="0" w:type="dxa"/>
              <w:right w:w="105" w:type="dxa"/>
            </w:tcMar>
            <w:vAlign w:val="center"/>
          </w:tcPr>
          <w:p w14:paraId="194587FD"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30分</w:t>
            </w:r>
          </w:p>
        </w:tc>
      </w:tr>
      <w:tr w:rsidR="00C853D5" w14:paraId="2057233A" w14:textId="77777777">
        <w:trPr>
          <w:trHeight w:val="1035"/>
          <w:jc w:val="center"/>
        </w:trPr>
        <w:tc>
          <w:tcPr>
            <w:tcW w:w="509" w:type="pct"/>
            <w:tcMar>
              <w:top w:w="0" w:type="dxa"/>
              <w:left w:w="105" w:type="dxa"/>
              <w:bottom w:w="0" w:type="dxa"/>
              <w:right w:w="105" w:type="dxa"/>
            </w:tcMar>
            <w:vAlign w:val="center"/>
          </w:tcPr>
          <w:p w14:paraId="1F0D806E"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2</w:t>
            </w:r>
          </w:p>
        </w:tc>
        <w:tc>
          <w:tcPr>
            <w:tcW w:w="852" w:type="pct"/>
            <w:tcMar>
              <w:top w:w="0" w:type="dxa"/>
              <w:left w:w="105" w:type="dxa"/>
              <w:bottom w:w="0" w:type="dxa"/>
              <w:right w:w="105" w:type="dxa"/>
            </w:tcMar>
            <w:vAlign w:val="center"/>
          </w:tcPr>
          <w:p w14:paraId="451F5BE9"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服务业绩</w:t>
            </w:r>
          </w:p>
          <w:p w14:paraId="5263AB1B"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（8分）</w:t>
            </w:r>
          </w:p>
        </w:tc>
        <w:tc>
          <w:tcPr>
            <w:tcW w:w="3123" w:type="pct"/>
            <w:tcMar>
              <w:top w:w="0" w:type="dxa"/>
              <w:left w:w="105" w:type="dxa"/>
              <w:bottom w:w="0" w:type="dxa"/>
              <w:right w:w="105" w:type="dxa"/>
            </w:tcMar>
            <w:vAlign w:val="center"/>
          </w:tcPr>
          <w:p w14:paraId="03DA8D11"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自2022年1月</w:t>
            </w:r>
            <w:bookmarkStart w:id="0" w:name="_GoBack"/>
            <w:bookmarkEnd w:id="0"/>
            <w:r>
              <w:rPr>
                <w:rFonts w:ascii="宋体" w:hAnsi="宋体" w:cs="宋体" w:hint="eastAsia"/>
                <w:color w:val="333333"/>
                <w:kern w:val="0"/>
                <w:szCs w:val="21"/>
              </w:rPr>
              <w:t>1日以来（以合同或协议签订日期为准）完成过类似的资产清查或清算等专项审计项目的，每提供一份合同得2分，最高得8分，未提供或不符合要求不得分。</w:t>
            </w:r>
          </w:p>
          <w:p w14:paraId="68D2B265"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注：须提供合同复印件并加盖投标人公章，否则不得分，同一单位业绩不重复计分。</w:t>
            </w:r>
          </w:p>
        </w:tc>
        <w:tc>
          <w:tcPr>
            <w:tcW w:w="514" w:type="pct"/>
            <w:tcMar>
              <w:top w:w="0" w:type="dxa"/>
              <w:left w:w="105" w:type="dxa"/>
              <w:bottom w:w="0" w:type="dxa"/>
              <w:right w:w="105" w:type="dxa"/>
            </w:tcMar>
            <w:vAlign w:val="center"/>
          </w:tcPr>
          <w:p w14:paraId="08B4F4D6"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8分</w:t>
            </w:r>
          </w:p>
        </w:tc>
      </w:tr>
      <w:tr w:rsidR="00C853D5" w14:paraId="66191A79" w14:textId="77777777">
        <w:trPr>
          <w:trHeight w:val="705"/>
          <w:jc w:val="center"/>
        </w:trPr>
        <w:tc>
          <w:tcPr>
            <w:tcW w:w="509" w:type="pct"/>
            <w:vMerge w:val="restart"/>
            <w:tcMar>
              <w:top w:w="0" w:type="dxa"/>
              <w:left w:w="105" w:type="dxa"/>
              <w:bottom w:w="0" w:type="dxa"/>
              <w:right w:w="105" w:type="dxa"/>
            </w:tcMar>
            <w:vAlign w:val="center"/>
          </w:tcPr>
          <w:p w14:paraId="08D5D79D"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3</w:t>
            </w:r>
          </w:p>
        </w:tc>
        <w:tc>
          <w:tcPr>
            <w:tcW w:w="852" w:type="pct"/>
            <w:vMerge w:val="restart"/>
            <w:tcMar>
              <w:top w:w="0" w:type="dxa"/>
              <w:left w:w="105" w:type="dxa"/>
              <w:bottom w:w="0" w:type="dxa"/>
              <w:right w:w="105" w:type="dxa"/>
            </w:tcMar>
            <w:vAlign w:val="center"/>
          </w:tcPr>
          <w:p w14:paraId="156A2B92"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人员配备</w:t>
            </w:r>
          </w:p>
          <w:p w14:paraId="4BB9F8E4"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（18分）</w:t>
            </w:r>
          </w:p>
        </w:tc>
        <w:tc>
          <w:tcPr>
            <w:tcW w:w="3123" w:type="pct"/>
            <w:tcMar>
              <w:top w:w="0" w:type="dxa"/>
              <w:left w:w="105" w:type="dxa"/>
              <w:bottom w:w="0" w:type="dxa"/>
              <w:right w:w="105" w:type="dxa"/>
            </w:tcMar>
            <w:vAlign w:val="center"/>
          </w:tcPr>
          <w:p w14:paraId="603E9B8E"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1.拟派出的主审人员持有注册会计师执业资格证书年限10年（含）以上的，每人得4分，10年以下、5年（含）以上的，每人得2分，本项最高得8分；其他不得分。</w:t>
            </w:r>
          </w:p>
          <w:p w14:paraId="3D5095FF"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注：须提供资格证书（年限以持证证书为准）及投标人为其缴纳的近一年内任意一份</w:t>
            </w:r>
            <w:proofErr w:type="gramStart"/>
            <w:r>
              <w:rPr>
                <w:rFonts w:ascii="宋体" w:hAnsi="宋体" w:cs="宋体" w:hint="eastAsia"/>
                <w:color w:val="333333"/>
                <w:kern w:val="0"/>
                <w:szCs w:val="21"/>
              </w:rPr>
              <w:t>社保证明</w:t>
            </w:r>
            <w:proofErr w:type="gramEnd"/>
            <w:r>
              <w:rPr>
                <w:rFonts w:ascii="宋体" w:hAnsi="宋体" w:cs="宋体" w:hint="eastAsia"/>
                <w:color w:val="333333"/>
                <w:kern w:val="0"/>
                <w:szCs w:val="21"/>
              </w:rPr>
              <w:t>材料复印件加盖投标人公章，未提供或提供不符合要求的不得分。</w:t>
            </w:r>
          </w:p>
        </w:tc>
        <w:tc>
          <w:tcPr>
            <w:tcW w:w="514" w:type="pct"/>
            <w:tcMar>
              <w:top w:w="0" w:type="dxa"/>
              <w:left w:w="105" w:type="dxa"/>
              <w:bottom w:w="0" w:type="dxa"/>
              <w:right w:w="105" w:type="dxa"/>
            </w:tcMar>
            <w:vAlign w:val="center"/>
          </w:tcPr>
          <w:p w14:paraId="2B395E1B"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8分</w:t>
            </w:r>
          </w:p>
        </w:tc>
      </w:tr>
      <w:tr w:rsidR="00C853D5" w14:paraId="66B59294" w14:textId="77777777">
        <w:trPr>
          <w:trHeight w:val="705"/>
          <w:jc w:val="center"/>
        </w:trPr>
        <w:tc>
          <w:tcPr>
            <w:tcW w:w="509" w:type="pct"/>
            <w:vMerge/>
            <w:tcMar>
              <w:top w:w="0" w:type="dxa"/>
              <w:left w:w="105" w:type="dxa"/>
              <w:bottom w:w="0" w:type="dxa"/>
              <w:right w:w="105" w:type="dxa"/>
            </w:tcMar>
            <w:vAlign w:val="center"/>
          </w:tcPr>
          <w:p w14:paraId="1296F8D5" w14:textId="77777777" w:rsidR="00C853D5" w:rsidRDefault="00C853D5">
            <w:pPr>
              <w:widowControl/>
              <w:adjustRightInd w:val="0"/>
              <w:snapToGrid w:val="0"/>
              <w:spacing w:line="360" w:lineRule="auto"/>
              <w:jc w:val="center"/>
              <w:rPr>
                <w:rFonts w:ascii="宋体" w:hAnsi="宋体" w:cs="宋体"/>
                <w:b/>
                <w:bCs/>
                <w:color w:val="333333"/>
                <w:kern w:val="0"/>
                <w:szCs w:val="21"/>
              </w:rPr>
            </w:pPr>
          </w:p>
        </w:tc>
        <w:tc>
          <w:tcPr>
            <w:tcW w:w="852" w:type="pct"/>
            <w:vMerge/>
            <w:tcMar>
              <w:top w:w="0" w:type="dxa"/>
              <w:left w:w="105" w:type="dxa"/>
              <w:bottom w:w="0" w:type="dxa"/>
              <w:right w:w="105" w:type="dxa"/>
            </w:tcMar>
            <w:vAlign w:val="center"/>
          </w:tcPr>
          <w:p w14:paraId="2ED3E041" w14:textId="77777777" w:rsidR="00C853D5" w:rsidRDefault="00C853D5">
            <w:pPr>
              <w:widowControl/>
              <w:adjustRightInd w:val="0"/>
              <w:snapToGrid w:val="0"/>
              <w:spacing w:line="360" w:lineRule="auto"/>
              <w:jc w:val="center"/>
              <w:rPr>
                <w:rFonts w:ascii="宋体" w:hAnsi="宋体" w:cs="宋体"/>
                <w:b/>
                <w:bCs/>
                <w:color w:val="333333"/>
                <w:kern w:val="0"/>
                <w:szCs w:val="21"/>
              </w:rPr>
            </w:pPr>
          </w:p>
        </w:tc>
        <w:tc>
          <w:tcPr>
            <w:tcW w:w="3123" w:type="pct"/>
            <w:tcMar>
              <w:top w:w="0" w:type="dxa"/>
              <w:left w:w="105" w:type="dxa"/>
              <w:bottom w:w="0" w:type="dxa"/>
              <w:right w:w="105" w:type="dxa"/>
            </w:tcMar>
            <w:vAlign w:val="center"/>
          </w:tcPr>
          <w:p w14:paraId="58C83CB4"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2.拟派出的审计人员2022年以来担任过类似的资产清查或清算审计工作项目负责人的，每提供1人得2分，最高得6分。</w:t>
            </w:r>
          </w:p>
          <w:p w14:paraId="3DD0AA09"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注：须提供合同或协议复印件，若无法体现人员信息的，</w:t>
            </w:r>
            <w:r>
              <w:rPr>
                <w:rFonts w:ascii="宋体" w:hAnsi="宋体" w:cs="宋体" w:hint="eastAsia"/>
                <w:color w:val="333333"/>
                <w:kern w:val="0"/>
                <w:szCs w:val="21"/>
              </w:rPr>
              <w:lastRenderedPageBreak/>
              <w:t>须同时提供有署名的证明材料、底稿或项目委托人出具的其他证明材料，未提供或提供不符合要求的不得分。</w:t>
            </w:r>
          </w:p>
        </w:tc>
        <w:tc>
          <w:tcPr>
            <w:tcW w:w="514" w:type="pct"/>
            <w:tcMar>
              <w:top w:w="0" w:type="dxa"/>
              <w:left w:w="105" w:type="dxa"/>
              <w:bottom w:w="0" w:type="dxa"/>
              <w:right w:w="105" w:type="dxa"/>
            </w:tcMar>
            <w:vAlign w:val="center"/>
          </w:tcPr>
          <w:p w14:paraId="6564EA31" w14:textId="77777777" w:rsidR="00C853D5" w:rsidRDefault="00C9672D">
            <w:pPr>
              <w:widowControl/>
              <w:adjustRightInd w:val="0"/>
              <w:snapToGrid w:val="0"/>
              <w:spacing w:line="360" w:lineRule="auto"/>
              <w:jc w:val="center"/>
              <w:rPr>
                <w:rFonts w:ascii="宋体" w:hAnsi="宋体" w:cs="宋体"/>
                <w:b/>
                <w:bCs/>
                <w:color w:val="333333"/>
                <w:kern w:val="0"/>
                <w:szCs w:val="21"/>
              </w:rPr>
            </w:pPr>
            <w:r>
              <w:rPr>
                <w:rFonts w:ascii="宋体" w:hAnsi="宋体" w:cs="宋体" w:hint="eastAsia"/>
                <w:b/>
                <w:bCs/>
                <w:color w:val="333333"/>
                <w:kern w:val="0"/>
                <w:szCs w:val="21"/>
              </w:rPr>
              <w:lastRenderedPageBreak/>
              <w:t>6分</w:t>
            </w:r>
          </w:p>
        </w:tc>
      </w:tr>
      <w:tr w:rsidR="00C853D5" w14:paraId="07240C25" w14:textId="77777777">
        <w:trPr>
          <w:trHeight w:val="705"/>
          <w:jc w:val="center"/>
        </w:trPr>
        <w:tc>
          <w:tcPr>
            <w:tcW w:w="509" w:type="pct"/>
            <w:vMerge/>
            <w:tcMar>
              <w:top w:w="0" w:type="dxa"/>
              <w:left w:w="105" w:type="dxa"/>
              <w:bottom w:w="0" w:type="dxa"/>
              <w:right w:w="105" w:type="dxa"/>
            </w:tcMar>
            <w:vAlign w:val="center"/>
          </w:tcPr>
          <w:p w14:paraId="4D3F5F3B" w14:textId="77777777" w:rsidR="00C853D5" w:rsidRDefault="00C853D5">
            <w:pPr>
              <w:widowControl/>
              <w:adjustRightInd w:val="0"/>
              <w:snapToGrid w:val="0"/>
              <w:spacing w:line="360" w:lineRule="auto"/>
              <w:jc w:val="center"/>
              <w:rPr>
                <w:rFonts w:ascii="宋体" w:hAnsi="宋体" w:cs="宋体"/>
                <w:b/>
                <w:bCs/>
                <w:color w:val="333333"/>
                <w:kern w:val="0"/>
                <w:szCs w:val="21"/>
              </w:rPr>
            </w:pPr>
          </w:p>
        </w:tc>
        <w:tc>
          <w:tcPr>
            <w:tcW w:w="852" w:type="pct"/>
            <w:vMerge/>
            <w:tcMar>
              <w:top w:w="0" w:type="dxa"/>
              <w:left w:w="105" w:type="dxa"/>
              <w:bottom w:w="0" w:type="dxa"/>
              <w:right w:w="105" w:type="dxa"/>
            </w:tcMar>
            <w:vAlign w:val="center"/>
          </w:tcPr>
          <w:p w14:paraId="432E468F" w14:textId="77777777" w:rsidR="00C853D5" w:rsidRDefault="00C853D5">
            <w:pPr>
              <w:widowControl/>
              <w:adjustRightInd w:val="0"/>
              <w:snapToGrid w:val="0"/>
              <w:spacing w:line="360" w:lineRule="auto"/>
              <w:jc w:val="center"/>
              <w:rPr>
                <w:rFonts w:ascii="宋体" w:hAnsi="宋体" w:cs="宋体"/>
                <w:b/>
                <w:bCs/>
                <w:color w:val="333333"/>
                <w:kern w:val="0"/>
                <w:szCs w:val="21"/>
              </w:rPr>
            </w:pPr>
          </w:p>
        </w:tc>
        <w:tc>
          <w:tcPr>
            <w:tcW w:w="3123" w:type="pct"/>
            <w:tcMar>
              <w:top w:w="0" w:type="dxa"/>
              <w:left w:w="105" w:type="dxa"/>
              <w:bottom w:w="0" w:type="dxa"/>
              <w:right w:w="105" w:type="dxa"/>
            </w:tcMar>
            <w:vAlign w:val="center"/>
          </w:tcPr>
          <w:p w14:paraId="662DBE08"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3.拟派出的其他财务审计人员中（不含主审）具有注册会计师资质的，每人得2分，最高4分。</w:t>
            </w:r>
          </w:p>
          <w:p w14:paraId="32A1AB12"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注：须提供有效注册会计师证书复印件及投标人为其缴纳的近一年内任意一份</w:t>
            </w:r>
            <w:proofErr w:type="gramStart"/>
            <w:r>
              <w:rPr>
                <w:rFonts w:ascii="宋体" w:hAnsi="宋体" w:cs="宋体" w:hint="eastAsia"/>
                <w:color w:val="333333"/>
                <w:kern w:val="0"/>
                <w:szCs w:val="21"/>
              </w:rPr>
              <w:t>社保证明</w:t>
            </w:r>
            <w:proofErr w:type="gramEnd"/>
            <w:r>
              <w:rPr>
                <w:rFonts w:ascii="宋体" w:hAnsi="宋体" w:cs="宋体" w:hint="eastAsia"/>
                <w:color w:val="333333"/>
                <w:kern w:val="0"/>
                <w:szCs w:val="21"/>
              </w:rPr>
              <w:t>材料复印件加盖投标人公章，未提供或提供不符合要求的不得分。</w:t>
            </w:r>
          </w:p>
        </w:tc>
        <w:tc>
          <w:tcPr>
            <w:tcW w:w="514" w:type="pct"/>
            <w:tcMar>
              <w:top w:w="0" w:type="dxa"/>
              <w:left w:w="105" w:type="dxa"/>
              <w:bottom w:w="0" w:type="dxa"/>
              <w:right w:w="105" w:type="dxa"/>
            </w:tcMar>
            <w:vAlign w:val="center"/>
          </w:tcPr>
          <w:p w14:paraId="1EB47B55" w14:textId="77777777" w:rsidR="00C853D5" w:rsidRDefault="00C9672D">
            <w:pPr>
              <w:widowControl/>
              <w:adjustRightInd w:val="0"/>
              <w:snapToGrid w:val="0"/>
              <w:spacing w:line="360" w:lineRule="auto"/>
              <w:jc w:val="center"/>
              <w:rPr>
                <w:rFonts w:ascii="宋体" w:hAnsi="宋体" w:cs="宋体"/>
                <w:b/>
                <w:bCs/>
                <w:color w:val="333333"/>
                <w:kern w:val="0"/>
                <w:szCs w:val="21"/>
              </w:rPr>
            </w:pPr>
            <w:r>
              <w:rPr>
                <w:rFonts w:ascii="宋体" w:hAnsi="宋体" w:cs="宋体" w:hint="eastAsia"/>
                <w:b/>
                <w:bCs/>
                <w:color w:val="333333"/>
                <w:kern w:val="0"/>
                <w:szCs w:val="21"/>
              </w:rPr>
              <w:t>4分</w:t>
            </w:r>
          </w:p>
        </w:tc>
      </w:tr>
      <w:tr w:rsidR="00C853D5" w14:paraId="16EC3F78" w14:textId="77777777">
        <w:trPr>
          <w:trHeight w:val="390"/>
          <w:jc w:val="center"/>
        </w:trPr>
        <w:tc>
          <w:tcPr>
            <w:tcW w:w="509" w:type="pct"/>
            <w:vMerge w:val="restart"/>
            <w:tcMar>
              <w:top w:w="0" w:type="dxa"/>
              <w:left w:w="105" w:type="dxa"/>
              <w:bottom w:w="0" w:type="dxa"/>
              <w:right w:w="105" w:type="dxa"/>
            </w:tcMar>
            <w:vAlign w:val="center"/>
          </w:tcPr>
          <w:p w14:paraId="08E75668"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4</w:t>
            </w:r>
          </w:p>
        </w:tc>
        <w:tc>
          <w:tcPr>
            <w:tcW w:w="852" w:type="pct"/>
            <w:vMerge w:val="restart"/>
            <w:tcMar>
              <w:top w:w="0" w:type="dxa"/>
              <w:left w:w="105" w:type="dxa"/>
              <w:bottom w:w="0" w:type="dxa"/>
              <w:right w:w="105" w:type="dxa"/>
            </w:tcMar>
            <w:vAlign w:val="center"/>
          </w:tcPr>
          <w:p w14:paraId="3EA568F1"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服务方案</w:t>
            </w:r>
          </w:p>
          <w:p w14:paraId="62B3CA8B"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（40分）</w:t>
            </w:r>
          </w:p>
        </w:tc>
        <w:tc>
          <w:tcPr>
            <w:tcW w:w="3123" w:type="pct"/>
            <w:tcMar>
              <w:top w:w="0" w:type="dxa"/>
              <w:left w:w="105" w:type="dxa"/>
              <w:bottom w:w="0" w:type="dxa"/>
              <w:right w:w="105" w:type="dxa"/>
            </w:tcMar>
            <w:vAlign w:val="center"/>
          </w:tcPr>
          <w:p w14:paraId="5BF90407"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1.派出人员管理方案（7分）</w:t>
            </w:r>
          </w:p>
          <w:p w14:paraId="4539162E"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根据提供的针对本项目的派出人员管理方案综合评分，包括但不限于管理制度，违纪、离职等突发事项的应对措施。</w:t>
            </w:r>
          </w:p>
          <w:p w14:paraId="57EA01C8"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方案完整、可行，制度明确、措施合理，得7分；</w:t>
            </w:r>
          </w:p>
          <w:p w14:paraId="562599F8"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方案较完整、较可行，制度较明确、措施较合理，得5分；</w:t>
            </w:r>
          </w:p>
          <w:p w14:paraId="43877D5D"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方案基本完整、基本可行，制度基本明确、措施基本合理，得3分；</w:t>
            </w:r>
          </w:p>
          <w:p w14:paraId="1CEB46FC"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方案简陋、可行性较差，制度欠缺、措施合理性较差，得1分；</w:t>
            </w:r>
          </w:p>
          <w:p w14:paraId="77167E9F"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未提供的不得分。</w:t>
            </w:r>
          </w:p>
        </w:tc>
        <w:tc>
          <w:tcPr>
            <w:tcW w:w="514" w:type="pct"/>
            <w:tcMar>
              <w:top w:w="0" w:type="dxa"/>
              <w:left w:w="105" w:type="dxa"/>
              <w:bottom w:w="0" w:type="dxa"/>
              <w:right w:w="105" w:type="dxa"/>
            </w:tcMar>
            <w:vAlign w:val="center"/>
          </w:tcPr>
          <w:p w14:paraId="41782D1C"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7分</w:t>
            </w:r>
          </w:p>
        </w:tc>
      </w:tr>
      <w:tr w:rsidR="00C853D5" w14:paraId="5CB51F63" w14:textId="77777777">
        <w:trPr>
          <w:trHeight w:val="1110"/>
          <w:jc w:val="center"/>
        </w:trPr>
        <w:tc>
          <w:tcPr>
            <w:tcW w:w="509" w:type="pct"/>
            <w:vMerge/>
            <w:vAlign w:val="center"/>
          </w:tcPr>
          <w:p w14:paraId="13A8FC14"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852" w:type="pct"/>
            <w:vMerge/>
            <w:vAlign w:val="center"/>
          </w:tcPr>
          <w:p w14:paraId="1B2C8F8B"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3123" w:type="pct"/>
            <w:tcMar>
              <w:top w:w="0" w:type="dxa"/>
              <w:left w:w="105" w:type="dxa"/>
              <w:bottom w:w="0" w:type="dxa"/>
              <w:right w:w="105" w:type="dxa"/>
            </w:tcMar>
            <w:vAlign w:val="center"/>
          </w:tcPr>
          <w:p w14:paraId="4BBBFC53"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2.审计质量控制方案（7分）</w:t>
            </w:r>
          </w:p>
          <w:p w14:paraId="413BA0DE"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根据针对本项目需求特点提出的审计质量控制方案综合评分，包括但不限于服务时间、成果交付时间、资产清查审计质量保证措施。</w:t>
            </w:r>
          </w:p>
          <w:p w14:paraId="77BAAED1"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方案完整、可行、合理、有针对性，得7分；</w:t>
            </w:r>
          </w:p>
          <w:p w14:paraId="285E4E04"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方案较完整、较可行、较合理、较有针对性，得5分；</w:t>
            </w:r>
          </w:p>
          <w:p w14:paraId="48D012E0"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方案基本完整、基本可行、基本合理、针对性一般，得3分；</w:t>
            </w:r>
          </w:p>
          <w:p w14:paraId="1E29FB61"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方案简陋、可行性较差、合理性较差、针对性较差，得1分；</w:t>
            </w:r>
          </w:p>
          <w:p w14:paraId="43998610"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未提供的不得分。</w:t>
            </w:r>
          </w:p>
        </w:tc>
        <w:tc>
          <w:tcPr>
            <w:tcW w:w="514" w:type="pct"/>
            <w:tcMar>
              <w:top w:w="0" w:type="dxa"/>
              <w:left w:w="105" w:type="dxa"/>
              <w:bottom w:w="0" w:type="dxa"/>
              <w:right w:w="105" w:type="dxa"/>
            </w:tcMar>
            <w:vAlign w:val="center"/>
          </w:tcPr>
          <w:p w14:paraId="2E8695DC"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7分</w:t>
            </w:r>
          </w:p>
        </w:tc>
      </w:tr>
      <w:tr w:rsidR="00C853D5" w14:paraId="17E08DA0" w14:textId="77777777">
        <w:trPr>
          <w:trHeight w:val="390"/>
          <w:jc w:val="center"/>
        </w:trPr>
        <w:tc>
          <w:tcPr>
            <w:tcW w:w="509" w:type="pct"/>
            <w:vMerge/>
            <w:vAlign w:val="center"/>
          </w:tcPr>
          <w:p w14:paraId="56F1DD5E"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852" w:type="pct"/>
            <w:vMerge/>
            <w:vAlign w:val="center"/>
          </w:tcPr>
          <w:p w14:paraId="3F1A3CB7"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3123" w:type="pct"/>
            <w:tcMar>
              <w:top w:w="0" w:type="dxa"/>
              <w:left w:w="105" w:type="dxa"/>
              <w:bottom w:w="0" w:type="dxa"/>
              <w:right w:w="105" w:type="dxa"/>
            </w:tcMar>
            <w:vAlign w:val="center"/>
          </w:tcPr>
          <w:p w14:paraId="16A45AAB"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3.工作计划及流程（7分）</w:t>
            </w:r>
          </w:p>
          <w:p w14:paraId="68ED2F3F"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根据提供的工作计划及流程综合评分，包括但不限于对账依据整理、资产盘点、账实核对、盘亏责任落实、整</w:t>
            </w:r>
            <w:r>
              <w:rPr>
                <w:rFonts w:ascii="宋体" w:hAnsi="宋体" w:cs="宋体" w:hint="eastAsia"/>
                <w:color w:val="333333"/>
                <w:kern w:val="0"/>
                <w:szCs w:val="21"/>
              </w:rPr>
              <w:lastRenderedPageBreak/>
              <w:t>改措施及建议、出具报告、项目验收。</w:t>
            </w:r>
          </w:p>
          <w:p w14:paraId="0B09381A"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方案完整、可行、合理、有针对性，得7分；</w:t>
            </w:r>
          </w:p>
          <w:p w14:paraId="2B10CAB6"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方案较完整、较可行、较合理、较有针对性，得4分；</w:t>
            </w:r>
          </w:p>
          <w:p w14:paraId="1C54EA26"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方案基本完整、基本可行、基本合理、针对性一般，得2分；</w:t>
            </w:r>
          </w:p>
          <w:p w14:paraId="7A8686BB"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方案简陋、可行性较差、合理性较差、针对性较差，得1分；</w:t>
            </w:r>
          </w:p>
          <w:p w14:paraId="06371811"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未提供的不得分。</w:t>
            </w:r>
          </w:p>
        </w:tc>
        <w:tc>
          <w:tcPr>
            <w:tcW w:w="514" w:type="pct"/>
            <w:tcMar>
              <w:top w:w="0" w:type="dxa"/>
              <w:left w:w="105" w:type="dxa"/>
              <w:bottom w:w="0" w:type="dxa"/>
              <w:right w:w="105" w:type="dxa"/>
            </w:tcMar>
            <w:vAlign w:val="center"/>
          </w:tcPr>
          <w:p w14:paraId="7F29E1ED"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lastRenderedPageBreak/>
              <w:t>7分</w:t>
            </w:r>
          </w:p>
        </w:tc>
      </w:tr>
      <w:tr w:rsidR="00C853D5" w14:paraId="316462C4" w14:textId="77777777">
        <w:trPr>
          <w:trHeight w:val="1208"/>
          <w:jc w:val="center"/>
        </w:trPr>
        <w:tc>
          <w:tcPr>
            <w:tcW w:w="509" w:type="pct"/>
            <w:vMerge/>
            <w:vAlign w:val="center"/>
          </w:tcPr>
          <w:p w14:paraId="2EEF08F3"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852" w:type="pct"/>
            <w:vMerge/>
            <w:vAlign w:val="center"/>
          </w:tcPr>
          <w:p w14:paraId="2F7FDA4B"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3123" w:type="pct"/>
            <w:tcMar>
              <w:top w:w="0" w:type="dxa"/>
              <w:left w:w="105" w:type="dxa"/>
              <w:bottom w:w="0" w:type="dxa"/>
              <w:right w:w="105" w:type="dxa"/>
            </w:tcMar>
            <w:vAlign w:val="center"/>
          </w:tcPr>
          <w:p w14:paraId="728F3663"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4.项目实施进度保障方案（6分）</w:t>
            </w:r>
          </w:p>
          <w:p w14:paraId="7E70DA07"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根据提供的项目实施进度及保障方案综合评分，包括但不限于对各项工作实施的进度计划、各项工作节点安排，采取的各类管理及保障措施。</w:t>
            </w:r>
          </w:p>
          <w:p w14:paraId="79137754"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方案及措施完整、可行、合理、有针对性，得6分；</w:t>
            </w:r>
          </w:p>
          <w:p w14:paraId="397CC84A"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方案及措施较完整、较可行、较合理、较有针对性，得4分；</w:t>
            </w:r>
          </w:p>
          <w:p w14:paraId="10B268DB"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方案及措施基本完整、基本可行、基本合理、针对性一般，得2分；</w:t>
            </w:r>
          </w:p>
          <w:p w14:paraId="36F45BCC"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方案及措施简陋、可行性较差、合理性较差、针对性较差，得1分；</w:t>
            </w:r>
          </w:p>
          <w:p w14:paraId="0E668C22"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未提供的不得分。</w:t>
            </w:r>
          </w:p>
        </w:tc>
        <w:tc>
          <w:tcPr>
            <w:tcW w:w="514" w:type="pct"/>
            <w:tcMar>
              <w:top w:w="0" w:type="dxa"/>
              <w:left w:w="105" w:type="dxa"/>
              <w:bottom w:w="0" w:type="dxa"/>
              <w:right w:w="105" w:type="dxa"/>
            </w:tcMar>
            <w:vAlign w:val="center"/>
          </w:tcPr>
          <w:p w14:paraId="3F8C5665"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6分</w:t>
            </w:r>
          </w:p>
        </w:tc>
      </w:tr>
      <w:tr w:rsidR="00C853D5" w14:paraId="0E607FDB" w14:textId="77777777">
        <w:trPr>
          <w:trHeight w:val="825"/>
          <w:jc w:val="center"/>
        </w:trPr>
        <w:tc>
          <w:tcPr>
            <w:tcW w:w="509" w:type="pct"/>
            <w:vMerge/>
            <w:vAlign w:val="center"/>
          </w:tcPr>
          <w:p w14:paraId="3CE9C786"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852" w:type="pct"/>
            <w:vMerge/>
            <w:vAlign w:val="center"/>
          </w:tcPr>
          <w:p w14:paraId="051A4852"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3123" w:type="pct"/>
            <w:tcMar>
              <w:top w:w="0" w:type="dxa"/>
              <w:left w:w="105" w:type="dxa"/>
              <w:bottom w:w="0" w:type="dxa"/>
              <w:right w:w="105" w:type="dxa"/>
            </w:tcMar>
            <w:vAlign w:val="center"/>
          </w:tcPr>
          <w:p w14:paraId="2261A6EE"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5.项目实施难点分析（7分）</w:t>
            </w:r>
          </w:p>
          <w:p w14:paraId="6507D97D"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根据提供的针对本项目中重难点问题的具体处理措施（包括总体工作思路、审计政策和可能发生的变更、成果确认、重大资产处置、各项补助、合并报表）等评分：</w:t>
            </w:r>
          </w:p>
          <w:p w14:paraId="07D4873F"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难点、风险点分析全面合理、应对措施可行，得7分；</w:t>
            </w:r>
          </w:p>
          <w:p w14:paraId="77FA39AC"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难点、风险点分析较全面合理、应对措施较可行，得4分</w:t>
            </w:r>
          </w:p>
          <w:p w14:paraId="0B79F0E2"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难点、风险点分析一般，应对措施欠可行，得2分；</w:t>
            </w:r>
          </w:p>
          <w:p w14:paraId="4E8687C5"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难点、风险点分析、应对措施不可行，得1分；</w:t>
            </w:r>
          </w:p>
          <w:p w14:paraId="3BD8510A"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未提供的不得分。</w:t>
            </w:r>
          </w:p>
        </w:tc>
        <w:tc>
          <w:tcPr>
            <w:tcW w:w="514" w:type="pct"/>
            <w:tcMar>
              <w:top w:w="0" w:type="dxa"/>
              <w:left w:w="105" w:type="dxa"/>
              <w:bottom w:w="0" w:type="dxa"/>
              <w:right w:w="105" w:type="dxa"/>
            </w:tcMar>
            <w:vAlign w:val="center"/>
          </w:tcPr>
          <w:p w14:paraId="54171326"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7分</w:t>
            </w:r>
          </w:p>
        </w:tc>
      </w:tr>
      <w:tr w:rsidR="00C853D5" w14:paraId="1EA9B068" w14:textId="77777777">
        <w:trPr>
          <w:trHeight w:val="825"/>
          <w:jc w:val="center"/>
        </w:trPr>
        <w:tc>
          <w:tcPr>
            <w:tcW w:w="509" w:type="pct"/>
            <w:vMerge/>
            <w:vAlign w:val="center"/>
          </w:tcPr>
          <w:p w14:paraId="780CBD22"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852" w:type="pct"/>
            <w:vMerge/>
            <w:vAlign w:val="center"/>
          </w:tcPr>
          <w:p w14:paraId="5D63CCAD" w14:textId="77777777" w:rsidR="00C853D5" w:rsidRDefault="00C853D5">
            <w:pPr>
              <w:widowControl/>
              <w:adjustRightInd w:val="0"/>
              <w:snapToGrid w:val="0"/>
              <w:spacing w:line="360" w:lineRule="auto"/>
              <w:jc w:val="left"/>
              <w:rPr>
                <w:rFonts w:ascii="宋体" w:hAnsi="宋体" w:cs="宋体"/>
                <w:color w:val="333333"/>
                <w:kern w:val="0"/>
                <w:szCs w:val="21"/>
              </w:rPr>
            </w:pPr>
          </w:p>
        </w:tc>
        <w:tc>
          <w:tcPr>
            <w:tcW w:w="3123" w:type="pct"/>
            <w:tcMar>
              <w:top w:w="0" w:type="dxa"/>
              <w:left w:w="105" w:type="dxa"/>
              <w:bottom w:w="0" w:type="dxa"/>
              <w:right w:w="105" w:type="dxa"/>
            </w:tcMar>
            <w:vAlign w:val="center"/>
          </w:tcPr>
          <w:p w14:paraId="6B6EFB41"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6.保密措施方案（6分）</w:t>
            </w:r>
          </w:p>
          <w:p w14:paraId="2AE5A7D8"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根据提供的保密措施方案综合评分，包括但不限于从人员、技术、流程、监督全方位构建精细保密措施。</w:t>
            </w:r>
          </w:p>
          <w:p w14:paraId="4661BEA6"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lastRenderedPageBreak/>
              <w:t>措施合理、完整、可行，得6分；</w:t>
            </w:r>
          </w:p>
          <w:p w14:paraId="748C8B00"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措施较合理、较完整、较可行，得4分；</w:t>
            </w:r>
          </w:p>
          <w:p w14:paraId="62B20F2D"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措施欠合理、欠完整、欠可行，得2分；</w:t>
            </w:r>
          </w:p>
          <w:p w14:paraId="6B98A2B8"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措施不合理、不完整、不可行，得1分；</w:t>
            </w:r>
          </w:p>
          <w:p w14:paraId="4D387681"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未提供的不得分。</w:t>
            </w:r>
          </w:p>
        </w:tc>
        <w:tc>
          <w:tcPr>
            <w:tcW w:w="514" w:type="pct"/>
            <w:tcMar>
              <w:top w:w="0" w:type="dxa"/>
              <w:left w:w="105" w:type="dxa"/>
              <w:bottom w:w="0" w:type="dxa"/>
              <w:right w:w="105" w:type="dxa"/>
            </w:tcMar>
            <w:vAlign w:val="center"/>
          </w:tcPr>
          <w:p w14:paraId="0CC56924" w14:textId="77777777" w:rsidR="00C853D5" w:rsidRDefault="00C9672D">
            <w:pPr>
              <w:widowControl/>
              <w:adjustRightInd w:val="0"/>
              <w:snapToGrid w:val="0"/>
              <w:spacing w:line="360" w:lineRule="auto"/>
              <w:jc w:val="center"/>
              <w:rPr>
                <w:rFonts w:ascii="宋体" w:hAnsi="宋体" w:cs="宋体"/>
                <w:b/>
                <w:bCs/>
                <w:color w:val="333333"/>
                <w:kern w:val="0"/>
                <w:szCs w:val="21"/>
              </w:rPr>
            </w:pPr>
            <w:r>
              <w:rPr>
                <w:rFonts w:ascii="宋体" w:hAnsi="宋体" w:cs="宋体" w:hint="eastAsia"/>
                <w:b/>
                <w:bCs/>
                <w:color w:val="333333"/>
                <w:kern w:val="0"/>
                <w:szCs w:val="21"/>
              </w:rPr>
              <w:lastRenderedPageBreak/>
              <w:t>6分</w:t>
            </w:r>
          </w:p>
        </w:tc>
      </w:tr>
      <w:tr w:rsidR="00C853D5" w14:paraId="63F15C47" w14:textId="77777777">
        <w:trPr>
          <w:trHeight w:val="390"/>
          <w:jc w:val="center"/>
        </w:trPr>
        <w:tc>
          <w:tcPr>
            <w:tcW w:w="509" w:type="pct"/>
            <w:tcMar>
              <w:top w:w="0" w:type="dxa"/>
              <w:left w:w="105" w:type="dxa"/>
              <w:bottom w:w="0" w:type="dxa"/>
              <w:right w:w="105" w:type="dxa"/>
            </w:tcMar>
            <w:vAlign w:val="center"/>
          </w:tcPr>
          <w:p w14:paraId="6359F8A4"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lastRenderedPageBreak/>
              <w:t>5</w:t>
            </w:r>
          </w:p>
        </w:tc>
        <w:tc>
          <w:tcPr>
            <w:tcW w:w="852" w:type="pct"/>
            <w:tcMar>
              <w:top w:w="0" w:type="dxa"/>
              <w:left w:w="105" w:type="dxa"/>
              <w:bottom w:w="0" w:type="dxa"/>
              <w:right w:w="105" w:type="dxa"/>
            </w:tcMar>
            <w:vAlign w:val="center"/>
          </w:tcPr>
          <w:p w14:paraId="4A3B5817"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其他事项</w:t>
            </w:r>
          </w:p>
          <w:p w14:paraId="3BD83F05"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（4分）</w:t>
            </w:r>
          </w:p>
        </w:tc>
        <w:tc>
          <w:tcPr>
            <w:tcW w:w="3123" w:type="pct"/>
            <w:tcMar>
              <w:top w:w="0" w:type="dxa"/>
              <w:left w:w="105" w:type="dxa"/>
              <w:bottom w:w="0" w:type="dxa"/>
              <w:right w:w="105" w:type="dxa"/>
            </w:tcMar>
          </w:tcPr>
          <w:p w14:paraId="4262BD3E" w14:textId="77777777" w:rsidR="00C853D5" w:rsidRDefault="00C9672D">
            <w:pPr>
              <w:widowControl/>
              <w:adjustRightInd w:val="0"/>
              <w:snapToGrid w:val="0"/>
              <w:spacing w:line="360" w:lineRule="auto"/>
              <w:jc w:val="left"/>
              <w:rPr>
                <w:rFonts w:ascii="宋体" w:hAnsi="宋体" w:cs="宋体"/>
                <w:color w:val="333333"/>
                <w:kern w:val="0"/>
                <w:szCs w:val="21"/>
              </w:rPr>
            </w:pPr>
            <w:r>
              <w:rPr>
                <w:rFonts w:ascii="宋体" w:hAnsi="宋体" w:cs="宋体" w:hint="eastAsia"/>
                <w:color w:val="333333"/>
                <w:kern w:val="0"/>
                <w:szCs w:val="21"/>
              </w:rPr>
              <w:t>拟为本项目服务的注册会计师2022年以来没有受到行业惩戒的，得4分，有一次扣2分，扣完为止。以行业管理部门记录（包括网站公布）为准，须提供注册会计师行业统一监管平台或注册会计师</w:t>
            </w:r>
            <w:proofErr w:type="gramStart"/>
            <w:r>
              <w:rPr>
                <w:rFonts w:ascii="宋体" w:hAnsi="宋体" w:cs="宋体" w:hint="eastAsia"/>
                <w:color w:val="333333"/>
                <w:kern w:val="0"/>
                <w:szCs w:val="21"/>
              </w:rPr>
              <w:t>协会官网查询</w:t>
            </w:r>
            <w:proofErr w:type="gramEnd"/>
            <w:r>
              <w:rPr>
                <w:rFonts w:ascii="宋体" w:hAnsi="宋体" w:cs="宋体" w:hint="eastAsia"/>
                <w:color w:val="333333"/>
                <w:kern w:val="0"/>
                <w:szCs w:val="21"/>
              </w:rPr>
              <w:t>结果截图，未提供或不符合要求不得分。</w:t>
            </w:r>
          </w:p>
        </w:tc>
        <w:tc>
          <w:tcPr>
            <w:tcW w:w="514" w:type="pct"/>
            <w:tcMar>
              <w:top w:w="0" w:type="dxa"/>
              <w:left w:w="105" w:type="dxa"/>
              <w:bottom w:w="0" w:type="dxa"/>
              <w:right w:w="105" w:type="dxa"/>
            </w:tcMar>
            <w:vAlign w:val="center"/>
          </w:tcPr>
          <w:p w14:paraId="55D6F77A" w14:textId="77777777" w:rsidR="00C853D5" w:rsidRDefault="00C9672D">
            <w:pPr>
              <w:widowControl/>
              <w:adjustRightInd w:val="0"/>
              <w:snapToGrid w:val="0"/>
              <w:spacing w:line="360" w:lineRule="auto"/>
              <w:jc w:val="center"/>
              <w:rPr>
                <w:rFonts w:ascii="宋体" w:hAnsi="宋体" w:cs="宋体"/>
                <w:color w:val="333333"/>
                <w:kern w:val="0"/>
                <w:szCs w:val="21"/>
              </w:rPr>
            </w:pPr>
            <w:r>
              <w:rPr>
                <w:rFonts w:ascii="宋体" w:hAnsi="宋体" w:cs="宋体" w:hint="eastAsia"/>
                <w:b/>
                <w:bCs/>
                <w:color w:val="333333"/>
                <w:kern w:val="0"/>
                <w:szCs w:val="21"/>
              </w:rPr>
              <w:t>4分</w:t>
            </w:r>
          </w:p>
        </w:tc>
      </w:tr>
    </w:tbl>
    <w:p w14:paraId="414FD17D" w14:textId="77777777" w:rsidR="00C853D5" w:rsidRDefault="00C853D5"/>
    <w:sectPr w:rsidR="00C853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278C2" w14:textId="77777777" w:rsidR="00F86F47" w:rsidRDefault="00F86F47" w:rsidP="00760827">
      <w:r>
        <w:separator/>
      </w:r>
    </w:p>
  </w:endnote>
  <w:endnote w:type="continuationSeparator" w:id="0">
    <w:p w14:paraId="62CC828F" w14:textId="77777777" w:rsidR="00F86F47" w:rsidRDefault="00F86F47" w:rsidP="0076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66CF6" w14:textId="77777777" w:rsidR="00F86F47" w:rsidRDefault="00F86F47" w:rsidP="00760827">
      <w:r>
        <w:separator/>
      </w:r>
    </w:p>
  </w:footnote>
  <w:footnote w:type="continuationSeparator" w:id="0">
    <w:p w14:paraId="0BD6280C" w14:textId="77777777" w:rsidR="00F86F47" w:rsidRDefault="00F86F47" w:rsidP="00760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5492"/>
    <w:rsid w:val="00315492"/>
    <w:rsid w:val="00760827"/>
    <w:rsid w:val="00793128"/>
    <w:rsid w:val="008C2384"/>
    <w:rsid w:val="00C853D5"/>
    <w:rsid w:val="00C9672D"/>
    <w:rsid w:val="00F208DC"/>
    <w:rsid w:val="00F86F47"/>
    <w:rsid w:val="00FA4B34"/>
    <w:rsid w:val="1F40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Title"/>
    <w:basedOn w:val="a"/>
    <w:next w:val="a"/>
    <w:link w:val="Char1"/>
    <w:uiPriority w:val="10"/>
    <w:qFormat/>
    <w:pPr>
      <w:spacing w:before="240" w:after="60"/>
      <w:jc w:val="center"/>
      <w:outlineLvl w:val="0"/>
    </w:pPr>
    <w:rPr>
      <w:rFonts w:asciiTheme="majorHAnsi" w:hAnsiTheme="majorHAnsi" w:cstheme="majorBidi"/>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paragraph" w:customStyle="1" w:styleId="a6">
    <w:name w:val="普通正文"/>
    <w:basedOn w:val="a"/>
    <w:uiPriority w:val="99"/>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Char1">
    <w:name w:val="标题 Char"/>
    <w:basedOn w:val="a0"/>
    <w:link w:val="a5"/>
    <w:uiPriority w:val="10"/>
    <w:qFormat/>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扬州大学附属医院</cp:lastModifiedBy>
  <cp:revision>6</cp:revision>
  <dcterms:created xsi:type="dcterms:W3CDTF">2025-02-21T07:54:00Z</dcterms:created>
  <dcterms:modified xsi:type="dcterms:W3CDTF">2025-02-23T08:04:00Z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eyJoZGlkIjoiMjAzNWIxMjExZDFiZjdkNzkyY2YwZTU2YWJhYzY1MTYifQ==</vt:lpwstr>
  </property>
  <property fmtid="{D5CDD505-2E9C-101B-9397-08002B2CF9AE}" pid="3" name="KSOProductBuildVer">
    <vt:lpwstr>2052-12.1.0.19770</vt:lpwstr>
  </property>
  <property fmtid="{D5CDD505-2E9C-101B-9397-08002B2CF9AE}" pid="4" name="ICV">
    <vt:lpwstr>03D56686764B4D8AB78ED33595667C69_12</vt:lpwstr>
  </property>
</Properties>
</file>