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CC0CC">
      <w:pPr>
        <w:pStyle w:val="3"/>
        <w:jc w:val="center"/>
        <w:rPr>
          <w:rFonts w:hint="default" w:cs="宋体"/>
        </w:rPr>
      </w:pPr>
      <w:r>
        <w:rPr>
          <w:rFonts w:cs="宋体"/>
        </w:rPr>
        <w:t>采购需求</w:t>
      </w:r>
    </w:p>
    <w:p w14:paraId="6EFCF5EC">
      <w:pPr>
        <w:adjustRightInd w:val="0"/>
        <w:snapToGrid w:val="0"/>
        <w:spacing w:line="360" w:lineRule="auto"/>
        <w:ind w:firstLine="420" w:firstLineChars="200"/>
        <w:rPr>
          <w:rFonts w:hint="eastAsia" w:ascii="宋体" w:hAnsi="宋体" w:eastAsia="宋体" w:cs="宋体"/>
          <w:bCs/>
          <w:szCs w:val="21"/>
        </w:rPr>
      </w:pPr>
      <w:r>
        <w:rPr>
          <w:rFonts w:hint="eastAsia" w:ascii="宋体" w:hAnsi="宋体" w:eastAsia="宋体" w:cs="宋体"/>
          <w:color w:val="auto"/>
          <w:kern w:val="0"/>
          <w:lang w:val="en-US" w:eastAsia="zh-CN"/>
        </w:rPr>
        <w:t>扬州大学附属</w:t>
      </w:r>
      <w:r>
        <w:rPr>
          <w:rFonts w:hint="eastAsia" w:ascii="宋体" w:hAnsi="宋体" w:eastAsia="宋体" w:cs="宋体"/>
          <w:color w:val="auto"/>
          <w:kern w:val="0"/>
        </w:rPr>
        <w:t>医院继发性高血压病因筛查质谱检测外送服务项目</w:t>
      </w:r>
      <w:r>
        <w:rPr>
          <w:rFonts w:hint="eastAsia" w:ascii="宋体" w:hAnsi="宋体" w:eastAsia="宋体" w:cs="宋体"/>
          <w:bCs/>
          <w:color w:val="auto"/>
          <w:szCs w:val="21"/>
        </w:rPr>
        <w:t>，</w:t>
      </w:r>
      <w:r>
        <w:rPr>
          <w:rFonts w:hint="eastAsia" w:ascii="宋体" w:hAnsi="宋体" w:eastAsia="宋体" w:cs="宋体"/>
          <w:bCs/>
          <w:szCs w:val="21"/>
        </w:rPr>
        <w:t>为方便病人就诊、给临床提供辅助诊断开展的一些特殊项目，因检测标本量少或无相应检测设备，需要送第三方检测实验室检测。包括但不限于提供样本收取、样本运输、配套车辆设备、外送标本检测等全部工作。</w:t>
      </w:r>
    </w:p>
    <w:p w14:paraId="2C5CD597">
      <w:pPr>
        <w:numPr>
          <w:ilvl w:val="0"/>
          <w:numId w:val="1"/>
        </w:numPr>
        <w:adjustRightInd w:val="0"/>
        <w:snapToGrid w:val="0"/>
        <w:spacing w:line="360" w:lineRule="auto"/>
        <w:rPr>
          <w:rFonts w:ascii="inherit" w:hAnsi="inherit" w:eastAsia="宋体" w:cs="宋体"/>
          <w:color w:val="060607"/>
          <w:spacing w:val="4"/>
          <w:kern w:val="0"/>
          <w:szCs w:val="21"/>
        </w:rPr>
      </w:pPr>
      <w:r>
        <w:rPr>
          <w:rFonts w:ascii="inherit" w:hAnsi="inherit" w:eastAsia="宋体" w:cs="宋体"/>
          <w:b/>
          <w:bCs/>
          <w:color w:val="060607"/>
          <w:spacing w:val="4"/>
          <w:kern w:val="0"/>
          <w:szCs w:val="21"/>
        </w:rPr>
        <w:t>检测项目</w:t>
      </w:r>
      <w:r>
        <w:rPr>
          <w:rFonts w:ascii="inherit" w:hAnsi="inherit" w:eastAsia="宋体" w:cs="宋体"/>
          <w:color w:val="060607"/>
          <w:spacing w:val="4"/>
          <w:kern w:val="0"/>
          <w:szCs w:val="21"/>
        </w:rPr>
        <w:t>：</w:t>
      </w:r>
    </w:p>
    <w:p w14:paraId="7B661582">
      <w:pPr>
        <w:numPr>
          <w:ilvl w:val="0"/>
          <w:numId w:val="0"/>
        </w:numPr>
        <w:adjustRightInd w:val="0"/>
        <w:snapToGrid w:val="0"/>
        <w:spacing w:line="360" w:lineRule="auto"/>
        <w:rPr>
          <w:rFonts w:ascii="inherit" w:hAnsi="inherit" w:eastAsia="宋体" w:cs="宋体"/>
          <w:color w:val="060607"/>
          <w:spacing w:val="4"/>
          <w:kern w:val="0"/>
          <w:szCs w:val="21"/>
        </w:rPr>
      </w:pPr>
      <w:r>
        <w:rPr>
          <w:rFonts w:ascii="Helvetica Neue" w:hAnsi="Helvetica Neue" w:eastAsia="宋体" w:cs="宋体"/>
          <w:color w:val="060607"/>
          <w:spacing w:val="4"/>
          <w:kern w:val="0"/>
          <w:szCs w:val="21"/>
        </w:rPr>
        <w:t>包括但不限于以下内容：</w:t>
      </w:r>
      <w:r>
        <w:rPr>
          <w:rFonts w:hint="eastAsia" w:ascii="inherit" w:hAnsi="inherit" w:eastAsia="宋体" w:cs="宋体"/>
          <w:color w:val="060607"/>
          <w:spacing w:val="4"/>
          <w:kern w:val="0"/>
          <w:szCs w:val="21"/>
        </w:rPr>
        <w:t>多巴胺、</w:t>
      </w:r>
      <w:r>
        <w:rPr>
          <w:rFonts w:ascii="inherit" w:hAnsi="inherit" w:eastAsia="宋体" w:cs="宋体"/>
          <w:color w:val="060607"/>
          <w:spacing w:val="4"/>
          <w:kern w:val="0"/>
          <w:szCs w:val="21"/>
        </w:rPr>
        <w:t>肾上腺素</w:t>
      </w:r>
      <w:r>
        <w:rPr>
          <w:rFonts w:hint="eastAsia" w:ascii="inherit" w:hAnsi="inherit" w:eastAsia="宋体" w:cs="宋体"/>
          <w:color w:val="060607"/>
          <w:spacing w:val="4"/>
          <w:kern w:val="0"/>
          <w:szCs w:val="21"/>
        </w:rPr>
        <w:t>、</w:t>
      </w:r>
      <w:r>
        <w:rPr>
          <w:rFonts w:ascii="inherit" w:hAnsi="inherit" w:eastAsia="宋体" w:cs="宋体"/>
          <w:color w:val="060607"/>
          <w:spacing w:val="4"/>
          <w:kern w:val="0"/>
          <w:szCs w:val="21"/>
        </w:rPr>
        <w:t>去甲肾上腺素</w:t>
      </w:r>
      <w:r>
        <w:rPr>
          <w:rFonts w:hint="eastAsia" w:ascii="inherit" w:hAnsi="inherit" w:eastAsia="宋体" w:cs="宋体"/>
          <w:color w:val="060607"/>
          <w:spacing w:val="4"/>
          <w:kern w:val="0"/>
          <w:szCs w:val="21"/>
        </w:rPr>
        <w:t>、</w:t>
      </w:r>
      <w:r>
        <w:rPr>
          <w:rFonts w:ascii="inherit" w:hAnsi="inherit" w:eastAsia="宋体" w:cs="宋体"/>
          <w:color w:val="060607"/>
          <w:spacing w:val="4"/>
          <w:kern w:val="0"/>
          <w:szCs w:val="21"/>
        </w:rPr>
        <w:t>变肾上腺素（3﹣甲氧基肾上腺素）</w:t>
      </w:r>
      <w:r>
        <w:rPr>
          <w:rFonts w:hint="eastAsia" w:ascii="inherit" w:hAnsi="inherit" w:eastAsia="宋体" w:cs="宋体"/>
          <w:color w:val="060607"/>
          <w:spacing w:val="4"/>
          <w:kern w:val="0"/>
          <w:szCs w:val="21"/>
        </w:rPr>
        <w:t>、</w:t>
      </w:r>
      <w:r>
        <w:rPr>
          <w:rFonts w:ascii="inherit" w:hAnsi="inherit" w:eastAsia="宋体" w:cs="宋体"/>
          <w:color w:val="060607"/>
          <w:spacing w:val="4"/>
          <w:kern w:val="0"/>
          <w:szCs w:val="21"/>
        </w:rPr>
        <w:t>去甲变肾上腺素（3﹣甲氧基去甲肾上腺素）</w:t>
      </w:r>
      <w:r>
        <w:rPr>
          <w:rFonts w:hint="eastAsia" w:ascii="inherit" w:hAnsi="inherit" w:eastAsia="宋体" w:cs="宋体"/>
          <w:color w:val="060607"/>
          <w:spacing w:val="4"/>
          <w:kern w:val="0"/>
          <w:szCs w:val="21"/>
        </w:rPr>
        <w:t>、</w:t>
      </w:r>
      <w:r>
        <w:rPr>
          <w:rFonts w:ascii="inherit" w:hAnsi="inherit" w:eastAsia="宋体" w:cs="宋体"/>
          <w:color w:val="060607"/>
          <w:spacing w:val="4"/>
          <w:kern w:val="0"/>
          <w:szCs w:val="21"/>
        </w:rPr>
        <w:t>高香草酸</w:t>
      </w:r>
      <w:r>
        <w:rPr>
          <w:rFonts w:hint="eastAsia" w:ascii="inherit" w:hAnsi="inherit" w:eastAsia="宋体" w:cs="宋体"/>
          <w:color w:val="060607"/>
          <w:spacing w:val="4"/>
          <w:kern w:val="0"/>
          <w:szCs w:val="21"/>
        </w:rPr>
        <w:t>、</w:t>
      </w:r>
      <w:r>
        <w:rPr>
          <w:rFonts w:ascii="inherit" w:hAnsi="inherit" w:eastAsia="宋体" w:cs="宋体"/>
          <w:color w:val="060607"/>
          <w:spacing w:val="4"/>
          <w:kern w:val="0"/>
          <w:szCs w:val="21"/>
        </w:rPr>
        <w:t>香草扁桃酸</w:t>
      </w:r>
      <w:r>
        <w:rPr>
          <w:rFonts w:hint="eastAsia" w:ascii="inherit" w:hAnsi="inherit" w:eastAsia="宋体" w:cs="宋体"/>
          <w:color w:val="060607"/>
          <w:spacing w:val="4"/>
          <w:kern w:val="0"/>
          <w:szCs w:val="21"/>
        </w:rPr>
        <w:t>、</w:t>
      </w:r>
      <w:r>
        <w:rPr>
          <w:rFonts w:ascii="inherit" w:hAnsi="inherit" w:eastAsia="宋体" w:cs="宋体"/>
          <w:color w:val="060607"/>
          <w:spacing w:val="4"/>
          <w:kern w:val="0"/>
          <w:szCs w:val="21"/>
        </w:rPr>
        <w:t>醛固酮</w:t>
      </w:r>
      <w:r>
        <w:rPr>
          <w:rFonts w:hint="eastAsia" w:ascii="inherit" w:hAnsi="inherit" w:eastAsia="宋体" w:cs="宋体"/>
          <w:color w:val="060607"/>
          <w:spacing w:val="4"/>
          <w:kern w:val="0"/>
          <w:szCs w:val="21"/>
        </w:rPr>
        <w:t>、</w:t>
      </w:r>
      <w:r>
        <w:rPr>
          <w:rFonts w:ascii="inherit" w:hAnsi="inherit" w:eastAsia="宋体" w:cs="宋体"/>
          <w:color w:val="060607"/>
          <w:spacing w:val="4"/>
          <w:kern w:val="0"/>
          <w:szCs w:val="21"/>
        </w:rPr>
        <w:t>血管紧张素</w:t>
      </w:r>
      <w:r>
        <w:rPr>
          <w:rFonts w:hint="eastAsia" w:ascii="inherit" w:hAnsi="inherit" w:eastAsia="宋体" w:cs="宋体"/>
          <w:color w:val="060607"/>
          <w:spacing w:val="4"/>
          <w:kern w:val="0"/>
          <w:szCs w:val="21"/>
        </w:rPr>
        <w:t>I、</w:t>
      </w:r>
      <w:r>
        <w:rPr>
          <w:rFonts w:ascii="inherit" w:hAnsi="inherit" w:eastAsia="宋体" w:cs="宋体"/>
          <w:color w:val="060607"/>
          <w:spacing w:val="4"/>
          <w:kern w:val="0"/>
          <w:szCs w:val="21"/>
        </w:rPr>
        <w:t>肾素活性</w:t>
      </w:r>
      <w:r>
        <w:rPr>
          <w:rFonts w:hint="eastAsia" w:ascii="inherit" w:hAnsi="inherit" w:eastAsia="宋体" w:cs="宋体"/>
          <w:color w:val="060607"/>
          <w:spacing w:val="4"/>
          <w:kern w:val="0"/>
          <w:szCs w:val="21"/>
        </w:rPr>
        <w:t>、</w:t>
      </w:r>
      <w:r>
        <w:rPr>
          <w:rFonts w:ascii="inherit" w:hAnsi="inherit" w:eastAsia="宋体" w:cs="宋体"/>
          <w:color w:val="060607"/>
          <w:spacing w:val="4"/>
          <w:kern w:val="0"/>
          <w:szCs w:val="21"/>
        </w:rPr>
        <w:t>皮质醇</w:t>
      </w:r>
      <w:r>
        <w:rPr>
          <w:rFonts w:hint="eastAsia" w:ascii="inherit" w:hAnsi="inherit" w:eastAsia="宋体" w:cs="宋体"/>
          <w:color w:val="060607"/>
          <w:spacing w:val="4"/>
          <w:kern w:val="0"/>
          <w:szCs w:val="21"/>
        </w:rPr>
        <w:t>、皮质酮、皮质素、1</w:t>
      </w:r>
      <w:r>
        <w:rPr>
          <w:rFonts w:ascii="inherit" w:hAnsi="inherit" w:eastAsia="宋体" w:cs="宋体"/>
          <w:color w:val="060607"/>
          <w:spacing w:val="4"/>
          <w:kern w:val="0"/>
          <w:szCs w:val="21"/>
        </w:rPr>
        <w:t>1-</w:t>
      </w:r>
      <w:r>
        <w:rPr>
          <w:rFonts w:hint="eastAsia" w:ascii="inherit" w:hAnsi="inherit" w:eastAsia="宋体" w:cs="宋体"/>
          <w:color w:val="060607"/>
          <w:spacing w:val="4"/>
          <w:kern w:val="0"/>
          <w:szCs w:val="21"/>
        </w:rPr>
        <w:t>脱氧皮质醇、1</w:t>
      </w:r>
      <w:r>
        <w:rPr>
          <w:rFonts w:ascii="inherit" w:hAnsi="inherit" w:eastAsia="宋体" w:cs="宋体"/>
          <w:color w:val="060607"/>
          <w:spacing w:val="4"/>
          <w:kern w:val="0"/>
          <w:szCs w:val="21"/>
        </w:rPr>
        <w:t>2-</w:t>
      </w:r>
      <w:r>
        <w:rPr>
          <w:rFonts w:hint="eastAsia" w:ascii="inherit" w:hAnsi="inherit" w:eastAsia="宋体" w:cs="宋体"/>
          <w:color w:val="060607"/>
          <w:spacing w:val="4"/>
          <w:kern w:val="0"/>
          <w:szCs w:val="21"/>
        </w:rPr>
        <w:t>脱氧皮质醇</w:t>
      </w:r>
      <w:r>
        <w:rPr>
          <w:rFonts w:ascii="inherit" w:hAnsi="inherit" w:eastAsia="宋体" w:cs="宋体"/>
          <w:color w:val="060607"/>
          <w:spacing w:val="4"/>
          <w:kern w:val="0"/>
          <w:szCs w:val="21"/>
        </w:rPr>
        <w:t>等指标的质谱检测。</w:t>
      </w:r>
    </w:p>
    <w:p w14:paraId="6F36A1EB">
      <w:pPr>
        <w:numPr>
          <w:ilvl w:val="0"/>
          <w:numId w:val="1"/>
        </w:numPr>
        <w:adjustRightInd w:val="0"/>
        <w:snapToGrid w:val="0"/>
        <w:spacing w:line="360" w:lineRule="auto"/>
        <w:ind w:left="0" w:leftChars="0" w:firstLine="0" w:firstLineChars="0"/>
        <w:rPr>
          <w:rFonts w:ascii="inherit" w:hAnsi="inherit" w:eastAsia="宋体" w:cs="宋体"/>
          <w:color w:val="060607"/>
          <w:spacing w:val="4"/>
          <w:kern w:val="0"/>
          <w:szCs w:val="21"/>
        </w:rPr>
      </w:pPr>
      <w:r>
        <w:rPr>
          <w:rFonts w:ascii="inherit" w:hAnsi="inherit" w:eastAsia="宋体" w:cs="宋体"/>
          <w:b/>
          <w:bCs/>
          <w:color w:val="060607"/>
          <w:spacing w:val="4"/>
          <w:kern w:val="0"/>
          <w:szCs w:val="21"/>
        </w:rPr>
        <w:t>检测技术</w:t>
      </w:r>
      <w:r>
        <w:rPr>
          <w:rFonts w:hint="eastAsia" w:ascii="inherit" w:hAnsi="inherit" w:eastAsia="宋体" w:cs="宋体"/>
          <w:b/>
          <w:bCs/>
          <w:color w:val="060607"/>
          <w:spacing w:val="4"/>
          <w:kern w:val="0"/>
          <w:szCs w:val="21"/>
          <w:lang w:val="en-US" w:eastAsia="zh-CN"/>
        </w:rPr>
        <w:t>要求</w:t>
      </w:r>
      <w:r>
        <w:rPr>
          <w:rFonts w:ascii="inherit" w:hAnsi="inherit" w:eastAsia="宋体" w:cs="宋体"/>
          <w:color w:val="060607"/>
          <w:spacing w:val="4"/>
          <w:kern w:val="0"/>
          <w:szCs w:val="21"/>
        </w:rPr>
        <w:t>：必须采用国际认可的质谱检测技术（如LC-MS/MS），并提供相关技术验证报告。</w:t>
      </w:r>
    </w:p>
    <w:p w14:paraId="6D690B70">
      <w:pPr>
        <w:widowControl/>
        <w:numPr>
          <w:ilvl w:val="0"/>
          <w:numId w:val="1"/>
        </w:numPr>
        <w:shd w:val="clear" w:color="auto" w:fill="FFFFFF"/>
        <w:spacing w:line="360" w:lineRule="auto"/>
        <w:ind w:left="0" w:leftChars="0" w:firstLine="0" w:firstLineChars="0"/>
        <w:jc w:val="left"/>
        <w:textAlignment w:val="baseline"/>
        <w:rPr>
          <w:rFonts w:hint="eastAsia" w:ascii="inherit" w:hAnsi="inherit" w:eastAsia="宋体" w:cs="宋体"/>
          <w:color w:val="060607"/>
          <w:spacing w:val="4"/>
          <w:kern w:val="0"/>
          <w:szCs w:val="21"/>
          <w:lang w:val="en-US" w:eastAsia="zh-CN"/>
        </w:rPr>
      </w:pPr>
      <w:r>
        <w:rPr>
          <w:rFonts w:hint="eastAsia" w:ascii="inherit" w:hAnsi="inherit" w:eastAsia="宋体" w:cs="宋体"/>
          <w:b/>
          <w:bCs/>
          <w:color w:val="060607"/>
          <w:spacing w:val="4"/>
          <w:kern w:val="0"/>
          <w:szCs w:val="21"/>
        </w:rPr>
        <w:t>科研支持：</w:t>
      </w:r>
      <w:r>
        <w:rPr>
          <w:rFonts w:hint="eastAsia" w:ascii="inherit" w:hAnsi="inherit" w:eastAsia="宋体" w:cs="宋体"/>
          <w:color w:val="060607"/>
          <w:spacing w:val="4"/>
          <w:kern w:val="0"/>
          <w:szCs w:val="21"/>
        </w:rPr>
        <w:t>协助开展内分泌高血压</w:t>
      </w:r>
      <w:r>
        <w:rPr>
          <w:rFonts w:hint="eastAsia" w:ascii="宋体" w:hAnsi="宋体" w:eastAsia="宋体" w:cs="宋体"/>
          <w:szCs w:val="21"/>
        </w:rPr>
        <w:t>病因筛查项目相关的科研工作</w:t>
      </w:r>
      <w:r>
        <w:rPr>
          <w:rFonts w:hint="eastAsia" w:ascii="inherit" w:hAnsi="inherit" w:eastAsia="宋体" w:cs="宋体"/>
          <w:color w:val="060607"/>
          <w:spacing w:val="4"/>
          <w:kern w:val="0"/>
          <w:szCs w:val="21"/>
        </w:rPr>
        <w:t>，包括</w:t>
      </w:r>
      <w:r>
        <w:rPr>
          <w:rFonts w:ascii="inherit" w:hAnsi="inherit" w:eastAsia="宋体" w:cs="宋体"/>
          <w:color w:val="060607"/>
          <w:spacing w:val="4"/>
          <w:kern w:val="0"/>
          <w:szCs w:val="21"/>
        </w:rPr>
        <w:t>但不限于</w:t>
      </w:r>
      <w:r>
        <w:rPr>
          <w:rFonts w:hint="eastAsia" w:ascii="宋体" w:hAnsi="宋体" w:eastAsia="宋体" w:cs="宋体"/>
          <w:szCs w:val="21"/>
        </w:rPr>
        <w:t>协助建立原酵症、嗜铬细胞瘤/副神经节瘤、库欣综合征的高效筛查方法，协助构建</w:t>
      </w:r>
      <w:r>
        <w:rPr>
          <w:rFonts w:hint="eastAsia" w:ascii="inherit" w:hAnsi="inherit" w:eastAsia="宋体" w:cs="宋体"/>
          <w:color w:val="060607"/>
          <w:spacing w:val="4"/>
          <w:kern w:val="0"/>
          <w:szCs w:val="21"/>
        </w:rPr>
        <w:t>内分泌高血压数据库。</w:t>
      </w:r>
    </w:p>
    <w:p w14:paraId="79735831">
      <w:pPr>
        <w:adjustRightInd w:val="0"/>
        <w:snapToGrid w:val="0"/>
        <w:spacing w:line="360" w:lineRule="auto"/>
        <w:rPr>
          <w:rFonts w:ascii="宋体" w:hAnsi="宋体" w:eastAsia="宋体" w:cs="宋体"/>
          <w:szCs w:val="21"/>
        </w:rPr>
      </w:pPr>
      <w:r>
        <w:rPr>
          <w:rFonts w:hint="eastAsia" w:ascii="宋体" w:hAnsi="宋体" w:eastAsia="宋体" w:cs="宋体"/>
          <w:b/>
          <w:szCs w:val="21"/>
          <w:lang w:val="en-US" w:eastAsia="zh-CN"/>
        </w:rPr>
        <w:t>4</w:t>
      </w:r>
      <w:r>
        <w:rPr>
          <w:rFonts w:hint="eastAsia" w:ascii="宋体" w:hAnsi="宋体" w:eastAsia="宋体" w:cs="宋体"/>
          <w:b/>
          <w:szCs w:val="21"/>
        </w:rPr>
        <w:t>、转运标本种类：</w:t>
      </w:r>
      <w:r>
        <w:rPr>
          <w:rFonts w:hint="eastAsia" w:ascii="宋体" w:hAnsi="宋体" w:eastAsia="宋体" w:cs="宋体"/>
          <w:szCs w:val="21"/>
        </w:rPr>
        <w:t>血浆、随机尿。</w:t>
      </w:r>
    </w:p>
    <w:p w14:paraId="590B3A93">
      <w:pPr>
        <w:adjustRightInd w:val="0"/>
        <w:snapToGrid w:val="0"/>
        <w:spacing w:line="360" w:lineRule="auto"/>
        <w:rPr>
          <w:rFonts w:ascii="宋体" w:hAnsi="宋体" w:eastAsia="宋体" w:cs="宋体"/>
          <w:b/>
          <w:szCs w:val="21"/>
        </w:rPr>
      </w:pPr>
      <w:r>
        <w:rPr>
          <w:rFonts w:hint="eastAsia" w:ascii="宋体" w:hAnsi="宋体" w:eastAsia="宋体" w:cs="宋体"/>
          <w:b/>
          <w:szCs w:val="21"/>
          <w:lang w:val="en-US" w:eastAsia="zh-CN"/>
        </w:rPr>
        <w:t>5</w:t>
      </w:r>
      <w:r>
        <w:rPr>
          <w:rFonts w:hint="eastAsia" w:ascii="宋体" w:hAnsi="宋体" w:eastAsia="宋体" w:cs="宋体"/>
          <w:b/>
          <w:szCs w:val="21"/>
        </w:rPr>
        <w:t>、标本收取及报告：</w:t>
      </w:r>
    </w:p>
    <w:p w14:paraId="1ED2ED19">
      <w:pPr>
        <w:adjustRightInd w:val="0"/>
        <w:snapToGrid w:val="0"/>
        <w:spacing w:line="360" w:lineRule="auto"/>
        <w:rPr>
          <w:rFonts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.1标本需上门收取，收取人员必须当场确认采集量和标本类型是否符合要求，如不符及时和检验中心人员联系。</w:t>
      </w:r>
    </w:p>
    <w:p w14:paraId="1CDEADCD">
      <w:pPr>
        <w:adjustRightInd w:val="0"/>
        <w:snapToGrid w:val="0"/>
        <w:spacing w:line="360" w:lineRule="auto"/>
        <w:rPr>
          <w:rFonts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.2收样后三个自然日内出具报告，所有报告单可在网上查询，并与医院</w:t>
      </w:r>
      <w:r>
        <w:rPr>
          <w:rFonts w:hint="eastAsia" w:ascii="宋体" w:hAnsi="宋体" w:eastAsia="宋体" w:cs="宋体"/>
          <w:szCs w:val="21"/>
          <w:highlight w:val="none"/>
          <w:u w:val="none"/>
        </w:rPr>
        <w:t>LIS</w:t>
      </w:r>
      <w:r>
        <w:rPr>
          <w:rFonts w:hint="eastAsia" w:ascii="宋体" w:hAnsi="宋体" w:eastAsia="宋体" w:cs="宋体"/>
          <w:szCs w:val="21"/>
          <w:highlight w:val="none"/>
        </w:rPr>
        <w:t>系统</w:t>
      </w:r>
      <w:r>
        <w:rPr>
          <w:rFonts w:hint="eastAsia" w:ascii="宋体" w:hAnsi="宋体" w:eastAsia="宋体" w:cs="宋体"/>
          <w:szCs w:val="21"/>
        </w:rPr>
        <w:t>相连接，接口相关费用由中标单位支付。</w:t>
      </w:r>
    </w:p>
    <w:p w14:paraId="25BE6385">
      <w:pPr>
        <w:adjustRightInd w:val="0"/>
        <w:snapToGrid w:val="0"/>
        <w:spacing w:line="360" w:lineRule="auto"/>
        <w:rPr>
          <w:rFonts w:ascii="宋体" w:hAnsi="宋体" w:eastAsia="宋体" w:cs="宋体"/>
          <w:b/>
          <w:szCs w:val="21"/>
        </w:rPr>
      </w:pPr>
      <w:r>
        <w:rPr>
          <w:rFonts w:hint="eastAsia" w:ascii="宋体" w:hAnsi="宋体" w:eastAsia="宋体" w:cs="宋体"/>
          <w:b/>
          <w:szCs w:val="21"/>
          <w:lang w:val="en-US" w:eastAsia="zh-CN"/>
        </w:rPr>
        <w:t>6</w:t>
      </w:r>
      <w:r>
        <w:rPr>
          <w:rFonts w:hint="eastAsia" w:ascii="宋体" w:hAnsi="宋体" w:eastAsia="宋体" w:cs="宋体"/>
          <w:b/>
          <w:szCs w:val="21"/>
        </w:rPr>
        <w:t>、运输冷链系统要求</w:t>
      </w:r>
    </w:p>
    <w:p w14:paraId="13FCBB30">
      <w:pPr>
        <w:adjustRightInd w:val="0"/>
        <w:snapToGrid w:val="0"/>
        <w:spacing w:line="360" w:lineRule="auto"/>
        <w:rPr>
          <w:rFonts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.1 所有样本的运送必须符合样本运输管理要求，采用相应的冷链运送技术，特殊标本运输过程中需干冰冻存。</w:t>
      </w:r>
    </w:p>
    <w:p w14:paraId="61A5DA0E">
      <w:pPr>
        <w:adjustRightInd w:val="0"/>
        <w:snapToGrid w:val="0"/>
        <w:spacing w:line="360" w:lineRule="auto"/>
        <w:rPr>
          <w:rFonts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.2所有样本运送必须采用符合相关标准的冷链物流车或转送车辆及冷链物流箱，冷链物流车或转送车辆及冷链物流箱配备数量满足标本转送要求。</w:t>
      </w:r>
    </w:p>
    <w:p w14:paraId="6E9F9CA2">
      <w:pPr>
        <w:numPr>
          <w:ilvl w:val="0"/>
          <w:numId w:val="0"/>
        </w:numPr>
        <w:adjustRightInd w:val="0"/>
        <w:snapToGrid w:val="0"/>
        <w:spacing w:line="360" w:lineRule="auto"/>
        <w:rPr>
          <w:rFonts w:ascii="宋体" w:hAnsi="宋体" w:eastAsia="宋体" w:cs="宋体"/>
          <w:b/>
          <w:szCs w:val="21"/>
        </w:rPr>
      </w:pPr>
      <w:r>
        <w:rPr>
          <w:rFonts w:hint="eastAsia" w:ascii="宋体" w:hAnsi="宋体" w:eastAsia="宋体" w:cs="宋体"/>
          <w:b/>
          <w:szCs w:val="21"/>
          <w:lang w:val="en-US" w:eastAsia="zh-CN"/>
        </w:rPr>
        <w:t>7、</w:t>
      </w:r>
      <w:r>
        <w:rPr>
          <w:rFonts w:hint="eastAsia" w:ascii="宋体" w:hAnsi="宋体" w:eastAsia="宋体" w:cs="宋体"/>
          <w:b/>
          <w:szCs w:val="21"/>
        </w:rPr>
        <w:t>标本安全管理：</w:t>
      </w:r>
    </w:p>
    <w:p w14:paraId="7C48DFCB">
      <w:pPr>
        <w:adjustRightInd w:val="0"/>
        <w:snapToGrid w:val="0"/>
        <w:spacing w:line="360" w:lineRule="auto"/>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1样本交接及运送过程必须符合样本的安全管理要求，符合《病原微生物实验室生物安全管理条例》、《可感染人类的高致病性病原微生物菌（毒）种或样本运输管理规定》、《浙江省病原微生物实验室生物安全管理办法（试行）》等相关法律法规规章涉及的生物安全规定。</w:t>
      </w:r>
    </w:p>
    <w:p w14:paraId="12BE7326">
      <w:pPr>
        <w:adjustRightInd w:val="0"/>
        <w:snapToGrid w:val="0"/>
        <w:spacing w:line="360" w:lineRule="auto"/>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.2供应商需要按照国家相关规定要求，对检测的标本进行妥善保管。</w:t>
      </w:r>
    </w:p>
    <w:p w14:paraId="2F542AC9">
      <w:pPr>
        <w:adjustRightInd w:val="0"/>
        <w:snapToGrid w:val="0"/>
        <w:spacing w:line="360" w:lineRule="auto"/>
        <w:rPr>
          <w:rFonts w:ascii="宋体" w:hAnsi="宋体" w:eastAsia="宋体" w:cs="宋体"/>
          <w:b/>
          <w:szCs w:val="21"/>
        </w:rPr>
      </w:pPr>
      <w:r>
        <w:rPr>
          <w:rFonts w:hint="eastAsia" w:ascii="宋体" w:hAnsi="宋体" w:eastAsia="宋体" w:cs="宋体"/>
          <w:b/>
          <w:szCs w:val="21"/>
          <w:lang w:val="en-US" w:eastAsia="zh-CN"/>
        </w:rPr>
        <w:t>8</w:t>
      </w:r>
      <w:r>
        <w:rPr>
          <w:rFonts w:hint="eastAsia" w:ascii="宋体" w:hAnsi="宋体" w:eastAsia="宋体" w:cs="宋体"/>
          <w:b/>
          <w:szCs w:val="21"/>
        </w:rPr>
        <w:t>、标本运输要求：</w:t>
      </w:r>
      <w:r>
        <w:rPr>
          <w:rFonts w:hint="eastAsia" w:ascii="宋体" w:hAnsi="宋体" w:eastAsia="宋体" w:cs="宋体"/>
          <w:szCs w:val="21"/>
        </w:rPr>
        <w:t>运输车辆拥有运输标本专业设备如生物安全转运箱，并装有处置生物安全应急事件的应急箱及消毒用喷壶,可以应对突发生物安全事件的现场处置。</w:t>
      </w:r>
    </w:p>
    <w:p w14:paraId="4AFA1A6A">
      <w:pPr>
        <w:adjustRightInd w:val="0"/>
        <w:snapToGrid w:val="0"/>
        <w:spacing w:line="360" w:lineRule="auto"/>
        <w:rPr>
          <w:rFonts w:ascii="宋体" w:hAnsi="宋体" w:eastAsia="宋体" w:cs="宋体"/>
          <w:szCs w:val="21"/>
        </w:rPr>
      </w:pPr>
      <w:r>
        <w:rPr>
          <w:rFonts w:hint="eastAsia" w:ascii="宋体" w:hAnsi="宋体" w:eastAsia="宋体" w:cs="宋体"/>
          <w:b/>
          <w:szCs w:val="21"/>
          <w:lang w:val="en-US" w:eastAsia="zh-CN"/>
        </w:rPr>
        <w:t>9</w:t>
      </w:r>
      <w:r>
        <w:rPr>
          <w:rFonts w:hint="eastAsia" w:ascii="宋体" w:hAnsi="宋体" w:eastAsia="宋体" w:cs="宋体"/>
          <w:b/>
          <w:szCs w:val="21"/>
        </w:rPr>
        <w:t>、标本转运制度：</w:t>
      </w:r>
      <w:r>
        <w:rPr>
          <w:rFonts w:hint="eastAsia" w:ascii="宋体" w:hAnsi="宋体" w:eastAsia="宋体" w:cs="宋体"/>
          <w:szCs w:val="21"/>
        </w:rPr>
        <w:t>提供</w:t>
      </w:r>
      <w:r>
        <w:rPr>
          <w:rFonts w:hint="eastAsia" w:ascii="宋体" w:hAnsi="宋体" w:eastAsia="宋体" w:cs="宋体"/>
          <w:bCs/>
          <w:szCs w:val="21"/>
        </w:rPr>
        <w:t>标本转</w:t>
      </w:r>
      <w:r>
        <w:rPr>
          <w:rFonts w:hint="eastAsia" w:ascii="宋体" w:hAnsi="宋体" w:eastAsia="宋体" w:cs="宋体"/>
          <w:szCs w:val="21"/>
        </w:rPr>
        <w:t>运物流流程规章制度（包括标本运输紧急预案）及工作各环节操作说明书。</w:t>
      </w:r>
    </w:p>
    <w:p w14:paraId="77D43397">
      <w:pPr>
        <w:adjustRightInd w:val="0"/>
        <w:snapToGrid w:val="0"/>
        <w:spacing w:line="360" w:lineRule="auto"/>
        <w:rPr>
          <w:rFonts w:ascii="宋体" w:hAnsi="宋体" w:eastAsia="宋体" w:cs="宋体"/>
          <w:szCs w:val="21"/>
        </w:rPr>
      </w:pPr>
      <w:r>
        <w:rPr>
          <w:rFonts w:hint="eastAsia" w:ascii="宋体" w:hAnsi="宋体" w:eastAsia="宋体" w:cs="宋体"/>
          <w:b/>
          <w:szCs w:val="21"/>
          <w:lang w:val="en-US" w:eastAsia="zh-CN"/>
        </w:rPr>
        <w:t>10</w:t>
      </w:r>
      <w:r>
        <w:rPr>
          <w:rFonts w:hint="eastAsia" w:ascii="宋体" w:hAnsi="宋体" w:eastAsia="宋体" w:cs="宋体"/>
          <w:b/>
          <w:szCs w:val="21"/>
        </w:rPr>
        <w:t>、物流规划方案：</w:t>
      </w:r>
      <w:r>
        <w:rPr>
          <w:rFonts w:hint="eastAsia" w:ascii="宋体" w:hAnsi="宋体" w:eastAsia="宋体" w:cs="宋体"/>
          <w:szCs w:val="21"/>
        </w:rPr>
        <w:t>提供整个物流的完整书面规划方案，安全措施、应急预案等等。</w:t>
      </w:r>
    </w:p>
    <w:p w14:paraId="22CC14F4">
      <w:pPr>
        <w:adjustRightInd w:val="0"/>
        <w:snapToGrid w:val="0"/>
        <w:spacing w:line="360" w:lineRule="auto"/>
        <w:rPr>
          <w:rFonts w:ascii="宋体" w:hAnsi="宋体" w:eastAsia="宋体" w:cs="宋体"/>
          <w:szCs w:val="21"/>
        </w:rPr>
      </w:pPr>
      <w:r>
        <w:rPr>
          <w:rFonts w:hint="eastAsia" w:ascii="宋体" w:hAnsi="宋体" w:eastAsia="宋体" w:cs="宋体"/>
          <w:b/>
          <w:szCs w:val="21"/>
          <w:lang w:val="en-US" w:eastAsia="zh-CN"/>
        </w:rPr>
        <w:t>11</w:t>
      </w:r>
      <w:r>
        <w:rPr>
          <w:rFonts w:hint="eastAsia" w:ascii="宋体" w:hAnsi="宋体" w:eastAsia="宋体" w:cs="宋体"/>
          <w:b/>
          <w:szCs w:val="21"/>
        </w:rPr>
        <w:t>、外送服务费：</w:t>
      </w:r>
      <w:r>
        <w:rPr>
          <w:rFonts w:hint="eastAsia" w:ascii="宋体" w:hAnsi="宋体" w:eastAsia="宋体" w:cs="宋体"/>
          <w:szCs w:val="21"/>
        </w:rPr>
        <w:t>本项目投标报价包含自投标人上门接收样本至院方收到检测报告期间所产生的费用，包括但不限于检测服务费、检测报告费和其他外送标本检验等及其涉及的运费、油费、保险费、工资、水电费、设备折旧费、税费等全部费用。</w:t>
      </w:r>
    </w:p>
    <w:p w14:paraId="0A4C9A1A">
      <w:pPr>
        <w:adjustRightInd w:val="0"/>
        <w:snapToGrid w:val="0"/>
        <w:spacing w:line="360" w:lineRule="auto"/>
        <w:rPr>
          <w:rFonts w:ascii="宋体" w:hAnsi="宋体" w:eastAsia="宋体" w:cs="宋体"/>
          <w:b/>
          <w:szCs w:val="21"/>
        </w:rPr>
      </w:pPr>
      <w:r>
        <w:rPr>
          <w:rFonts w:hint="eastAsia" w:ascii="宋体" w:hAnsi="宋体" w:eastAsia="宋体" w:cs="宋体"/>
          <w:b/>
          <w:szCs w:val="21"/>
          <w:lang w:val="en-US" w:eastAsia="zh-CN"/>
        </w:rPr>
        <w:t>12</w:t>
      </w:r>
      <w:r>
        <w:rPr>
          <w:rFonts w:hint="eastAsia" w:ascii="宋体" w:hAnsi="宋体" w:eastAsia="宋体" w:cs="宋体"/>
          <w:b/>
          <w:szCs w:val="21"/>
        </w:rPr>
        <w:t>、质量要求：</w:t>
      </w:r>
    </w:p>
    <w:p w14:paraId="37C09988">
      <w:pPr>
        <w:adjustRightInd w:val="0"/>
        <w:snapToGrid w:val="0"/>
        <w:spacing w:line="360" w:lineRule="auto"/>
        <w:rPr>
          <w:rFonts w:ascii="宋体" w:hAnsi="宋体" w:eastAsia="宋体" w:cs="宋体"/>
          <w:szCs w:val="21"/>
        </w:rPr>
      </w:pPr>
      <w:r>
        <w:rPr>
          <w:rFonts w:hint="eastAsia" w:ascii="宋体" w:hAnsi="宋体" w:eastAsia="宋体" w:cs="宋体"/>
          <w:szCs w:val="21"/>
          <w:lang w:val="en-US" w:eastAsia="zh-CN"/>
        </w:rPr>
        <w:t>12</w:t>
      </w:r>
      <w:r>
        <w:rPr>
          <w:rFonts w:hint="eastAsia" w:ascii="宋体" w:hAnsi="宋体" w:eastAsia="宋体" w:cs="宋体"/>
          <w:szCs w:val="21"/>
        </w:rPr>
        <w:t>.1 供应商需按照采购人的要求定期维护提交质量控制数据记录。</w:t>
      </w:r>
    </w:p>
    <w:p w14:paraId="72CED82F">
      <w:pPr>
        <w:adjustRightInd w:val="0"/>
        <w:snapToGrid w:val="0"/>
        <w:spacing w:line="360" w:lineRule="auto"/>
        <w:rPr>
          <w:rFonts w:ascii="宋体" w:hAnsi="宋体" w:eastAsia="宋体" w:cs="宋体"/>
          <w:szCs w:val="21"/>
        </w:rPr>
      </w:pPr>
      <w:r>
        <w:rPr>
          <w:rFonts w:hint="eastAsia" w:ascii="宋体" w:hAnsi="宋体" w:eastAsia="宋体" w:cs="宋体"/>
          <w:szCs w:val="21"/>
          <w:lang w:val="en-US" w:eastAsia="zh-CN"/>
        </w:rPr>
        <w:t>12</w:t>
      </w:r>
      <w:r>
        <w:rPr>
          <w:rFonts w:hint="eastAsia" w:ascii="宋体" w:hAnsi="宋体" w:eastAsia="宋体" w:cs="宋体"/>
          <w:szCs w:val="21"/>
        </w:rPr>
        <w:t>.2 优先选择使用二类体外诊断试剂进行样本质谱检测的供应商。</w:t>
      </w:r>
    </w:p>
    <w:p w14:paraId="044884DB">
      <w:pPr>
        <w:adjustRightInd w:val="0"/>
        <w:snapToGrid w:val="0"/>
        <w:spacing w:line="360" w:lineRule="auto"/>
        <w:rPr>
          <w:rFonts w:hint="eastAsia" w:ascii="宋体" w:hAnsi="宋体" w:eastAsia="宋体" w:cs="宋体"/>
          <w:szCs w:val="21"/>
        </w:rPr>
      </w:pPr>
      <w:r>
        <w:rPr>
          <w:rFonts w:hint="eastAsia" w:ascii="宋体" w:hAnsi="宋体" w:eastAsia="宋体" w:cs="宋体"/>
          <w:szCs w:val="21"/>
          <w:lang w:val="en-US" w:eastAsia="zh-CN"/>
        </w:rPr>
        <w:t>12</w:t>
      </w:r>
      <w:r>
        <w:rPr>
          <w:rFonts w:hint="eastAsia" w:ascii="宋体" w:hAnsi="宋体" w:eastAsia="宋体" w:cs="宋体"/>
          <w:szCs w:val="21"/>
        </w:rPr>
        <w:t>.3 供应商对所出的检测报告负责，建立全面的质量管理体系，落实全面质量管理与改进制度，严格按照SOP文件执行，开展室内质控，并参加国家临检中心室间质评，确保检验结果准确可靠。</w:t>
      </w:r>
    </w:p>
    <w:p w14:paraId="7E6C78F6">
      <w:pPr>
        <w:snapToGrid w:val="0"/>
        <w:spacing w:line="360" w:lineRule="auto"/>
        <w:rPr>
          <w:rFonts w:ascii="宋体" w:hAnsi="宋体" w:eastAsia="宋体" w:cs="宋体"/>
          <w:szCs w:val="21"/>
        </w:rPr>
      </w:pPr>
      <w:r>
        <w:rPr>
          <w:rFonts w:hint="eastAsia" w:ascii="宋体" w:hAnsi="宋体" w:eastAsia="宋体" w:cs="宋体"/>
          <w:szCs w:val="21"/>
          <w:lang w:val="en-US" w:eastAsia="zh-CN"/>
        </w:rPr>
        <w:t>12</w:t>
      </w: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供应商需提供专业客户服务人员，提供疑似阳性患者的邮件通知服务。服务时效：日常电话及时应答，投诉2小时内回复。</w:t>
      </w:r>
    </w:p>
    <w:p w14:paraId="0361661C">
      <w:pPr>
        <w:adjustRightInd w:val="0"/>
        <w:snapToGrid w:val="0"/>
        <w:spacing w:line="360" w:lineRule="auto"/>
        <w:rPr>
          <w:rFonts w:hint="eastAsia" w:ascii="宋体" w:hAnsi="宋体" w:eastAsia="宋体" w:cs="宋体"/>
          <w:szCs w:val="21"/>
        </w:rPr>
      </w:pPr>
    </w:p>
    <w:p w14:paraId="153A5BCD">
      <w:pPr>
        <w:adjustRightInd w:val="0"/>
        <w:snapToGrid w:val="0"/>
        <w:spacing w:line="360" w:lineRule="auto"/>
        <w:rPr>
          <w:rFonts w:hint="eastAsia" w:ascii="宋体" w:hAnsi="宋体" w:eastAsia="宋体" w:cs="宋体"/>
          <w:szCs w:val="21"/>
        </w:rPr>
      </w:pPr>
    </w:p>
    <w:p w14:paraId="76C07150">
      <w:pPr>
        <w:snapToGrid w:val="0"/>
        <w:spacing w:line="360" w:lineRule="auto"/>
        <w:rPr>
          <w:rFonts w:ascii="宋体" w:hAnsi="宋体" w:eastAsia="宋体" w:cs="宋体"/>
          <w:b/>
          <w:szCs w:val="21"/>
        </w:rPr>
      </w:pPr>
    </w:p>
    <w:p w14:paraId="56CDBB2D">
      <w:pPr>
        <w:rPr>
          <w:rFonts w:ascii="宋体" w:hAnsi="宋体" w:eastAsia="宋体" w:cs="宋体"/>
        </w:rPr>
      </w:pPr>
      <w:r>
        <w:rPr>
          <w:rFonts w:hint="eastAsia" w:ascii="宋体" w:hAnsi="宋体" w:eastAsia="宋体" w:cs="宋体"/>
        </w:rPr>
        <w:br w:type="page"/>
      </w:r>
    </w:p>
    <w:p w14:paraId="2D929C3E">
      <w:pPr>
        <w:pStyle w:val="3"/>
        <w:jc w:val="center"/>
        <w:rPr>
          <w:rFonts w:hint="default" w:cs="宋体"/>
        </w:rPr>
      </w:pPr>
      <w:r>
        <w:rPr>
          <w:rFonts w:cs="宋体"/>
        </w:rPr>
        <w:t>评分标准</w:t>
      </w:r>
    </w:p>
    <w:tbl>
      <w:tblPr>
        <w:tblStyle w:val="13"/>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401"/>
        <w:gridCol w:w="6901"/>
        <w:gridCol w:w="888"/>
      </w:tblGrid>
      <w:tr w14:paraId="10B6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80" w:type="pct"/>
            <w:vAlign w:val="center"/>
          </w:tcPr>
          <w:p w14:paraId="6C80C9C4">
            <w:pPr>
              <w:rPr>
                <w:rFonts w:ascii="宋体" w:hAnsi="宋体" w:eastAsia="宋体" w:cs="宋体"/>
                <w:b/>
                <w:bCs/>
                <w:sz w:val="24"/>
                <w:szCs w:val="32"/>
              </w:rPr>
            </w:pPr>
            <w:r>
              <w:rPr>
                <w:rFonts w:hint="eastAsia" w:ascii="宋体" w:hAnsi="宋体" w:eastAsia="宋体" w:cs="宋体"/>
                <w:b/>
                <w:bCs/>
                <w:sz w:val="24"/>
                <w:szCs w:val="32"/>
                <w:lang w:val="zh-CN"/>
              </w:rPr>
              <w:t>序号</w:t>
            </w:r>
          </w:p>
        </w:tc>
        <w:tc>
          <w:tcPr>
            <w:tcW w:w="704" w:type="pct"/>
            <w:vAlign w:val="center"/>
          </w:tcPr>
          <w:p w14:paraId="23C95CD7">
            <w:pPr>
              <w:rPr>
                <w:rFonts w:ascii="宋体" w:hAnsi="宋体" w:eastAsia="宋体" w:cs="宋体"/>
                <w:b/>
                <w:bCs/>
                <w:sz w:val="24"/>
                <w:szCs w:val="32"/>
              </w:rPr>
            </w:pPr>
            <w:r>
              <w:rPr>
                <w:rFonts w:hint="eastAsia" w:ascii="宋体" w:hAnsi="宋体" w:eastAsia="宋体" w:cs="宋体"/>
                <w:b/>
                <w:bCs/>
                <w:sz w:val="24"/>
                <w:szCs w:val="32"/>
              </w:rPr>
              <w:t>评标内容</w:t>
            </w:r>
          </w:p>
        </w:tc>
        <w:tc>
          <w:tcPr>
            <w:tcW w:w="3468" w:type="pct"/>
            <w:vAlign w:val="center"/>
          </w:tcPr>
          <w:p w14:paraId="7EFB68A9">
            <w:pPr>
              <w:rPr>
                <w:rFonts w:ascii="宋体" w:hAnsi="宋体" w:eastAsia="宋体" w:cs="宋体"/>
                <w:b/>
                <w:bCs/>
                <w:sz w:val="24"/>
                <w:szCs w:val="32"/>
              </w:rPr>
            </w:pPr>
            <w:r>
              <w:rPr>
                <w:rFonts w:hint="eastAsia" w:ascii="宋体" w:hAnsi="宋体" w:eastAsia="宋体" w:cs="宋体"/>
                <w:b/>
                <w:bCs/>
                <w:sz w:val="24"/>
                <w:szCs w:val="32"/>
                <w:lang w:val="zh-CN"/>
              </w:rPr>
              <w:t>评标标准</w:t>
            </w:r>
          </w:p>
        </w:tc>
        <w:tc>
          <w:tcPr>
            <w:tcW w:w="446" w:type="pct"/>
            <w:vAlign w:val="center"/>
          </w:tcPr>
          <w:p w14:paraId="0DEB2351">
            <w:pPr>
              <w:rPr>
                <w:rFonts w:ascii="宋体" w:hAnsi="宋体" w:eastAsia="宋体" w:cs="宋体"/>
                <w:b/>
                <w:bCs/>
                <w:sz w:val="24"/>
                <w:szCs w:val="32"/>
              </w:rPr>
            </w:pPr>
            <w:r>
              <w:rPr>
                <w:rFonts w:hint="eastAsia" w:ascii="宋体" w:hAnsi="宋体" w:eastAsia="宋体" w:cs="宋体"/>
                <w:b/>
                <w:bCs/>
                <w:sz w:val="24"/>
                <w:szCs w:val="32"/>
              </w:rPr>
              <w:t>权重</w:t>
            </w:r>
          </w:p>
        </w:tc>
      </w:tr>
      <w:tr w14:paraId="02B5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0" w:type="pct"/>
            <w:vAlign w:val="center"/>
          </w:tcPr>
          <w:p w14:paraId="494E877B">
            <w:pPr>
              <w:rPr>
                <w:rFonts w:hint="eastAsia" w:ascii="宋体" w:hAnsi="宋体" w:eastAsia="宋体" w:cs="宋体"/>
                <w:lang w:eastAsia="zh-CN"/>
              </w:rPr>
            </w:pPr>
            <w:r>
              <w:rPr>
                <w:rFonts w:hint="eastAsia" w:ascii="宋体" w:hAnsi="宋体" w:eastAsia="宋体" w:cs="宋体"/>
                <w:lang w:val="en-US" w:eastAsia="zh-CN"/>
              </w:rPr>
              <w:t>1</w:t>
            </w:r>
          </w:p>
        </w:tc>
        <w:tc>
          <w:tcPr>
            <w:tcW w:w="704" w:type="pct"/>
            <w:vAlign w:val="center"/>
          </w:tcPr>
          <w:p w14:paraId="549AB817">
            <w:pPr>
              <w:rPr>
                <w:rFonts w:ascii="宋体" w:hAnsi="宋体" w:eastAsia="宋体" w:cs="宋体"/>
              </w:rPr>
            </w:pPr>
            <w:r>
              <w:rPr>
                <w:rFonts w:hint="eastAsia" w:ascii="宋体" w:hAnsi="宋体" w:eastAsia="宋体" w:cs="宋体"/>
              </w:rPr>
              <w:t>报价</w:t>
            </w:r>
          </w:p>
          <w:p w14:paraId="382C6E19">
            <w:pPr>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0分）</w:t>
            </w:r>
          </w:p>
        </w:tc>
        <w:tc>
          <w:tcPr>
            <w:tcW w:w="3468" w:type="pct"/>
            <w:vAlign w:val="center"/>
          </w:tcPr>
          <w:p w14:paraId="31AD77C0">
            <w:pPr>
              <w:jc w:val="left"/>
              <w:rPr>
                <w:rFonts w:ascii="宋体" w:hAnsi="宋体" w:eastAsia="宋体" w:cs="宋体"/>
              </w:rPr>
            </w:pPr>
            <w:r>
              <w:rPr>
                <w:rFonts w:hint="eastAsia" w:ascii="宋体" w:hAnsi="宋体" w:eastAsia="宋体" w:cs="宋体"/>
              </w:rPr>
              <w:t>有效投标报价（投标折扣）的最低价作为评标基准价，其最低报价为满分；其它供应商按［投标报价得分=（评标基准价/投标报价（投标折扣））*</w:t>
            </w:r>
            <w:r>
              <w:rPr>
                <w:rFonts w:hint="eastAsia" w:ascii="宋体" w:hAnsi="宋体" w:eastAsia="宋体" w:cs="宋体"/>
                <w:lang w:val="en-US" w:eastAsia="zh-CN"/>
              </w:rPr>
              <w:t>3</w:t>
            </w:r>
            <w:r>
              <w:rPr>
                <w:rFonts w:hint="eastAsia" w:ascii="宋体" w:hAnsi="宋体" w:eastAsia="宋体" w:cs="宋体"/>
              </w:rPr>
              <w:t>0］的计算公式计算。</w:t>
            </w:r>
          </w:p>
        </w:tc>
        <w:tc>
          <w:tcPr>
            <w:tcW w:w="446" w:type="pct"/>
            <w:vAlign w:val="center"/>
          </w:tcPr>
          <w:p w14:paraId="66D7DFE8">
            <w:pPr>
              <w:rPr>
                <w:rFonts w:ascii="宋体" w:hAnsi="宋体" w:eastAsia="宋体" w:cs="宋体"/>
              </w:rPr>
            </w:pPr>
            <w:r>
              <w:rPr>
                <w:rFonts w:hint="eastAsia" w:ascii="宋体" w:hAnsi="宋体" w:eastAsia="宋体" w:cs="宋体"/>
                <w:lang w:val="en-US" w:eastAsia="zh-CN"/>
              </w:rPr>
              <w:t>3</w:t>
            </w:r>
            <w:r>
              <w:rPr>
                <w:rFonts w:hint="eastAsia" w:ascii="宋体" w:hAnsi="宋体" w:eastAsia="宋体" w:cs="宋体"/>
              </w:rPr>
              <w:t>0</w:t>
            </w:r>
          </w:p>
        </w:tc>
      </w:tr>
      <w:tr w14:paraId="39E2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80" w:type="pct"/>
            <w:vMerge w:val="restart"/>
            <w:vAlign w:val="center"/>
          </w:tcPr>
          <w:p w14:paraId="3736906D">
            <w:pPr>
              <w:rPr>
                <w:rFonts w:hint="eastAsia" w:ascii="宋体" w:hAnsi="宋体" w:eastAsia="宋体" w:cs="宋体"/>
                <w:lang w:val="en-US" w:eastAsia="zh-CN"/>
              </w:rPr>
            </w:pPr>
            <w:r>
              <w:rPr>
                <w:rFonts w:hint="eastAsia" w:ascii="宋体" w:hAnsi="宋体" w:eastAsia="宋体" w:cs="宋体"/>
                <w:lang w:val="en-US" w:eastAsia="zh-CN"/>
              </w:rPr>
              <w:t>2</w:t>
            </w:r>
          </w:p>
        </w:tc>
        <w:tc>
          <w:tcPr>
            <w:tcW w:w="704" w:type="pct"/>
            <w:vMerge w:val="restart"/>
            <w:vAlign w:val="center"/>
          </w:tcPr>
          <w:p w14:paraId="78DD8D4C">
            <w:pPr>
              <w:rPr>
                <w:rFonts w:ascii="宋体" w:hAnsi="宋体" w:eastAsia="宋体" w:cs="宋体"/>
              </w:rPr>
            </w:pPr>
            <w:r>
              <w:rPr>
                <w:rFonts w:hint="eastAsia" w:ascii="宋体" w:hAnsi="宋体" w:eastAsia="宋体" w:cs="宋体"/>
              </w:rPr>
              <w:t>供应商实力</w:t>
            </w:r>
          </w:p>
          <w:p w14:paraId="13D5D452">
            <w:pPr>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20</w:t>
            </w:r>
            <w:r>
              <w:rPr>
                <w:rFonts w:hint="eastAsia" w:ascii="宋体" w:hAnsi="宋体" w:eastAsia="宋体" w:cs="宋体"/>
              </w:rPr>
              <w:t>分）</w:t>
            </w:r>
          </w:p>
        </w:tc>
        <w:tc>
          <w:tcPr>
            <w:tcW w:w="3468" w:type="pct"/>
            <w:shd w:val="clear" w:color="auto" w:fill="auto"/>
            <w:vAlign w:val="center"/>
          </w:tcPr>
          <w:p w14:paraId="2907018F">
            <w:pPr>
              <w:jc w:val="left"/>
              <w:rPr>
                <w:rFonts w:hint="eastAsia" w:ascii="宋体" w:hAnsi="宋体" w:eastAsia="宋体" w:cs="宋体"/>
                <w:kern w:val="2"/>
                <w:sz w:val="21"/>
                <w:szCs w:val="24"/>
                <w:lang w:val="en-US" w:eastAsia="zh-CN" w:bidi="ar-SA"/>
              </w:rPr>
            </w:pPr>
            <w:r>
              <w:rPr>
                <w:rFonts w:hint="eastAsia" w:ascii="宋体" w:hAnsi="宋体" w:eastAsia="宋体" w:cs="宋体"/>
              </w:rPr>
              <w:t>供应商提供2023年通过国家卫健委临床检验中心检测项目相关的室间质评证书（以发证日期为准）。提供证书扫描件，1份得</w:t>
            </w:r>
            <w:r>
              <w:rPr>
                <w:rFonts w:hint="eastAsia" w:ascii="宋体" w:hAnsi="宋体" w:eastAsia="宋体" w:cs="宋体"/>
                <w:lang w:val="en-US" w:eastAsia="zh-CN"/>
              </w:rPr>
              <w:t>1</w:t>
            </w:r>
            <w:r>
              <w:rPr>
                <w:rFonts w:hint="eastAsia" w:ascii="宋体" w:hAnsi="宋体" w:eastAsia="宋体" w:cs="宋体"/>
              </w:rPr>
              <w:t>分，最多得</w:t>
            </w:r>
            <w:r>
              <w:rPr>
                <w:rFonts w:hint="eastAsia" w:ascii="宋体" w:hAnsi="宋体" w:eastAsia="宋体" w:cs="宋体"/>
                <w:lang w:val="en-US" w:eastAsia="zh-CN"/>
              </w:rPr>
              <w:t>5</w:t>
            </w:r>
            <w:r>
              <w:rPr>
                <w:rFonts w:hint="eastAsia" w:ascii="宋体" w:hAnsi="宋体" w:eastAsia="宋体" w:cs="宋体"/>
              </w:rPr>
              <w:t>分，不提供不得分。</w:t>
            </w:r>
          </w:p>
        </w:tc>
        <w:tc>
          <w:tcPr>
            <w:tcW w:w="446" w:type="pct"/>
            <w:shd w:val="clear" w:color="auto" w:fill="auto"/>
            <w:vAlign w:val="center"/>
          </w:tcPr>
          <w:p w14:paraId="6A4B9480">
            <w:pP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5</w:t>
            </w:r>
          </w:p>
        </w:tc>
      </w:tr>
      <w:tr w14:paraId="5E27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80" w:type="pct"/>
            <w:vMerge w:val="continue"/>
            <w:vAlign w:val="center"/>
          </w:tcPr>
          <w:p w14:paraId="17E6F335">
            <w:pPr>
              <w:rPr>
                <w:rFonts w:ascii="宋体" w:hAnsi="宋体" w:eastAsia="宋体" w:cs="宋体"/>
              </w:rPr>
            </w:pPr>
          </w:p>
        </w:tc>
        <w:tc>
          <w:tcPr>
            <w:tcW w:w="704" w:type="pct"/>
            <w:vMerge w:val="continue"/>
            <w:vAlign w:val="center"/>
          </w:tcPr>
          <w:p w14:paraId="23C9B6F3">
            <w:pPr>
              <w:rPr>
                <w:rFonts w:ascii="宋体" w:hAnsi="宋体" w:eastAsia="宋体" w:cs="宋体"/>
              </w:rPr>
            </w:pPr>
          </w:p>
        </w:tc>
        <w:tc>
          <w:tcPr>
            <w:tcW w:w="3468" w:type="pct"/>
            <w:vAlign w:val="center"/>
          </w:tcPr>
          <w:p w14:paraId="0C7C572E">
            <w:pPr>
              <w:jc w:val="left"/>
              <w:rPr>
                <w:rFonts w:ascii="宋体" w:hAnsi="宋体" w:eastAsia="宋体" w:cs="宋体"/>
              </w:rPr>
            </w:pPr>
            <w:r>
              <w:rPr>
                <w:rFonts w:hint="eastAsia" w:ascii="宋体" w:hAnsi="宋体" w:eastAsia="宋体" w:cs="宋体"/>
              </w:rPr>
              <w:t>供应商在国家卫生健康委或其直属单位开展该项目相关的课题，并提供相关证明文件，符合的得</w:t>
            </w:r>
            <w:r>
              <w:rPr>
                <w:rFonts w:hint="eastAsia" w:ascii="宋体" w:hAnsi="宋体" w:eastAsia="宋体" w:cs="宋体"/>
                <w:lang w:val="en-US" w:eastAsia="zh-CN"/>
              </w:rPr>
              <w:t>5</w:t>
            </w:r>
            <w:r>
              <w:rPr>
                <w:rFonts w:hint="eastAsia" w:ascii="宋体" w:hAnsi="宋体" w:eastAsia="宋体" w:cs="宋体"/>
              </w:rPr>
              <w:t>分，不符合得0分。</w:t>
            </w:r>
          </w:p>
        </w:tc>
        <w:tc>
          <w:tcPr>
            <w:tcW w:w="446" w:type="pct"/>
            <w:vAlign w:val="center"/>
          </w:tcPr>
          <w:p w14:paraId="19293D74">
            <w:pPr>
              <w:rPr>
                <w:rFonts w:hint="eastAsia" w:ascii="宋体" w:hAnsi="宋体" w:eastAsia="宋体" w:cs="宋体"/>
                <w:lang w:eastAsia="zh-CN"/>
              </w:rPr>
            </w:pPr>
            <w:r>
              <w:rPr>
                <w:rFonts w:hint="eastAsia" w:ascii="宋体" w:hAnsi="宋体" w:eastAsia="宋体" w:cs="宋体"/>
                <w:lang w:val="en-US" w:eastAsia="zh-CN"/>
              </w:rPr>
              <w:t>5</w:t>
            </w:r>
          </w:p>
        </w:tc>
      </w:tr>
      <w:tr w14:paraId="507A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80" w:type="pct"/>
            <w:vMerge w:val="continue"/>
            <w:vAlign w:val="center"/>
          </w:tcPr>
          <w:p w14:paraId="2676D896">
            <w:pPr>
              <w:rPr>
                <w:rFonts w:ascii="宋体" w:hAnsi="宋体" w:eastAsia="宋体" w:cs="宋体"/>
              </w:rPr>
            </w:pPr>
          </w:p>
        </w:tc>
        <w:tc>
          <w:tcPr>
            <w:tcW w:w="704" w:type="pct"/>
            <w:vMerge w:val="continue"/>
            <w:vAlign w:val="center"/>
          </w:tcPr>
          <w:p w14:paraId="385FA751">
            <w:pPr>
              <w:rPr>
                <w:rFonts w:ascii="宋体" w:hAnsi="宋体" w:eastAsia="宋体" w:cs="宋体"/>
              </w:rPr>
            </w:pPr>
          </w:p>
        </w:tc>
        <w:tc>
          <w:tcPr>
            <w:tcW w:w="3468" w:type="pct"/>
            <w:vAlign w:val="center"/>
          </w:tcPr>
          <w:p w14:paraId="279B0DE4">
            <w:pPr>
              <w:jc w:val="left"/>
              <w:rPr>
                <w:rFonts w:hint="eastAsia" w:ascii="宋体" w:hAnsi="宋体" w:eastAsia="宋体" w:cs="宋体"/>
              </w:rPr>
            </w:pPr>
            <w:r>
              <w:rPr>
                <w:rFonts w:hint="eastAsia" w:ascii="宋体" w:hAnsi="宋体" w:eastAsia="宋体" w:cs="宋体"/>
              </w:rPr>
              <w:t>供应商具备本项目的科研数据平台。提供平台截图及网址得5分，不提供不得分。</w:t>
            </w:r>
          </w:p>
        </w:tc>
        <w:tc>
          <w:tcPr>
            <w:tcW w:w="446" w:type="pct"/>
            <w:vAlign w:val="center"/>
          </w:tcPr>
          <w:p w14:paraId="237166A0">
            <w:pPr>
              <w:rPr>
                <w:rFonts w:ascii="宋体" w:hAnsi="宋体" w:eastAsia="宋体" w:cs="宋体"/>
              </w:rPr>
            </w:pPr>
            <w:r>
              <w:rPr>
                <w:rFonts w:hint="eastAsia" w:ascii="宋体" w:hAnsi="宋体" w:eastAsia="宋体" w:cs="宋体"/>
              </w:rPr>
              <w:t>5</w:t>
            </w:r>
          </w:p>
        </w:tc>
      </w:tr>
      <w:tr w14:paraId="1C73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80" w:type="pct"/>
            <w:vMerge w:val="continue"/>
            <w:vAlign w:val="center"/>
          </w:tcPr>
          <w:p w14:paraId="21D1227A">
            <w:pPr>
              <w:rPr>
                <w:rFonts w:ascii="宋体" w:hAnsi="宋体" w:eastAsia="宋体" w:cs="宋体"/>
              </w:rPr>
            </w:pPr>
          </w:p>
        </w:tc>
        <w:tc>
          <w:tcPr>
            <w:tcW w:w="704" w:type="pct"/>
            <w:vMerge w:val="continue"/>
            <w:vAlign w:val="center"/>
          </w:tcPr>
          <w:p w14:paraId="5A6311A7">
            <w:pPr>
              <w:rPr>
                <w:rFonts w:ascii="宋体" w:hAnsi="宋体" w:eastAsia="宋体" w:cs="宋体"/>
              </w:rPr>
            </w:pPr>
          </w:p>
        </w:tc>
        <w:tc>
          <w:tcPr>
            <w:tcW w:w="3468" w:type="pct"/>
            <w:shd w:val="clear"/>
            <w:vAlign w:val="center"/>
          </w:tcPr>
          <w:p w14:paraId="788E1B09">
            <w:pPr>
              <w:jc w:val="left"/>
              <w:rPr>
                <w:rFonts w:hint="eastAsia" w:ascii="宋体" w:hAnsi="宋体" w:eastAsia="宋体" w:cs="宋体"/>
                <w:kern w:val="2"/>
                <w:sz w:val="21"/>
                <w:szCs w:val="24"/>
                <w:lang w:val="en-US" w:eastAsia="zh-CN" w:bidi="ar-SA"/>
              </w:rPr>
            </w:pPr>
            <w:r>
              <w:rPr>
                <w:rFonts w:hint="eastAsia" w:ascii="宋体" w:hAnsi="宋体" w:eastAsia="宋体" w:cs="宋体"/>
              </w:rPr>
              <w:t>根据供应商检测项目开展的完整性打分，自主能完本项目全部检测指标的得</w:t>
            </w:r>
            <w:r>
              <w:rPr>
                <w:rFonts w:hint="eastAsia" w:ascii="宋体" w:hAnsi="宋体" w:eastAsia="宋体" w:cs="宋体"/>
                <w:lang w:val="en-US" w:eastAsia="zh-CN"/>
              </w:rPr>
              <w:t>5</w:t>
            </w:r>
            <w:r>
              <w:rPr>
                <w:rFonts w:hint="eastAsia" w:ascii="宋体" w:hAnsi="宋体" w:eastAsia="宋体" w:cs="宋体"/>
              </w:rPr>
              <w:t>分，少一项扣1分。扣完为止。提供合作医疗机构真实检验报告单，不提供不得分。</w:t>
            </w:r>
          </w:p>
        </w:tc>
        <w:tc>
          <w:tcPr>
            <w:tcW w:w="446" w:type="pct"/>
            <w:shd w:val="clear"/>
            <w:vAlign w:val="center"/>
          </w:tcPr>
          <w:p w14:paraId="20C355AE">
            <w:pP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5</w:t>
            </w:r>
          </w:p>
        </w:tc>
      </w:tr>
      <w:tr w14:paraId="4DCB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0" w:type="pct"/>
            <w:vMerge w:val="restart"/>
            <w:vAlign w:val="center"/>
          </w:tcPr>
          <w:p w14:paraId="5879FF67">
            <w:pPr>
              <w:rPr>
                <w:rFonts w:hint="eastAsia" w:ascii="宋体" w:hAnsi="宋体" w:eastAsia="宋体" w:cs="宋体"/>
                <w:lang w:eastAsia="zh-CN"/>
              </w:rPr>
            </w:pPr>
            <w:r>
              <w:rPr>
                <w:rFonts w:hint="eastAsia" w:ascii="宋体" w:hAnsi="宋体" w:eastAsia="宋体" w:cs="宋体"/>
                <w:lang w:val="en-US" w:eastAsia="zh-CN"/>
              </w:rPr>
              <w:t>3</w:t>
            </w:r>
          </w:p>
        </w:tc>
        <w:tc>
          <w:tcPr>
            <w:tcW w:w="704" w:type="pct"/>
            <w:vMerge w:val="restart"/>
            <w:vAlign w:val="center"/>
          </w:tcPr>
          <w:p w14:paraId="5B47E789">
            <w:pPr>
              <w:rPr>
                <w:rFonts w:ascii="宋体" w:hAnsi="宋体" w:eastAsia="宋体" w:cs="宋体"/>
              </w:rPr>
            </w:pPr>
            <w:r>
              <w:rPr>
                <w:rFonts w:hint="eastAsia" w:ascii="宋体" w:hAnsi="宋体" w:eastAsia="宋体" w:cs="宋体"/>
              </w:rPr>
              <w:t>服务方案</w:t>
            </w:r>
          </w:p>
          <w:p w14:paraId="708A59CB">
            <w:pPr>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35</w:t>
            </w:r>
            <w:r>
              <w:rPr>
                <w:rFonts w:hint="eastAsia" w:ascii="宋体" w:hAnsi="宋体" w:eastAsia="宋体" w:cs="宋体"/>
              </w:rPr>
              <w:t>分）</w:t>
            </w:r>
          </w:p>
        </w:tc>
        <w:tc>
          <w:tcPr>
            <w:tcW w:w="3468" w:type="pct"/>
            <w:vAlign w:val="center"/>
          </w:tcPr>
          <w:p w14:paraId="06A3B796">
            <w:pPr>
              <w:jc w:val="left"/>
              <w:rPr>
                <w:rFonts w:ascii="宋体" w:hAnsi="宋体" w:eastAsia="宋体" w:cs="宋体"/>
              </w:rPr>
            </w:pPr>
            <w:r>
              <w:rPr>
                <w:rFonts w:hint="eastAsia" w:ascii="宋体" w:hAnsi="宋体" w:eastAsia="宋体" w:cs="宋体"/>
              </w:rPr>
              <w:t>根据供应商外送方案满足项目实施的程度进行评议，包括方案的科学性、可靠性、合理性。方案合理可行的得6分，方案基本合理可行的得4分，方案有欠缺的得2分，未提供或不合理的得0分。</w:t>
            </w:r>
          </w:p>
        </w:tc>
        <w:tc>
          <w:tcPr>
            <w:tcW w:w="446" w:type="pct"/>
            <w:vAlign w:val="center"/>
          </w:tcPr>
          <w:p w14:paraId="51C6AC44">
            <w:pPr>
              <w:rPr>
                <w:rFonts w:ascii="宋体" w:hAnsi="宋体" w:eastAsia="宋体" w:cs="宋体"/>
              </w:rPr>
            </w:pPr>
            <w:r>
              <w:rPr>
                <w:rFonts w:hint="eastAsia" w:ascii="宋体" w:hAnsi="宋体" w:eastAsia="宋体" w:cs="宋体"/>
              </w:rPr>
              <w:t>6</w:t>
            </w:r>
          </w:p>
        </w:tc>
      </w:tr>
      <w:tr w14:paraId="21EC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80" w:type="pct"/>
            <w:vMerge w:val="continue"/>
            <w:vAlign w:val="center"/>
          </w:tcPr>
          <w:p w14:paraId="12B082C9">
            <w:pPr>
              <w:rPr>
                <w:rFonts w:ascii="宋体" w:hAnsi="宋体" w:eastAsia="宋体" w:cs="宋体"/>
                <w:lang w:val="zh-CN"/>
              </w:rPr>
            </w:pPr>
          </w:p>
        </w:tc>
        <w:tc>
          <w:tcPr>
            <w:tcW w:w="704" w:type="pct"/>
            <w:vMerge w:val="continue"/>
            <w:vAlign w:val="center"/>
          </w:tcPr>
          <w:p w14:paraId="1896115E">
            <w:pPr>
              <w:rPr>
                <w:rFonts w:ascii="宋体" w:hAnsi="宋体" w:eastAsia="宋体" w:cs="宋体"/>
              </w:rPr>
            </w:pPr>
          </w:p>
        </w:tc>
        <w:tc>
          <w:tcPr>
            <w:tcW w:w="3468" w:type="pct"/>
            <w:vAlign w:val="center"/>
          </w:tcPr>
          <w:p w14:paraId="50250D67">
            <w:pPr>
              <w:jc w:val="left"/>
              <w:rPr>
                <w:rFonts w:ascii="宋体" w:hAnsi="宋体" w:eastAsia="宋体" w:cs="宋体"/>
              </w:rPr>
            </w:pPr>
            <w:r>
              <w:rPr>
                <w:rFonts w:hint="eastAsia" w:ascii="宋体" w:hAnsi="宋体" w:eastAsia="宋体" w:cs="宋体"/>
              </w:rPr>
              <w:t>供应商具有自营冷链物流服务体系（供应商拥有自己的冷链物流配送单位或物流公司为供应商全资控股或物流公司为同一母公司全资控股公司）且提供相关冷链物流公司《营业执照》及《道路运输经营许可证》者得3分；由第三方物流公司负责接收标本者得1分，提供双方委托协议和配送单位资质。未提供证明资料或提供证明资料不全不得分。</w:t>
            </w:r>
          </w:p>
        </w:tc>
        <w:tc>
          <w:tcPr>
            <w:tcW w:w="446" w:type="pct"/>
            <w:vAlign w:val="center"/>
          </w:tcPr>
          <w:p w14:paraId="3880027C">
            <w:pPr>
              <w:rPr>
                <w:rFonts w:ascii="宋体" w:hAnsi="宋体" w:eastAsia="宋体" w:cs="宋体"/>
              </w:rPr>
            </w:pPr>
            <w:r>
              <w:rPr>
                <w:rFonts w:hint="eastAsia" w:ascii="宋体" w:hAnsi="宋体" w:eastAsia="宋体" w:cs="宋体"/>
              </w:rPr>
              <w:t>3</w:t>
            </w:r>
          </w:p>
        </w:tc>
      </w:tr>
      <w:tr w14:paraId="55FA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0" w:type="pct"/>
            <w:vMerge w:val="continue"/>
            <w:vAlign w:val="center"/>
          </w:tcPr>
          <w:p w14:paraId="78124A5D">
            <w:pPr>
              <w:rPr>
                <w:rFonts w:ascii="宋体" w:hAnsi="宋体" w:eastAsia="宋体" w:cs="宋体"/>
                <w:lang w:val="zh-CN"/>
              </w:rPr>
            </w:pPr>
          </w:p>
        </w:tc>
        <w:tc>
          <w:tcPr>
            <w:tcW w:w="704" w:type="pct"/>
            <w:vMerge w:val="continue"/>
            <w:vAlign w:val="center"/>
          </w:tcPr>
          <w:p w14:paraId="70BBC77F">
            <w:pPr>
              <w:rPr>
                <w:rFonts w:ascii="宋体" w:hAnsi="宋体" w:eastAsia="宋体" w:cs="宋体"/>
              </w:rPr>
            </w:pPr>
          </w:p>
        </w:tc>
        <w:tc>
          <w:tcPr>
            <w:tcW w:w="3468" w:type="pct"/>
            <w:vAlign w:val="center"/>
          </w:tcPr>
          <w:p w14:paraId="6EE13AC3">
            <w:pPr>
              <w:jc w:val="left"/>
              <w:rPr>
                <w:rFonts w:ascii="宋体" w:hAnsi="宋体" w:eastAsia="宋体" w:cs="宋体"/>
              </w:rPr>
            </w:pPr>
            <w:r>
              <w:rPr>
                <w:rFonts w:hint="eastAsia" w:ascii="宋体" w:hAnsi="宋体" w:eastAsia="宋体" w:cs="宋体"/>
              </w:rPr>
              <w:t>根据供应商提供的标本物流运输方案的科学性、合理性、规范性和可操作性进行评议：方案合理可行的得3分，方案基本合理可行的得2分，方案有欠缺的得1分，未提供或不合理的得0分。</w:t>
            </w:r>
          </w:p>
        </w:tc>
        <w:tc>
          <w:tcPr>
            <w:tcW w:w="446" w:type="pct"/>
            <w:vAlign w:val="center"/>
          </w:tcPr>
          <w:p w14:paraId="51982CC5">
            <w:pPr>
              <w:rPr>
                <w:rFonts w:ascii="宋体" w:hAnsi="宋体" w:eastAsia="宋体" w:cs="宋体"/>
              </w:rPr>
            </w:pPr>
            <w:r>
              <w:rPr>
                <w:rFonts w:hint="eastAsia" w:ascii="宋体" w:hAnsi="宋体" w:eastAsia="宋体" w:cs="宋体"/>
              </w:rPr>
              <w:t>3</w:t>
            </w:r>
          </w:p>
        </w:tc>
      </w:tr>
      <w:tr w14:paraId="307B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0" w:type="pct"/>
            <w:vMerge w:val="continue"/>
            <w:vAlign w:val="center"/>
          </w:tcPr>
          <w:p w14:paraId="02E75B8F">
            <w:pPr>
              <w:rPr>
                <w:rFonts w:ascii="宋体" w:hAnsi="宋体" w:eastAsia="宋体" w:cs="宋体"/>
                <w:lang w:val="zh-CN"/>
              </w:rPr>
            </w:pPr>
          </w:p>
        </w:tc>
        <w:tc>
          <w:tcPr>
            <w:tcW w:w="704" w:type="pct"/>
            <w:vMerge w:val="continue"/>
            <w:vAlign w:val="center"/>
          </w:tcPr>
          <w:p w14:paraId="00B022CB">
            <w:pPr>
              <w:rPr>
                <w:rFonts w:ascii="宋体" w:hAnsi="宋体" w:eastAsia="宋体" w:cs="宋体"/>
              </w:rPr>
            </w:pPr>
          </w:p>
        </w:tc>
        <w:tc>
          <w:tcPr>
            <w:tcW w:w="3468" w:type="pct"/>
            <w:vAlign w:val="center"/>
          </w:tcPr>
          <w:p w14:paraId="00336ED0">
            <w:pPr>
              <w:jc w:val="left"/>
              <w:rPr>
                <w:rFonts w:ascii="宋体" w:hAnsi="宋体" w:eastAsia="宋体" w:cs="宋体"/>
              </w:rPr>
            </w:pPr>
            <w:r>
              <w:rPr>
                <w:rFonts w:hint="eastAsia" w:ascii="宋体" w:hAnsi="宋体" w:eastAsia="宋体" w:cs="宋体"/>
              </w:rPr>
              <w:t>根据供应商提供的实验室质量保证措施方案，从质量控制措施的完善性、可行性、操作性三方面进行评议：方案合理可行的得6分，方案基本合理可行的得4分，方案有欠缺的得2分，未提供或不合理的得0分。</w:t>
            </w:r>
          </w:p>
        </w:tc>
        <w:tc>
          <w:tcPr>
            <w:tcW w:w="446" w:type="pct"/>
            <w:vAlign w:val="center"/>
          </w:tcPr>
          <w:p w14:paraId="502EDA5A">
            <w:pPr>
              <w:rPr>
                <w:rFonts w:ascii="宋体" w:hAnsi="宋体" w:eastAsia="宋体" w:cs="宋体"/>
              </w:rPr>
            </w:pPr>
            <w:r>
              <w:rPr>
                <w:rFonts w:hint="eastAsia" w:ascii="宋体" w:hAnsi="宋体" w:eastAsia="宋体" w:cs="宋体"/>
              </w:rPr>
              <w:t>4</w:t>
            </w:r>
          </w:p>
        </w:tc>
      </w:tr>
      <w:tr w14:paraId="5783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0" w:type="pct"/>
            <w:vMerge w:val="continue"/>
            <w:vAlign w:val="center"/>
          </w:tcPr>
          <w:p w14:paraId="0F42200F">
            <w:pPr>
              <w:rPr>
                <w:rFonts w:ascii="宋体" w:hAnsi="宋体" w:eastAsia="宋体" w:cs="宋体"/>
                <w:lang w:val="zh-CN"/>
              </w:rPr>
            </w:pPr>
          </w:p>
        </w:tc>
        <w:tc>
          <w:tcPr>
            <w:tcW w:w="704" w:type="pct"/>
            <w:vMerge w:val="continue"/>
            <w:vAlign w:val="center"/>
          </w:tcPr>
          <w:p w14:paraId="76D489A1">
            <w:pPr>
              <w:rPr>
                <w:rFonts w:ascii="宋体" w:hAnsi="宋体" w:eastAsia="宋体" w:cs="宋体"/>
              </w:rPr>
            </w:pPr>
          </w:p>
        </w:tc>
        <w:tc>
          <w:tcPr>
            <w:tcW w:w="3468" w:type="pct"/>
            <w:vAlign w:val="center"/>
          </w:tcPr>
          <w:p w14:paraId="52B0EFCE">
            <w:pPr>
              <w:jc w:val="left"/>
              <w:rPr>
                <w:rFonts w:ascii="宋体" w:hAnsi="宋体" w:eastAsia="宋体" w:cs="宋体"/>
              </w:rPr>
            </w:pPr>
            <w:r>
              <w:rPr>
                <w:rFonts w:hint="eastAsia" w:ascii="宋体" w:hAnsi="宋体" w:eastAsia="宋体" w:cs="宋体"/>
              </w:rPr>
              <w:t>根据供应商提供的各项服务保障的应急预案进行评议：方案针对性强，能够有效的预见可能发生的问题并能够顺利解决问题的得4分；方案针对突发应急问题预见性和处理能力均有所不足的得2分；未提供或不合理的得0分。</w:t>
            </w:r>
          </w:p>
        </w:tc>
        <w:tc>
          <w:tcPr>
            <w:tcW w:w="446" w:type="pct"/>
            <w:vAlign w:val="center"/>
          </w:tcPr>
          <w:p w14:paraId="68EC97A9">
            <w:pPr>
              <w:rPr>
                <w:rFonts w:ascii="宋体" w:hAnsi="宋体" w:eastAsia="宋体" w:cs="宋体"/>
              </w:rPr>
            </w:pPr>
            <w:r>
              <w:rPr>
                <w:rFonts w:hint="eastAsia" w:ascii="宋体" w:hAnsi="宋体" w:eastAsia="宋体" w:cs="宋体"/>
              </w:rPr>
              <w:t>4</w:t>
            </w:r>
          </w:p>
        </w:tc>
      </w:tr>
      <w:tr w14:paraId="7645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380" w:type="pct"/>
            <w:vMerge w:val="continue"/>
            <w:vAlign w:val="center"/>
          </w:tcPr>
          <w:p w14:paraId="5DC21F36">
            <w:pPr>
              <w:rPr>
                <w:rFonts w:ascii="宋体" w:hAnsi="宋体" w:eastAsia="宋体" w:cs="宋体"/>
                <w:lang w:val="zh-CN"/>
              </w:rPr>
            </w:pPr>
          </w:p>
        </w:tc>
        <w:tc>
          <w:tcPr>
            <w:tcW w:w="704" w:type="pct"/>
            <w:vMerge w:val="continue"/>
            <w:vAlign w:val="center"/>
          </w:tcPr>
          <w:p w14:paraId="7B343E6B">
            <w:pPr>
              <w:rPr>
                <w:rFonts w:ascii="宋体" w:hAnsi="宋体" w:eastAsia="宋体" w:cs="宋体"/>
              </w:rPr>
            </w:pPr>
          </w:p>
        </w:tc>
        <w:tc>
          <w:tcPr>
            <w:tcW w:w="3468" w:type="pct"/>
            <w:vAlign w:val="center"/>
          </w:tcPr>
          <w:p w14:paraId="1E4B8CFA">
            <w:pPr>
              <w:jc w:val="left"/>
              <w:rPr>
                <w:rFonts w:ascii="宋体" w:hAnsi="宋体" w:eastAsia="宋体" w:cs="宋体"/>
              </w:rPr>
            </w:pPr>
            <w:r>
              <w:rPr>
                <w:rFonts w:hint="eastAsia" w:ascii="宋体" w:hAnsi="宋体" w:eastAsia="宋体" w:cs="宋体"/>
              </w:rPr>
              <w:t>根据供应商提供的高血压病因筛查项目的质谱研究及增值服务方案，包括协助采购人实验室进行项目培训、技术能力提升等进行综合评价：方案合理可行的得</w:t>
            </w:r>
            <w:r>
              <w:rPr>
                <w:rFonts w:hint="eastAsia" w:ascii="宋体" w:hAnsi="宋体" w:eastAsia="宋体" w:cs="宋体"/>
                <w:lang w:val="en-US" w:eastAsia="zh-CN"/>
              </w:rPr>
              <w:t>5</w:t>
            </w:r>
            <w:r>
              <w:rPr>
                <w:rFonts w:hint="eastAsia" w:ascii="宋体" w:hAnsi="宋体" w:eastAsia="宋体" w:cs="宋体"/>
              </w:rPr>
              <w:t>分，方案基本合理可行的得</w:t>
            </w:r>
            <w:r>
              <w:rPr>
                <w:rFonts w:hint="eastAsia" w:ascii="宋体" w:hAnsi="宋体" w:eastAsia="宋体" w:cs="宋体"/>
                <w:lang w:val="en-US" w:eastAsia="zh-CN"/>
              </w:rPr>
              <w:t>3</w:t>
            </w:r>
            <w:r>
              <w:rPr>
                <w:rFonts w:hint="eastAsia" w:ascii="宋体" w:hAnsi="宋体" w:eastAsia="宋体" w:cs="宋体"/>
              </w:rPr>
              <w:t>分，方案有欠缺的得</w:t>
            </w:r>
            <w:r>
              <w:rPr>
                <w:rFonts w:hint="eastAsia" w:ascii="宋体" w:hAnsi="宋体" w:eastAsia="宋体" w:cs="宋体"/>
                <w:lang w:val="en-US" w:eastAsia="zh-CN"/>
              </w:rPr>
              <w:t>1</w:t>
            </w:r>
            <w:r>
              <w:rPr>
                <w:rFonts w:hint="eastAsia" w:ascii="宋体" w:hAnsi="宋体" w:eastAsia="宋体" w:cs="宋体"/>
              </w:rPr>
              <w:t>分，未提供或不合理的得0分。</w:t>
            </w:r>
          </w:p>
        </w:tc>
        <w:tc>
          <w:tcPr>
            <w:tcW w:w="446" w:type="pct"/>
            <w:vAlign w:val="center"/>
          </w:tcPr>
          <w:p w14:paraId="536C2145">
            <w:pPr>
              <w:rPr>
                <w:rFonts w:hint="eastAsia" w:ascii="宋体" w:hAnsi="宋体" w:eastAsia="宋体" w:cs="宋体"/>
                <w:lang w:eastAsia="zh-CN"/>
              </w:rPr>
            </w:pPr>
            <w:r>
              <w:rPr>
                <w:rFonts w:hint="eastAsia" w:ascii="宋体" w:hAnsi="宋体" w:eastAsia="宋体" w:cs="宋体"/>
                <w:lang w:val="en-US" w:eastAsia="zh-CN"/>
              </w:rPr>
              <w:t>5</w:t>
            </w:r>
          </w:p>
        </w:tc>
      </w:tr>
      <w:tr w14:paraId="05E6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80" w:type="pct"/>
            <w:vMerge w:val="continue"/>
            <w:vAlign w:val="center"/>
          </w:tcPr>
          <w:p w14:paraId="70F7A3CA">
            <w:pPr>
              <w:rPr>
                <w:rFonts w:ascii="宋体" w:hAnsi="宋体" w:eastAsia="宋体" w:cs="宋体"/>
                <w:lang w:val="zh-CN"/>
              </w:rPr>
            </w:pPr>
          </w:p>
        </w:tc>
        <w:tc>
          <w:tcPr>
            <w:tcW w:w="704" w:type="pct"/>
            <w:vMerge w:val="continue"/>
            <w:vAlign w:val="center"/>
          </w:tcPr>
          <w:p w14:paraId="45372416">
            <w:pPr>
              <w:rPr>
                <w:rFonts w:ascii="宋体" w:hAnsi="宋体" w:eastAsia="宋体" w:cs="宋体"/>
              </w:rPr>
            </w:pPr>
          </w:p>
        </w:tc>
        <w:tc>
          <w:tcPr>
            <w:tcW w:w="3468" w:type="pct"/>
            <w:vAlign w:val="center"/>
          </w:tcPr>
          <w:p w14:paraId="76B2AB3D">
            <w:pPr>
              <w:jc w:val="left"/>
              <w:rPr>
                <w:rFonts w:hint="eastAsia" w:ascii="宋体" w:hAnsi="宋体" w:eastAsia="宋体" w:cs="宋体"/>
              </w:rPr>
            </w:pPr>
            <w:r>
              <w:rPr>
                <w:rFonts w:hint="eastAsia" w:ascii="inherit" w:hAnsi="inherit" w:eastAsia="宋体" w:cs="宋体"/>
                <w:color w:val="060607"/>
                <w:spacing w:val="4"/>
                <w:kern w:val="0"/>
                <w:szCs w:val="21"/>
              </w:rPr>
              <w:t>协助开展内分泌高血压</w:t>
            </w:r>
            <w:r>
              <w:rPr>
                <w:rFonts w:hint="eastAsia" w:ascii="宋体" w:hAnsi="宋体" w:eastAsia="宋体" w:cs="宋体"/>
                <w:szCs w:val="21"/>
              </w:rPr>
              <w:t>病因筛查项目相关的科研工作</w:t>
            </w:r>
            <w:r>
              <w:rPr>
                <w:rFonts w:hint="eastAsia" w:ascii="inherit" w:hAnsi="inherit" w:eastAsia="宋体" w:cs="宋体"/>
                <w:color w:val="060607"/>
                <w:spacing w:val="4"/>
                <w:kern w:val="0"/>
                <w:szCs w:val="21"/>
              </w:rPr>
              <w:t>，包括</w:t>
            </w:r>
            <w:r>
              <w:rPr>
                <w:rFonts w:ascii="inherit" w:hAnsi="inherit" w:eastAsia="宋体" w:cs="宋体"/>
                <w:color w:val="060607"/>
                <w:spacing w:val="4"/>
                <w:kern w:val="0"/>
                <w:szCs w:val="21"/>
              </w:rPr>
              <w:t>但不限于</w:t>
            </w:r>
            <w:r>
              <w:rPr>
                <w:rFonts w:hint="eastAsia" w:ascii="宋体" w:hAnsi="宋体" w:eastAsia="宋体" w:cs="宋体"/>
                <w:szCs w:val="21"/>
              </w:rPr>
              <w:t>协助建立原酵症、嗜铬细胞瘤/副神经节瘤、库欣综合征的高效筛查方法，协助构建</w:t>
            </w:r>
            <w:r>
              <w:rPr>
                <w:rFonts w:hint="eastAsia" w:ascii="inherit" w:hAnsi="inherit" w:eastAsia="宋体" w:cs="宋体"/>
                <w:color w:val="060607"/>
                <w:spacing w:val="4"/>
                <w:kern w:val="0"/>
                <w:szCs w:val="21"/>
              </w:rPr>
              <w:t>内分泌高血压数据库。</w:t>
            </w:r>
            <w:r>
              <w:rPr>
                <w:rFonts w:hint="eastAsia" w:ascii="宋体" w:hAnsi="宋体" w:eastAsia="宋体" w:cs="宋体"/>
              </w:rPr>
              <w:t>方案合理可行的得</w:t>
            </w:r>
            <w:r>
              <w:rPr>
                <w:rFonts w:hint="eastAsia" w:ascii="宋体" w:hAnsi="宋体" w:eastAsia="宋体" w:cs="宋体"/>
                <w:lang w:val="en-US" w:eastAsia="zh-CN"/>
              </w:rPr>
              <w:t>10</w:t>
            </w:r>
            <w:r>
              <w:rPr>
                <w:rFonts w:hint="eastAsia" w:ascii="宋体" w:hAnsi="宋体" w:eastAsia="宋体" w:cs="宋体"/>
              </w:rPr>
              <w:t>分，方案基本合理可行的得</w:t>
            </w:r>
            <w:r>
              <w:rPr>
                <w:rFonts w:hint="eastAsia" w:ascii="宋体" w:hAnsi="宋体" w:eastAsia="宋体" w:cs="宋体"/>
                <w:lang w:val="en-US" w:eastAsia="zh-CN"/>
              </w:rPr>
              <w:t>6</w:t>
            </w:r>
            <w:r>
              <w:rPr>
                <w:rFonts w:hint="eastAsia" w:ascii="宋体" w:hAnsi="宋体" w:eastAsia="宋体" w:cs="宋体"/>
              </w:rPr>
              <w:t>分，方案有欠缺的得</w:t>
            </w:r>
            <w:r>
              <w:rPr>
                <w:rFonts w:hint="eastAsia" w:ascii="宋体" w:hAnsi="宋体" w:eastAsia="宋体" w:cs="宋体"/>
                <w:lang w:val="en-US" w:eastAsia="zh-CN"/>
              </w:rPr>
              <w:t>3</w:t>
            </w:r>
            <w:r>
              <w:rPr>
                <w:rFonts w:hint="eastAsia" w:ascii="宋体" w:hAnsi="宋体" w:eastAsia="宋体" w:cs="宋体"/>
              </w:rPr>
              <w:t>分，未提供或不合理的得0分。</w:t>
            </w:r>
          </w:p>
        </w:tc>
        <w:tc>
          <w:tcPr>
            <w:tcW w:w="446" w:type="pct"/>
            <w:vAlign w:val="center"/>
          </w:tcPr>
          <w:p w14:paraId="15D7A102">
            <w:pPr>
              <w:rPr>
                <w:rFonts w:hint="default" w:ascii="宋体" w:hAnsi="宋体" w:eastAsia="宋体" w:cs="宋体"/>
                <w:lang w:val="en-US" w:eastAsia="zh-CN"/>
              </w:rPr>
            </w:pPr>
            <w:r>
              <w:rPr>
                <w:rFonts w:hint="eastAsia" w:ascii="宋体" w:hAnsi="宋体" w:eastAsia="宋体" w:cs="宋体"/>
                <w:lang w:val="en-US" w:eastAsia="zh-CN"/>
              </w:rPr>
              <w:t>10</w:t>
            </w:r>
          </w:p>
        </w:tc>
      </w:tr>
      <w:tr w14:paraId="6E68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380" w:type="pct"/>
            <w:vAlign w:val="center"/>
          </w:tcPr>
          <w:p w14:paraId="4292CAB1">
            <w:pPr>
              <w:rPr>
                <w:rFonts w:hint="eastAsia" w:ascii="宋体" w:hAnsi="宋体" w:eastAsia="宋体" w:cs="宋体"/>
                <w:lang w:eastAsia="zh-CN"/>
              </w:rPr>
            </w:pPr>
            <w:r>
              <w:rPr>
                <w:rFonts w:hint="eastAsia" w:ascii="宋体" w:hAnsi="宋体" w:eastAsia="宋体" w:cs="宋体"/>
                <w:lang w:val="en-US" w:eastAsia="zh-CN"/>
              </w:rPr>
              <w:t>4</w:t>
            </w:r>
          </w:p>
        </w:tc>
        <w:tc>
          <w:tcPr>
            <w:tcW w:w="704" w:type="pct"/>
            <w:vAlign w:val="center"/>
          </w:tcPr>
          <w:p w14:paraId="1476C271">
            <w:pPr>
              <w:rPr>
                <w:rFonts w:ascii="宋体" w:hAnsi="宋体" w:eastAsia="宋体" w:cs="宋体"/>
              </w:rPr>
            </w:pPr>
            <w:r>
              <w:rPr>
                <w:rFonts w:hint="eastAsia" w:ascii="宋体" w:hAnsi="宋体" w:eastAsia="宋体" w:cs="宋体"/>
              </w:rPr>
              <w:t>实验室仪器</w:t>
            </w:r>
          </w:p>
          <w:p w14:paraId="2B0E303C">
            <w:pPr>
              <w:rPr>
                <w:rFonts w:ascii="宋体" w:hAnsi="宋体" w:eastAsia="宋体" w:cs="宋体"/>
              </w:rPr>
            </w:pPr>
            <w:r>
              <w:rPr>
                <w:rFonts w:hint="eastAsia" w:ascii="宋体" w:hAnsi="宋体" w:eastAsia="宋体" w:cs="宋体"/>
              </w:rPr>
              <w:t>（5分）</w:t>
            </w:r>
          </w:p>
        </w:tc>
        <w:tc>
          <w:tcPr>
            <w:tcW w:w="3468" w:type="pct"/>
            <w:vAlign w:val="center"/>
          </w:tcPr>
          <w:p w14:paraId="5A5D36B3">
            <w:pPr>
              <w:jc w:val="left"/>
              <w:rPr>
                <w:rFonts w:ascii="宋体" w:hAnsi="宋体" w:eastAsia="宋体" w:cs="宋体"/>
              </w:rPr>
            </w:pPr>
            <w:r>
              <w:rPr>
                <w:rFonts w:hint="eastAsia" w:ascii="宋体" w:hAnsi="宋体" w:eastAsia="宋体" w:cs="宋体"/>
              </w:rPr>
              <w:t>供应商自主拥有质谱仪不少于10台（包含10台）得5分；每少1台扣0.5分，扣完为止（需提供发票复印件），非供应商产权拥有或关联企业拥有不得分。</w:t>
            </w:r>
          </w:p>
        </w:tc>
        <w:tc>
          <w:tcPr>
            <w:tcW w:w="446" w:type="pct"/>
            <w:vAlign w:val="center"/>
          </w:tcPr>
          <w:p w14:paraId="4508671D">
            <w:pPr>
              <w:rPr>
                <w:rFonts w:ascii="宋体" w:hAnsi="宋体" w:eastAsia="宋体" w:cs="宋体"/>
              </w:rPr>
            </w:pPr>
            <w:r>
              <w:rPr>
                <w:rFonts w:hint="eastAsia" w:ascii="宋体" w:hAnsi="宋体" w:eastAsia="宋体" w:cs="宋体"/>
              </w:rPr>
              <w:t>5</w:t>
            </w:r>
          </w:p>
        </w:tc>
      </w:tr>
      <w:tr w14:paraId="7361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0" w:type="pct"/>
            <w:vAlign w:val="center"/>
          </w:tcPr>
          <w:p w14:paraId="323619A3">
            <w:pPr>
              <w:rPr>
                <w:rFonts w:hint="eastAsia" w:ascii="宋体" w:hAnsi="宋体" w:eastAsia="宋体" w:cs="宋体"/>
                <w:lang w:eastAsia="zh-CN"/>
              </w:rPr>
            </w:pPr>
            <w:r>
              <w:rPr>
                <w:rFonts w:hint="eastAsia" w:ascii="宋体" w:hAnsi="宋体" w:eastAsia="宋体" w:cs="宋体"/>
                <w:lang w:val="en-US" w:eastAsia="zh-CN"/>
              </w:rPr>
              <w:t>5</w:t>
            </w:r>
          </w:p>
        </w:tc>
        <w:tc>
          <w:tcPr>
            <w:tcW w:w="704" w:type="pct"/>
            <w:vAlign w:val="center"/>
          </w:tcPr>
          <w:p w14:paraId="6082529C">
            <w:pPr>
              <w:rPr>
                <w:rFonts w:ascii="宋体" w:hAnsi="宋体" w:eastAsia="宋体" w:cs="宋体"/>
              </w:rPr>
            </w:pPr>
            <w:r>
              <w:rPr>
                <w:rFonts w:hint="eastAsia" w:ascii="宋体" w:hAnsi="宋体" w:eastAsia="宋体" w:cs="宋体"/>
              </w:rPr>
              <w:t>实验室人员</w:t>
            </w:r>
          </w:p>
          <w:p w14:paraId="02A8270F">
            <w:pPr>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分）</w:t>
            </w:r>
          </w:p>
        </w:tc>
        <w:tc>
          <w:tcPr>
            <w:tcW w:w="3468" w:type="pct"/>
            <w:vAlign w:val="center"/>
          </w:tcPr>
          <w:p w14:paraId="07EF0BA5">
            <w:pPr>
              <w:jc w:val="left"/>
              <w:rPr>
                <w:rFonts w:ascii="宋体" w:hAnsi="宋体" w:eastAsia="宋体" w:cs="宋体"/>
              </w:rPr>
            </w:pPr>
            <w:r>
              <w:rPr>
                <w:rFonts w:hint="eastAsia" w:ascii="宋体" w:hAnsi="宋体" w:eastAsia="宋体" w:cs="宋体"/>
              </w:rPr>
              <w:t>供应商实验室技术人员配置：具有3名副高及以上实验室人员得</w:t>
            </w:r>
            <w:r>
              <w:rPr>
                <w:rFonts w:hint="eastAsia" w:ascii="宋体" w:hAnsi="宋体" w:eastAsia="宋体" w:cs="宋体"/>
                <w:lang w:val="en-US" w:eastAsia="zh-CN"/>
              </w:rPr>
              <w:t>4</w:t>
            </w:r>
            <w:r>
              <w:rPr>
                <w:rFonts w:hint="eastAsia" w:ascii="宋体" w:hAnsi="宋体" w:eastAsia="宋体" w:cs="宋体"/>
              </w:rPr>
              <w:t>分。提供人员的职称、资格证书及劳动合同复印件，提供有效证明材料，不提供不得分。</w:t>
            </w:r>
          </w:p>
        </w:tc>
        <w:tc>
          <w:tcPr>
            <w:tcW w:w="446" w:type="pct"/>
            <w:vAlign w:val="center"/>
          </w:tcPr>
          <w:p w14:paraId="789E7E53">
            <w:pPr>
              <w:rPr>
                <w:rFonts w:hint="eastAsia" w:ascii="宋体" w:hAnsi="宋体" w:eastAsia="宋体" w:cs="宋体"/>
                <w:lang w:eastAsia="zh-CN"/>
              </w:rPr>
            </w:pPr>
            <w:r>
              <w:rPr>
                <w:rFonts w:hint="eastAsia" w:ascii="宋体" w:hAnsi="宋体" w:eastAsia="宋体" w:cs="宋体"/>
                <w:lang w:val="en-US" w:eastAsia="zh-CN"/>
              </w:rPr>
              <w:t>4</w:t>
            </w:r>
          </w:p>
        </w:tc>
      </w:tr>
      <w:tr w14:paraId="7899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80" w:type="pct"/>
            <w:vAlign w:val="center"/>
          </w:tcPr>
          <w:p w14:paraId="7246A430">
            <w:pPr>
              <w:rPr>
                <w:rFonts w:hint="eastAsia" w:ascii="宋体" w:hAnsi="宋体" w:eastAsia="宋体" w:cs="宋体"/>
                <w:lang w:eastAsia="zh-CN"/>
              </w:rPr>
            </w:pPr>
            <w:r>
              <w:rPr>
                <w:rFonts w:hint="eastAsia" w:ascii="宋体" w:hAnsi="宋体" w:eastAsia="宋体" w:cs="宋体"/>
                <w:lang w:val="en-US" w:eastAsia="zh-CN"/>
              </w:rPr>
              <w:t>6</w:t>
            </w:r>
            <w:bookmarkStart w:id="0" w:name="_GoBack"/>
            <w:bookmarkEnd w:id="0"/>
          </w:p>
        </w:tc>
        <w:tc>
          <w:tcPr>
            <w:tcW w:w="704" w:type="pct"/>
            <w:vAlign w:val="center"/>
          </w:tcPr>
          <w:p w14:paraId="1B15AD37">
            <w:pPr>
              <w:rPr>
                <w:rFonts w:ascii="宋体" w:hAnsi="宋体" w:eastAsia="宋体" w:cs="宋体"/>
              </w:rPr>
            </w:pPr>
            <w:r>
              <w:rPr>
                <w:rFonts w:hint="eastAsia" w:ascii="宋体" w:hAnsi="宋体" w:eastAsia="宋体" w:cs="宋体"/>
              </w:rPr>
              <w:t>业绩</w:t>
            </w:r>
          </w:p>
          <w:p w14:paraId="29A2E07D">
            <w:pPr>
              <w:rPr>
                <w:rFonts w:ascii="宋体" w:hAnsi="宋体" w:eastAsia="宋体" w:cs="宋体"/>
              </w:rPr>
            </w:pPr>
            <w:r>
              <w:rPr>
                <w:rFonts w:hint="eastAsia" w:ascii="宋体" w:hAnsi="宋体" w:eastAsia="宋体" w:cs="宋体"/>
              </w:rPr>
              <w:t>（6分）</w:t>
            </w:r>
          </w:p>
        </w:tc>
        <w:tc>
          <w:tcPr>
            <w:tcW w:w="3468" w:type="pct"/>
            <w:vAlign w:val="center"/>
          </w:tcPr>
          <w:p w14:paraId="688AD627">
            <w:pPr>
              <w:jc w:val="left"/>
              <w:rPr>
                <w:rFonts w:ascii="宋体" w:hAnsi="宋体" w:eastAsia="宋体" w:cs="宋体"/>
              </w:rPr>
            </w:pPr>
            <w:r>
              <w:rPr>
                <w:rFonts w:hint="eastAsia" w:ascii="宋体" w:hAnsi="宋体" w:eastAsia="宋体" w:cs="宋体"/>
              </w:rPr>
              <w:t>提供2023年1月以来三级以上医院继发性高血压筛查质谱检测外送服务合同</w:t>
            </w:r>
            <w:r>
              <w:rPr>
                <w:rFonts w:hint="eastAsia" w:ascii="宋体" w:hAnsi="宋体" w:eastAsia="宋体" w:cs="宋体"/>
                <w:lang w:val="en-US" w:eastAsia="zh-CN"/>
              </w:rPr>
              <w:t>或</w:t>
            </w:r>
            <w:r>
              <w:rPr>
                <w:rFonts w:hint="eastAsia" w:ascii="宋体" w:hAnsi="宋体" w:eastAsia="宋体" w:cs="宋体"/>
              </w:rPr>
              <w:t>中标通知书</w:t>
            </w:r>
            <w:r>
              <w:rPr>
                <w:rFonts w:hint="eastAsia" w:ascii="宋体" w:hAnsi="宋体" w:eastAsia="宋体" w:cs="宋体"/>
                <w:lang w:val="en-US" w:eastAsia="zh-CN"/>
              </w:rPr>
              <w:t>或</w:t>
            </w:r>
            <w:r>
              <w:rPr>
                <w:rFonts w:hint="eastAsia" w:ascii="宋体" w:hAnsi="宋体" w:eastAsia="宋体" w:cs="宋体"/>
              </w:rPr>
              <w:t>公开招标的中标公告截图，每个业绩得2分，最高得6分，提供资料不全不得分。</w:t>
            </w:r>
          </w:p>
        </w:tc>
        <w:tc>
          <w:tcPr>
            <w:tcW w:w="446" w:type="pct"/>
            <w:vAlign w:val="center"/>
          </w:tcPr>
          <w:p w14:paraId="31467F98">
            <w:pPr>
              <w:rPr>
                <w:rFonts w:ascii="宋体" w:hAnsi="宋体" w:eastAsia="宋体" w:cs="宋体"/>
              </w:rPr>
            </w:pPr>
            <w:r>
              <w:rPr>
                <w:rFonts w:hint="eastAsia" w:ascii="宋体" w:hAnsi="宋体" w:eastAsia="宋体" w:cs="宋体"/>
              </w:rPr>
              <w:t>6</w:t>
            </w:r>
          </w:p>
        </w:tc>
      </w:tr>
    </w:tbl>
    <w:p w14:paraId="6E08FD33">
      <w:pPr>
        <w:rPr>
          <w:rFonts w:ascii="宋体" w:hAnsi="宋体" w:eastAsia="宋体" w:cs="宋体"/>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inherit">
    <w:altName w:val="Cambria"/>
    <w:panose1 w:val="020B0604020202020204"/>
    <w:charset w:val="00"/>
    <w:family w:val="roman"/>
    <w:pitch w:val="default"/>
    <w:sig w:usb0="00000000" w:usb1="00000000" w:usb2="00000000" w:usb3="00000000" w:csb0="00000000" w:csb1="00000000"/>
  </w:font>
  <w:font w:name="Helvetica Neue">
    <w:altName w:val="Times New Roman"/>
    <w:panose1 w:val="02000503000000020004"/>
    <w:charset w:val="00"/>
    <w:family w:val="auto"/>
    <w:pitch w:val="default"/>
    <w:sig w:usb0="00000000" w:usb1="00000000" w:usb2="0000001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AE107"/>
    <w:multiLevelType w:val="singleLevel"/>
    <w:tmpl w:val="F68AE1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OWRhMWJhOTNiMTRiMTViMzcxYmMyOTA4ZTNlNWEifQ=="/>
  </w:docVars>
  <w:rsids>
    <w:rsidRoot w:val="502A792C"/>
    <w:rsid w:val="000E6EA3"/>
    <w:rsid w:val="001F09BA"/>
    <w:rsid w:val="004E7272"/>
    <w:rsid w:val="004E7694"/>
    <w:rsid w:val="00583BED"/>
    <w:rsid w:val="00CA0A0F"/>
    <w:rsid w:val="017A6E3B"/>
    <w:rsid w:val="06F35DBB"/>
    <w:rsid w:val="0B0A1925"/>
    <w:rsid w:val="0BEB6F66"/>
    <w:rsid w:val="11CA688E"/>
    <w:rsid w:val="12EC3F05"/>
    <w:rsid w:val="17B74096"/>
    <w:rsid w:val="18A1732B"/>
    <w:rsid w:val="21A41C3A"/>
    <w:rsid w:val="2CF90DDB"/>
    <w:rsid w:val="2E7E7DD7"/>
    <w:rsid w:val="32681D5D"/>
    <w:rsid w:val="383C4522"/>
    <w:rsid w:val="3BFB30F8"/>
    <w:rsid w:val="3C7527B8"/>
    <w:rsid w:val="3EC55271"/>
    <w:rsid w:val="43842C31"/>
    <w:rsid w:val="446077F4"/>
    <w:rsid w:val="4B316335"/>
    <w:rsid w:val="4F125545"/>
    <w:rsid w:val="502A792C"/>
    <w:rsid w:val="52F73B0A"/>
    <w:rsid w:val="54DE09E3"/>
    <w:rsid w:val="551D5D46"/>
    <w:rsid w:val="57824088"/>
    <w:rsid w:val="5BCD355F"/>
    <w:rsid w:val="5C6311F3"/>
    <w:rsid w:val="5CC23490"/>
    <w:rsid w:val="5E9F11E3"/>
    <w:rsid w:val="5F3C4C84"/>
    <w:rsid w:val="5F4D09CA"/>
    <w:rsid w:val="6068003F"/>
    <w:rsid w:val="6175447D"/>
    <w:rsid w:val="61932F49"/>
    <w:rsid w:val="62710BF3"/>
    <w:rsid w:val="63502053"/>
    <w:rsid w:val="63556E3A"/>
    <w:rsid w:val="63AA35F8"/>
    <w:rsid w:val="63D01E3F"/>
    <w:rsid w:val="67374514"/>
    <w:rsid w:val="67F44D9B"/>
    <w:rsid w:val="6AD71D05"/>
    <w:rsid w:val="6CDA1EA4"/>
    <w:rsid w:val="71A14E1B"/>
    <w:rsid w:val="742064CB"/>
    <w:rsid w:val="78AD0549"/>
    <w:rsid w:val="7BD86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autoRedefine/>
    <w:qFormat/>
    <w:uiPriority w:val="0"/>
    <w:pPr>
      <w:keepNext/>
      <w:keepLines/>
      <w:spacing w:line="480" w:lineRule="auto"/>
      <w:jc w:val="left"/>
      <w:outlineLvl w:val="0"/>
    </w:pPr>
    <w:rPr>
      <w:rFonts w:ascii="Times New Roman" w:hAnsi="Times New Roman" w:eastAsia="宋体" w:cs="Times New Roman"/>
      <w:b/>
      <w:bCs/>
      <w:kern w:val="44"/>
      <w:sz w:val="32"/>
      <w:szCs w:val="44"/>
    </w:rPr>
  </w:style>
  <w:style w:type="paragraph" w:styleId="3">
    <w:name w:val="heading 2"/>
    <w:basedOn w:val="1"/>
    <w:next w:val="1"/>
    <w:link w:val="18"/>
    <w:autoRedefine/>
    <w:semiHidden/>
    <w:unhideWhenUsed/>
    <w:qFormat/>
    <w:uiPriority w:val="0"/>
    <w:pPr>
      <w:spacing w:beforeAutospacing="1" w:afterAutospacing="1" w:line="480" w:lineRule="auto"/>
      <w:jc w:val="left"/>
      <w:outlineLvl w:val="1"/>
    </w:pPr>
    <w:rPr>
      <w:rFonts w:hint="eastAsia" w:ascii="宋体" w:hAnsi="宋体" w:eastAsia="宋体" w:cs="Times New Roman"/>
      <w:b/>
      <w:bCs/>
      <w:kern w:val="0"/>
      <w:sz w:val="30"/>
      <w:szCs w:val="36"/>
    </w:rPr>
  </w:style>
  <w:style w:type="paragraph" w:styleId="4">
    <w:name w:val="heading 3"/>
    <w:basedOn w:val="1"/>
    <w:next w:val="1"/>
    <w:link w:val="16"/>
    <w:autoRedefine/>
    <w:semiHidden/>
    <w:unhideWhenUsed/>
    <w:qFormat/>
    <w:uiPriority w:val="0"/>
    <w:pPr>
      <w:spacing w:line="360" w:lineRule="auto"/>
      <w:jc w:val="left"/>
      <w:outlineLvl w:val="2"/>
    </w:pPr>
    <w:rPr>
      <w:rFonts w:ascii="Times New Roman" w:hAnsi="Times New Roman" w:eastAsia="宋体" w:cs="Times New Roman"/>
      <w:b/>
      <w:sz w:val="24"/>
    </w:rPr>
  </w:style>
  <w:style w:type="paragraph" w:styleId="5">
    <w:name w:val="heading 4"/>
    <w:basedOn w:val="1"/>
    <w:next w:val="1"/>
    <w:link w:val="20"/>
    <w:autoRedefine/>
    <w:semiHidden/>
    <w:unhideWhenUsed/>
    <w:qFormat/>
    <w:uiPriority w:val="0"/>
    <w:pPr>
      <w:keepNext/>
      <w:keepLines/>
      <w:spacing w:line="360" w:lineRule="auto"/>
      <w:jc w:val="left"/>
      <w:outlineLvl w:val="3"/>
    </w:pPr>
    <w:rPr>
      <w:rFonts w:ascii="Arial" w:hAnsi="Arial" w:eastAsia="宋体" w:cs="Times New Roman"/>
      <w:bCs/>
      <w:sz w:val="24"/>
      <w:szCs w:val="28"/>
    </w:rPr>
  </w:style>
  <w:style w:type="paragraph" w:styleId="6">
    <w:name w:val="heading 5"/>
    <w:basedOn w:val="1"/>
    <w:next w:val="1"/>
    <w:link w:val="19"/>
    <w:autoRedefine/>
    <w:semiHidden/>
    <w:unhideWhenUsed/>
    <w:qFormat/>
    <w:uiPriority w:val="0"/>
    <w:pPr>
      <w:keepNext/>
      <w:keepLines/>
      <w:spacing w:line="360" w:lineRule="auto"/>
      <w:jc w:val="left"/>
      <w:outlineLvl w:val="4"/>
    </w:pPr>
    <w:rPr>
      <w:rFonts w:ascii="Times New Roman" w:hAnsi="Times New Roman" w:eastAsia="宋体" w:cs="Times New Roman"/>
      <w:bCs/>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Body Text"/>
    <w:basedOn w:val="1"/>
    <w:autoRedefine/>
    <w:qFormat/>
    <w:uiPriority w:val="99"/>
    <w:pPr>
      <w:spacing w:after="120"/>
    </w:pPr>
    <w:rPr>
      <w:rFonts w:ascii="Calibri" w:hAnsi="Calibri" w:cs="Calibri"/>
      <w:sz w:val="28"/>
      <w:szCs w:val="28"/>
    </w:rPr>
  </w:style>
  <w:style w:type="paragraph" w:styleId="8">
    <w:name w:val="Plain Text"/>
    <w:basedOn w:val="1"/>
    <w:next w:val="1"/>
    <w:autoRedefine/>
    <w:qFormat/>
    <w:uiPriority w:val="99"/>
    <w:rPr>
      <w:rFonts w:ascii="宋体" w:hAnsi="Courier New" w:cs="Courier New"/>
      <w:sz w:val="18"/>
      <w:szCs w:val="21"/>
    </w:rPr>
  </w:style>
  <w:style w:type="paragraph" w:styleId="9">
    <w:name w:val="footer"/>
    <w:basedOn w:val="1"/>
    <w:link w:val="24"/>
    <w:qFormat/>
    <w:uiPriority w:val="0"/>
    <w:pPr>
      <w:tabs>
        <w:tab w:val="center" w:pos="4153"/>
        <w:tab w:val="right" w:pos="8306"/>
      </w:tabs>
      <w:snapToGrid w:val="0"/>
      <w:jc w:val="left"/>
    </w:pPr>
    <w:rPr>
      <w:sz w:val="18"/>
      <w:szCs w:val="18"/>
    </w:rPr>
  </w:style>
  <w:style w:type="paragraph" w:styleId="10">
    <w:name w:val="header"/>
    <w:basedOn w:val="1"/>
    <w:link w:val="23"/>
    <w:uiPriority w:val="0"/>
    <w:pPr>
      <w:tabs>
        <w:tab w:val="center" w:pos="4153"/>
        <w:tab w:val="right" w:pos="8306"/>
      </w:tabs>
      <w:snapToGrid w:val="0"/>
      <w:jc w:val="center"/>
    </w:pPr>
    <w:rPr>
      <w:sz w:val="18"/>
      <w:szCs w:val="18"/>
    </w:rPr>
  </w:style>
  <w:style w:type="paragraph" w:styleId="11">
    <w:name w:val="Title"/>
    <w:basedOn w:val="1"/>
    <w:next w:val="1"/>
    <w:autoRedefine/>
    <w:qFormat/>
    <w:uiPriority w:val="99"/>
    <w:pPr>
      <w:spacing w:before="240" w:after="60"/>
      <w:jc w:val="center"/>
      <w:outlineLvl w:val="0"/>
    </w:pPr>
    <w:rPr>
      <w:rFonts w:ascii="Cambria" w:hAnsi="Cambria" w:cs="Cambria"/>
      <w:b/>
      <w:bCs/>
      <w:sz w:val="32"/>
      <w:szCs w:val="32"/>
    </w:rPr>
  </w:style>
  <w:style w:type="paragraph" w:styleId="12">
    <w:name w:val="Body Text First Indent"/>
    <w:basedOn w:val="1"/>
    <w:autoRedefine/>
    <w:qFormat/>
    <w:uiPriority w:val="0"/>
    <w:pPr>
      <w:spacing w:line="360" w:lineRule="auto"/>
      <w:ind w:firstLine="420" w:firstLineChars="100"/>
    </w:pPr>
    <w:rPr>
      <w:rFonts w:ascii="Times New Roman" w:hAnsi="Times New Roman"/>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3 字符"/>
    <w:basedOn w:val="15"/>
    <w:link w:val="4"/>
    <w:autoRedefine/>
    <w:semiHidden/>
    <w:qFormat/>
    <w:uiPriority w:val="9"/>
    <w:rPr>
      <w:rFonts w:ascii="Times New Roman" w:hAnsi="Times New Roman" w:eastAsia="宋体" w:cs="Times New Roman"/>
      <w:b/>
      <w:kern w:val="2"/>
      <w:sz w:val="24"/>
      <w:lang w:val="en-US" w:eastAsia="zh-CN" w:bidi="ar-SA"/>
    </w:rPr>
  </w:style>
  <w:style w:type="character" w:customStyle="1" w:styleId="17">
    <w:name w:val="标题 1 字符"/>
    <w:link w:val="2"/>
    <w:autoRedefine/>
    <w:qFormat/>
    <w:uiPriority w:val="0"/>
    <w:rPr>
      <w:rFonts w:ascii="Times New Roman" w:hAnsi="Times New Roman" w:eastAsia="宋体" w:cs="Times New Roman"/>
      <w:b/>
      <w:bCs/>
      <w:kern w:val="44"/>
      <w:sz w:val="32"/>
      <w:szCs w:val="44"/>
      <w:lang w:val="en-US" w:eastAsia="zh-CN" w:bidi="ar-SA"/>
    </w:rPr>
  </w:style>
  <w:style w:type="character" w:customStyle="1" w:styleId="18">
    <w:name w:val="标题 2 字符"/>
    <w:link w:val="3"/>
    <w:autoRedefine/>
    <w:qFormat/>
    <w:uiPriority w:val="0"/>
    <w:rPr>
      <w:rFonts w:ascii="宋体" w:hAnsi="宋体" w:eastAsia="宋体" w:cs="宋体"/>
      <w:b/>
      <w:bCs/>
      <w:kern w:val="2"/>
      <w:sz w:val="30"/>
      <w:szCs w:val="32"/>
      <w:lang w:val="en-US" w:eastAsia="zh-CN" w:bidi="ar-SA"/>
    </w:rPr>
  </w:style>
  <w:style w:type="character" w:customStyle="1" w:styleId="19">
    <w:name w:val="标题 5 字符"/>
    <w:link w:val="6"/>
    <w:autoRedefine/>
    <w:qFormat/>
    <w:uiPriority w:val="0"/>
    <w:rPr>
      <w:rFonts w:ascii="Times New Roman" w:hAnsi="Times New Roman" w:eastAsia="宋体" w:cs="Times New Roman"/>
      <w:bCs/>
      <w:kern w:val="2"/>
      <w:sz w:val="21"/>
      <w:szCs w:val="28"/>
      <w:lang w:val="en-US" w:eastAsia="zh-CN" w:bidi="ar-SA"/>
    </w:rPr>
  </w:style>
  <w:style w:type="character" w:customStyle="1" w:styleId="20">
    <w:name w:val="标题 4 字符"/>
    <w:link w:val="5"/>
    <w:autoRedefine/>
    <w:qFormat/>
    <w:uiPriority w:val="0"/>
    <w:rPr>
      <w:rFonts w:ascii="Arial" w:hAnsi="Arial" w:eastAsia="宋体" w:cs="Times New Roman"/>
      <w:bCs/>
      <w:kern w:val="2"/>
      <w:sz w:val="24"/>
      <w:szCs w:val="28"/>
      <w:lang w:val="en-US" w:eastAsia="zh-CN" w:bidi="ar-SA"/>
    </w:rPr>
  </w:style>
  <w:style w:type="paragraph" w:customStyle="1" w:styleId="21">
    <w:name w:val="正文段"/>
    <w:basedOn w:val="1"/>
    <w:autoRedefine/>
    <w:qFormat/>
    <w:uiPriority w:val="99"/>
    <w:pPr>
      <w:widowControl/>
      <w:snapToGrid w:val="0"/>
      <w:spacing w:afterLines="50"/>
      <w:ind w:firstLine="200" w:firstLineChars="200"/>
    </w:pPr>
    <w:rPr>
      <w:kern w:val="0"/>
      <w:sz w:val="24"/>
    </w:rPr>
  </w:style>
  <w:style w:type="paragraph" w:customStyle="1" w:styleId="22">
    <w:name w:val="Table Paragraph"/>
    <w:basedOn w:val="1"/>
    <w:autoRedefine/>
    <w:qFormat/>
    <w:uiPriority w:val="0"/>
    <w:pPr>
      <w:autoSpaceDE w:val="0"/>
      <w:autoSpaceDN w:val="0"/>
      <w:jc w:val="left"/>
    </w:pPr>
    <w:rPr>
      <w:rFonts w:ascii="宋体" w:hAnsi="宋体" w:cs="宋体"/>
      <w:kern w:val="0"/>
      <w:sz w:val="22"/>
      <w:lang w:val="zh-CN" w:bidi="zh-CN"/>
    </w:rPr>
  </w:style>
  <w:style w:type="character" w:customStyle="1" w:styleId="23">
    <w:name w:val="页眉 字符"/>
    <w:basedOn w:val="15"/>
    <w:link w:val="10"/>
    <w:qFormat/>
    <w:uiPriority w:val="0"/>
    <w:rPr>
      <w:kern w:val="2"/>
      <w:sz w:val="18"/>
      <w:szCs w:val="18"/>
    </w:rPr>
  </w:style>
  <w:style w:type="character" w:customStyle="1" w:styleId="24">
    <w:name w:val="页脚 字符"/>
    <w:basedOn w:val="15"/>
    <w:link w:val="9"/>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1354</Words>
  <Characters>1400</Characters>
  <Lines>24</Lines>
  <Paragraphs>7</Paragraphs>
  <TotalTime>10</TotalTime>
  <ScaleCrop>false</ScaleCrop>
  <LinksUpToDate>false</LinksUpToDate>
  <CharactersWithSpaces>1404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2024-05-20T08:30:00Z</dcterms:created>
  <dc:creator>51</dc:creator>
  <cp:lastModifiedBy>Administrator</cp:lastModifiedBy>
  <dcterms:modified xsi:type="dcterms:W3CDTF">2025-03-02T01:27:56Z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8398B94988A640FB99AB7F06C2215410_13</vt:lpwstr>
  </property>
  <property fmtid="{D5CDD505-2E9C-101B-9397-08002B2CF9AE}" pid="4" name="KSOTemplateDocerSaveRecord">
    <vt:lpwstr>eyJoZGlkIjoiMjAzNWIxMjExZDFiZjdkNzkyY2YwZTU2YWJhYzY1MTYifQ==</vt:lpwstr>
  </property>
</Properties>
</file>