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968" w:tblpY="2523"/>
        <w:tblOverlap w:val="never"/>
        <w:tblW w:w="148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3420"/>
        <w:gridCol w:w="1485"/>
        <w:gridCol w:w="885"/>
        <w:gridCol w:w="1080"/>
        <w:gridCol w:w="1080"/>
        <w:gridCol w:w="1515"/>
        <w:gridCol w:w="1305"/>
        <w:gridCol w:w="1620"/>
        <w:gridCol w:w="750"/>
        <w:gridCol w:w="1069"/>
      </w:tblGrid>
      <w:tr w14:paraId="557A6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899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A5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扬州大学附属医院（扬州市第一人民医院）2024年度科研设备采购结果公示表</w:t>
            </w:r>
          </w:p>
        </w:tc>
      </w:tr>
      <w:tr w14:paraId="42C9C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数量（根）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采购价格（万元）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付款方式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保修时限</w:t>
            </w:r>
          </w:p>
        </w:tc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CCB4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7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9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D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0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F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F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1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7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3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459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高分辨率儿童食管测压导管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高分辨率儿童肛门直肠测压导管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CE4-1190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C7-R20-1048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在货物到达用户场地，安装、调试、验收合格后支付 90%，10%在双方签署验收合格报告一年后支付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荷兰MMS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扬州格锐特医疗科技有限公司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</w:t>
            </w:r>
          </w:p>
        </w:tc>
      </w:tr>
    </w:tbl>
    <w:p w14:paraId="4FE72BF1"/>
    <w:p w14:paraId="12775B8F"/>
    <w:p w14:paraId="46769979"/>
    <w:p w14:paraId="7A3A4DA7">
      <w:pPr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采购单位：扬州大学附属医院（扬州市第一人民医院）    负责人：龚开政    填表人：薛万宇    联系电话：0514-8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2"/>
        </w:rPr>
        <w:t>2099551    填表时间：2024-1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-2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3</w:t>
      </w:r>
    </w:p>
    <w:sectPr>
      <w:pgSz w:w="16838" w:h="11906" w:orient="landscape"/>
      <w:pgMar w:top="1800" w:right="816" w:bottom="1800" w:left="7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E58F3"/>
    <w:rsid w:val="42E6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197</Characters>
  <Lines>0</Lines>
  <Paragraphs>0</Paragraphs>
  <TotalTime>0</TotalTime>
  <ScaleCrop>false</ScaleCrop>
  <LinksUpToDate>false</LinksUpToDate>
  <CharactersWithSpaces>198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2024-12-23T08:42:00Z</dcterms:created>
  <dc:creator>Administrator</dc:creator>
  <cp:lastModifiedBy>艾伦小天使</cp:lastModifiedBy>
  <dcterms:modified xsi:type="dcterms:W3CDTF">2024-12-23T08:47:57Z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1BCCEC562667457C8784FE2D0A530A62_12</vt:lpwstr>
  </property>
</Properties>
</file>