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rPr>
        <w:t>YDFYXJ-</w:t>
      </w:r>
      <w:r>
        <w:rPr>
          <w:rFonts w:hint="eastAsia" w:ascii="宋体" w:hAnsi="宋体" w:cs="宋体"/>
          <w:b/>
          <w:snapToGrid w:val="0"/>
          <w:kern w:val="0"/>
          <w:sz w:val="32"/>
          <w:szCs w:val="32"/>
          <w:highlight w:val="none"/>
          <w:lang w:eastAsia="zh-CN"/>
        </w:rPr>
        <w:t>2025008</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4"/>
          <w:szCs w:val="44"/>
        </w:rPr>
      </w:pPr>
      <w:r>
        <w:rPr>
          <w:rFonts w:hint="eastAsia"/>
          <w:b/>
          <w:sz w:val="44"/>
          <w:szCs w:val="44"/>
        </w:rPr>
        <w:t>扬州大学附属医院</w:t>
      </w:r>
    </w:p>
    <w:p>
      <w:pPr>
        <w:adjustRightInd w:val="0"/>
        <w:snapToGrid w:val="0"/>
        <w:spacing w:line="800" w:lineRule="exact"/>
        <w:contextualSpacing/>
        <w:jc w:val="center"/>
        <w:rPr>
          <w:rFonts w:hint="eastAsia" w:ascii="宋体" w:hAnsi="宋体" w:cs="宋体"/>
          <w:b/>
          <w:snapToGrid w:val="0"/>
          <w:kern w:val="0"/>
          <w:sz w:val="44"/>
          <w:szCs w:val="44"/>
          <w:highlight w:val="none"/>
          <w:lang w:val="en-US" w:eastAsia="zh-CN"/>
        </w:rPr>
      </w:pPr>
      <w:bookmarkStart w:id="6" w:name="_GoBack"/>
      <w:r>
        <w:rPr>
          <w:rFonts w:hint="eastAsia" w:ascii="宋体" w:hAnsi="宋体" w:cs="宋体"/>
          <w:b/>
          <w:snapToGrid w:val="0"/>
          <w:kern w:val="0"/>
          <w:sz w:val="44"/>
          <w:szCs w:val="44"/>
          <w:highlight w:val="none"/>
          <w:lang w:val="en-US" w:eastAsia="zh-CN"/>
        </w:rPr>
        <w:t>东区医院霍尼韦尔BA系统恢复项目</w:t>
      </w:r>
      <w:bookmarkEnd w:id="6"/>
    </w:p>
    <w:p>
      <w:pPr>
        <w:adjustRightInd w:val="0"/>
        <w:snapToGrid w:val="0"/>
        <w:spacing w:line="800" w:lineRule="exact"/>
        <w:contextualSpacing/>
        <w:jc w:val="center"/>
        <w:rPr>
          <w:b/>
          <w:sz w:val="44"/>
          <w:szCs w:val="44"/>
        </w:rPr>
      </w:pPr>
      <w:r>
        <w:rPr>
          <w:rFonts w:hint="eastAsia"/>
          <w:b/>
          <w:sz w:val="44"/>
          <w:szCs w:val="44"/>
        </w:rPr>
        <w:t>询价文件</w:t>
      </w:r>
    </w:p>
    <w:p>
      <w:pPr>
        <w:pStyle w:val="17"/>
        <w:ind w:firstLine="0"/>
      </w:pPr>
    </w:p>
    <w:p>
      <w:pPr>
        <w:pStyle w:val="17"/>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hint="eastAsia" w:asciiTheme="minorEastAsia" w:hAnsiTheme="minorEastAsia" w:eastAsiaTheme="minorEastAsia"/>
          <w:b/>
          <w:w w:val="90"/>
          <w:kern w:val="0"/>
          <w:sz w:val="32"/>
          <w:szCs w:val="32"/>
          <w:highlight w:val="none"/>
          <w:lang w:eastAsia="zh-CN"/>
        </w:rPr>
        <w:t>2025</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月</w:t>
      </w:r>
      <w:r>
        <w:rPr>
          <w:rFonts w:hint="eastAsia" w:asciiTheme="minorEastAsia" w:hAnsiTheme="minorEastAsia" w:eastAsiaTheme="minorEastAsia"/>
          <w:b/>
          <w:w w:val="90"/>
          <w:kern w:val="0"/>
          <w:sz w:val="32"/>
          <w:szCs w:val="32"/>
          <w:highlight w:val="none"/>
          <w:lang w:val="en-US" w:eastAsia="zh-CN"/>
        </w:rPr>
        <w:t>19</w:t>
      </w:r>
      <w:r>
        <w:rPr>
          <w:rFonts w:hint="eastAsia" w:asciiTheme="minorEastAsia" w:hAnsiTheme="minorEastAsia" w:eastAsiaTheme="minorEastAsia"/>
          <w:b/>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3"/>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东区医院霍尼韦尔BA系统恢复项目</w:t>
      </w:r>
      <w:r>
        <w:rPr>
          <w:rFonts w:hint="eastAsia" w:ascii="宋体" w:hAnsi="宋体" w:cs="宋体"/>
          <w:snapToGrid w:val="0"/>
          <w:kern w:val="0"/>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2025008</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东区医院霍尼韦尔BA系统恢复项目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4.85</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80" w:firstLineChars="200"/>
        <w:contextualSpacing/>
        <w:rPr>
          <w:rFonts w:hint="eastAsia" w:ascii="宋体" w:hAnsi="宋体" w:cs="宋体"/>
          <w:snapToGrid w:val="0"/>
          <w:kern w:val="0"/>
          <w:sz w:val="24"/>
        </w:rPr>
      </w:pPr>
      <w:r>
        <w:rPr>
          <w:rFonts w:hint="eastAsia" w:ascii="宋体" w:hAnsi="宋体" w:cs="宋体"/>
          <w:snapToGrid w:val="0"/>
          <w:kern w:val="0"/>
          <w:sz w:val="24"/>
        </w:rPr>
        <w:t>4.1投标人应具备《中华人民共和国政府采购法》第二十二条规定的条件。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w:t>
      </w:r>
      <w:r>
        <w:rPr>
          <w:rFonts w:hint="eastAsia" w:ascii="宋体" w:hAnsi="宋体"/>
          <w:sz w:val="24"/>
          <w:lang w:val="en-US" w:eastAsia="zh-CN"/>
        </w:rPr>
        <w:t>服务</w:t>
      </w:r>
      <w:r>
        <w:rPr>
          <w:rFonts w:hint="eastAsia" w:ascii="宋体" w:hAnsi="宋体"/>
          <w:sz w:val="24"/>
        </w:rPr>
        <w:t>及相关要求，</w:t>
      </w:r>
      <w:r>
        <w:rPr>
          <w:rFonts w:hint="eastAsia" w:ascii="宋体" w:hAnsi="宋体"/>
          <w:b/>
          <w:sz w:val="24"/>
        </w:rPr>
        <w:t>在2025年</w:t>
      </w:r>
      <w:r>
        <w:rPr>
          <w:rFonts w:hint="eastAsia" w:ascii="宋体" w:hAnsi="宋体"/>
          <w:b/>
          <w:sz w:val="24"/>
          <w:lang w:val="en-US" w:eastAsia="zh-CN"/>
        </w:rPr>
        <w:t>3</w:t>
      </w:r>
      <w:r>
        <w:rPr>
          <w:rFonts w:hint="eastAsia" w:ascii="宋体" w:hAnsi="宋体"/>
          <w:b/>
          <w:sz w:val="24"/>
        </w:rPr>
        <w:t>月2</w:t>
      </w:r>
      <w:r>
        <w:rPr>
          <w:rFonts w:hint="eastAsia" w:ascii="宋体" w:hAnsi="宋体"/>
          <w:b/>
          <w:sz w:val="24"/>
          <w:lang w:val="en-US" w:eastAsia="zh-CN"/>
        </w:rPr>
        <w:t>8</w:t>
      </w:r>
      <w:r>
        <w:rPr>
          <w:rFonts w:hint="eastAsia" w:ascii="宋体" w:hAnsi="宋体"/>
          <w:b/>
          <w:sz w:val="24"/>
        </w:rPr>
        <w:t>日</w:t>
      </w:r>
      <w:r>
        <w:rPr>
          <w:rFonts w:hint="eastAsia" w:ascii="宋体" w:hAnsi="宋体"/>
          <w:b/>
          <w:sz w:val="24"/>
          <w:lang w:val="en-US" w:eastAsia="zh-CN"/>
        </w:rPr>
        <w:t>9</w:t>
      </w:r>
      <w:r>
        <w:rPr>
          <w:rFonts w:hint="eastAsia" w:ascii="宋体" w:hAnsi="宋体"/>
          <w:b/>
          <w:sz w:val="24"/>
        </w:rPr>
        <w:t>点30分</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东区医院霍尼韦尔BA系统恢复项目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东区医院霍尼韦尔BA系统恢复项目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w:t>
      </w:r>
      <w:r>
        <w:rPr>
          <w:rFonts w:hint="eastAsia" w:ascii="宋体" w:hAnsi="宋体" w:cs="宋体"/>
          <w:snapToGrid w:val="0"/>
          <w:kern w:val="0"/>
          <w:sz w:val="24"/>
          <w:lang w:val="en-US" w:eastAsia="zh-CN"/>
        </w:rPr>
        <w:t>单价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lang w:eastAsia="zh-CN"/>
        </w:rPr>
        <w:t>：</w:t>
      </w:r>
      <w:bookmarkStart w:id="1" w:name="OLE_LINK1"/>
      <w:r>
        <w:rPr>
          <w:rFonts w:hint="eastAsia" w:ascii="宋体" w:hAnsi="宋体" w:cs="宋体"/>
          <w:sz w:val="24"/>
          <w:highlight w:val="none"/>
        </w:rPr>
        <w:t>付款方式为按甲方要求</w:t>
      </w:r>
      <w:r>
        <w:rPr>
          <w:rFonts w:hint="eastAsia" w:ascii="宋体" w:hAnsi="宋体" w:cs="宋体"/>
          <w:sz w:val="24"/>
          <w:highlight w:val="none"/>
          <w:lang w:val="en-US" w:eastAsia="zh-CN"/>
        </w:rPr>
        <w:t>安装交付使用后，乙方凭开具的正规增值税发票等材料向甲方办理付款手续，甲方凭手续齐全的票据向乙方支付合同价的100%</w:t>
      </w:r>
      <w:r>
        <w:rPr>
          <w:rFonts w:hint="eastAsia" w:ascii="宋体" w:hAnsi="宋体" w:cs="宋体"/>
          <w:sz w:val="24"/>
          <w:highlight w:val="none"/>
        </w:rPr>
        <w:t>。</w:t>
      </w:r>
      <w:r>
        <w:rPr>
          <w:rFonts w:hint="eastAsia" w:ascii="宋体" w:hAnsi="宋体" w:cs="宋体"/>
          <w:snapToGrid w:val="0"/>
          <w:kern w:val="0"/>
          <w:sz w:val="24"/>
          <w:highlight w:val="none"/>
          <w:lang w:val="en-US" w:eastAsia="zh-CN"/>
        </w:rPr>
        <w:t>（以上均不计息）</w:t>
      </w:r>
      <w:bookmarkEnd w:id="1"/>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lang w:eastAsia="zh-CN"/>
        </w:rPr>
        <w:t>2025年</w:t>
      </w:r>
      <w:r>
        <w:rPr>
          <w:rFonts w:hint="eastAsia" w:cs="微软雅黑"/>
          <w:b/>
          <w:highlight w:val="none"/>
          <w:lang w:val="en-US" w:eastAsia="zh-CN"/>
        </w:rPr>
        <w:t>3</w:t>
      </w:r>
      <w:r>
        <w:rPr>
          <w:rFonts w:hint="eastAsia" w:cs="微软雅黑"/>
          <w:b/>
          <w:highlight w:val="none"/>
          <w:lang w:eastAsia="zh-CN"/>
        </w:rPr>
        <w:t>月2</w:t>
      </w:r>
      <w:r>
        <w:rPr>
          <w:rFonts w:hint="eastAsia" w:cs="微软雅黑"/>
          <w:b/>
          <w:highlight w:val="none"/>
          <w:lang w:val="en-US" w:eastAsia="zh-CN"/>
        </w:rPr>
        <w:t>8</w:t>
      </w:r>
      <w:r>
        <w:rPr>
          <w:rFonts w:hint="eastAsia" w:cs="微软雅黑"/>
          <w:b/>
          <w:highlight w:val="none"/>
          <w:lang w:eastAsia="zh-CN"/>
        </w:rPr>
        <w:t>日</w:t>
      </w:r>
      <w:r>
        <w:rPr>
          <w:rFonts w:hint="eastAsia" w:cs="微软雅黑"/>
          <w:b/>
          <w:highlight w:val="none"/>
          <w:lang w:val="en-US" w:eastAsia="zh-CN"/>
        </w:rPr>
        <w:t>9</w:t>
      </w:r>
      <w:r>
        <w:rPr>
          <w:rFonts w:hint="eastAsia" w:cs="微软雅黑"/>
          <w:b/>
          <w:highlight w:val="none"/>
          <w:lang w:eastAsia="zh-CN"/>
        </w:rPr>
        <w:t>点30分</w:t>
      </w:r>
      <w:r>
        <w:rPr>
          <w:rFonts w:hint="eastAsia" w:cs="微软雅黑"/>
          <w:color w:val="000000"/>
          <w:highlight w:val="none"/>
        </w:rPr>
        <w:t>前</w:t>
      </w:r>
      <w:r>
        <w:rPr>
          <w:rStyle w:val="34"/>
          <w:rFonts w:ascii="宋体" w:hAnsi="宋体"/>
          <w:b/>
          <w:sz w:val="24"/>
          <w:highlight w:val="none"/>
        </w:rPr>
        <w:t>（北</w:t>
      </w:r>
      <w:r>
        <w:rPr>
          <w:rStyle w:val="34"/>
          <w:rFonts w:ascii="宋体" w:hAnsi="宋体"/>
          <w:b/>
          <w:color w:val="000000"/>
          <w:sz w:val="24"/>
          <w:highlight w:val="none"/>
        </w:rPr>
        <w:t>京时间）</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bookmarkStart w:id="2" w:name="OLE_LINK2"/>
      <w:r>
        <w:rPr>
          <w:rFonts w:hint="eastAsia" w:ascii="宋体" w:hAnsi="宋体"/>
          <w:sz w:val="24"/>
        </w:rPr>
        <w:t>扬州市邗江中路368号</w:t>
      </w:r>
      <w:r>
        <w:rPr>
          <w:rFonts w:hint="eastAsia" w:cs="微软雅黑"/>
          <w:color w:val="000000"/>
        </w:rPr>
        <w:t>扬州大学附属医院（西区医院）</w:t>
      </w:r>
      <w:r>
        <w:rPr>
          <w:rFonts w:hint="eastAsia" w:cs="微软雅黑"/>
          <w:color w:val="000000"/>
          <w:lang w:eastAsia="zh-CN"/>
        </w:rPr>
        <w:t>行政楼</w:t>
      </w:r>
      <w:r>
        <w:rPr>
          <w:rFonts w:hint="eastAsia" w:cs="微软雅黑"/>
          <w:color w:val="000000"/>
        </w:rPr>
        <w:t>四楼采购中心405</w:t>
      </w:r>
    </w:p>
    <w:p>
      <w:pPr>
        <w:pStyle w:val="16"/>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0514—82099555</w:t>
      </w:r>
    </w:p>
    <w:bookmarkEnd w:id="2"/>
    <w:p>
      <w:pPr>
        <w:adjustRightInd w:val="0"/>
        <w:snapToGrid w:val="0"/>
        <w:spacing w:line="420" w:lineRule="exact"/>
        <w:ind w:firstLine="480" w:firstLineChars="200"/>
        <w:contextualSpacing/>
        <w:rPr>
          <w:rStyle w:val="34"/>
          <w:rFonts w:ascii="宋体" w:hAnsi="宋体"/>
          <w:sz w:val="24"/>
        </w:rPr>
      </w:pPr>
      <w:r>
        <w:rPr>
          <w:rStyle w:val="34"/>
          <w:rFonts w:hint="eastAsia" w:ascii="宋体" w:hAnsi="宋体"/>
          <w:sz w:val="24"/>
        </w:rPr>
        <w:t>15.</w:t>
      </w:r>
      <w:r>
        <w:rPr>
          <w:rStyle w:val="34"/>
          <w:rFonts w:ascii="宋体" w:hAnsi="宋体"/>
          <w:sz w:val="24"/>
        </w:rPr>
        <w:t>开标有关信息</w:t>
      </w:r>
    </w:p>
    <w:p>
      <w:pPr>
        <w:adjustRightInd w:val="0"/>
        <w:snapToGrid w:val="0"/>
        <w:spacing w:line="420" w:lineRule="exact"/>
        <w:ind w:firstLine="480" w:firstLineChars="200"/>
        <w:contextualSpacing/>
        <w:rPr>
          <w:rStyle w:val="34"/>
          <w:rFonts w:ascii="宋体" w:hAnsi="宋体"/>
          <w:color w:val="000000"/>
          <w:sz w:val="24"/>
        </w:rPr>
      </w:pPr>
      <w:r>
        <w:rPr>
          <w:rStyle w:val="34"/>
          <w:rFonts w:ascii="宋体" w:hAnsi="宋体"/>
          <w:sz w:val="24"/>
        </w:rPr>
        <w:t>开标时间：</w:t>
      </w:r>
      <w:r>
        <w:rPr>
          <w:rStyle w:val="34"/>
          <w:rFonts w:hint="eastAsia" w:ascii="宋体" w:hAnsi="宋体"/>
          <w:b/>
          <w:sz w:val="24"/>
          <w:highlight w:val="none"/>
          <w:lang w:eastAsia="zh-CN"/>
        </w:rPr>
        <w:t>2025年</w:t>
      </w:r>
      <w:r>
        <w:rPr>
          <w:rStyle w:val="34"/>
          <w:rFonts w:hint="eastAsia" w:ascii="宋体" w:hAnsi="宋体"/>
          <w:b/>
          <w:sz w:val="24"/>
          <w:highlight w:val="none"/>
          <w:lang w:val="en-US" w:eastAsia="zh-CN"/>
        </w:rPr>
        <w:t>3</w:t>
      </w:r>
      <w:r>
        <w:rPr>
          <w:rStyle w:val="34"/>
          <w:rFonts w:hint="eastAsia" w:ascii="宋体" w:hAnsi="宋体"/>
          <w:b/>
          <w:sz w:val="24"/>
          <w:highlight w:val="none"/>
          <w:lang w:eastAsia="zh-CN"/>
        </w:rPr>
        <w:t>月</w:t>
      </w:r>
      <w:r>
        <w:rPr>
          <w:rStyle w:val="34"/>
          <w:rFonts w:hint="eastAsia" w:ascii="宋体" w:hAnsi="宋体"/>
          <w:b/>
          <w:sz w:val="24"/>
          <w:highlight w:val="none"/>
          <w:lang w:val="en-US" w:eastAsia="zh-CN"/>
        </w:rPr>
        <w:t>28</w:t>
      </w:r>
      <w:r>
        <w:rPr>
          <w:rStyle w:val="34"/>
          <w:rFonts w:hint="eastAsia" w:ascii="宋体" w:hAnsi="宋体"/>
          <w:b/>
          <w:sz w:val="24"/>
          <w:highlight w:val="none"/>
          <w:lang w:eastAsia="zh-CN"/>
        </w:rPr>
        <w:t>日</w:t>
      </w:r>
      <w:r>
        <w:rPr>
          <w:rStyle w:val="34"/>
          <w:rFonts w:hint="eastAsia" w:ascii="宋体" w:hAnsi="宋体"/>
          <w:b/>
          <w:sz w:val="24"/>
          <w:highlight w:val="none"/>
          <w:lang w:val="en-US" w:eastAsia="zh-CN"/>
        </w:rPr>
        <w:t>9</w:t>
      </w:r>
      <w:r>
        <w:rPr>
          <w:rStyle w:val="34"/>
          <w:rFonts w:hint="eastAsia" w:ascii="宋体" w:hAnsi="宋体"/>
          <w:b/>
          <w:sz w:val="24"/>
          <w:highlight w:val="none"/>
          <w:lang w:eastAsia="zh-CN"/>
        </w:rPr>
        <w:t>点30分</w:t>
      </w:r>
      <w:r>
        <w:rPr>
          <w:rStyle w:val="34"/>
          <w:rFonts w:ascii="宋体" w:hAnsi="宋体"/>
          <w:b/>
          <w:sz w:val="24"/>
          <w:highlight w:val="none"/>
        </w:rPr>
        <w:t>（北</w:t>
      </w:r>
      <w:r>
        <w:rPr>
          <w:rStyle w:val="34"/>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扬州市邗江中路368号扬州大学附属医院（西区医院）</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412</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.com），同时需与采购经办人（联系电话：0514-82099555）确认是否收到《供应商参加投标确认函》</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hint="eastAsia" w:ascii="宋体" w:hAnsi="宋体" w:cs="宋体"/>
          <w:snapToGrid w:val="0"/>
          <w:spacing w:val="-4"/>
          <w:kern w:val="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lang w:eastAsia="zh-CN"/>
        </w:rPr>
        <w:t>2025年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lang w:eastAsia="zh-CN"/>
        </w:rPr>
        <w:t>月2</w:t>
      </w:r>
      <w:r>
        <w:rPr>
          <w:rFonts w:hint="eastAsia" w:ascii="宋体" w:hAnsi="宋体" w:cs="宋体"/>
          <w:b/>
          <w:snapToGrid w:val="0"/>
          <w:spacing w:val="-4"/>
          <w:kern w:val="0"/>
          <w:sz w:val="24"/>
          <w:highlight w:val="none"/>
          <w:lang w:val="en-US" w:eastAsia="zh-CN"/>
        </w:rPr>
        <w:t>8</w:t>
      </w:r>
      <w:r>
        <w:rPr>
          <w:rFonts w:hint="eastAsia" w:ascii="宋体" w:hAnsi="宋体" w:cs="宋体"/>
          <w:b/>
          <w:snapToGrid w:val="0"/>
          <w:spacing w:val="-4"/>
          <w:kern w:val="0"/>
          <w:sz w:val="24"/>
          <w:highlight w:val="none"/>
          <w:lang w:eastAsia="zh-CN"/>
        </w:rPr>
        <w:t>日</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lang w:eastAsia="zh-CN"/>
        </w:rPr>
        <w:t>点30分</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14:textFill>
            <w14:solidFill>
              <w14:schemeClr w14:val="tx1"/>
            </w14:solidFill>
          </w14:textFill>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w:t>
      </w:r>
      <w:r>
        <w:rPr>
          <w:rFonts w:hint="eastAsia" w:ascii="宋体" w:hAnsi="宋体" w:cs="宋体"/>
          <w:snapToGrid w:val="0"/>
          <w:kern w:val="0"/>
          <w:sz w:val="24"/>
          <w:lang w:val="en-US" w:eastAsia="zh-CN"/>
        </w:rPr>
        <w:t>0</w:t>
      </w:r>
      <w:r>
        <w:rPr>
          <w:rFonts w:hint="eastAsia" w:ascii="宋体" w:hAnsi="宋体" w:cs="宋体"/>
          <w:snapToGrid w:val="0"/>
          <w:kern w:val="0"/>
          <w:sz w:val="24"/>
        </w:rPr>
        <w:t>.如有疑问，请贵方与采购人联络。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hint="eastAsia" w:ascii="宋体" w:hAnsi="宋体" w:cs="宋体"/>
          <w:snapToGrid w:val="0"/>
          <w:kern w:val="0"/>
          <w:sz w:val="24"/>
          <w:highlight w:val="none"/>
        </w:rPr>
      </w:pPr>
      <w:r>
        <w:rPr>
          <w:rFonts w:hint="eastAsia" w:ascii="宋体" w:hAnsi="宋体" w:cs="宋体"/>
          <w:snapToGrid w:val="0"/>
          <w:kern w:val="0"/>
          <w:sz w:val="24"/>
          <w:highlight w:val="none"/>
        </w:rPr>
        <w:t>联系电话：0514—82099555</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olor w:val="000000"/>
          <w:sz w:val="24"/>
          <w:szCs w:val="24"/>
          <w:highlight w:val="none"/>
          <w:lang w:val="en-US" w:eastAsia="zh-CN"/>
        </w:rPr>
      </w:pPr>
      <w:r>
        <w:rPr>
          <w:rFonts w:hint="eastAsia" w:ascii="宋体" w:hAnsi="宋体" w:cs="宋体"/>
          <w:snapToGrid w:val="0"/>
          <w:kern w:val="0"/>
          <w:sz w:val="24"/>
          <w:highlight w:val="none"/>
          <w:lang w:val="en-US" w:eastAsia="zh-CN"/>
        </w:rPr>
        <w:t>21.集中</w:t>
      </w:r>
      <w:r>
        <w:rPr>
          <w:rFonts w:ascii="宋体" w:hAnsi="宋体" w:eastAsia="宋体"/>
          <w:color w:val="000000"/>
          <w:sz w:val="24"/>
          <w:szCs w:val="24"/>
          <w:highlight w:val="none"/>
        </w:rPr>
        <w:t>现场</w:t>
      </w:r>
      <w:r>
        <w:rPr>
          <w:rFonts w:hint="eastAsia" w:ascii="宋体" w:hAnsi="宋体" w:eastAsia="宋体"/>
          <w:color w:val="000000"/>
          <w:sz w:val="24"/>
          <w:szCs w:val="24"/>
          <w:highlight w:val="none"/>
          <w:lang w:val="en-US" w:eastAsia="zh-CN"/>
        </w:rPr>
        <w:t>查勘</w:t>
      </w:r>
    </w:p>
    <w:p>
      <w:pPr>
        <w:tabs>
          <w:tab w:val="left" w:pos="1080"/>
          <w:tab w:val="left" w:pos="1155"/>
        </w:tabs>
        <w:adjustRightInd w:val="0"/>
        <w:snapToGrid w:val="0"/>
        <w:spacing w:line="440" w:lineRule="exact"/>
        <w:ind w:firstLine="480" w:firstLineChars="200"/>
        <w:contextualSpacing/>
        <w:jc w:val="left"/>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集中查勘时间：2025年3月</w:t>
      </w:r>
      <w:r>
        <w:rPr>
          <w:rFonts w:hint="eastAsia" w:ascii="宋体" w:hAnsi="宋体"/>
          <w:color w:val="000000"/>
          <w:sz w:val="24"/>
          <w:szCs w:val="24"/>
          <w:highlight w:val="none"/>
          <w:lang w:val="en-US" w:eastAsia="zh-CN"/>
        </w:rPr>
        <w:t>21</w:t>
      </w:r>
      <w:r>
        <w:rPr>
          <w:rFonts w:hint="eastAsia" w:ascii="宋体" w:hAnsi="宋体" w:eastAsia="宋体"/>
          <w:color w:val="000000"/>
          <w:sz w:val="24"/>
          <w:szCs w:val="24"/>
          <w:highlight w:val="none"/>
          <w:lang w:val="en-US" w:eastAsia="zh-CN"/>
        </w:rPr>
        <w:t>日上午9:30</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现场对接人：任老师</w:t>
      </w:r>
    </w:p>
    <w:p>
      <w:pPr>
        <w:tabs>
          <w:tab w:val="left" w:pos="1080"/>
          <w:tab w:val="left" w:pos="1155"/>
        </w:tabs>
        <w:adjustRightInd w:val="0"/>
        <w:snapToGrid w:val="0"/>
        <w:spacing w:line="440" w:lineRule="exact"/>
        <w:ind w:firstLine="480" w:firstLineChars="200"/>
        <w:contextualSpacing/>
        <w:jc w:val="left"/>
        <w:rPr>
          <w:rFonts w:hint="default" w:ascii="宋体" w:hAnsi="宋体" w:eastAsia="宋体"/>
          <w:color w:val="000000"/>
          <w:sz w:val="24"/>
          <w:szCs w:val="24"/>
          <w:highlight w:val="none"/>
          <w:lang w:val="en-US" w:eastAsia="zh-CN"/>
        </w:rPr>
      </w:pPr>
      <w:r>
        <w:rPr>
          <w:rFonts w:hint="eastAsia" w:ascii="宋体" w:hAnsi="宋体" w:eastAsia="宋体"/>
          <w:color w:val="000000"/>
          <w:sz w:val="24"/>
          <w:szCs w:val="24"/>
          <w:highlight w:val="none"/>
          <w:lang w:val="en-US" w:eastAsia="zh-CN"/>
        </w:rPr>
        <w:t>联系电话：15852877783</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firstLine="140" w:firstLineChars="58"/>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firstLine="139" w:firstLineChars="58"/>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东区医院霍尼韦尔BA系统恢复项目</w:t>
      </w:r>
    </w:p>
    <w:p>
      <w:pPr>
        <w:adjustRightInd w:val="0"/>
        <w:snapToGrid w:val="0"/>
        <w:spacing w:line="440" w:lineRule="exact"/>
        <w:ind w:firstLine="139" w:firstLineChars="58"/>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1.2项目编号：YDFYXJ-</w:t>
      </w:r>
      <w:r>
        <w:rPr>
          <w:rFonts w:hint="eastAsia" w:ascii="宋体" w:hAnsi="宋体" w:cs="宋体"/>
          <w:snapToGrid w:val="0"/>
          <w:kern w:val="0"/>
          <w:sz w:val="24"/>
          <w:highlight w:val="none"/>
          <w:lang w:eastAsia="zh-CN"/>
        </w:rPr>
        <w:t>2025008</w:t>
      </w:r>
      <w:r>
        <w:rPr>
          <w:rFonts w:hint="eastAsia" w:ascii="宋体" w:hAnsi="宋体" w:cs="宋体"/>
          <w:snapToGrid w:val="0"/>
          <w:kern w:val="0"/>
          <w:sz w:val="24"/>
          <w:highlight w:val="none"/>
        </w:rPr>
        <w:t>号</w:t>
      </w:r>
    </w:p>
    <w:p>
      <w:pPr>
        <w:adjustRightInd w:val="0"/>
        <w:snapToGrid w:val="0"/>
        <w:spacing w:line="440" w:lineRule="exact"/>
        <w:ind w:firstLine="139" w:firstLineChars="58"/>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firstLine="139" w:firstLineChars="58"/>
        <w:contextualSpacing/>
        <w:rPr>
          <w:rFonts w:ascii="宋体" w:hAnsi="宋体" w:cs="宋体"/>
          <w:snapToGrid w:val="0"/>
          <w:kern w:val="0"/>
          <w:sz w:val="24"/>
          <w:highlight w:val="yellow"/>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4.85</w:t>
      </w:r>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firstLine="140" w:firstLineChars="58"/>
        <w:contextualSpacing/>
      </w:pPr>
      <w:r>
        <w:rPr>
          <w:rFonts w:hint="eastAsia" w:ascii="宋体" w:hAnsi="宋体"/>
          <w:b/>
          <w:sz w:val="24"/>
        </w:rPr>
        <w:t>采购项目内容及要求</w:t>
      </w:r>
    </w:p>
    <w:p>
      <w:pPr>
        <w:adjustRightInd w:val="0"/>
        <w:snapToGrid w:val="0"/>
        <w:spacing w:line="440" w:lineRule="exact"/>
        <w:ind w:firstLine="139" w:firstLineChars="58"/>
        <w:contextualSpacing/>
        <w:rPr>
          <w:rFonts w:hint="eastAsia" w:ascii="宋体" w:hAnsi="宋体" w:cs="宋体"/>
          <w:snapToGrid w:val="0"/>
          <w:kern w:val="0"/>
          <w:sz w:val="24"/>
        </w:rPr>
      </w:pPr>
      <w:r>
        <w:rPr>
          <w:rFonts w:hint="eastAsia" w:ascii="宋体" w:hAnsi="宋体" w:cs="宋体"/>
          <w:snapToGrid w:val="0"/>
          <w:kern w:val="0"/>
          <w:sz w:val="24"/>
          <w:lang w:val="en-US" w:eastAsia="zh-CN"/>
        </w:rPr>
        <w:t>2.1</w:t>
      </w:r>
      <w:r>
        <w:rPr>
          <w:rFonts w:hint="eastAsia" w:ascii="宋体" w:hAnsi="宋体" w:cs="宋体"/>
          <w:snapToGrid w:val="0"/>
          <w:kern w:val="0"/>
          <w:sz w:val="24"/>
        </w:rPr>
        <w:t>现状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扬大附院东区医院</w:t>
      </w:r>
      <w:r>
        <w:rPr>
          <w:rFonts w:hint="eastAsia" w:ascii="宋体" w:hAnsi="宋体" w:eastAsia="宋体" w:cs="宋体"/>
          <w:sz w:val="24"/>
          <w:szCs w:val="24"/>
          <w:lang w:val="en-US" w:eastAsia="zh-CN"/>
        </w:rPr>
        <w:t>霍尼韦尔</w:t>
      </w:r>
      <w:r>
        <w:rPr>
          <w:rFonts w:hint="eastAsia" w:ascii="宋体" w:hAnsi="宋体" w:eastAsia="宋体" w:cs="宋体"/>
          <w:sz w:val="24"/>
          <w:szCs w:val="24"/>
        </w:rPr>
        <w:t>楼宇自控系统建设于2011年，至今已运行13年以上，目前系统处于不稳定状态，数据严重缺失。具体问题如下：</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1.安装系统为XP系统的一台服务器和一台客户端电脑，运行非常缓慢。</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2.监控软件为霍尼韦尔EBIR400。</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3.新风组态数据库缺失。</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4.部分通讯数据缺失。</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5.医技楼二楼控制箱内设备缺失，并且线路混乱，尚未连接。</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6.门诊楼一楼控制箱内标注存在问题，无法进行送电操作。</w:t>
      </w:r>
    </w:p>
    <w:p>
      <w:pPr>
        <w:adjustRightInd w:val="0"/>
        <w:snapToGrid w:val="0"/>
        <w:spacing w:line="440" w:lineRule="exact"/>
        <w:ind w:firstLine="139" w:firstLineChars="58"/>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2.2系统介绍</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1.系统结构</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871" w:leftChars="300" w:hanging="241" w:hangingChars="100"/>
        <w:textAlignment w:val="auto"/>
        <w:rPr>
          <w:rFonts w:hint="eastAsia" w:ascii="宋体" w:hAnsi="宋体" w:eastAsia="宋体" w:cs="宋体"/>
          <w:sz w:val="24"/>
          <w:szCs w:val="24"/>
        </w:rPr>
      </w:pPr>
      <w:r>
        <w:rPr>
          <w:rFonts w:hint="eastAsia" w:ascii="宋体" w:hAnsi="宋体" w:eastAsia="宋体" w:cs="宋体"/>
          <w:b/>
          <w:bCs/>
          <w:sz w:val="24"/>
          <w:szCs w:val="24"/>
        </w:rPr>
        <w:t>操作站级：</w:t>
      </w:r>
      <w:r>
        <w:rPr>
          <w:rFonts w:hint="eastAsia" w:ascii="宋体" w:hAnsi="宋体" w:eastAsia="宋体" w:cs="宋体"/>
          <w:b w:val="0"/>
          <w:bCs w:val="0"/>
          <w:sz w:val="24"/>
          <w:szCs w:val="24"/>
        </w:rPr>
        <w:t>主要由配备鼠标和彩色显示器的个人电脑以及打印机组成。操作站无需使用BAS专用软件，而是采用网络浏览器作为用户界面。授权用户能够通过Web浏览器提供的用户界面轻松登录到数据管理服务器。</w:t>
      </w:r>
      <w:r>
        <w:rPr>
          <w:rFonts w:hint="eastAsia" w:ascii="宋体" w:hAnsi="宋体" w:eastAsia="宋体" w:cs="宋体"/>
          <w:sz w:val="24"/>
          <w:szCs w:val="24"/>
        </w:rPr>
        <w:t>用户可以通过Web浏览器在网络任何一点获得数据管理服务器上的数据。管理人员和操作者通过观察显示器所显示的各种信息以及打印机所记录的各种信息来掌握当前或以往整个建筑内各种机电设备的运行状况，还可以通过键盘或鼠标操作来调整各种机电设备的运行状态，以满足管理者特定的控制需求。操作站级通过高速通讯方式与次一级——网络控制引擎(NAE)级或DDC直接进行信息交换，其通讯速率达100兆波特，具有更强的实时性，几乎不存在通信阻塞的问题。</w:t>
      </w:r>
    </w:p>
    <w:p>
      <w:pPr>
        <w:keepNext w:val="0"/>
        <w:keepLines w:val="0"/>
        <w:pageBreakBefore w:val="0"/>
        <w:widowControl w:val="0"/>
        <w:numPr>
          <w:ilvl w:val="0"/>
          <w:numId w:val="3"/>
        </w:numPr>
        <w:kinsoku/>
        <w:wordWrap/>
        <w:overflowPunct/>
        <w:topLinePunct w:val="0"/>
        <w:autoSpaceDE/>
        <w:autoSpaceDN/>
        <w:bidi w:val="0"/>
        <w:adjustRightInd w:val="0"/>
        <w:snapToGrid w:val="0"/>
        <w:spacing w:line="440" w:lineRule="exact"/>
        <w:ind w:left="871" w:leftChars="300" w:hanging="241" w:hangingChars="100"/>
        <w:textAlignment w:val="auto"/>
        <w:rPr>
          <w:rFonts w:hint="eastAsia" w:ascii="宋体" w:hAnsi="宋体" w:eastAsia="宋体" w:cs="宋体"/>
          <w:b w:val="0"/>
          <w:bCs w:val="0"/>
          <w:sz w:val="24"/>
          <w:szCs w:val="24"/>
        </w:rPr>
      </w:pPr>
      <w:r>
        <w:rPr>
          <w:rFonts w:hint="eastAsia" w:ascii="宋体" w:hAnsi="宋体" w:eastAsia="宋体" w:cs="宋体"/>
          <w:b/>
          <w:bCs/>
          <w:sz w:val="24"/>
          <w:szCs w:val="24"/>
        </w:rPr>
        <w:t>现场控制器(DDC)：</w:t>
      </w:r>
      <w:r>
        <w:rPr>
          <w:rFonts w:hint="eastAsia" w:ascii="宋体" w:hAnsi="宋体" w:eastAsia="宋体" w:cs="宋体"/>
          <w:b w:val="0"/>
          <w:bCs w:val="0"/>
          <w:sz w:val="24"/>
          <w:szCs w:val="24"/>
        </w:rPr>
        <w:t>构成系统的第三级。DDC的主要职责是接收安装在各种机电设备中的传感器和检测器的信息，并根据DDC内部预先设定的参数和执行程序，自动对相应的机电设备进行监控。同时，DDC还能随时接收操作站发出的指令信息，调整参数或相关执行程序，以改变对相应机电设备的监控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2.冷热源监控系统</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扬大附院东区医院的冷热源监控系统将通过集成器网关接口读取这些设备的监控点的数据，以上状况均可在操作站彩色显示屏上显示和经打印机打印记录。</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3.空调监控系统</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（1）送/排风机</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扬大附院东区医院的排风机与送风机、新风处理机联动启停。各个送/排风系统通过机房直接数字控制器（DDC）至排风机控制屏进行监控。</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监控内容：</w:t>
      </w:r>
    </w:p>
    <w:p>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设备启停控制</w:t>
      </w:r>
    </w:p>
    <w:p>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手/自动状态</w:t>
      </w:r>
    </w:p>
    <w:p>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运行状态</w:t>
      </w:r>
    </w:p>
    <w:p>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运行故障</w:t>
      </w:r>
    </w:p>
    <w:p>
      <w:pPr>
        <w:keepNext w:val="0"/>
        <w:keepLines w:val="0"/>
        <w:pageBreakBefore w:val="0"/>
        <w:widowControl w:val="0"/>
        <w:numPr>
          <w:ilvl w:val="0"/>
          <w:numId w:val="4"/>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过滤网报警</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控制程序：</w:t>
      </w:r>
    </w:p>
    <w:p>
      <w:pPr>
        <w:keepNext w:val="0"/>
        <w:keepLines w:val="0"/>
        <w:pageBreakBefore w:val="0"/>
        <w:widowControl w:val="0"/>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1.按内部预先编写之时间程序或通过管理中心操作员启动风机后，控制程序投入工作。</w:t>
      </w:r>
    </w:p>
    <w:p>
      <w:pPr>
        <w:keepNext w:val="0"/>
        <w:keepLines w:val="0"/>
        <w:pageBreakBefore w:val="0"/>
        <w:widowControl w:val="0"/>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2.当排风机停止时，关闭新风阀。</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以上状况均可在操作站彩色显示屏上显示和经打印机打印记录。</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（2）新风处理机</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监控内容：</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设备启停控制</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手/自动状态</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风机运行状态</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风机运行故障</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过滤器压差警报</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水阀开度调节</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风阀开关控制</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送风温度</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控制程序：</w:t>
      </w:r>
    </w:p>
    <w:p>
      <w:pPr>
        <w:keepNext w:val="0"/>
        <w:keepLines w:val="0"/>
        <w:pageBreakBefore w:val="0"/>
        <w:widowControl w:val="0"/>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1.按内部预先编写之时间程序或通过管理中心操作员启动风机后，控制程序投入工作。</w:t>
      </w:r>
    </w:p>
    <w:p>
      <w:pPr>
        <w:keepNext w:val="0"/>
        <w:keepLines w:val="0"/>
        <w:pageBreakBefore w:val="0"/>
        <w:widowControl w:val="0"/>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2.当新风处理机启动，新风阀与联动风机自动开启。</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送风温度自动控制</w:t>
      </w:r>
      <w:r>
        <w:rPr>
          <w:rFonts w:hint="eastAsia" w:ascii="宋体" w:hAnsi="宋体" w:eastAsia="宋体" w:cs="宋体"/>
          <w:sz w:val="24"/>
          <w:szCs w:val="24"/>
        </w:rPr>
        <w:t>：以送风温度设定值作为控制目标，以送风温度测量值作为过程变量，以控制阀门作为执行器，采用闭环控制方案一进行PID调节，使送风温度保持在设定值的附近。在夏季工况时，当送风温度高于设定值时，增大阀门开度；当送风温度低于设定值时，减少阀门开度。在冬季工况时，当送风温度高于设定值时，减少阀门开度；当送风温度低于设定值时，增大阀门开度。使送风温度始终控制在设定值范围内。</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送风湿度自动控制（若加湿）</w:t>
      </w:r>
      <w:r>
        <w:rPr>
          <w:rFonts w:hint="eastAsia" w:ascii="宋体" w:hAnsi="宋体" w:eastAsia="宋体" w:cs="宋体"/>
          <w:sz w:val="24"/>
          <w:szCs w:val="24"/>
        </w:rPr>
        <w:t>：由送风管道内的湿度传感器实测出送风湿度，输入DDC，与湿度设定值比较，得到偏差，湿度大于设定值，关闭加湿器，湿度小于设定值，开启加湿器。</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焓值控制</w:t>
      </w:r>
      <w:r>
        <w:rPr>
          <w:rFonts w:hint="eastAsia" w:ascii="宋体" w:hAnsi="宋体" w:eastAsia="宋体" w:cs="宋体"/>
          <w:sz w:val="24"/>
          <w:szCs w:val="24"/>
        </w:rPr>
        <w:t>：对空气源进行全热值计算，并进行比较决策，自动选择空气源，使被冷却盘管除去的冷量或增加的热量最少，来达到所希望的冷却或加热温度。</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运转过程中，过滤器压差高于设定值，则BMS系统发出报警信号。</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当新风机停止时，关闭新风阀，关闭水阀。</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以上状况均可在操作站彩色显示屏上显示和经打印机打印记录。</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4.太阳能蒸汽系统监控</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扬大附院东区医院的太阳能蒸汽系统将通过集成器网关接口读取这些设备的监控点的数据，以上状况均可在操作站彩色显示屏上显示和经打印机打印记录。</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5.主要设备参数要求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中央监控软件</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控制系统的软件要具有良好人机界面和集成特性的多任务系统。系统构架应采用B/S加C/S构架，主要要求如下：</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系统软件应是高级服务器版本的软件，而非工作站软件，投标人的服务器软件应包括不少于2个工作站的访问软件许可。</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系统软件应包括图纸绘图软件，将来操作人员可对图形进行编辑。</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系统采取多级密码，限制对数据库和机密信息的读取，不同操作级别的操作者具有不同界面和不同权限等多种措施，以确保安全性。</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BA系统软件应支持BACnet通讯协议，应能直接通过访问第三方的BACnetServer设备。</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BA软件应采用Windows2000/XP等多种环境操作系统，并可实现多种语言切换，系统宜于扩展和升级，要求免费升级。</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BA系统软件应包括短消息报警功能模块，BA系统通过SMS短消息把系统报警信息发到管理人员的手机上。</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大型直接数字控制器带网络管理功能</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系统设计采用的大型控制器应是基于网络通讯的直接数字控制器DDC，为可扩展的直接数字控制器，应具有网络管理和路由功能。主要技术指标如下：</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DDC控制器采用10M/100M以太网，TCP/IP通讯协议。</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DDC控制器采用32位处理器，内存至少为16MSDRAM。</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DDC设有年月日实时时钟，时钟精度为不小于30秒/月。</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DDC应能支持开放式的BACnet通讯协议或LONWORKS通讯协议。</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DDC模拟量输入精度不小于12位的分辨率，模拟输出精度不小于11位的分辨率。</w:t>
      </w:r>
    </w:p>
    <w:p>
      <w:pPr>
        <w:keepNext w:val="0"/>
        <w:keepLines w:val="0"/>
        <w:pageBreakBefore w:val="0"/>
        <w:widowControl w:val="0"/>
        <w:kinsoku/>
        <w:wordWrap/>
        <w:overflowPunct/>
        <w:topLinePunct w:val="0"/>
        <w:autoSpaceDE/>
        <w:autoSpaceDN/>
        <w:bidi w:val="0"/>
        <w:adjustRightInd w:val="0"/>
        <w:snapToGrid w:val="0"/>
        <w:spacing w:line="44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现场应用型直接数字控制器</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系统设计采用的应用型控制器应是基于RS485通讯的小型直接数字控制器DDC，安装在现场控制设备附近，通过RS485和大型直接数字控制器或网络控制引擎进行通讯。主要技术指标如下：</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DDC控制器采用RS485通讯协议。</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DDC应能支持开放式的BACnet通讯协议或LONWORKS通讯协议。</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DDC控制器采用32位处理器。</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DDC设有年月日实时时钟，时钟精度为不小于30秒/月。</w:t>
      </w:r>
    </w:p>
    <w:p>
      <w:pPr>
        <w:keepNext w:val="0"/>
        <w:keepLines w:val="0"/>
        <w:pageBreakBefore w:val="0"/>
        <w:widowControl w:val="0"/>
        <w:numPr>
          <w:ilvl w:val="0"/>
          <w:numId w:val="5"/>
        </w:numPr>
        <w:kinsoku/>
        <w:wordWrap/>
        <w:overflowPunct/>
        <w:topLinePunct w:val="0"/>
        <w:autoSpaceDE/>
        <w:autoSpaceDN/>
        <w:bidi w:val="0"/>
        <w:adjustRightInd w:val="0"/>
        <w:snapToGrid w:val="0"/>
        <w:spacing w:line="440" w:lineRule="exact"/>
        <w:ind w:left="870" w:leftChars="300" w:hanging="240" w:hangingChars="100"/>
        <w:textAlignment w:val="auto"/>
        <w:rPr>
          <w:rFonts w:hint="eastAsia" w:ascii="宋体" w:hAnsi="宋体" w:eastAsia="宋体" w:cs="宋体"/>
          <w:sz w:val="24"/>
          <w:szCs w:val="24"/>
        </w:rPr>
      </w:pPr>
      <w:r>
        <w:rPr>
          <w:rFonts w:hint="eastAsia" w:ascii="宋体" w:hAnsi="宋体" w:eastAsia="宋体" w:cs="宋体"/>
          <w:sz w:val="24"/>
          <w:szCs w:val="24"/>
        </w:rPr>
        <w:t>DDC模拟量输入精度不小于12位的分辨率，模拟输出精度不小于11位的分辨率。</w:t>
      </w:r>
    </w:p>
    <w:p>
      <w:pPr>
        <w:adjustRightInd w:val="0"/>
        <w:snapToGrid w:val="0"/>
        <w:spacing w:line="440" w:lineRule="exact"/>
        <w:ind w:firstLine="139" w:firstLineChars="58"/>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2.3涉及范围</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涉及到东区医院1、6、7号楼的冷热源、空调系统、太阳能系统等，恢复到原始正常状态。</w:t>
      </w:r>
    </w:p>
    <w:p>
      <w:pPr>
        <w:adjustRightInd w:val="0"/>
        <w:snapToGrid w:val="0"/>
        <w:spacing w:line="440" w:lineRule="exact"/>
        <w:ind w:firstLine="139" w:firstLineChars="58"/>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2.4系统恢复要求</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1.检查末端设备；</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2.</w:t>
      </w:r>
      <w:r>
        <w:rPr>
          <w:rFonts w:ascii="宋体" w:hAnsi="宋体" w:eastAsia="宋体" w:cs="宋体"/>
          <w:kern w:val="2"/>
          <w:sz w:val="24"/>
          <w:szCs w:val="24"/>
          <w:lang w:bidi="ar-SA"/>
        </w:rPr>
        <w:t>缺失设备编程并安装</w:t>
      </w:r>
      <w:r>
        <w:rPr>
          <w:rFonts w:hint="eastAsia" w:ascii="宋体" w:hAnsi="宋体" w:eastAsia="宋体" w:cs="宋体"/>
          <w:kern w:val="2"/>
          <w:sz w:val="24"/>
          <w:szCs w:val="24"/>
          <w:lang w:eastAsia="zh-CN" w:bidi="ar-SA"/>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接线重新恢复接线；</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.检测电路问题；</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.末端设备问题重新恢复；</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.现场通讯恢复后重新做数据库；</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.现场控制器恢复后重新做数据库；</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.楼宇自控系统展示恢复；</w:t>
      </w:r>
    </w:p>
    <w:p>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.系统测试与试运行。</w:t>
      </w:r>
    </w:p>
    <w:p>
      <w:pPr>
        <w:adjustRightInd w:val="0"/>
        <w:snapToGrid w:val="0"/>
        <w:spacing w:line="440" w:lineRule="exact"/>
        <w:ind w:firstLine="139" w:firstLineChars="58"/>
        <w:contextualSpacing/>
        <w:rPr>
          <w:rFonts w:hint="eastAsia" w:ascii="宋体" w:hAnsi="宋体" w:cs="宋体"/>
          <w:snapToGrid w:val="0"/>
          <w:kern w:val="0"/>
          <w:sz w:val="24"/>
          <w:lang w:val="en-US" w:eastAsia="zh-CN"/>
        </w:rPr>
      </w:pPr>
      <w:r>
        <w:rPr>
          <w:rFonts w:hint="eastAsia" w:ascii="宋体" w:hAnsi="宋体" w:cs="宋体"/>
          <w:snapToGrid w:val="0"/>
          <w:kern w:val="0"/>
          <w:sz w:val="24"/>
          <w:lang w:val="en-US" w:eastAsia="zh-CN"/>
        </w:rPr>
        <w:t>2.5恢复清单及预算表</w:t>
      </w:r>
    </w:p>
    <w:tbl>
      <w:tblPr>
        <w:tblStyle w:val="18"/>
        <w:tblW w:w="58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4"/>
        <w:gridCol w:w="2261"/>
        <w:gridCol w:w="1184"/>
        <w:gridCol w:w="945"/>
        <w:gridCol w:w="704"/>
        <w:gridCol w:w="870"/>
        <w:gridCol w:w="899"/>
        <w:gridCol w:w="1034"/>
        <w:gridCol w:w="13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内容</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4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448"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单价</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合计</w:t>
            </w:r>
          </w:p>
        </w:tc>
        <w:tc>
          <w:tcPr>
            <w:tcW w:w="6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小型控制器（6UI/4DI/3AO/8DO)</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霍尼韦尔</w:t>
            </w:r>
          </w:p>
        </w:tc>
        <w:tc>
          <w:tcPr>
            <w:tcW w:w="47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CP-SPC</w:t>
            </w: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控制器编程费用</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此费用仅限新采购控制器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检查末端设备</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接线重新恢复接线</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检测电路问题</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末端设备问题重新恢复</w:t>
            </w:r>
          </w:p>
        </w:tc>
        <w:tc>
          <w:tcPr>
            <w:tcW w:w="59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现场通讯恢复后重新做数据库</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1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现场控制器恢复后重新做数据库</w:t>
            </w:r>
          </w:p>
        </w:tc>
        <w:tc>
          <w:tcPr>
            <w:tcW w:w="59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471" w:type="pct"/>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4"/>
                <w:szCs w:val="24"/>
                <w:u w:val="none"/>
              </w:rPr>
            </w:pPr>
          </w:p>
        </w:tc>
        <w:tc>
          <w:tcPr>
            <w:tcW w:w="35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43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4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0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40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426" w:type="pct"/>
            <w:gridSpan w:val="6"/>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51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c>
          <w:tcPr>
            <w:tcW w:w="650" w:type="pct"/>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4"/>
                <w:szCs w:val="24"/>
                <w:u w:val="none"/>
              </w:rPr>
            </w:pPr>
          </w:p>
        </w:tc>
      </w:tr>
    </w:tbl>
    <w:p>
      <w:pPr>
        <w:keepNext w:val="0"/>
        <w:keepLines w:val="0"/>
        <w:pageBreakBefore w:val="0"/>
        <w:widowControl w:val="0"/>
        <w:kinsoku/>
        <w:wordWrap/>
        <w:overflowPunct/>
        <w:topLinePunct w:val="0"/>
        <w:autoSpaceDE/>
        <w:autoSpaceDN/>
        <w:bidi w:val="0"/>
        <w:adjustRightInd w:val="0"/>
        <w:snapToGrid w:val="0"/>
        <w:spacing w:before="157" w:beforeLines="50" w:line="440" w:lineRule="exact"/>
        <w:ind w:left="843" w:hanging="843" w:hangingChars="350"/>
        <w:textAlignment w:val="auto"/>
        <w:rPr>
          <w:rFonts w:ascii="Calibri" w:hAnsi="Calibri"/>
          <w:b/>
          <w:bCs/>
          <w:kern w:val="2"/>
          <w:sz w:val="24"/>
          <w:szCs w:val="24"/>
          <w:lang w:bidi="ar-SA"/>
        </w:rPr>
      </w:pPr>
      <w:r>
        <w:rPr>
          <w:rFonts w:hint="eastAsia"/>
          <w:b/>
          <w:bCs/>
          <w:sz w:val="24"/>
          <w:szCs w:val="24"/>
          <w:lang w:val="en-US" w:eastAsia="zh-CN"/>
        </w:rPr>
        <w:t>注：1、</w:t>
      </w:r>
      <w:r>
        <w:rPr>
          <w:rFonts w:ascii="Calibri" w:hAnsi="Calibri"/>
          <w:b/>
          <w:bCs/>
          <w:kern w:val="2"/>
          <w:sz w:val="24"/>
          <w:szCs w:val="24"/>
          <w:lang w:bidi="ar-SA"/>
        </w:rPr>
        <w:t>本项目所涉及的所有程序编写及数据库构建工作，必须由霍尼韦尔公司的专业技术人员负责执行。</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781" w:leftChars="200" w:hanging="361" w:hangingChars="150"/>
        <w:textAlignment w:val="auto"/>
        <w:rPr>
          <w:rFonts w:hint="eastAsia" w:ascii="Calibri" w:hAnsi="Calibri"/>
          <w:b/>
          <w:bCs/>
          <w:kern w:val="2"/>
          <w:sz w:val="24"/>
          <w:szCs w:val="24"/>
          <w:lang w:val="en-US" w:eastAsia="zh-CN" w:bidi="ar-SA"/>
        </w:rPr>
      </w:pPr>
      <w:r>
        <w:rPr>
          <w:rFonts w:hint="eastAsia" w:ascii="Calibri" w:hAnsi="Calibri" w:eastAsiaTheme="minorEastAsia" w:cstheme="minorBidi"/>
          <w:b/>
          <w:bCs/>
          <w:kern w:val="2"/>
          <w:sz w:val="24"/>
          <w:szCs w:val="24"/>
          <w:lang w:val="en-US" w:eastAsia="zh-CN" w:bidi="ar-SA"/>
        </w:rPr>
        <w:t>2、</w:t>
      </w:r>
      <w:r>
        <w:rPr>
          <w:rFonts w:ascii="Calibri" w:hAnsi="Calibri" w:eastAsia="宋体" w:cs="Times New Roman"/>
          <w:b/>
          <w:bCs/>
          <w:kern w:val="2"/>
          <w:sz w:val="24"/>
          <w:szCs w:val="24"/>
          <w:lang w:bidi="ar-SA"/>
        </w:rPr>
        <w:t>本恢复清单仅供参考，</w:t>
      </w:r>
      <w:r>
        <w:rPr>
          <w:rFonts w:hint="eastAsia" w:ascii="Calibri" w:hAnsi="Calibri"/>
          <w:b/>
          <w:bCs/>
          <w:kern w:val="2"/>
          <w:sz w:val="24"/>
          <w:szCs w:val="24"/>
          <w:lang w:val="en-US" w:eastAsia="zh-CN" w:bidi="ar-SA"/>
        </w:rPr>
        <w:t>包含但不限于以上内容，</w:t>
      </w:r>
      <w:r>
        <w:rPr>
          <w:rFonts w:ascii="Calibri" w:hAnsi="Calibri" w:eastAsia="宋体" w:cs="Times New Roman"/>
          <w:b/>
          <w:bCs/>
          <w:kern w:val="2"/>
          <w:sz w:val="24"/>
          <w:szCs w:val="24"/>
          <w:lang w:bidi="ar-SA"/>
        </w:rPr>
        <w:t>乙方认为为完成项目所必需的其他内容亦应包含在内，直至本系统修复完毕并通过验收。</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left="781" w:leftChars="200" w:hanging="361" w:hangingChars="150"/>
        <w:jc w:val="both"/>
        <w:textAlignment w:val="auto"/>
        <w:rPr>
          <w:rFonts w:hint="default" w:ascii="Calibri" w:hAnsi="Calibri"/>
          <w:b/>
          <w:bCs/>
          <w:kern w:val="2"/>
          <w:sz w:val="24"/>
          <w:szCs w:val="24"/>
          <w:lang w:val="en-US" w:eastAsia="zh-CN" w:bidi="ar-SA"/>
        </w:rPr>
      </w:pPr>
      <w:r>
        <w:rPr>
          <w:rFonts w:hint="eastAsia" w:ascii="Calibri" w:hAnsi="Calibri"/>
          <w:b/>
          <w:bCs/>
          <w:kern w:val="2"/>
          <w:sz w:val="24"/>
          <w:szCs w:val="24"/>
          <w:lang w:val="en-US" w:eastAsia="zh-CN" w:bidi="ar-SA"/>
        </w:rPr>
        <w:t>3、</w:t>
      </w:r>
      <w:r>
        <w:rPr>
          <w:rFonts w:ascii="Calibri" w:hAnsi="Calibri" w:eastAsia="宋体" w:cs="Times New Roman"/>
          <w:b/>
          <w:bCs/>
          <w:kern w:val="2"/>
          <w:sz w:val="24"/>
          <w:szCs w:val="24"/>
          <w:lang w:bidi="ar-SA"/>
        </w:rPr>
        <w:t>在修复过程中，若发现原有控制器存在损坏，必须立即与甲方沟通并确定解决方案，由甲方负责重新采购</w:t>
      </w:r>
      <w:r>
        <w:rPr>
          <w:rFonts w:hint="eastAsia" w:ascii="Calibri" w:hAnsi="Calibri" w:cs="Times New Roman"/>
          <w:b/>
          <w:bCs/>
          <w:kern w:val="2"/>
          <w:sz w:val="24"/>
          <w:szCs w:val="24"/>
          <w:lang w:eastAsia="zh-CN" w:bidi="ar-SA"/>
        </w:rPr>
        <w:t>，</w:t>
      </w:r>
      <w:r>
        <w:rPr>
          <w:rFonts w:hint="eastAsia" w:ascii="Calibri" w:hAnsi="Calibri" w:cs="Times New Roman"/>
          <w:b/>
          <w:bCs/>
          <w:kern w:val="2"/>
          <w:sz w:val="24"/>
          <w:szCs w:val="24"/>
          <w:lang w:val="en-US" w:eastAsia="zh-CN" w:bidi="ar-SA"/>
        </w:rPr>
        <w:t>乙方负责安装调试</w:t>
      </w:r>
      <w:r>
        <w:rPr>
          <w:rFonts w:ascii="Calibri" w:hAnsi="Calibri" w:eastAsia="宋体" w:cs="Times New Roman"/>
          <w:b/>
          <w:bCs/>
          <w:kern w:val="2"/>
          <w:sz w:val="24"/>
          <w:szCs w:val="24"/>
          <w:lang w:bidi="ar-SA"/>
        </w:rPr>
        <w:t>。</w:t>
      </w:r>
    </w:p>
    <w:p>
      <w:pPr>
        <w:keepNext w:val="0"/>
        <w:keepLines w:val="0"/>
        <w:pageBreakBefore w:val="0"/>
        <w:widowControl w:val="0"/>
        <w:kinsoku/>
        <w:wordWrap/>
        <w:overflowPunct/>
        <w:topLinePunct w:val="0"/>
        <w:autoSpaceDE/>
        <w:autoSpaceDN/>
        <w:bidi w:val="0"/>
        <w:adjustRightInd w:val="0"/>
        <w:snapToGrid w:val="0"/>
        <w:spacing w:line="440" w:lineRule="exact"/>
        <w:ind w:left="781" w:leftChars="200" w:hanging="361" w:hangingChars="150"/>
        <w:textAlignment w:val="auto"/>
        <w:rPr>
          <w:rFonts w:hint="eastAsia" w:ascii="Calibri" w:hAnsi="Calibri"/>
          <w:b/>
          <w:bCs/>
          <w:kern w:val="2"/>
          <w:sz w:val="24"/>
          <w:szCs w:val="24"/>
          <w:lang w:val="en-US" w:eastAsia="zh-CN" w:bidi="ar-SA"/>
        </w:rPr>
      </w:pPr>
      <w:r>
        <w:rPr>
          <w:rFonts w:hint="eastAsia" w:ascii="Calibri" w:hAnsi="Calibri"/>
          <w:b/>
          <w:bCs/>
          <w:kern w:val="2"/>
          <w:sz w:val="24"/>
          <w:szCs w:val="24"/>
          <w:lang w:val="en-US" w:eastAsia="zh-CN" w:bidi="ar-SA"/>
        </w:rPr>
        <w:t>4、恢复工作完成后，乙方需进行全面测试，确保系统正常运行，并提供相应的操作手册及培训服务。</w:t>
      </w:r>
    </w:p>
    <w:p>
      <w:pPr>
        <w:pStyle w:val="16"/>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p>
    <w:p>
      <w:pPr>
        <w:pStyle w:val="16"/>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7"/>
        <w:ind w:firstLine="0"/>
      </w:pPr>
    </w:p>
    <w:p>
      <w:pPr>
        <w:jc w:val="center"/>
        <w:rPr>
          <w:rFonts w:ascii="宋体" w:hAnsi="宋体"/>
          <w:b/>
          <w:bCs/>
          <w:sz w:val="36"/>
          <w:szCs w:val="36"/>
        </w:rPr>
      </w:pPr>
      <w:r>
        <w:rPr>
          <w:rFonts w:hint="eastAsia" w:ascii="宋体" w:hAnsi="宋体"/>
          <w:b/>
          <w:bCs/>
          <w:sz w:val="36"/>
          <w:szCs w:val="36"/>
        </w:rPr>
        <w:t>投标文件</w:t>
      </w:r>
    </w:p>
    <w:p>
      <w:pPr>
        <w:pStyle w:val="17"/>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7"/>
        <w:ind w:firstLine="0"/>
      </w:pPr>
    </w:p>
    <w:p>
      <w:pPr>
        <w:pStyle w:val="17"/>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7"/>
        <w:rPr>
          <w:sz w:val="36"/>
          <w:szCs w:val="36"/>
        </w:rPr>
      </w:pPr>
    </w:p>
    <w:p>
      <w:pPr>
        <w:pStyle w:val="17"/>
        <w:rPr>
          <w:sz w:val="36"/>
          <w:szCs w:val="36"/>
        </w:rPr>
      </w:pPr>
    </w:p>
    <w:p>
      <w:pPr>
        <w:pStyle w:val="17"/>
        <w:rPr>
          <w:sz w:val="36"/>
          <w:szCs w:val="36"/>
        </w:rPr>
      </w:pPr>
    </w:p>
    <w:p>
      <w:pPr>
        <w:rPr>
          <w:b/>
          <w:sz w:val="36"/>
          <w:szCs w:val="36"/>
        </w:rPr>
      </w:pPr>
    </w:p>
    <w:p>
      <w:pPr>
        <w:pStyle w:val="17"/>
        <w:ind w:firstLine="0"/>
        <w:jc w:val="left"/>
      </w:pPr>
    </w:p>
    <w:p>
      <w:pPr>
        <w:jc w:val="center"/>
        <w:rPr>
          <w:rFonts w:ascii="宋体" w:hAnsi="宋体"/>
          <w:b/>
          <w:sz w:val="36"/>
          <w:szCs w:val="36"/>
          <w:u w:val="single"/>
        </w:rPr>
      </w:pPr>
      <w:r>
        <w:rPr>
          <w:rFonts w:hint="eastAsia"/>
          <w:b/>
          <w:sz w:val="36"/>
          <w:szCs w:val="36"/>
        </w:rPr>
        <w:t>目录</w:t>
      </w:r>
    </w:p>
    <w:p>
      <w:pPr>
        <w:pStyle w:val="4"/>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东区医院霍尼韦尔BA系统恢复项目</w:t>
      </w:r>
      <w:r>
        <w:rPr>
          <w:rFonts w:hint="eastAsia" w:ascii="宋体" w:hAnsi="宋体" w:cs="宋体"/>
          <w:sz w:val="24"/>
        </w:rPr>
        <w:t>（编号：</w:t>
      </w:r>
      <w:r>
        <w:rPr>
          <w:rFonts w:hint="eastAsia" w:ascii="宋体" w:hAnsi="宋体" w:cs="宋体"/>
          <w:snapToGrid w:val="0"/>
          <w:kern w:val="0"/>
          <w:sz w:val="24"/>
          <w:highlight w:val="none"/>
        </w:rPr>
        <w:t>YDFYXJ-</w:t>
      </w:r>
      <w:r>
        <w:rPr>
          <w:rFonts w:hint="eastAsia" w:ascii="宋体" w:hAnsi="宋体" w:cs="宋体"/>
          <w:snapToGrid w:val="0"/>
          <w:kern w:val="0"/>
          <w:sz w:val="24"/>
          <w:highlight w:val="none"/>
          <w:lang w:eastAsia="zh-CN"/>
        </w:rPr>
        <w:t>2025008</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7"/>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w:t>
      </w:r>
      <w:r>
        <w:rPr>
          <w:rFonts w:hint="eastAsia" w:ascii="宋体" w:hAnsi="宋体" w:cs="宋体"/>
          <w:sz w:val="24"/>
          <w:lang w:eastAsia="zh-CN"/>
        </w:rPr>
        <w:t>2025</w:t>
      </w:r>
      <w:r>
        <w:rPr>
          <w:rFonts w:hint="eastAsia" w:ascii="宋体" w:hAnsi="宋体" w:cs="宋体"/>
          <w:sz w:val="24"/>
        </w:rPr>
        <w:t>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w:t>
      </w:r>
      <w:r>
        <w:rPr>
          <w:rFonts w:hint="eastAsia" w:ascii="宋体" w:hAnsi="宋体" w:cs="宋体"/>
          <w:b/>
          <w:snapToGrid w:val="0"/>
          <w:kern w:val="0"/>
          <w:sz w:val="24"/>
          <w:lang w:val="en-US" w:eastAsia="zh-CN"/>
        </w:rPr>
        <w:t>qq</w:t>
      </w:r>
      <w:r>
        <w:rPr>
          <w:rFonts w:hint="eastAsia" w:ascii="宋体" w:hAnsi="宋体" w:cs="宋体"/>
          <w:b/>
          <w:snapToGrid w:val="0"/>
          <w:kern w:val="0"/>
          <w:sz w:val="24"/>
          <w:lang w:eastAsia="zh-CN"/>
        </w:rPr>
        <w:t>.com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0514-82099555</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7"/>
        <w:rPr>
          <w:rFonts w:ascii="宋体" w:hAnsi="宋体" w:cs="宋体"/>
          <w:sz w:val="28"/>
          <w:szCs w:val="28"/>
        </w:rPr>
      </w:pPr>
    </w:p>
    <w:p>
      <w:pPr>
        <w:pStyle w:val="3"/>
        <w:ind w:left="0" w:leftChars="0" w:firstLine="0" w:firstLineChars="0"/>
        <w:rPr>
          <w:b/>
          <w:sz w:val="36"/>
          <w:szCs w:val="36"/>
        </w:rPr>
      </w:pPr>
    </w:p>
    <w:p>
      <w:pPr>
        <w:pStyle w:val="3"/>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ind w:firstLine="0"/>
      </w:pPr>
    </w:p>
    <w:p>
      <w:pPr>
        <w:pStyle w:val="17"/>
        <w:ind w:firstLine="0"/>
      </w:pPr>
    </w:p>
    <w:p>
      <w:pPr>
        <w:pStyle w:val="17"/>
        <w:ind w:firstLine="0"/>
      </w:pPr>
    </w:p>
    <w:p>
      <w:pPr>
        <w:pStyle w:val="17"/>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4"/>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pStyle w:val="17"/>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9"/>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3"/>
            </w:pPr>
          </w:p>
          <w:p/>
          <w:p>
            <w:pPr>
              <w:pStyle w:val="3"/>
            </w:pPr>
          </w:p>
          <w:p/>
          <w:p>
            <w:pPr>
              <w:pStyle w:val="3"/>
            </w:pPr>
          </w:p>
          <w:p/>
          <w:p>
            <w:pPr>
              <w:pStyle w:val="3"/>
            </w:pPr>
          </w:p>
          <w:p/>
          <w:p>
            <w:pPr>
              <w:pStyle w:val="3"/>
            </w:pPr>
          </w:p>
          <w:p/>
          <w:p>
            <w:pPr>
              <w:pStyle w:val="3"/>
            </w:pPr>
          </w:p>
          <w:p/>
          <w:p>
            <w:pPr>
              <w:pStyle w:val="3"/>
            </w:pPr>
          </w:p>
          <w:p/>
          <w:p>
            <w:pPr>
              <w:pStyle w:val="3"/>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3"/>
        <w:ind w:left="0" w:leftChars="0" w:firstLine="0" w:firstLineChars="0"/>
        <w:rPr>
          <w:rFonts w:ascii="宋体" w:hAnsi="宋体"/>
          <w:kern w:val="0"/>
          <w:sz w:val="36"/>
          <w:szCs w:val="36"/>
        </w:rPr>
      </w:pPr>
    </w:p>
    <w:p/>
    <w:p>
      <w:pPr>
        <w:pStyle w:val="15"/>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3"/>
        <w:rPr>
          <w:rFonts w:ascii="宋体" w:hAnsi="宋体"/>
        </w:rPr>
      </w:pPr>
    </w:p>
    <w:p>
      <w:pPr>
        <w:rPr>
          <w:rFonts w:ascii="宋体" w:hAnsi="宋体"/>
        </w:rPr>
      </w:pPr>
    </w:p>
    <w:p>
      <w:pPr>
        <w:pStyle w:val="3"/>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8"/>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2"/>
              <w:adjustRightInd w:val="0"/>
              <w:snapToGrid w:val="0"/>
              <w:spacing w:line="440" w:lineRule="exact"/>
              <w:contextualSpacing/>
              <w:jc w:val="center"/>
              <w:rPr>
                <w:rFonts w:ascii="Times New Roman"/>
                <w:bCs/>
              </w:rPr>
            </w:pPr>
          </w:p>
        </w:tc>
        <w:tc>
          <w:tcPr>
            <w:tcW w:w="3244" w:type="pct"/>
            <w:vAlign w:val="center"/>
          </w:tcPr>
          <w:p>
            <w:pPr>
              <w:pStyle w:val="32"/>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2"/>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3"/>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7"/>
      </w:pPr>
    </w:p>
    <w:p>
      <w:pPr>
        <w:rPr>
          <w:rFonts w:hint="eastAsia" w:ascii="宋体" w:hAnsi="宋体"/>
          <w:b/>
          <w:sz w:val="36"/>
          <w:szCs w:val="36"/>
        </w:rPr>
      </w:pPr>
      <w:bookmarkStart w:id="3" w:name="_Toc20823315"/>
      <w:bookmarkStart w:id="4" w:name="_Toc513029243"/>
      <w:bookmarkStart w:id="5" w:name="_Toc16938559"/>
    </w:p>
    <w:bookmarkEnd w:id="3"/>
    <w:bookmarkEnd w:id="4"/>
    <w:bookmarkEnd w:id="5"/>
    <w:p>
      <w:pPr>
        <w:rPr>
          <w:rFonts w:hint="eastAsia" w:ascii="宋体" w:hAnsi="宋体"/>
          <w:b/>
          <w:sz w:val="36"/>
          <w:szCs w:val="36"/>
          <w:lang w:val="en-US" w:eastAsia="zh-CN"/>
        </w:rPr>
      </w:pPr>
      <w:r>
        <w:rPr>
          <w:rFonts w:hint="eastAsia" w:ascii="宋体" w:hAnsi="宋体"/>
          <w:b/>
          <w:sz w:val="36"/>
          <w:szCs w:val="36"/>
          <w:lang w:val="en-US" w:eastAsia="zh-CN"/>
        </w:rPr>
        <w:br w:type="page"/>
      </w:r>
    </w:p>
    <w:p>
      <w:pPr>
        <w:spacing w:line="440" w:lineRule="exact"/>
        <w:jc w:val="center"/>
        <w:rPr>
          <w:rFonts w:hint="eastAsia" w:ascii="宋体" w:hAnsi="宋体" w:eastAsia="宋体" w:cs="宋体"/>
          <w:b/>
          <w:bCs/>
          <w:szCs w:val="21"/>
          <w:lang w:eastAsia="zh-CN"/>
        </w:rPr>
      </w:pPr>
      <w:r>
        <w:rPr>
          <w:rFonts w:hint="eastAsia" w:ascii="宋体" w:hAnsi="宋体"/>
          <w:b/>
          <w:sz w:val="36"/>
          <w:szCs w:val="36"/>
          <w:lang w:val="en-US" w:eastAsia="zh-CN"/>
        </w:rPr>
        <w:t>采购订单</w:t>
      </w:r>
    </w:p>
    <w:p>
      <w:pPr>
        <w:pStyle w:val="10"/>
        <w:adjustRightInd w:val="0"/>
        <w:snapToGrid w:val="0"/>
        <w:spacing w:line="440" w:lineRule="exact"/>
        <w:contextualSpacing/>
        <w:rPr>
          <w:rFonts w:hint="eastAsia" w:hAnsi="宋体" w:eastAsia="宋体" w:cs="宋体"/>
          <w:b/>
          <w:snapToGrid w:val="0"/>
          <w:kern w:val="0"/>
          <w:sz w:val="24"/>
          <w:lang w:eastAsia="zh-CN"/>
        </w:rPr>
      </w:pPr>
      <w:r>
        <w:rPr>
          <w:rFonts w:hint="eastAsia" w:hAnsi="宋体" w:cs="宋体"/>
          <w:snapToGrid w:val="0"/>
          <w:spacing w:val="-4"/>
          <w:kern w:val="0"/>
          <w:sz w:val="24"/>
          <w:szCs w:val="24"/>
        </w:rPr>
        <w:t>项目名称：</w:t>
      </w:r>
      <w:r>
        <w:rPr>
          <w:rFonts w:hint="eastAsia" w:hAnsi="宋体" w:cs="宋体"/>
          <w:b/>
          <w:snapToGrid w:val="0"/>
          <w:kern w:val="0"/>
          <w:sz w:val="24"/>
        </w:rPr>
        <w:t>扬州大学附属医院</w:t>
      </w:r>
      <w:r>
        <w:rPr>
          <w:rFonts w:hint="eastAsia" w:hAnsi="宋体" w:cs="宋体"/>
          <w:b/>
          <w:snapToGrid w:val="0"/>
          <w:kern w:val="0"/>
          <w:sz w:val="24"/>
          <w:lang w:eastAsia="zh-CN"/>
        </w:rPr>
        <w:t>东区医院霍尼韦尔BA系统恢复项目</w:t>
      </w:r>
    </w:p>
    <w:p>
      <w:pPr>
        <w:pStyle w:val="10"/>
        <w:adjustRightInd w:val="0"/>
        <w:snapToGrid w:val="0"/>
        <w:spacing w:line="440" w:lineRule="exact"/>
        <w:contextualSpacing/>
        <w:rPr>
          <w:rFonts w:hint="default" w:hAnsi="宋体" w:eastAsia="宋体" w:cs="宋体"/>
          <w:sz w:val="24"/>
          <w:lang w:val="en-US" w:eastAsia="zh-CN"/>
        </w:rPr>
      </w:pPr>
      <w:r>
        <w:rPr>
          <w:rFonts w:hint="eastAsia" w:hAnsi="宋体" w:cs="宋体"/>
          <w:sz w:val="24"/>
          <w:lang w:val="en-US" w:eastAsia="zh-CN"/>
        </w:rPr>
        <w:t>订单</w:t>
      </w:r>
      <w:r>
        <w:rPr>
          <w:rFonts w:hint="eastAsia" w:hAnsi="宋体" w:cs="宋体"/>
          <w:sz w:val="24"/>
        </w:rPr>
        <w:t>编号：</w:t>
      </w:r>
      <w:r>
        <w:rPr>
          <w:rFonts w:hint="eastAsia" w:hAnsi="宋体" w:cs="宋体"/>
          <w:b/>
          <w:bCs/>
          <w:sz w:val="24"/>
        </w:rPr>
        <w:t>YDFYXJ-</w:t>
      </w:r>
      <w:r>
        <w:rPr>
          <w:rFonts w:hint="eastAsia" w:hAnsi="宋体" w:cs="宋体"/>
          <w:b/>
          <w:bCs/>
          <w:sz w:val="24"/>
          <w:lang w:eastAsia="zh-CN"/>
        </w:rPr>
        <w:t>20250</w:t>
      </w:r>
      <w:r>
        <w:rPr>
          <w:rFonts w:hint="eastAsia" w:hAnsi="宋体" w:cs="宋体"/>
          <w:b/>
          <w:bCs/>
          <w:sz w:val="24"/>
          <w:lang w:val="en-US" w:eastAsia="zh-CN"/>
        </w:rPr>
        <w:t>08</w:t>
      </w:r>
    </w:p>
    <w:p>
      <w:pPr>
        <w:adjustRightInd w:val="0"/>
        <w:snapToGrid w:val="0"/>
        <w:spacing w:line="440" w:lineRule="exact"/>
        <w:contextualSpacing/>
        <w:rPr>
          <w:rFonts w:ascii="宋体" w:hAnsi="宋体" w:cs="宋体"/>
          <w:b/>
          <w:sz w:val="24"/>
        </w:rPr>
      </w:pPr>
      <w:r>
        <w:rPr>
          <w:rFonts w:hint="eastAsia" w:ascii="宋体" w:hAnsi="宋体" w:cs="宋体"/>
          <w:sz w:val="24"/>
          <w:lang w:val="en-US" w:eastAsia="zh-CN"/>
        </w:rPr>
        <w:t>采购方</w:t>
      </w:r>
      <w:r>
        <w:rPr>
          <w:rFonts w:hint="eastAsia" w:ascii="宋体" w:hAnsi="宋体" w:cs="宋体"/>
          <w:sz w:val="24"/>
        </w:rPr>
        <w:t>：</w:t>
      </w:r>
      <w:r>
        <w:rPr>
          <w:rFonts w:hint="eastAsia" w:ascii="宋体" w:hAnsi="宋体" w:cs="宋体"/>
          <w:b/>
          <w:color w:val="000000"/>
          <w:kern w:val="0"/>
          <w:sz w:val="24"/>
        </w:rPr>
        <w:t>扬州大学附属医院</w:t>
      </w:r>
    </w:p>
    <w:p>
      <w:pPr>
        <w:adjustRightInd w:val="0"/>
        <w:snapToGrid w:val="0"/>
        <w:spacing w:line="440" w:lineRule="exact"/>
        <w:contextualSpacing/>
        <w:rPr>
          <w:rFonts w:hint="eastAsia" w:ascii="宋体" w:hAnsi="宋体" w:cs="宋体"/>
          <w:sz w:val="24"/>
        </w:rPr>
      </w:pPr>
      <w:r>
        <w:rPr>
          <w:rFonts w:hint="eastAsia" w:ascii="宋体" w:hAnsi="宋体" w:cs="宋体"/>
          <w:sz w:val="24"/>
          <w:lang w:val="en-US" w:eastAsia="zh-CN"/>
        </w:rPr>
        <w:t>供货方</w:t>
      </w:r>
      <w:r>
        <w:rPr>
          <w:rFonts w:hint="eastAsia" w:ascii="宋体" w:hAnsi="宋体" w:cs="宋体"/>
          <w:sz w:val="24"/>
        </w:rPr>
        <w:t>：</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97"/>
        <w:gridCol w:w="1478"/>
        <w:gridCol w:w="720"/>
        <w:gridCol w:w="780"/>
        <w:gridCol w:w="919"/>
        <w:gridCol w:w="1045"/>
        <w:gridCol w:w="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序号</w:t>
            </w:r>
          </w:p>
        </w:tc>
        <w:tc>
          <w:tcPr>
            <w:tcW w:w="1797"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商品/服务名称</w:t>
            </w:r>
          </w:p>
        </w:tc>
        <w:tc>
          <w:tcPr>
            <w:tcW w:w="1478"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型号及配置</w:t>
            </w:r>
          </w:p>
        </w:tc>
        <w:tc>
          <w:tcPr>
            <w:tcW w:w="72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单位</w:t>
            </w:r>
          </w:p>
        </w:tc>
        <w:tc>
          <w:tcPr>
            <w:tcW w:w="780"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数量</w:t>
            </w:r>
          </w:p>
        </w:tc>
        <w:tc>
          <w:tcPr>
            <w:tcW w:w="919"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单价（元）</w:t>
            </w:r>
          </w:p>
        </w:tc>
        <w:tc>
          <w:tcPr>
            <w:tcW w:w="1045"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总价（元）</w:t>
            </w:r>
          </w:p>
        </w:tc>
        <w:tc>
          <w:tcPr>
            <w:tcW w:w="966"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1</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1" w:type="dxa"/>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2</w:t>
            </w:r>
          </w:p>
        </w:tc>
        <w:tc>
          <w:tcPr>
            <w:tcW w:w="1797"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478"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2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780"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19"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1045"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c>
          <w:tcPr>
            <w:tcW w:w="966" w:type="dxa"/>
            <w:vAlign w:val="center"/>
          </w:tcPr>
          <w:p>
            <w:pPr>
              <w:adjustRightInd w:val="0"/>
              <w:snapToGrid w:val="0"/>
              <w:spacing w:line="340" w:lineRule="exact"/>
              <w:contextualSpacing/>
              <w:jc w:val="center"/>
              <w:rPr>
                <w:rFonts w:hint="eastAsia" w:ascii="宋体" w:hAnsi="宋体"/>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516" w:type="dxa"/>
            <w:gridSpan w:val="8"/>
            <w:vAlign w:val="center"/>
          </w:tcPr>
          <w:p>
            <w:pPr>
              <w:adjustRightInd w:val="0"/>
              <w:snapToGrid w:val="0"/>
              <w:spacing w:line="340" w:lineRule="exact"/>
              <w:contextualSpacing/>
              <w:jc w:val="center"/>
              <w:rPr>
                <w:rFonts w:hint="default" w:ascii="宋体" w:hAnsi="宋体"/>
                <w:sz w:val="24"/>
                <w:vertAlign w:val="baseline"/>
                <w:lang w:val="en-US" w:eastAsia="zh-CN"/>
              </w:rPr>
            </w:pPr>
            <w:r>
              <w:rPr>
                <w:rFonts w:hint="eastAsia" w:ascii="宋体" w:hAnsi="宋体"/>
                <w:sz w:val="24"/>
                <w:vertAlign w:val="baseline"/>
                <w:lang w:val="en-US" w:eastAsia="zh-CN"/>
              </w:rPr>
              <w:t>金额合计：</w:t>
            </w:r>
            <w:r>
              <w:rPr>
                <w:rFonts w:hint="eastAsia" w:ascii="宋体" w:hAnsi="宋体"/>
                <w:b/>
                <w:bCs/>
                <w:sz w:val="24"/>
                <w:u w:val="single"/>
              </w:rPr>
              <w:t>人民币元整（¥）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8516" w:type="dxa"/>
            <w:gridSpan w:val="8"/>
            <w:vAlign w:val="center"/>
          </w:tcPr>
          <w:p>
            <w:pPr>
              <w:adjustRightInd w:val="0"/>
              <w:snapToGrid w:val="0"/>
              <w:spacing w:line="340" w:lineRule="exact"/>
              <w:ind w:firstLine="480" w:firstLineChars="200"/>
              <w:contextualSpacing/>
              <w:jc w:val="left"/>
              <w:rPr>
                <w:rFonts w:hint="default" w:ascii="宋体" w:hAnsi="宋体"/>
                <w:sz w:val="24"/>
                <w:lang w:val="en-US" w:eastAsia="zh-CN"/>
              </w:rPr>
            </w:pPr>
            <w:r>
              <w:rPr>
                <w:rFonts w:hint="eastAsia" w:ascii="宋体" w:hAnsi="宋体"/>
                <w:sz w:val="24"/>
                <w:lang w:val="en-US" w:eastAsia="zh-CN"/>
              </w:rPr>
              <w:t>备注：</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highlight w:val="none"/>
              </w:rPr>
            </w:pPr>
            <w:r>
              <w:rPr>
                <w:rFonts w:hint="eastAsia" w:ascii="宋体" w:hAnsi="宋体"/>
                <w:sz w:val="24"/>
                <w:lang w:val="en-US" w:eastAsia="zh-CN"/>
              </w:rPr>
              <w:t>1、订单</w:t>
            </w:r>
            <w:r>
              <w:rPr>
                <w:rFonts w:hint="eastAsia" w:ascii="宋体" w:hAnsi="宋体"/>
                <w:sz w:val="24"/>
              </w:rPr>
              <w:t>要求</w:t>
            </w:r>
            <w:r>
              <w:rPr>
                <w:rFonts w:hint="eastAsia" w:ascii="宋体" w:hAnsi="宋体"/>
                <w:sz w:val="24"/>
                <w:lang w:eastAsia="zh-CN"/>
              </w:rPr>
              <w:t>：</w:t>
            </w:r>
            <w:r>
              <w:rPr>
                <w:rFonts w:hint="eastAsia" w:ascii="宋体" w:hAnsi="宋体"/>
                <w:sz w:val="24"/>
                <w:highlight w:val="none"/>
                <w:lang w:val="en-US" w:eastAsia="zh-CN"/>
              </w:rPr>
              <w:t>供货方</w:t>
            </w:r>
            <w:r>
              <w:rPr>
                <w:rFonts w:hint="eastAsia" w:ascii="宋体" w:hAnsi="宋体"/>
                <w:sz w:val="24"/>
                <w:highlight w:val="none"/>
              </w:rPr>
              <w:t>将向</w:t>
            </w:r>
            <w:r>
              <w:rPr>
                <w:rFonts w:hint="eastAsia" w:ascii="宋体" w:hAnsi="宋体"/>
                <w:sz w:val="24"/>
                <w:highlight w:val="none"/>
                <w:lang w:val="en-US" w:eastAsia="zh-CN"/>
              </w:rPr>
              <w:t>采购方</w:t>
            </w:r>
            <w:r>
              <w:rPr>
                <w:rFonts w:hint="eastAsia" w:ascii="宋体" w:hAnsi="宋体"/>
                <w:sz w:val="24"/>
                <w:highlight w:val="none"/>
              </w:rPr>
              <w:t>提供霍尼韦尔BA系统的恢复服务，具体服务内容包括但不限于：</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检查末端设备；</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lang w:eastAsia="zh-CN"/>
              </w:rPr>
            </w:pPr>
            <w:r>
              <w:rPr>
                <w:rFonts w:ascii="宋体" w:hAnsi="宋体" w:eastAsia="宋体" w:cs="宋体"/>
                <w:kern w:val="2"/>
                <w:sz w:val="24"/>
                <w:szCs w:val="24"/>
                <w:highlight w:val="none"/>
                <w:lang w:bidi="ar-SA"/>
              </w:rPr>
              <w:t>缺失设备编程并安装</w:t>
            </w:r>
            <w:r>
              <w:rPr>
                <w:rFonts w:hint="eastAsia" w:ascii="宋体" w:hAnsi="宋体" w:eastAsia="宋体" w:cs="宋体"/>
                <w:kern w:val="2"/>
                <w:sz w:val="24"/>
                <w:szCs w:val="24"/>
                <w:highlight w:val="none"/>
                <w:lang w:eastAsia="zh-CN" w:bidi="ar-SA"/>
              </w:rPr>
              <w:t>；</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接线重新恢复接线；</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检测电路问题；</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末端设备问题重新恢复；</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现场通讯恢复后重新做数据库；</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现场控制器恢复后重新做数据库；</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楼宇自控系统展示恢复；</w:t>
            </w:r>
          </w:p>
          <w:p>
            <w:pPr>
              <w:keepNext w:val="0"/>
              <w:keepLines w:val="0"/>
              <w:pageBreakBefore w:val="0"/>
              <w:widowControl w:val="0"/>
              <w:numPr>
                <w:ilvl w:val="0"/>
                <w:numId w:val="6"/>
              </w:numPr>
              <w:kinsoku/>
              <w:wordWrap/>
              <w:overflowPunct/>
              <w:topLinePunct w:val="0"/>
              <w:autoSpaceDE/>
              <w:autoSpaceDN/>
              <w:bidi w:val="0"/>
              <w:adjustRightInd w:val="0"/>
              <w:snapToGrid w:val="0"/>
              <w:spacing w:line="440" w:lineRule="exact"/>
              <w:ind w:left="0" w:leftChars="0"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系统测试与试运行。</w:t>
            </w:r>
          </w:p>
          <w:p>
            <w:pPr>
              <w:adjustRightInd w:val="0"/>
              <w:snapToGrid w:val="0"/>
              <w:spacing w:line="340" w:lineRule="exact"/>
              <w:ind w:firstLine="480" w:firstLineChars="200"/>
              <w:contextualSpacing/>
              <w:jc w:val="left"/>
              <w:rPr>
                <w:rFonts w:hint="eastAsia" w:ascii="宋体" w:hAnsi="宋体"/>
                <w:sz w:val="24"/>
                <w:lang w:eastAsia="zh-CN"/>
              </w:rPr>
            </w:pPr>
            <w:r>
              <w:rPr>
                <w:rFonts w:hint="eastAsia" w:ascii="宋体" w:hAnsi="宋体"/>
                <w:sz w:val="24"/>
                <w:lang w:eastAsia="zh-CN"/>
              </w:rPr>
              <w:t>本项目所涉及的所有程序编写及数据库构建工作，必须由霍尼韦尔公司的专业技术人员负责执行。</w:t>
            </w:r>
          </w:p>
          <w:p>
            <w:pPr>
              <w:adjustRightInd w:val="0"/>
              <w:snapToGrid w:val="0"/>
              <w:spacing w:line="340" w:lineRule="exact"/>
              <w:ind w:firstLine="480" w:firstLineChars="200"/>
              <w:contextualSpacing/>
              <w:rPr>
                <w:rFonts w:ascii="宋体" w:hAnsi="宋体" w:cs="宋体"/>
                <w:sz w:val="24"/>
              </w:rPr>
            </w:pPr>
            <w:r>
              <w:rPr>
                <w:rFonts w:hint="eastAsia" w:ascii="宋体" w:hAnsi="宋体"/>
                <w:b w:val="0"/>
                <w:bCs/>
                <w:sz w:val="24"/>
                <w:lang w:val="en-US" w:eastAsia="zh-CN"/>
              </w:rPr>
              <w:t>2、订单</w:t>
            </w:r>
            <w:r>
              <w:rPr>
                <w:rFonts w:hint="eastAsia" w:ascii="宋体" w:hAnsi="宋体"/>
                <w:b w:val="0"/>
                <w:bCs/>
                <w:sz w:val="24"/>
              </w:rPr>
              <w:t>金额</w:t>
            </w:r>
            <w:r>
              <w:rPr>
                <w:rFonts w:hint="eastAsia" w:hAnsi="宋体"/>
                <w:sz w:val="24"/>
              </w:rPr>
              <w:t>包含但不限于提供的增值税、各种税费、各种规费、</w:t>
            </w:r>
            <w:r>
              <w:rPr>
                <w:rFonts w:hint="eastAsia" w:hAnsi="宋体" w:cs="宋体"/>
                <w:sz w:val="24"/>
              </w:rPr>
              <w:t>产品费用、</w:t>
            </w:r>
            <w:r>
              <w:rPr>
                <w:rFonts w:hint="eastAsia" w:hAnsi="宋体"/>
                <w:sz w:val="24"/>
              </w:rPr>
              <w:t>材料费、安装费、检测费、维修费、运输费、装卸费、保险费、人工费、管理费、调试费、培训费、资料费、</w:t>
            </w:r>
            <w:r>
              <w:rPr>
                <w:rFonts w:hint="eastAsia" w:hAnsi="宋体"/>
                <w:snapToGrid w:val="0"/>
                <w:sz w:val="24"/>
              </w:rPr>
              <w:t>机械使用费、工具使用费、</w:t>
            </w:r>
            <w:r>
              <w:rPr>
                <w:rFonts w:hint="eastAsia" w:hAnsi="宋体" w:cs="宋体"/>
                <w:bCs/>
                <w:sz w:val="24"/>
              </w:rPr>
              <w:t>进品商品关税等进口环节税、政策性文件规定的各项应有费用</w:t>
            </w:r>
            <w:r>
              <w:rPr>
                <w:rFonts w:hint="eastAsia" w:hAnsi="宋体"/>
                <w:sz w:val="24"/>
              </w:rPr>
              <w:t>、质保期内的维保费</w:t>
            </w:r>
            <w:r>
              <w:rPr>
                <w:rFonts w:hint="eastAsia" w:hAnsi="宋体"/>
                <w:snapToGrid w:val="0"/>
                <w:sz w:val="24"/>
              </w:rPr>
              <w:t>等</w:t>
            </w:r>
            <w:r>
              <w:rPr>
                <w:rFonts w:hint="eastAsia" w:hAnsi="宋体"/>
                <w:sz w:val="24"/>
              </w:rPr>
              <w:t>直至</w:t>
            </w:r>
            <w:r>
              <w:rPr>
                <w:rFonts w:hint="eastAsia" w:hAnsi="宋体" w:cs="宋体"/>
                <w:sz w:val="24"/>
              </w:rPr>
              <w:t>完成</w:t>
            </w:r>
            <w:r>
              <w:rPr>
                <w:rFonts w:hint="eastAsia" w:hAnsi="宋体" w:cs="宋体"/>
                <w:bCs/>
                <w:sz w:val="24"/>
              </w:rPr>
              <w:t>本项目发生的</w:t>
            </w:r>
            <w:r>
              <w:rPr>
                <w:rFonts w:hint="eastAsia" w:hAnsi="宋体"/>
                <w:sz w:val="24"/>
              </w:rPr>
              <w:t>所有费用和利润。</w:t>
            </w:r>
          </w:p>
          <w:p>
            <w:pPr>
              <w:adjustRightInd w:val="0"/>
              <w:snapToGrid w:val="0"/>
              <w:spacing w:line="340" w:lineRule="exact"/>
              <w:ind w:firstLine="422" w:firstLineChars="151"/>
              <w:contextualSpacing/>
              <w:rPr>
                <w:highlight w:val="none"/>
              </w:rPr>
            </w:pPr>
            <w:r>
              <w:rPr>
                <w:rFonts w:hint="eastAsia" w:ascii="宋体" w:hAnsi="宋体"/>
                <w:b w:val="0"/>
                <w:bCs/>
                <w:spacing w:val="20"/>
                <w:sz w:val="24"/>
                <w:lang w:val="en-US" w:eastAsia="zh-CN"/>
              </w:rPr>
              <w:t>3</w:t>
            </w:r>
            <w:r>
              <w:rPr>
                <w:rFonts w:hint="eastAsia" w:ascii="宋体" w:hAnsi="宋体"/>
                <w:b w:val="0"/>
                <w:bCs/>
                <w:spacing w:val="20"/>
                <w:sz w:val="24"/>
                <w:highlight w:val="none"/>
                <w:lang w:val="en-US" w:eastAsia="zh-CN"/>
              </w:rPr>
              <w:t>、</w:t>
            </w:r>
            <w:r>
              <w:rPr>
                <w:rFonts w:hint="eastAsia" w:hAnsi="宋体"/>
                <w:sz w:val="24"/>
                <w:highlight w:val="none"/>
              </w:rPr>
              <w:t>付款方式为</w:t>
            </w:r>
            <w:r>
              <w:rPr>
                <w:rFonts w:hint="eastAsia" w:ascii="宋体" w:hAnsi="宋体" w:cs="宋体"/>
                <w:color w:val="000000"/>
                <w:kern w:val="0"/>
                <w:sz w:val="24"/>
                <w:highlight w:val="none"/>
                <w:lang w:val="en-US" w:eastAsia="zh-CN"/>
              </w:rPr>
              <w:t>供货</w:t>
            </w:r>
            <w:r>
              <w:rPr>
                <w:rFonts w:hint="eastAsia" w:ascii="宋体" w:hAnsi="宋体" w:cs="宋体"/>
                <w:color w:val="000000"/>
                <w:kern w:val="0"/>
                <w:sz w:val="24"/>
                <w:highlight w:val="none"/>
              </w:rPr>
              <w:t>方</w:t>
            </w:r>
            <w:r>
              <w:rPr>
                <w:rFonts w:hint="eastAsia" w:hAnsi="宋体"/>
                <w:sz w:val="24"/>
                <w:highlight w:val="none"/>
              </w:rPr>
              <w:t>完成系统恢复并通过</w:t>
            </w:r>
            <w:r>
              <w:rPr>
                <w:rFonts w:hint="eastAsia" w:ascii="宋体" w:hAnsi="宋体" w:cs="宋体"/>
                <w:color w:val="000000"/>
                <w:kern w:val="0"/>
                <w:sz w:val="24"/>
                <w:highlight w:val="none"/>
                <w:lang w:val="en-US" w:eastAsia="zh-CN"/>
              </w:rPr>
              <w:t>采购方</w:t>
            </w:r>
            <w:r>
              <w:rPr>
                <w:rFonts w:hint="eastAsia" w:hAnsi="宋体"/>
                <w:sz w:val="24"/>
                <w:highlight w:val="none"/>
              </w:rPr>
              <w:t>验收合格后，</w:t>
            </w:r>
            <w:r>
              <w:rPr>
                <w:rFonts w:hint="eastAsia" w:ascii="宋体" w:hAnsi="宋体" w:cs="宋体"/>
                <w:color w:val="000000"/>
                <w:kern w:val="0"/>
                <w:sz w:val="24"/>
                <w:highlight w:val="none"/>
                <w:lang w:val="en-US" w:eastAsia="zh-CN"/>
              </w:rPr>
              <w:t>供货</w:t>
            </w:r>
            <w:r>
              <w:rPr>
                <w:rFonts w:hint="eastAsia" w:ascii="宋体" w:hAnsi="宋体" w:cs="宋体"/>
                <w:color w:val="000000"/>
                <w:kern w:val="0"/>
                <w:sz w:val="24"/>
                <w:highlight w:val="none"/>
              </w:rPr>
              <w:t>方</w:t>
            </w:r>
            <w:r>
              <w:rPr>
                <w:rFonts w:hint="eastAsia" w:ascii="宋体" w:hAnsi="宋体" w:cs="宋体"/>
                <w:sz w:val="24"/>
                <w:highlight w:val="none"/>
              </w:rPr>
              <w:t>凭开具的正规增值税发票等材料向</w:t>
            </w:r>
            <w:r>
              <w:rPr>
                <w:rFonts w:hint="eastAsia" w:ascii="宋体" w:hAnsi="宋体" w:cs="宋体"/>
                <w:color w:val="000000"/>
                <w:kern w:val="0"/>
                <w:sz w:val="24"/>
                <w:highlight w:val="none"/>
                <w:lang w:val="en-US" w:eastAsia="zh-CN"/>
              </w:rPr>
              <w:t>采购方</w:t>
            </w:r>
            <w:r>
              <w:rPr>
                <w:rFonts w:hint="eastAsia" w:ascii="宋体" w:hAnsi="宋体" w:cs="宋体"/>
                <w:sz w:val="24"/>
                <w:highlight w:val="none"/>
              </w:rPr>
              <w:t>办理付款手续，</w:t>
            </w:r>
            <w:r>
              <w:rPr>
                <w:rFonts w:hint="eastAsia" w:ascii="宋体" w:hAnsi="宋体" w:cs="宋体"/>
                <w:color w:val="000000"/>
                <w:kern w:val="0"/>
                <w:sz w:val="24"/>
                <w:highlight w:val="none"/>
                <w:lang w:val="en-US" w:eastAsia="zh-CN"/>
              </w:rPr>
              <w:t>采购方</w:t>
            </w:r>
            <w:r>
              <w:rPr>
                <w:rFonts w:hint="eastAsia" w:ascii="宋体" w:hAnsi="宋体" w:cs="宋体"/>
                <w:sz w:val="24"/>
                <w:highlight w:val="none"/>
              </w:rPr>
              <w:t>凭手续齐全的票据向</w:t>
            </w:r>
            <w:r>
              <w:rPr>
                <w:rFonts w:hint="eastAsia" w:ascii="宋体" w:hAnsi="宋体" w:cs="宋体"/>
                <w:color w:val="000000"/>
                <w:kern w:val="0"/>
                <w:sz w:val="24"/>
                <w:highlight w:val="none"/>
                <w:lang w:val="en-US" w:eastAsia="zh-CN"/>
              </w:rPr>
              <w:t>供货</w:t>
            </w:r>
            <w:r>
              <w:rPr>
                <w:rFonts w:hint="eastAsia" w:ascii="宋体" w:hAnsi="宋体" w:cs="宋体"/>
                <w:color w:val="000000"/>
                <w:kern w:val="0"/>
                <w:sz w:val="24"/>
                <w:highlight w:val="none"/>
              </w:rPr>
              <w:t>方</w:t>
            </w:r>
            <w:r>
              <w:rPr>
                <w:rFonts w:hint="eastAsia" w:ascii="宋体" w:hAnsi="宋体" w:cs="宋体"/>
                <w:sz w:val="24"/>
                <w:highlight w:val="none"/>
              </w:rPr>
              <w:t>支付合同价的100%。</w:t>
            </w:r>
            <w:r>
              <w:rPr>
                <w:rFonts w:hint="eastAsia"/>
                <w:highlight w:val="none"/>
              </w:rPr>
              <w:t>（</w:t>
            </w:r>
            <w:r>
              <w:rPr>
                <w:rFonts w:hint="eastAsia"/>
                <w:b/>
                <w:bCs/>
                <w:highlight w:val="none"/>
              </w:rPr>
              <w:t>以上均不计息</w:t>
            </w:r>
            <w:r>
              <w:rPr>
                <w:rFonts w:hint="eastAsia"/>
                <w:highlight w:val="none"/>
              </w:rPr>
              <w:t>）</w:t>
            </w:r>
          </w:p>
          <w:p>
            <w:pPr>
              <w:adjustRightInd w:val="0"/>
              <w:snapToGrid w:val="0"/>
              <w:spacing w:line="340" w:lineRule="exact"/>
              <w:ind w:firstLine="546" w:firstLineChars="195"/>
              <w:contextualSpacing/>
              <w:rPr>
                <w:rFonts w:hint="eastAsia" w:ascii="宋体" w:hAnsi="宋体" w:cs="宋体"/>
                <w:color w:val="000000"/>
                <w:kern w:val="0"/>
                <w:sz w:val="24"/>
                <w:highlight w:val="none"/>
              </w:rPr>
            </w:pPr>
            <w:r>
              <w:rPr>
                <w:rFonts w:hint="eastAsia" w:ascii="宋体" w:hAnsi="宋体"/>
                <w:b w:val="0"/>
                <w:bCs/>
                <w:spacing w:val="20"/>
                <w:sz w:val="24"/>
                <w:highlight w:val="none"/>
                <w:lang w:val="en-US" w:eastAsia="zh-CN"/>
              </w:rPr>
              <w:t>4、</w:t>
            </w:r>
            <w:r>
              <w:rPr>
                <w:rFonts w:hint="eastAsia" w:ascii="宋体" w:hAnsi="宋体" w:cs="宋体"/>
                <w:b w:val="0"/>
                <w:bCs/>
                <w:sz w:val="24"/>
                <w:highlight w:val="none"/>
              </w:rPr>
              <w:t>交货时间和地点</w:t>
            </w:r>
            <w:r>
              <w:rPr>
                <w:rFonts w:hint="eastAsia" w:ascii="宋体" w:hAnsi="宋体" w:cs="宋体"/>
                <w:b w:val="0"/>
                <w:bCs/>
                <w:sz w:val="24"/>
                <w:highlight w:val="none"/>
                <w:lang w:eastAsia="zh-CN"/>
              </w:rPr>
              <w:t>：</w:t>
            </w:r>
            <w:r>
              <w:rPr>
                <w:rFonts w:hint="eastAsia" w:ascii="宋体" w:hAnsi="宋体" w:cs="宋体"/>
                <w:color w:val="000000"/>
                <w:kern w:val="0"/>
                <w:sz w:val="24"/>
                <w:highlight w:val="none"/>
                <w:lang w:val="en-US" w:eastAsia="zh-CN"/>
              </w:rPr>
              <w:t>供货</w:t>
            </w:r>
            <w:r>
              <w:rPr>
                <w:rFonts w:hint="eastAsia" w:ascii="宋体" w:hAnsi="宋体" w:cs="宋体"/>
                <w:color w:val="000000"/>
                <w:kern w:val="0"/>
                <w:sz w:val="24"/>
                <w:highlight w:val="none"/>
              </w:rPr>
              <w:t>方在</w:t>
            </w:r>
            <w:r>
              <w:rPr>
                <w:rFonts w:hint="eastAsia" w:ascii="宋体" w:hAnsi="宋体" w:cs="宋体"/>
                <w:color w:val="000000"/>
                <w:kern w:val="0"/>
                <w:sz w:val="24"/>
                <w:highlight w:val="none"/>
                <w:lang w:val="en-US" w:eastAsia="zh-CN"/>
              </w:rPr>
              <w:t>接到采购方</w:t>
            </w:r>
            <w:r>
              <w:rPr>
                <w:rFonts w:hint="eastAsia" w:ascii="宋体" w:hAnsi="宋体" w:cs="宋体"/>
                <w:color w:val="000000"/>
                <w:kern w:val="0"/>
                <w:sz w:val="24"/>
                <w:highlight w:val="none"/>
              </w:rPr>
              <w:t>通知起20天内，需完成东区医院霍尼韦尔楼宇自控系统的恢复工作。</w:t>
            </w:r>
          </w:p>
          <w:p>
            <w:pPr>
              <w:adjustRightInd w:val="0"/>
              <w:snapToGrid w:val="0"/>
              <w:spacing w:line="340" w:lineRule="exact"/>
              <w:ind w:firstLine="468" w:firstLineChars="195"/>
              <w:contextualSpacing/>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5、验收标准：</w:t>
            </w:r>
          </w:p>
          <w:p>
            <w:pPr>
              <w:adjustRightInd w:val="0"/>
              <w:snapToGrid w:val="0"/>
              <w:spacing w:line="340" w:lineRule="exact"/>
              <w:ind w:firstLine="468" w:firstLineChars="195"/>
              <w:contextualSpacing/>
              <w:rPr>
                <w:rFonts w:hint="eastAsia" w:ascii="宋体" w:hAnsi="宋体" w:cs="宋体"/>
                <w:color w:val="000000"/>
                <w:kern w:val="0"/>
                <w:sz w:val="24"/>
                <w:highlight w:val="none"/>
                <w:lang w:val="en-US" w:eastAsia="zh-CN"/>
              </w:rPr>
            </w:pPr>
            <w:r>
              <w:rPr>
                <w:rFonts w:hint="default" w:ascii="宋体" w:hAnsi="宋体" w:cs="宋体"/>
                <w:color w:val="000000"/>
                <w:kern w:val="0"/>
                <w:sz w:val="24"/>
                <w:highlight w:val="none"/>
                <w:lang w:val="en-US" w:eastAsia="zh-CN"/>
              </w:rPr>
              <w:t>5.1</w:t>
            </w:r>
            <w:r>
              <w:rPr>
                <w:rFonts w:hint="eastAsia" w:ascii="宋体" w:hAnsi="宋体" w:cs="宋体"/>
                <w:color w:val="000000"/>
                <w:kern w:val="0"/>
                <w:sz w:val="24"/>
                <w:highlight w:val="none"/>
                <w:lang w:val="en-US" w:eastAsia="zh-CN"/>
              </w:rPr>
              <w:t>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完成系统恢复后，应向采购方提交书面报告，采购方应在 5 个工作日内进行验收。</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default" w:ascii="宋体" w:hAnsi="宋体" w:cs="宋体"/>
                <w:color w:val="000000"/>
                <w:kern w:val="0"/>
                <w:sz w:val="24"/>
                <w:highlight w:val="none"/>
                <w:lang w:val="en-US" w:eastAsia="zh-CN"/>
              </w:rPr>
              <w:t>5.2</w:t>
            </w:r>
            <w:r>
              <w:rPr>
                <w:rFonts w:hint="eastAsia" w:ascii="宋体" w:hAnsi="宋体" w:cs="宋体"/>
                <w:color w:val="000000"/>
                <w:kern w:val="0"/>
                <w:sz w:val="24"/>
                <w:lang w:val="en-US" w:eastAsia="zh-CN"/>
              </w:rPr>
              <w:t>验收标准：</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（1）系统运行状态</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①稳定性：楼宇自控系统应能够稳定运行，无频繁故障或死机现象，能持续可靠地对楼宇机电设备进行监控与控制。</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②通讯高效性：站级与NAE级、DDC间通讯需保持高效率，达到100兆波特速率，确保指令快速传达，系统及时响应并反馈信息，无明显延迟。</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（2）数据状况</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③数据完整性：确保各系统监控点数据完整，真实反映设备运行状况，数据能在操作站准确显示并记录。</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④数据库准确性：恢复通讯和控制器后，数据库必须准确，设备参数和运行记录应准确存储调用，确保系统正常运作。</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（3）硬件设备检查</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⑤末端设备完好性：系统内所有末端设备均需仔细核查，确保其能够执行系统设定的启动、停止、调节等操作。对于发现的损坏设备，乙方应提供详细的书面清单给甲方，清单中应详细列出设备的名称、数量以及技术参数等信息。</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⑥线路连接规范：所有设备的接线必须规范且正确，线路应清晰有序，无混乱、短路、断路等问题。各控制箱内标注需准确，以便顺利送电；医技楼二楼控制箱内设备应齐全且连接良好。</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（4）系统功能达成</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⑦子系统功能实现：冷热源监控系统正常读取并显示记录设备数据；空调监控系统有效执行设备监控和控制程序，自动控制功能满足精度要求；太阳能蒸汽系统通过网关接口准确读取显示记录数据。</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⑧控制精度达标：空调监控系统中送风温度、湿度及焓值自动控制达到规定精度，确保送风温度、湿度和焓值按设定值精准调节。</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（5）系统安全保障</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⑨用户权限管理：多级密码确保系统安全，不同级别人员访问匹配界面和权限，限制对敏感信息的访问，防止非法操作。</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⑩　软件环境稳定：BA系统在Windows2000/XP等环境下稳定运行，无软件安全问题，支持多语言，满足不同场景需求，保障系统安全稳定。</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（6）报警功能有效</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⑪BA系统软件应具备短消息报警功能，以便在故障或设备异常时，通过SMS及时发送报警信息至管理人员手机，确保问题得到及时处理。</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（7）测试与试运行合格</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⑫系统恢复后，需通过功能和性能测试，确保测试结果满足验收标准，保证系统稳定高效运行，满足楼宇自控需求。</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（8）文档与培训完备</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⑬提供详尽的操作文档，包括系统架构、子系统功能、操作流程和故障排查，帮助操作人员迅速掌握系统使用。</w:t>
            </w:r>
          </w:p>
          <w:p>
            <w:pPr>
              <w:adjustRightInd w:val="0"/>
              <w:snapToGrid w:val="0"/>
              <w:spacing w:line="340" w:lineRule="exact"/>
              <w:ind w:firstLine="468" w:firstLineChars="195"/>
              <w:contextualSpacing/>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⑭进行系统操作培训，确保操作人员熟练使用系统，了解功能和维护要点，以保障系统稳定运行。</w:t>
            </w:r>
          </w:p>
          <w:p>
            <w:pPr>
              <w:adjustRightInd w:val="0"/>
              <w:snapToGrid w:val="0"/>
              <w:spacing w:line="340" w:lineRule="exact"/>
              <w:ind w:firstLine="468" w:firstLineChars="195"/>
              <w:contextualSpacing/>
              <w:rPr>
                <w:rFonts w:hint="eastAsia" w:ascii="宋体" w:hAnsi="宋体" w:cs="宋体"/>
                <w:color w:val="000000"/>
                <w:kern w:val="0"/>
                <w:sz w:val="24"/>
                <w:highlight w:val="none"/>
                <w:lang w:val="en-US" w:eastAsia="zh-CN"/>
              </w:rPr>
            </w:pPr>
            <w:r>
              <w:rPr>
                <w:rFonts w:hint="default" w:ascii="宋体" w:hAnsi="宋体" w:cs="宋体"/>
                <w:color w:val="000000"/>
                <w:kern w:val="0"/>
                <w:sz w:val="24"/>
                <w:lang w:val="en-US" w:eastAsia="zh-CN"/>
              </w:rPr>
              <w:t>5.3</w:t>
            </w:r>
            <w:r>
              <w:rPr>
                <w:rFonts w:hint="eastAsia" w:ascii="宋体" w:hAnsi="宋体" w:cs="宋体"/>
                <w:color w:val="000000"/>
                <w:kern w:val="0"/>
                <w:sz w:val="24"/>
                <w:highlight w:val="none"/>
                <w:lang w:val="en-US" w:eastAsia="zh-CN"/>
              </w:rPr>
              <w:t>如采购方在验收过程中发现问题，供货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应在 5 个工作日内进行整改，直至达到验收标准。</w:t>
            </w:r>
          </w:p>
          <w:p>
            <w:pPr>
              <w:adjustRightInd w:val="0"/>
              <w:snapToGrid w:val="0"/>
              <w:spacing w:line="340" w:lineRule="exact"/>
              <w:ind w:firstLine="468" w:firstLineChars="195"/>
              <w:contextualSpacing/>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6、违约责任</w:t>
            </w:r>
          </w:p>
          <w:p>
            <w:pPr>
              <w:adjustRightInd w:val="0"/>
              <w:snapToGrid w:val="0"/>
              <w:spacing w:line="340" w:lineRule="exact"/>
              <w:ind w:firstLine="468" w:firstLineChars="195"/>
              <w:contextualSpacing/>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6.1订单生效后，供货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逾期履行协议的，自逾期之日起，向采购方每日偿付协议总价百分之一的违约金；供货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逾期三十日不能交货的，应向采购方支付协议总价百分之三十的违约金，同时不解除协议交货责任。</w:t>
            </w:r>
          </w:p>
          <w:p>
            <w:pPr>
              <w:adjustRightInd w:val="0"/>
              <w:snapToGrid w:val="0"/>
              <w:spacing w:line="340" w:lineRule="exact"/>
              <w:ind w:firstLine="468" w:firstLineChars="195"/>
              <w:contextualSpacing/>
              <w:rPr>
                <w:rFonts w:hint="eastAsia" w:ascii="宋体" w:hAnsi="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6.2供货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所交商品全部或部分产品、型号、规格、技术参数、质量不符合协议规定及询价文件规定标准的，供货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更换商品但逾期交货的（采购方拒绝接收的除外），按供货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逾期交货处理；供货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拒绝更换商品的，采购方可选择解除本协议或本协议的一部分，并可追究供货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的其他违约责任。</w:t>
            </w:r>
          </w:p>
          <w:p>
            <w:pPr>
              <w:adjustRightInd w:val="0"/>
              <w:snapToGrid w:val="0"/>
              <w:spacing w:line="340" w:lineRule="exact"/>
              <w:ind w:firstLine="468" w:firstLineChars="195"/>
              <w:contextualSpacing/>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val="en-US" w:eastAsia="zh-CN"/>
              </w:rPr>
              <w:t>6.3因供货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原因导致系统修复失败或造成采购方损失的，供货</w:t>
            </w:r>
            <w:r>
              <w:rPr>
                <w:rFonts w:hint="eastAsia" w:ascii="宋体" w:hAnsi="宋体" w:cs="宋体"/>
                <w:color w:val="000000"/>
                <w:kern w:val="0"/>
                <w:sz w:val="24"/>
                <w:highlight w:val="none"/>
              </w:rPr>
              <w:t>方</w:t>
            </w:r>
            <w:r>
              <w:rPr>
                <w:rFonts w:hint="eastAsia" w:ascii="宋体" w:hAnsi="宋体" w:cs="宋体"/>
                <w:color w:val="000000"/>
                <w:kern w:val="0"/>
                <w:sz w:val="24"/>
                <w:highlight w:val="none"/>
                <w:lang w:val="en-US" w:eastAsia="zh-CN"/>
              </w:rPr>
              <w:t>应承担全部责任，并赔偿采购方因此遭受的损失。</w:t>
            </w:r>
          </w:p>
          <w:p>
            <w:pPr>
              <w:adjustRightInd w:val="0"/>
              <w:snapToGrid w:val="0"/>
              <w:spacing w:line="340" w:lineRule="exact"/>
              <w:contextualSpacing/>
              <w:jc w:val="center"/>
              <w:rPr>
                <w:rFonts w:hint="eastAsia" w:ascii="宋体" w:hAnsi="宋体"/>
                <w:sz w:val="24"/>
                <w:vertAlign w:val="baseline"/>
                <w:lang w:val="en-US" w:eastAsia="zh-CN"/>
              </w:rPr>
            </w:pPr>
          </w:p>
        </w:tc>
      </w:tr>
    </w:tbl>
    <w:p>
      <w:pPr>
        <w:adjustRightInd w:val="0"/>
        <w:snapToGrid w:val="0"/>
        <w:spacing w:line="340" w:lineRule="exact"/>
        <w:ind w:firstLine="480" w:firstLineChars="200"/>
        <w:contextualSpacing/>
        <w:jc w:val="left"/>
        <w:rPr>
          <w:rFonts w:hint="eastAsia" w:ascii="宋体" w:hAnsi="宋体"/>
          <w:sz w:val="24"/>
          <w:lang w:val="en-US" w:eastAsia="zh-CN"/>
        </w:rPr>
      </w:pPr>
    </w:p>
    <w:p>
      <w:pPr>
        <w:pStyle w:val="17"/>
        <w:ind w:firstLine="0"/>
      </w:pPr>
    </w:p>
    <w:p>
      <w:pPr>
        <w:adjustRightInd w:val="0"/>
        <w:snapToGrid w:val="0"/>
        <w:spacing w:line="440" w:lineRule="exact"/>
        <w:ind w:left="-619" w:leftChars="-295" w:right="-519" w:rightChars="-247" w:firstLine="0" w:firstLineChars="0"/>
        <w:contextualSpacing/>
        <w:rPr>
          <w:rFonts w:hint="eastAsia" w:ascii="宋体" w:hAnsi="宋体"/>
          <w:kern w:val="20"/>
          <w:sz w:val="24"/>
          <w:lang w:val="en-US" w:eastAsia="zh-CN"/>
        </w:rPr>
      </w:pPr>
    </w:p>
    <w:p>
      <w:pPr>
        <w:adjustRightInd w:val="0"/>
        <w:snapToGrid w:val="0"/>
        <w:spacing w:line="440" w:lineRule="exact"/>
        <w:ind w:left="-619" w:leftChars="-295" w:right="-519" w:rightChars="-247" w:firstLine="0" w:firstLineChars="0"/>
        <w:contextualSpacing/>
        <w:rPr>
          <w:rFonts w:ascii="宋体" w:hAnsi="宋体"/>
          <w:kern w:val="20"/>
          <w:sz w:val="24"/>
        </w:rPr>
      </w:pPr>
      <w:r>
        <w:rPr>
          <w:rFonts w:hint="eastAsia" w:ascii="宋体" w:hAnsi="宋体"/>
          <w:kern w:val="20"/>
          <w:sz w:val="24"/>
          <w:lang w:val="en-US" w:eastAsia="zh-CN"/>
        </w:rPr>
        <w:t>采购方经办部门</w:t>
      </w:r>
      <w:r>
        <w:rPr>
          <w:rFonts w:hint="eastAsia" w:ascii="宋体" w:hAnsi="宋体"/>
          <w:kern w:val="20"/>
          <w:sz w:val="24"/>
        </w:rPr>
        <w:t>（盖章）</w:t>
      </w:r>
      <w:r>
        <w:rPr>
          <w:rFonts w:hint="eastAsia" w:ascii="宋体" w:hAnsi="宋体"/>
          <w:b/>
          <w:kern w:val="20"/>
          <w:sz w:val="24"/>
        </w:rPr>
        <w:t xml:space="preserve"> </w:t>
      </w:r>
      <w:r>
        <w:rPr>
          <w:rFonts w:hint="eastAsia" w:ascii="宋体" w:hAnsi="宋体"/>
          <w:b/>
          <w:kern w:val="20"/>
          <w:sz w:val="24"/>
          <w:lang w:val="en-US" w:eastAsia="zh-CN"/>
        </w:rPr>
        <w:t xml:space="preserve">                 </w:t>
      </w:r>
      <w:r>
        <w:rPr>
          <w:rFonts w:hint="eastAsia" w:ascii="宋体" w:hAnsi="宋体"/>
          <w:kern w:val="20"/>
          <w:sz w:val="24"/>
          <w:lang w:val="en-US" w:eastAsia="zh-CN"/>
        </w:rPr>
        <w:t>供货方</w:t>
      </w:r>
      <w:r>
        <w:rPr>
          <w:rFonts w:hint="eastAsia" w:ascii="宋体" w:hAnsi="宋体"/>
          <w:kern w:val="20"/>
          <w:sz w:val="24"/>
        </w:rPr>
        <w:t>：（盖章）</w:t>
      </w:r>
    </w:p>
    <w:p>
      <w:pPr>
        <w:adjustRightInd w:val="0"/>
        <w:snapToGrid w:val="0"/>
        <w:spacing w:line="440" w:lineRule="exact"/>
        <w:ind w:left="-619" w:leftChars="-295" w:right="-519" w:rightChars="-247" w:firstLine="0" w:firstLineChars="0"/>
        <w:contextualSpacing/>
        <w:rPr>
          <w:rFonts w:hint="eastAsia" w:ascii="宋体" w:hAnsi="宋体"/>
          <w:kern w:val="20"/>
          <w:sz w:val="24"/>
        </w:rPr>
      </w:pPr>
      <w:r>
        <w:rPr>
          <w:rFonts w:hint="eastAsia" w:ascii="宋体" w:hAnsi="宋体"/>
          <w:b/>
          <w:kern w:val="20"/>
          <w:sz w:val="24"/>
        </w:rPr>
        <w:t>扬州大学附属医院采购中心</w:t>
      </w:r>
    </w:p>
    <w:p>
      <w:pPr>
        <w:spacing w:line="440" w:lineRule="exact"/>
        <w:ind w:left="-619" w:leftChars="-295" w:right="-519" w:rightChars="-247" w:firstLine="0" w:firstLineChars="0"/>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ind w:left="-619" w:leftChars="-295" w:right="-519" w:rightChars="-247" w:firstLine="0" w:firstLineChars="0"/>
        <w:rPr>
          <w:rFonts w:hint="eastAsia"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ind w:left="-619" w:leftChars="-295" w:right="-519" w:rightChars="-247" w:firstLine="0" w:firstLineChars="0"/>
        <w:rPr>
          <w:rFonts w:hint="eastAsia" w:ascii="宋体" w:hAnsi="宋体"/>
          <w:kern w:val="20"/>
          <w:sz w:val="24"/>
        </w:rPr>
      </w:pPr>
    </w:p>
    <w:p>
      <w:pPr>
        <w:spacing w:line="440" w:lineRule="exact"/>
        <w:ind w:left="-619" w:leftChars="-295" w:right="-519" w:rightChars="-247" w:firstLine="0" w:firstLineChars="0"/>
        <w:rPr>
          <w:rFonts w:ascii="宋体" w:hAnsi="宋体" w:cs="宋体"/>
          <w:b/>
          <w:color w:val="000000"/>
          <w:kern w:val="0"/>
          <w:sz w:val="24"/>
        </w:rPr>
      </w:pPr>
      <w:r>
        <w:rPr>
          <w:rFonts w:hint="eastAsia" w:ascii="宋体" w:hAnsi="宋体"/>
          <w:kern w:val="20"/>
          <w:sz w:val="24"/>
        </w:rPr>
        <w:t>日    期：2025 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期：2025年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keepNext w:val="0"/>
        <w:keepLines w:val="0"/>
        <w:pageBreakBefore w:val="0"/>
        <w:widowControl w:val="0"/>
        <w:kinsoku/>
        <w:wordWrap/>
        <w:overflowPunct/>
        <w:topLinePunct w:val="0"/>
        <w:autoSpaceDE/>
        <w:autoSpaceDN/>
        <w:bidi w:val="0"/>
        <w:spacing w:line="440" w:lineRule="exact"/>
        <w:jc w:val="center"/>
        <w:textAlignment w:val="auto"/>
        <w:rPr>
          <w:rFonts w:hint="eastAsia" w:ascii="宋体" w:hAnsi="宋体"/>
          <w:b/>
          <w:sz w:val="36"/>
          <w:szCs w:val="36"/>
          <w:lang w:val="en-US" w:eastAsia="zh-CN"/>
        </w:rPr>
      </w:pPr>
    </w:p>
    <w:p>
      <w:pPr>
        <w:spacing w:line="440" w:lineRule="exact"/>
        <w:rPr>
          <w:rFonts w:hint="eastAsia" w:ascii="宋体" w:hAnsi="宋体"/>
          <w:kern w:val="2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1FD314"/>
    <w:multiLevelType w:val="singleLevel"/>
    <w:tmpl w:val="A11FD314"/>
    <w:lvl w:ilvl="0" w:tentative="0">
      <w:start w:val="1"/>
      <w:numFmt w:val="bullet"/>
      <w:lvlText w:val=""/>
      <w:lvlJc w:val="left"/>
      <w:pPr>
        <w:ind w:left="420" w:hanging="420"/>
      </w:pPr>
      <w:rPr>
        <w:rFonts w:hint="default" w:ascii="Wingdings" w:hAnsi="Wingdings"/>
        <w:sz w:val="15"/>
        <w:szCs w:val="15"/>
      </w:rPr>
    </w:lvl>
  </w:abstractNum>
  <w:abstractNum w:abstractNumId="1">
    <w:nsid w:val="E95D8DBD"/>
    <w:multiLevelType w:val="singleLevel"/>
    <w:tmpl w:val="E95D8DBD"/>
    <w:lvl w:ilvl="0" w:tentative="0">
      <w:start w:val="1"/>
      <w:numFmt w:val="decimal"/>
      <w:lvlText w:val="(%1)"/>
      <w:lvlJc w:val="left"/>
      <w:pPr>
        <w:ind w:left="425" w:hanging="425"/>
      </w:pPr>
      <w:rPr>
        <w:rFonts w:hint="default"/>
      </w:rPr>
    </w:lvl>
  </w:abstractNum>
  <w:abstractNum w:abstractNumId="2">
    <w:nsid w:val="EE644848"/>
    <w:multiLevelType w:val="singleLevel"/>
    <w:tmpl w:val="EE644848"/>
    <w:lvl w:ilvl="0" w:tentative="0">
      <w:start w:val="2"/>
      <w:numFmt w:val="decimal"/>
      <w:lvlText w:val="%1."/>
      <w:lvlJc w:val="left"/>
      <w:pPr>
        <w:tabs>
          <w:tab w:val="left" w:pos="312"/>
        </w:tabs>
      </w:pPr>
    </w:lvl>
  </w:abstractNum>
  <w:abstractNum w:abstractNumId="3">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4">
    <w:nsid w:val="1BEA0528"/>
    <w:multiLevelType w:val="singleLevel"/>
    <w:tmpl w:val="1BEA0528"/>
    <w:lvl w:ilvl="0" w:tentative="0">
      <w:start w:val="1"/>
      <w:numFmt w:val="bullet"/>
      <w:lvlText w:val=""/>
      <w:lvlJc w:val="left"/>
      <w:pPr>
        <w:ind w:left="420" w:hanging="420"/>
      </w:pPr>
      <w:rPr>
        <w:rFonts w:hint="default" w:ascii="Wingdings" w:hAnsi="Wingdings"/>
        <w:sz w:val="15"/>
        <w:szCs w:val="15"/>
      </w:rPr>
    </w:lvl>
  </w:abstractNum>
  <w:abstractNum w:abstractNumId="5">
    <w:nsid w:val="391C6EF1"/>
    <w:multiLevelType w:val="singleLevel"/>
    <w:tmpl w:val="391C6EF1"/>
    <w:lvl w:ilvl="0" w:tentative="0">
      <w:start w:val="1"/>
      <w:numFmt w:val="bullet"/>
      <w:lvlText w:val=""/>
      <w:lvlJc w:val="left"/>
      <w:pPr>
        <w:ind w:left="420" w:hanging="420"/>
      </w:pPr>
      <w:rPr>
        <w:rFonts w:hint="default" w:ascii="Wingdings" w:hAnsi="Wingdings"/>
        <w:sz w:val="15"/>
        <w:szCs w:val="15"/>
      </w:r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EE672E"/>
    <w:rsid w:val="02365871"/>
    <w:rsid w:val="02E154B1"/>
    <w:rsid w:val="034D4BC8"/>
    <w:rsid w:val="03886DDC"/>
    <w:rsid w:val="04E61983"/>
    <w:rsid w:val="04F93EF7"/>
    <w:rsid w:val="053E3F8C"/>
    <w:rsid w:val="05AE75B3"/>
    <w:rsid w:val="06835001"/>
    <w:rsid w:val="07CD3AA2"/>
    <w:rsid w:val="08E8612B"/>
    <w:rsid w:val="0907213E"/>
    <w:rsid w:val="09B15BCC"/>
    <w:rsid w:val="0BE47D69"/>
    <w:rsid w:val="0C067990"/>
    <w:rsid w:val="0C4A2728"/>
    <w:rsid w:val="0CF140C8"/>
    <w:rsid w:val="0D2E16CF"/>
    <w:rsid w:val="0D4515B4"/>
    <w:rsid w:val="0E126F52"/>
    <w:rsid w:val="0E2A13BF"/>
    <w:rsid w:val="0EE42777"/>
    <w:rsid w:val="110961DE"/>
    <w:rsid w:val="145A2EDB"/>
    <w:rsid w:val="155A517D"/>
    <w:rsid w:val="15D76399"/>
    <w:rsid w:val="172469D5"/>
    <w:rsid w:val="17407202"/>
    <w:rsid w:val="186D5CBC"/>
    <w:rsid w:val="19826916"/>
    <w:rsid w:val="1A965BFC"/>
    <w:rsid w:val="1B6D7D2D"/>
    <w:rsid w:val="1BCE6A88"/>
    <w:rsid w:val="1C94789B"/>
    <w:rsid w:val="1D762024"/>
    <w:rsid w:val="1E525F06"/>
    <w:rsid w:val="1E63111B"/>
    <w:rsid w:val="1EAC0AAC"/>
    <w:rsid w:val="1ECC70CB"/>
    <w:rsid w:val="1F06435D"/>
    <w:rsid w:val="1FA12306"/>
    <w:rsid w:val="1FF236E2"/>
    <w:rsid w:val="205648A9"/>
    <w:rsid w:val="21C93434"/>
    <w:rsid w:val="2230171F"/>
    <w:rsid w:val="229D0318"/>
    <w:rsid w:val="22EC14F1"/>
    <w:rsid w:val="23735059"/>
    <w:rsid w:val="2466755A"/>
    <w:rsid w:val="24782FEE"/>
    <w:rsid w:val="270244AF"/>
    <w:rsid w:val="279829B9"/>
    <w:rsid w:val="27DD3CB2"/>
    <w:rsid w:val="27F03E2A"/>
    <w:rsid w:val="28795CAE"/>
    <w:rsid w:val="28CF6D5C"/>
    <w:rsid w:val="28D728FE"/>
    <w:rsid w:val="290E1224"/>
    <w:rsid w:val="2A6C65F7"/>
    <w:rsid w:val="2A781EB5"/>
    <w:rsid w:val="2AA6133D"/>
    <w:rsid w:val="2AB36F4B"/>
    <w:rsid w:val="2BCB5B07"/>
    <w:rsid w:val="2CAB39DC"/>
    <w:rsid w:val="2E026BA2"/>
    <w:rsid w:val="2EE7735A"/>
    <w:rsid w:val="2EF50EC3"/>
    <w:rsid w:val="2F716810"/>
    <w:rsid w:val="2F877A0A"/>
    <w:rsid w:val="30DF7E8F"/>
    <w:rsid w:val="318E7998"/>
    <w:rsid w:val="32542738"/>
    <w:rsid w:val="32961BEB"/>
    <w:rsid w:val="334D2131"/>
    <w:rsid w:val="3453768D"/>
    <w:rsid w:val="349B0B50"/>
    <w:rsid w:val="3504116C"/>
    <w:rsid w:val="375A406B"/>
    <w:rsid w:val="38E54464"/>
    <w:rsid w:val="395873E0"/>
    <w:rsid w:val="398427FF"/>
    <w:rsid w:val="3B6B7997"/>
    <w:rsid w:val="3C7E55A0"/>
    <w:rsid w:val="3C7E7E4D"/>
    <w:rsid w:val="3D211F38"/>
    <w:rsid w:val="3D920AB3"/>
    <w:rsid w:val="3E4F54B3"/>
    <w:rsid w:val="3EA006FD"/>
    <w:rsid w:val="403533E2"/>
    <w:rsid w:val="406A6438"/>
    <w:rsid w:val="40C726B4"/>
    <w:rsid w:val="415976D2"/>
    <w:rsid w:val="41D30896"/>
    <w:rsid w:val="424B0DFC"/>
    <w:rsid w:val="43F56786"/>
    <w:rsid w:val="45977351"/>
    <w:rsid w:val="45F42EB8"/>
    <w:rsid w:val="46056344"/>
    <w:rsid w:val="467B4C8A"/>
    <w:rsid w:val="46ED1809"/>
    <w:rsid w:val="48B5696C"/>
    <w:rsid w:val="49AC543C"/>
    <w:rsid w:val="4ACD2A51"/>
    <w:rsid w:val="4B4053E3"/>
    <w:rsid w:val="4B8D08A2"/>
    <w:rsid w:val="4BD6274F"/>
    <w:rsid w:val="4BFB6FA9"/>
    <w:rsid w:val="4C2279B2"/>
    <w:rsid w:val="4C3E33DE"/>
    <w:rsid w:val="4C472E7D"/>
    <w:rsid w:val="4CB85CB5"/>
    <w:rsid w:val="4E295D4C"/>
    <w:rsid w:val="4F717F10"/>
    <w:rsid w:val="4F7341B2"/>
    <w:rsid w:val="501519DD"/>
    <w:rsid w:val="507C6263"/>
    <w:rsid w:val="508A0E56"/>
    <w:rsid w:val="510F701A"/>
    <w:rsid w:val="51673008"/>
    <w:rsid w:val="518C4687"/>
    <w:rsid w:val="5199638E"/>
    <w:rsid w:val="51BD509B"/>
    <w:rsid w:val="537760B9"/>
    <w:rsid w:val="54AC3518"/>
    <w:rsid w:val="54ED0016"/>
    <w:rsid w:val="560560AD"/>
    <w:rsid w:val="56410E61"/>
    <w:rsid w:val="57DA3AB3"/>
    <w:rsid w:val="58A415C5"/>
    <w:rsid w:val="591C0A3A"/>
    <w:rsid w:val="59D625D1"/>
    <w:rsid w:val="5A401245"/>
    <w:rsid w:val="5B063544"/>
    <w:rsid w:val="5B3A3011"/>
    <w:rsid w:val="5B445318"/>
    <w:rsid w:val="5BD053AF"/>
    <w:rsid w:val="5BE11FCF"/>
    <w:rsid w:val="5C3E22E0"/>
    <w:rsid w:val="5C63055C"/>
    <w:rsid w:val="5C936A98"/>
    <w:rsid w:val="5C9D5DDF"/>
    <w:rsid w:val="5CA1516C"/>
    <w:rsid w:val="5CA23409"/>
    <w:rsid w:val="5CDB0A62"/>
    <w:rsid w:val="5D145BF8"/>
    <w:rsid w:val="5D1C5531"/>
    <w:rsid w:val="5D9E4640"/>
    <w:rsid w:val="5E584ED9"/>
    <w:rsid w:val="5E8C2BB5"/>
    <w:rsid w:val="5EE94B54"/>
    <w:rsid w:val="5F9655EE"/>
    <w:rsid w:val="5FD049F7"/>
    <w:rsid w:val="60186A28"/>
    <w:rsid w:val="60446E43"/>
    <w:rsid w:val="60A754A5"/>
    <w:rsid w:val="60DB4EA5"/>
    <w:rsid w:val="612E05C2"/>
    <w:rsid w:val="616C3D5B"/>
    <w:rsid w:val="61806483"/>
    <w:rsid w:val="619072D4"/>
    <w:rsid w:val="61F801D2"/>
    <w:rsid w:val="626E3CB0"/>
    <w:rsid w:val="63473929"/>
    <w:rsid w:val="64542EB6"/>
    <w:rsid w:val="65CC7939"/>
    <w:rsid w:val="65F2258C"/>
    <w:rsid w:val="668F553E"/>
    <w:rsid w:val="66A07C1E"/>
    <w:rsid w:val="66AF19DA"/>
    <w:rsid w:val="6710513C"/>
    <w:rsid w:val="673E62A6"/>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85767A4"/>
    <w:rsid w:val="79AC4BB9"/>
    <w:rsid w:val="79CC0928"/>
    <w:rsid w:val="79F04F34"/>
    <w:rsid w:val="7ABB1C53"/>
    <w:rsid w:val="7BF34C08"/>
    <w:rsid w:val="7C6460D0"/>
    <w:rsid w:val="7D7223CC"/>
    <w:rsid w:val="7E0A21D4"/>
    <w:rsid w:val="7E4401E2"/>
    <w:rsid w:val="7ECF0FC0"/>
    <w:rsid w:val="7F0F7867"/>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unhideWhenUsed/>
    <w:qFormat/>
    <w:uiPriority w:val="0"/>
    <w:pPr>
      <w:keepNext/>
      <w:keepLines/>
      <w:spacing w:before="50" w:beforeLines="50" w:beforeAutospacing="0" w:after="50" w:afterLines="50" w:afterAutospacing="0" w:line="440" w:lineRule="exact"/>
      <w:outlineLvl w:val="1"/>
    </w:pPr>
    <w:rPr>
      <w:rFonts w:ascii="Arial" w:hAnsi="Arial" w:eastAsia="黑体"/>
      <w:b/>
      <w:sz w:val="28"/>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table of authorities"/>
    <w:basedOn w:val="1"/>
    <w:next w:val="1"/>
    <w:autoRedefine/>
    <w:qFormat/>
    <w:uiPriority w:val="0"/>
    <w:pPr>
      <w:ind w:left="420" w:leftChars="200"/>
    </w:pPr>
  </w:style>
  <w:style w:type="paragraph" w:styleId="4">
    <w:name w:val="Normal Indent"/>
    <w:basedOn w:val="1"/>
    <w:link w:val="33"/>
    <w:autoRedefine/>
    <w:unhideWhenUsed/>
    <w:qFormat/>
    <w:uiPriority w:val="0"/>
    <w:pPr>
      <w:ind w:firstLine="420" w:firstLineChars="200"/>
    </w:pPr>
  </w:style>
  <w:style w:type="paragraph" w:styleId="5">
    <w:name w:val="annotation text"/>
    <w:basedOn w:val="1"/>
    <w:autoRedefine/>
    <w:semiHidden/>
    <w:unhideWhenUsed/>
    <w:qFormat/>
    <w:uiPriority w:val="99"/>
    <w:pPr>
      <w:jc w:val="left"/>
    </w:pPr>
  </w:style>
  <w:style w:type="paragraph" w:styleId="6">
    <w:name w:val="Body Text 3"/>
    <w:basedOn w:val="1"/>
    <w:next w:val="1"/>
    <w:autoRedefine/>
    <w:qFormat/>
    <w:uiPriority w:val="0"/>
    <w:pPr>
      <w:spacing w:after="120" w:afterLines="0"/>
    </w:pPr>
    <w:rPr>
      <w:sz w:val="16"/>
      <w:szCs w:val="16"/>
    </w:rPr>
  </w:style>
  <w:style w:type="paragraph" w:styleId="7">
    <w:name w:val="Body Text"/>
    <w:basedOn w:val="1"/>
    <w:next w:val="6"/>
    <w:autoRedefine/>
    <w:qFormat/>
    <w:uiPriority w:val="99"/>
    <w:rPr>
      <w:rFonts w:ascii="楷体_GB2312" w:hAnsi="Arial" w:eastAsia="楷体_GB2312"/>
      <w:kern w:val="0"/>
      <w:sz w:val="28"/>
      <w:szCs w:val="28"/>
    </w:rPr>
  </w:style>
  <w:style w:type="paragraph" w:styleId="8">
    <w:name w:val="Body Text Indent"/>
    <w:basedOn w:val="1"/>
    <w:autoRedefine/>
    <w:qFormat/>
    <w:uiPriority w:val="0"/>
    <w:pPr>
      <w:ind w:firstLine="576"/>
    </w:pPr>
    <w:rPr>
      <w:b/>
      <w:sz w:val="30"/>
    </w:rPr>
  </w:style>
  <w:style w:type="paragraph" w:styleId="9">
    <w:name w:val="List Bullet 2"/>
    <w:basedOn w:val="1"/>
    <w:autoRedefine/>
    <w:unhideWhenUsed/>
    <w:qFormat/>
    <w:uiPriority w:val="0"/>
    <w:pPr>
      <w:numPr>
        <w:ilvl w:val="0"/>
        <w:numId w:val="1"/>
      </w:numPr>
      <w:contextualSpacing/>
    </w:pPr>
    <w:rPr>
      <w:rFonts w:ascii="Calibri" w:hAnsi="Calibri"/>
    </w:rPr>
  </w:style>
  <w:style w:type="paragraph" w:styleId="10">
    <w:name w:val="Plain Text"/>
    <w:basedOn w:val="1"/>
    <w:link w:val="28"/>
    <w:autoRedefine/>
    <w:qFormat/>
    <w:uiPriority w:val="99"/>
    <w:rPr>
      <w:rFonts w:ascii="宋体" w:hAnsi="Courier New"/>
      <w:szCs w:val="20"/>
    </w:r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99"/>
  </w:style>
  <w:style w:type="paragraph" w:styleId="15">
    <w:name w:val="Subtitle"/>
    <w:basedOn w:val="1"/>
    <w:next w:val="1"/>
    <w:link w:val="30"/>
    <w:autoRedefine/>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7">
    <w:name w:val="Body Text First Indent 2"/>
    <w:basedOn w:val="8"/>
    <w:autoRedefine/>
    <w:qFormat/>
    <w:uiPriority w:val="0"/>
    <w:pPr>
      <w:ind w:firstLine="420"/>
    </w:pPr>
  </w:style>
  <w:style w:type="table" w:styleId="19">
    <w:name w:val="Table Grid"/>
    <w:basedOn w:val="1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FollowedHyperlink"/>
    <w:basedOn w:val="20"/>
    <w:autoRedefine/>
    <w:semiHidden/>
    <w:unhideWhenUsed/>
    <w:qFormat/>
    <w:uiPriority w:val="99"/>
    <w:rPr>
      <w:color w:val="222222"/>
      <w:u w:val="none"/>
    </w:rPr>
  </w:style>
  <w:style w:type="character" w:styleId="22">
    <w:name w:val="Hyperlink"/>
    <w:basedOn w:val="20"/>
    <w:autoRedefine/>
    <w:unhideWhenUsed/>
    <w:qFormat/>
    <w:uiPriority w:val="99"/>
    <w:rPr>
      <w:color w:val="0000FF" w:themeColor="hyperlink"/>
      <w:u w:val="single"/>
      <w14:textFill>
        <w14:solidFill>
          <w14:schemeClr w14:val="hlink"/>
        </w14:solidFill>
      </w14:textFill>
    </w:rPr>
  </w:style>
  <w:style w:type="paragraph" w:customStyle="1" w:styleId="23">
    <w:name w:val="正文（缩进）"/>
    <w:basedOn w:val="1"/>
    <w:autoRedefine/>
    <w:qFormat/>
    <w:uiPriority w:val="0"/>
    <w:pPr>
      <w:ind w:firstLine="480" w:firstLineChars="200"/>
    </w:pPr>
  </w:style>
  <w:style w:type="paragraph" w:customStyle="1" w:styleId="24">
    <w:name w:val="Normal_0"/>
    <w:autoRedefine/>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5">
    <w:name w:val="页眉 Char"/>
    <w:basedOn w:val="20"/>
    <w:link w:val="13"/>
    <w:autoRedefine/>
    <w:semiHidden/>
    <w:qFormat/>
    <w:uiPriority w:val="99"/>
    <w:rPr>
      <w:rFonts w:eastAsia="宋体"/>
      <w:kern w:val="2"/>
      <w:sz w:val="18"/>
      <w:szCs w:val="18"/>
    </w:rPr>
  </w:style>
  <w:style w:type="character" w:customStyle="1" w:styleId="26">
    <w:name w:val="页脚 Char"/>
    <w:basedOn w:val="20"/>
    <w:link w:val="12"/>
    <w:autoRedefine/>
    <w:semiHidden/>
    <w:qFormat/>
    <w:uiPriority w:val="99"/>
    <w:rPr>
      <w:rFonts w:eastAsia="宋体"/>
      <w:kern w:val="2"/>
      <w:sz w:val="18"/>
      <w:szCs w:val="18"/>
    </w:rPr>
  </w:style>
  <w:style w:type="character" w:customStyle="1" w:styleId="27">
    <w:name w:val="批注框文本 Char"/>
    <w:basedOn w:val="20"/>
    <w:link w:val="11"/>
    <w:autoRedefine/>
    <w:semiHidden/>
    <w:qFormat/>
    <w:uiPriority w:val="99"/>
    <w:rPr>
      <w:rFonts w:eastAsia="宋体"/>
      <w:kern w:val="2"/>
      <w:sz w:val="18"/>
      <w:szCs w:val="18"/>
    </w:rPr>
  </w:style>
  <w:style w:type="character" w:customStyle="1" w:styleId="28">
    <w:name w:val="纯文本 Char"/>
    <w:basedOn w:val="20"/>
    <w:link w:val="10"/>
    <w:autoRedefine/>
    <w:qFormat/>
    <w:uiPriority w:val="99"/>
    <w:rPr>
      <w:rFonts w:ascii="宋体" w:hAnsi="Courier New" w:eastAsia="宋体"/>
      <w:kern w:val="2"/>
      <w:sz w:val="21"/>
    </w:rPr>
  </w:style>
  <w:style w:type="character" w:customStyle="1" w:styleId="29">
    <w:name w:val="副标题 Char"/>
    <w:autoRedefine/>
    <w:qFormat/>
    <w:uiPriority w:val="0"/>
    <w:rPr>
      <w:rFonts w:ascii="Cambria" w:hAnsi="Cambria"/>
      <w:b/>
      <w:bCs/>
      <w:kern w:val="28"/>
      <w:sz w:val="32"/>
      <w:szCs w:val="32"/>
    </w:rPr>
  </w:style>
  <w:style w:type="character" w:customStyle="1" w:styleId="30">
    <w:name w:val="副标题 Char1"/>
    <w:basedOn w:val="20"/>
    <w:link w:val="15"/>
    <w:autoRedefine/>
    <w:qFormat/>
    <w:uiPriority w:val="0"/>
    <w:rPr>
      <w:rFonts w:eastAsia="宋体" w:asciiTheme="majorHAnsi" w:hAnsiTheme="majorHAnsi" w:cstheme="majorBidi"/>
      <w:b/>
      <w:bCs/>
      <w:kern w:val="28"/>
      <w:sz w:val="32"/>
      <w:szCs w:val="32"/>
    </w:rPr>
  </w:style>
  <w:style w:type="paragraph" w:styleId="31">
    <w:name w:val="List Paragraph"/>
    <w:basedOn w:val="1"/>
    <w:autoRedefine/>
    <w:unhideWhenUsed/>
    <w:qFormat/>
    <w:uiPriority w:val="99"/>
    <w:pPr>
      <w:ind w:firstLine="420" w:firstLineChars="200"/>
    </w:pPr>
  </w:style>
  <w:style w:type="paragraph" w:customStyle="1" w:styleId="32">
    <w:name w:val="普通文字"/>
    <w:basedOn w:val="1"/>
    <w:next w:val="1"/>
    <w:autoRedefine/>
    <w:qFormat/>
    <w:uiPriority w:val="0"/>
    <w:rPr>
      <w:rFonts w:ascii="宋体"/>
      <w:kern w:val="0"/>
      <w:sz w:val="24"/>
      <w:u w:color="000000"/>
    </w:rPr>
  </w:style>
  <w:style w:type="character" w:customStyle="1" w:styleId="33">
    <w:name w:val="正文缩进 Char"/>
    <w:link w:val="4"/>
    <w:autoRedefine/>
    <w:qFormat/>
    <w:uiPriority w:val="0"/>
    <w:rPr>
      <w:kern w:val="2"/>
      <w:sz w:val="21"/>
      <w:szCs w:val="24"/>
    </w:rPr>
  </w:style>
  <w:style w:type="character" w:customStyle="1" w:styleId="34">
    <w:name w:val="NormalCharacter"/>
    <w:autoRedefine/>
    <w:qFormat/>
    <w:uiPriority w:val="0"/>
  </w:style>
  <w:style w:type="character" w:customStyle="1" w:styleId="35">
    <w:name w:val="font11"/>
    <w:basedOn w:val="20"/>
    <w:autoRedefine/>
    <w:qFormat/>
    <w:uiPriority w:val="0"/>
    <w:rPr>
      <w:rFonts w:hint="eastAsia" w:ascii="宋体" w:hAnsi="宋体" w:eastAsia="宋体" w:cs="宋体"/>
      <w:b/>
      <w:bCs/>
      <w:color w:val="000000"/>
      <w:sz w:val="22"/>
      <w:szCs w:val="22"/>
      <w:u w:val="none"/>
    </w:rPr>
  </w:style>
  <w:style w:type="paragraph" w:customStyle="1" w:styleId="36">
    <w:name w:val="Table Paragraph"/>
    <w:basedOn w:val="1"/>
    <w:autoRedefine/>
    <w:qFormat/>
    <w:uiPriority w:val="1"/>
    <w:rPr>
      <w:rFonts w:ascii="Calibri" w:hAnsi="Calibri" w:cs="Calibri"/>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22</Pages>
  <Words>7882</Words>
  <Characters>8481</Characters>
  <Lines>70</Lines>
  <Paragraphs>19</Paragraphs>
  <TotalTime>1157</TotalTime>
  <ScaleCrop>false</ScaleCrop>
  <LinksUpToDate>false</LinksUpToDate>
  <CharactersWithSpaces>9026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2025-03-19T00:46:38Z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EEAE95EAE5EA4B2E9F2CC9689E84258B_13</vt:lpwstr>
  </property>
  <property fmtid="{D5CDD505-2E9C-101B-9397-08002B2CF9AE}" pid="4" name="KSOTemplateDocerSaveRecord">
    <vt:lpwstr>eyJoZGlkIjoiMGE0ZGRhZTNiMmY2ZTZkMTEwOGFkYThkZjI2Yjc0MTAiLCJ1c2VySWQiOiI0MTg1NzM2MTgifQ==</vt:lpwstr>
  </property>
</Properties>
</file>