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玻璃钢格栅钢格板采购项目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2</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玻璃钢格栅钢格板采购项目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玻璃钢格栅钢格板采购项目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1.3</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4</w:t>
      </w:r>
      <w:r>
        <w:rPr>
          <w:rFonts w:hint="eastAsia" w:ascii="宋体" w:hAnsi="宋体"/>
          <w:b/>
          <w:sz w:val="24"/>
        </w:rPr>
        <w:t>月</w:t>
      </w:r>
      <w:r>
        <w:rPr>
          <w:rFonts w:hint="eastAsia" w:ascii="宋体" w:hAnsi="宋体"/>
          <w:b/>
          <w:sz w:val="24"/>
          <w:lang w:val="en-US" w:eastAsia="zh-CN"/>
        </w:rPr>
        <w:t>9</w:t>
      </w:r>
      <w:r>
        <w:rPr>
          <w:rFonts w:hint="eastAsia" w:ascii="宋体" w:hAnsi="宋体"/>
          <w:b/>
          <w:sz w:val="24"/>
        </w:rPr>
        <w:t>日上午</w:t>
      </w:r>
      <w:r>
        <w:rPr>
          <w:rFonts w:hint="eastAsia" w:ascii="宋体" w:hAnsi="宋体"/>
          <w:b/>
          <w:sz w:val="24"/>
          <w:lang w:val="en-US" w:eastAsia="zh-CN"/>
        </w:rPr>
        <w:t>9</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玻璃钢格栅钢格板采购项目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玻璃钢格栅钢格板采购项目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w:t>
      </w:r>
      <w:r>
        <w:rPr>
          <w:rFonts w:hint="eastAsia" w:ascii="宋体" w:hAnsi="宋体" w:cs="宋体"/>
          <w:sz w:val="24"/>
          <w:lang w:val="en-US" w:eastAsia="zh-CN"/>
        </w:rPr>
        <w:t>医院要求完成</w:t>
      </w:r>
      <w:r>
        <w:rPr>
          <w:rFonts w:hint="eastAsia" w:ascii="宋体" w:hAnsi="宋体" w:cs="宋体"/>
          <w:sz w:val="24"/>
        </w:rPr>
        <w:t>玻璃钢格栅钢格板</w:t>
      </w:r>
      <w:r>
        <w:rPr>
          <w:rFonts w:hint="eastAsia" w:ascii="宋体" w:hAnsi="宋体" w:cs="宋体"/>
          <w:sz w:val="24"/>
          <w:lang w:val="en-US" w:eastAsia="zh-CN"/>
        </w:rPr>
        <w:t>供货</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建设</w:t>
      </w:r>
      <w:r>
        <w:rPr>
          <w:rFonts w:hint="eastAsia" w:ascii="宋体" w:hAnsi="宋体" w:cs="宋体"/>
          <w:sz w:val="24"/>
        </w:rPr>
        <w:t>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4</w:t>
      </w:r>
      <w:r>
        <w:rPr>
          <w:rFonts w:hint="eastAsia" w:cs="微软雅黑"/>
          <w:b/>
        </w:rPr>
        <w:t>月</w:t>
      </w:r>
      <w:r>
        <w:rPr>
          <w:rFonts w:hint="eastAsia" w:cs="微软雅黑"/>
          <w:b/>
          <w:lang w:val="en-US" w:eastAsia="zh-CN"/>
        </w:rPr>
        <w:t>9</w:t>
      </w:r>
      <w:r>
        <w:rPr>
          <w:rFonts w:hint="eastAsia" w:cs="微软雅黑"/>
          <w:b/>
        </w:rPr>
        <w:t>日</w:t>
      </w:r>
      <w:r>
        <w:rPr>
          <w:rStyle w:val="32"/>
          <w:rFonts w:hint="eastAsia"/>
          <w:b/>
          <w:lang w:val="en-US" w:eastAsia="zh-CN"/>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4</w:t>
      </w:r>
      <w:r>
        <w:rPr>
          <w:rStyle w:val="32"/>
          <w:rFonts w:ascii="宋体" w:hAnsi="宋体"/>
          <w:b/>
          <w:sz w:val="24"/>
        </w:rPr>
        <w:t>月</w:t>
      </w:r>
      <w:r>
        <w:rPr>
          <w:rStyle w:val="32"/>
          <w:rFonts w:hint="eastAsia" w:ascii="宋体" w:hAnsi="宋体"/>
          <w:b/>
          <w:sz w:val="24"/>
          <w:lang w:val="en-US" w:eastAsia="zh-CN"/>
        </w:rPr>
        <w:t>9</w:t>
      </w:r>
      <w:r>
        <w:rPr>
          <w:rStyle w:val="32"/>
          <w:rFonts w:ascii="宋体" w:hAnsi="宋体"/>
          <w:b/>
          <w:sz w:val="24"/>
        </w:rPr>
        <w:t>日</w:t>
      </w:r>
      <w:r>
        <w:rPr>
          <w:rStyle w:val="32"/>
          <w:rFonts w:hint="eastAsia" w:ascii="宋体" w:hAnsi="宋体"/>
          <w:b/>
          <w:sz w:val="24"/>
          <w:lang w:val="en-US" w:eastAsia="zh-CN"/>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日上午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玻璃钢格栅钢格板采购项目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2025013</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1.3</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rPr>
          <w:sz w:val="24"/>
          <w:szCs w:val="32"/>
        </w:rPr>
      </w:pPr>
      <w:r>
        <w:rPr>
          <w:rFonts w:hint="eastAsia" w:ascii="宋体" w:hAnsi="宋体"/>
          <w:b/>
          <w:sz w:val="24"/>
        </w:rPr>
        <w:t>采购项目内容及要求</w:t>
      </w:r>
    </w:p>
    <w:tbl>
      <w:tblPr>
        <w:tblStyle w:val="1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820"/>
        <w:gridCol w:w="286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0" w:type="dxa"/>
            <w:vAlign w:val="center"/>
          </w:tcPr>
          <w:p>
            <w:pPr>
              <w:jc w:val="center"/>
              <w:rPr>
                <w:rFonts w:ascii="宋体" w:hAnsi="宋体"/>
                <w:kern w:val="0"/>
                <w:sz w:val="22"/>
                <w:szCs w:val="32"/>
              </w:rPr>
            </w:pPr>
            <w:r>
              <w:rPr>
                <w:rFonts w:hint="eastAsia" w:ascii="宋体" w:hAnsi="宋体"/>
                <w:kern w:val="0"/>
                <w:sz w:val="22"/>
                <w:szCs w:val="32"/>
              </w:rPr>
              <w:t>名称</w:t>
            </w:r>
          </w:p>
        </w:tc>
        <w:tc>
          <w:tcPr>
            <w:tcW w:w="2820" w:type="dxa"/>
            <w:vAlign w:val="center"/>
          </w:tcPr>
          <w:p>
            <w:pPr>
              <w:jc w:val="center"/>
              <w:rPr>
                <w:rFonts w:ascii="宋体" w:hAnsi="宋体"/>
                <w:kern w:val="0"/>
                <w:sz w:val="22"/>
                <w:szCs w:val="32"/>
              </w:rPr>
            </w:pPr>
            <w:r>
              <w:rPr>
                <w:rFonts w:hint="eastAsia" w:ascii="宋体" w:hAnsi="宋体"/>
                <w:kern w:val="0"/>
                <w:sz w:val="22"/>
                <w:szCs w:val="32"/>
              </w:rPr>
              <w:t>技术参数要求</w:t>
            </w:r>
          </w:p>
        </w:tc>
        <w:tc>
          <w:tcPr>
            <w:tcW w:w="2865" w:type="dxa"/>
            <w:vAlign w:val="center"/>
          </w:tcPr>
          <w:p>
            <w:pPr>
              <w:jc w:val="center"/>
              <w:rPr>
                <w:rFonts w:hint="eastAsia" w:ascii="宋体" w:hAnsi="宋体" w:eastAsia="宋体"/>
                <w:kern w:val="0"/>
                <w:sz w:val="22"/>
                <w:szCs w:val="32"/>
                <w:lang w:val="en-US" w:eastAsia="zh-CN"/>
              </w:rPr>
            </w:pPr>
            <w:r>
              <w:rPr>
                <w:rFonts w:hint="eastAsia" w:ascii="宋体" w:hAnsi="宋体"/>
                <w:kern w:val="0"/>
                <w:sz w:val="22"/>
                <w:szCs w:val="32"/>
                <w:lang w:val="en-US" w:eastAsia="zh-CN"/>
              </w:rPr>
              <w:t>尺寸要求</w:t>
            </w:r>
          </w:p>
        </w:tc>
        <w:tc>
          <w:tcPr>
            <w:tcW w:w="2693" w:type="dxa"/>
            <w:vAlign w:val="center"/>
          </w:tcPr>
          <w:p>
            <w:pPr>
              <w:jc w:val="center"/>
              <w:rPr>
                <w:rFonts w:hint="eastAsia" w:ascii="宋体" w:hAnsi="宋体" w:eastAsia="宋体"/>
                <w:kern w:val="0"/>
                <w:sz w:val="22"/>
                <w:szCs w:val="32"/>
                <w:lang w:eastAsia="zh-CN"/>
              </w:rPr>
            </w:pPr>
            <w:r>
              <w:rPr>
                <w:rFonts w:hint="eastAsia" w:ascii="宋体" w:hAnsi="宋体"/>
                <w:kern w:val="0"/>
                <w:sz w:val="22"/>
                <w:szCs w:val="32"/>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60" w:type="dxa"/>
            <w:vAlign w:val="center"/>
          </w:tcPr>
          <w:p>
            <w:pPr>
              <w:ind w:firstLine="120" w:firstLineChars="50"/>
              <w:rPr>
                <w:rFonts w:ascii="宋体" w:hAnsi="宋体"/>
                <w:kern w:val="0"/>
                <w:sz w:val="20"/>
              </w:rPr>
            </w:pPr>
            <w:r>
              <w:rPr>
                <w:rFonts w:hint="eastAsia" w:cs="华文中宋" w:asciiTheme="minorEastAsia" w:hAnsiTheme="minorEastAsia" w:eastAsiaTheme="minorEastAsia"/>
                <w:color w:val="000000"/>
                <w:sz w:val="24"/>
              </w:rPr>
              <w:t>玻璃钢格栅钢格板</w:t>
            </w:r>
          </w:p>
        </w:tc>
        <w:tc>
          <w:tcPr>
            <w:tcW w:w="2820" w:type="dxa"/>
            <w:vAlign w:val="center"/>
          </w:tcPr>
          <w:p>
            <w:pPr>
              <w:jc w:val="left"/>
              <w:rPr>
                <w:rFonts w:ascii="宋体" w:hAnsi="宋体"/>
                <w:kern w:val="0"/>
                <w:sz w:val="22"/>
                <w:szCs w:val="18"/>
              </w:rPr>
            </w:pPr>
            <w:r>
              <w:rPr>
                <w:rFonts w:hint="eastAsia" w:ascii="宋体" w:hAnsi="宋体"/>
                <w:kern w:val="0"/>
                <w:sz w:val="22"/>
                <w:szCs w:val="18"/>
              </w:rPr>
              <w:t>产品材质应为玻璃纤维；树脂；钙粉；色浆组成.</w:t>
            </w:r>
          </w:p>
          <w:p>
            <w:pPr>
              <w:rPr>
                <w:rFonts w:hint="eastAsia" w:ascii="宋体" w:hAnsi="宋体" w:eastAsia="宋体"/>
                <w:kern w:val="0"/>
                <w:sz w:val="22"/>
                <w:szCs w:val="18"/>
                <w:lang w:eastAsia="zh-CN"/>
              </w:rPr>
            </w:pPr>
            <w:r>
              <w:rPr>
                <w:rFonts w:hint="eastAsia" w:ascii="宋体" w:hAnsi="宋体"/>
                <w:kern w:val="0"/>
                <w:sz w:val="22"/>
                <w:szCs w:val="18"/>
              </w:rPr>
              <w:t>产品特性：耐腐蚀；防滑；绝缘阻燃；安装便捷；持久耐用</w:t>
            </w:r>
            <w:r>
              <w:rPr>
                <w:rFonts w:hint="eastAsia" w:ascii="宋体" w:hAnsi="宋体"/>
                <w:kern w:val="0"/>
                <w:sz w:val="22"/>
                <w:szCs w:val="18"/>
                <w:lang w:eastAsia="zh-CN"/>
              </w:rPr>
              <w:t>。</w:t>
            </w:r>
          </w:p>
          <w:p>
            <w:pPr>
              <w:pStyle w:val="6"/>
            </w:pPr>
            <w:r>
              <w:rPr>
                <w:rFonts w:hint="eastAsia" w:ascii="宋体" w:hAnsi="宋体" w:eastAsia="宋体" w:cs="Times New Roman"/>
                <w:kern w:val="0"/>
                <w:sz w:val="22"/>
                <w:szCs w:val="18"/>
                <w:lang w:val="en-US" w:eastAsia="zh-CN" w:bidi="ar-SA"/>
              </w:rPr>
              <w:t>孔径尺寸38*38MM</w:t>
            </w:r>
          </w:p>
        </w:tc>
        <w:tc>
          <w:tcPr>
            <w:tcW w:w="2865" w:type="dxa"/>
            <w:vAlign w:val="center"/>
          </w:tcPr>
          <w:p>
            <w:pPr>
              <w:pStyle w:val="6"/>
              <w:rPr>
                <w:rFonts w:hint="eastAsia" w:ascii="宋体" w:hAnsi="宋体" w:eastAsia="宋体" w:cs="Times New Roman"/>
                <w:kern w:val="0"/>
                <w:sz w:val="22"/>
                <w:szCs w:val="18"/>
                <w:lang w:val="en-US" w:eastAsia="zh-CN" w:bidi="ar-SA"/>
              </w:rPr>
            </w:pPr>
            <w:r>
              <w:rPr>
                <w:rFonts w:hint="eastAsia" w:ascii="宋体" w:hAnsi="宋体" w:eastAsia="宋体" w:cs="Times New Roman"/>
                <w:kern w:val="0"/>
                <w:sz w:val="22"/>
                <w:szCs w:val="18"/>
                <w:lang w:val="en-US" w:eastAsia="zh-CN" w:bidi="ar-SA"/>
              </w:rPr>
              <w:t>厚度不低于5mm</w:t>
            </w:r>
          </w:p>
          <w:p>
            <w:pPr>
              <w:pStyle w:val="5"/>
              <w:rPr>
                <w:rFonts w:hint="eastAsia" w:ascii="宋体" w:hAnsi="宋体" w:cs="Times New Roman"/>
                <w:kern w:val="0"/>
                <w:sz w:val="22"/>
                <w:szCs w:val="18"/>
                <w:lang w:val="en-US" w:eastAsia="zh-CN" w:bidi="ar-SA"/>
              </w:rPr>
            </w:pPr>
            <w:r>
              <w:rPr>
                <w:rFonts w:hint="eastAsia" w:ascii="宋体" w:hAnsi="宋体" w:cs="Times New Roman"/>
                <w:kern w:val="0"/>
                <w:sz w:val="22"/>
                <w:szCs w:val="18"/>
                <w:lang w:val="en-US" w:eastAsia="zh-CN" w:bidi="ar-SA"/>
              </w:rPr>
              <w:t>宽80cm*高25mm需要约60m</w:t>
            </w:r>
          </w:p>
          <w:p>
            <w:pPr>
              <w:rPr>
                <w:rFonts w:hint="eastAsia" w:ascii="宋体" w:hAnsi="宋体" w:cs="Times New Roman"/>
                <w:kern w:val="0"/>
                <w:sz w:val="22"/>
                <w:szCs w:val="18"/>
                <w:lang w:val="en-US" w:eastAsia="zh-CN" w:bidi="ar-SA"/>
              </w:rPr>
            </w:pPr>
            <w:r>
              <w:rPr>
                <w:rFonts w:hint="eastAsia" w:ascii="宋体" w:hAnsi="宋体" w:cs="Times New Roman"/>
                <w:kern w:val="0"/>
                <w:sz w:val="22"/>
                <w:szCs w:val="18"/>
                <w:lang w:val="en-US" w:eastAsia="zh-CN" w:bidi="ar-SA"/>
              </w:rPr>
              <w:t>宽70cm*高25mm需要约150m</w:t>
            </w:r>
          </w:p>
          <w:p>
            <w:pPr>
              <w:rPr>
                <w:rFonts w:hint="eastAsia" w:ascii="宋体" w:hAnsi="宋体" w:cs="Times New Roman"/>
                <w:kern w:val="0"/>
                <w:sz w:val="22"/>
                <w:szCs w:val="18"/>
                <w:lang w:val="en-US" w:eastAsia="zh-CN" w:bidi="ar-SA"/>
              </w:rPr>
            </w:pPr>
            <w:r>
              <w:rPr>
                <w:rFonts w:hint="eastAsia" w:ascii="宋体" w:hAnsi="宋体" w:cs="Times New Roman"/>
                <w:kern w:val="0"/>
                <w:sz w:val="22"/>
                <w:szCs w:val="18"/>
                <w:lang w:val="en-US" w:eastAsia="zh-CN" w:bidi="ar-SA"/>
              </w:rPr>
              <w:t>宽50cm*高25mm需要约90m</w:t>
            </w:r>
          </w:p>
          <w:p>
            <w:pPr>
              <w:rPr>
                <w:rFonts w:hint="default" w:ascii="宋体" w:hAnsi="宋体" w:cs="Times New Roman"/>
                <w:kern w:val="0"/>
                <w:sz w:val="22"/>
                <w:szCs w:val="18"/>
                <w:lang w:val="en-US" w:eastAsia="zh-CN" w:bidi="ar-SA"/>
              </w:rPr>
            </w:pPr>
            <w:r>
              <w:rPr>
                <w:rFonts w:hint="eastAsia" w:ascii="宋体" w:hAnsi="宋体" w:cs="Times New Roman"/>
                <w:kern w:val="0"/>
                <w:sz w:val="22"/>
                <w:szCs w:val="18"/>
                <w:lang w:val="en-US" w:eastAsia="zh-CN" w:bidi="ar-SA"/>
              </w:rPr>
              <w:t>颜色由医院指定</w:t>
            </w:r>
          </w:p>
        </w:tc>
        <w:tc>
          <w:tcPr>
            <w:tcW w:w="2693" w:type="dxa"/>
            <w:vAlign w:val="center"/>
          </w:tcPr>
          <w:p>
            <w:pPr>
              <w:jc w:val="center"/>
              <w:rPr>
                <w:rFonts w:ascii="宋体" w:hAnsi="宋体"/>
                <w:kern w:val="0"/>
                <w:sz w:val="20"/>
              </w:rPr>
            </w:pPr>
            <w:r>
              <w:rPr>
                <w:rFonts w:ascii="宋体" w:hAnsi="宋体"/>
                <w:kern w:val="0"/>
                <w:sz w:val="20"/>
              </w:rPr>
              <w:drawing>
                <wp:inline distT="0" distB="0" distL="0" distR="0">
                  <wp:extent cx="1485900" cy="2657475"/>
                  <wp:effectExtent l="0" t="0" r="0" b="9525"/>
                  <wp:docPr id="4" name="图片 1" descr="C:\Users\Administrator\Documents\WeChat Files\zhujia867771\FileStorage\Temp\1743062767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WeChat Files\zhujia867771\FileStorage\Temp\1743062767752.png"/>
                          <pic:cNvPicPr>
                            <a:picLocks noChangeAspect="1" noChangeArrowheads="1"/>
                          </pic:cNvPicPr>
                        </pic:nvPicPr>
                        <pic:blipFill>
                          <a:blip r:embed="rId6" cstate="print"/>
                          <a:srcRect/>
                          <a:stretch>
                            <a:fillRect/>
                          </a:stretch>
                        </pic:blipFill>
                        <pic:spPr>
                          <a:xfrm>
                            <a:off x="0" y="0"/>
                            <a:ext cx="1485900" cy="2657475"/>
                          </a:xfrm>
                          <a:prstGeom prst="rect">
                            <a:avLst/>
                          </a:prstGeom>
                          <a:noFill/>
                          <a:ln w="9525">
                            <a:noFill/>
                            <a:miter lim="800000"/>
                            <a:headEnd/>
                            <a:tailEnd/>
                          </a:ln>
                        </pic:spPr>
                      </pic:pic>
                    </a:graphicData>
                  </a:graphic>
                </wp:inline>
              </w:drawing>
            </w:r>
          </w:p>
        </w:tc>
      </w:tr>
    </w:tbl>
    <w:p>
      <w:pPr>
        <w:pStyle w:val="14"/>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玻璃钢格栅钢格板采购项目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ascii="宋体" w:hAnsi="宋体"/>
          <w:b/>
          <w:sz w:val="36"/>
          <w:szCs w:val="36"/>
        </w:rPr>
      </w:pPr>
      <w:bookmarkStart w:id="1" w:name="_Toc20823315"/>
      <w:bookmarkStart w:id="2" w:name="_Toc16938559"/>
      <w:bookmarkStart w:id="3" w:name="_Toc513029243"/>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玻璃钢格栅钢格板采购项目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2025013</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 w:val="0"/>
                <w:bCs/>
                <w:spacing w:val="20"/>
                <w:sz w:val="24"/>
                <w:lang w:val="en-US" w:eastAsia="zh-CN"/>
              </w:rPr>
              <w:t>3、</w:t>
            </w:r>
            <w:r>
              <w:rPr>
                <w:rFonts w:hint="eastAsia" w:hAnsi="宋体"/>
                <w:sz w:val="24"/>
              </w:rPr>
              <w:t>付款方式为按甲方要求</w:t>
            </w:r>
            <w:r>
              <w:rPr>
                <w:rFonts w:hint="eastAsia" w:hAnsi="宋体"/>
                <w:sz w:val="24"/>
                <w:lang w:val="en-US" w:eastAsia="zh-CN"/>
              </w:rPr>
              <w:t>完成</w:t>
            </w:r>
            <w:r>
              <w:rPr>
                <w:rFonts w:hint="eastAsia" w:hAnsi="宋体"/>
                <w:sz w:val="24"/>
                <w:lang w:eastAsia="zh-CN"/>
              </w:rPr>
              <w:t>玻璃钢格栅钢格板</w:t>
            </w:r>
            <w:r>
              <w:rPr>
                <w:rFonts w:hint="eastAsia" w:hAnsi="宋体"/>
                <w:sz w:val="24"/>
                <w:lang w:val="en-US" w:eastAsia="zh-CN"/>
              </w:rPr>
              <w:t>供货后</w:t>
            </w:r>
            <w:r>
              <w:rPr>
                <w:rFonts w:hint="eastAsia" w:hAnsi="宋体"/>
                <w:sz w:val="24"/>
              </w:rPr>
              <w:t>，乙方凭甲方的验收单及开具的正规增值税发票等材料向甲方办理付款手续，甲方凭手续齐全的票据向乙方支付</w:t>
            </w:r>
            <w:r>
              <w:rPr>
                <w:rFonts w:hint="eastAsia" w:hAnsi="宋体"/>
                <w:sz w:val="24"/>
                <w:lang w:val="en-US" w:eastAsia="zh-CN"/>
              </w:rPr>
              <w:t>相关</w:t>
            </w:r>
            <w:bookmarkStart w:id="4" w:name="_GoBack"/>
            <w:bookmarkEnd w:id="4"/>
            <w:r>
              <w:rPr>
                <w:rFonts w:hint="eastAsia" w:hAnsi="宋体"/>
                <w:sz w:val="24"/>
              </w:rPr>
              <w:t>费用。</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hAnsi="宋体"/>
                <w:sz w:val="24"/>
              </w:rPr>
              <w:t>交货时间和地点</w:t>
            </w:r>
            <w:r>
              <w:rPr>
                <w:rFonts w:hint="eastAsia" w:hAnsi="宋体"/>
                <w:sz w:val="24"/>
                <w:lang w:eastAsia="zh-CN"/>
              </w:rPr>
              <w:t>：</w:t>
            </w:r>
            <w:r>
              <w:rPr>
                <w:rFonts w:hint="eastAsia" w:hAnsi="宋体"/>
                <w:sz w:val="24"/>
                <w:lang w:val="en-US" w:eastAsia="zh-CN"/>
              </w:rPr>
              <w:t>供货</w:t>
            </w:r>
            <w:r>
              <w:rPr>
                <w:rFonts w:hint="eastAsia" w:hAnsi="宋体"/>
                <w:sz w:val="24"/>
              </w:rPr>
              <w:t>方在</w:t>
            </w:r>
            <w:r>
              <w:rPr>
                <w:rFonts w:hint="eastAsia" w:hAnsi="宋体"/>
                <w:sz w:val="24"/>
                <w:lang w:val="en-US" w:eastAsia="zh-CN"/>
              </w:rPr>
              <w:t>接到采购方</w:t>
            </w:r>
            <w:r>
              <w:rPr>
                <w:rFonts w:hint="eastAsia" w:hAnsi="宋体"/>
                <w:sz w:val="24"/>
              </w:rPr>
              <w:t>通知</w:t>
            </w:r>
            <w:r>
              <w:rPr>
                <w:rFonts w:hint="eastAsia" w:hAnsi="宋体"/>
                <w:sz w:val="24"/>
                <w:lang w:val="en-US" w:eastAsia="zh-CN"/>
              </w:rPr>
              <w:t>10</w:t>
            </w:r>
            <w:r>
              <w:rPr>
                <w:rFonts w:hint="eastAsia" w:hAnsi="宋体"/>
                <w:sz w:val="24"/>
              </w:rPr>
              <w:t>个工作日内完成按甲方要求</w:t>
            </w:r>
            <w:r>
              <w:rPr>
                <w:rFonts w:hint="eastAsia" w:hAnsi="宋体"/>
                <w:sz w:val="24"/>
                <w:lang w:val="en-US" w:eastAsia="zh-CN"/>
              </w:rPr>
              <w:t>完成</w:t>
            </w:r>
            <w:r>
              <w:rPr>
                <w:rFonts w:hint="eastAsia" w:hAnsi="宋体"/>
                <w:sz w:val="24"/>
                <w:lang w:eastAsia="zh-CN"/>
              </w:rPr>
              <w:t>玻璃钢格栅钢格板采购项目</w:t>
            </w:r>
            <w:r>
              <w:rPr>
                <w:rFonts w:hint="eastAsia" w:hAnsi="宋体"/>
                <w:sz w:val="24"/>
                <w:lang w:val="en-US" w:eastAsia="zh-CN"/>
              </w:rPr>
              <w:t>交付使用</w:t>
            </w:r>
            <w:r>
              <w:rPr>
                <w:rFonts w:hint="eastAsia" w:hAnsi="宋体"/>
                <w:sz w:val="24"/>
              </w:rPr>
              <w:t>。</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15"/>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15637FD"/>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50E5751"/>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3970</Words>
  <Characters>4332</Characters>
  <Lines>52</Lines>
  <Paragraphs>14</Paragraphs>
  <TotalTime>10</TotalTime>
  <ScaleCrop>false</ScaleCrop>
  <LinksUpToDate>false</LinksUpToDate>
  <CharactersWithSpaces>4820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2025-04-02T07:18:14Z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