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YDFYXJ-2025010</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adjustRightInd w:val="0"/>
        <w:snapToGrid w:val="0"/>
        <w:spacing w:line="800" w:lineRule="exact"/>
        <w:contextualSpacing/>
        <w:jc w:val="center"/>
        <w:rPr>
          <w:rFonts w:hint="default" w:ascii="宋体" w:hAnsi="宋体" w:cs="宋体"/>
          <w:b/>
          <w:snapToGrid w:val="0"/>
          <w:kern w:val="0"/>
          <w:sz w:val="44"/>
          <w:szCs w:val="44"/>
          <w:highlight w:val="none"/>
          <w:lang w:val="en-US" w:eastAsia="zh-CN"/>
        </w:rPr>
      </w:pPr>
      <w:r>
        <w:rPr>
          <w:rFonts w:hint="eastAsia" w:ascii="宋体" w:hAnsi="宋体" w:cs="宋体"/>
          <w:b/>
          <w:snapToGrid w:val="0"/>
          <w:kern w:val="0"/>
          <w:sz w:val="44"/>
          <w:szCs w:val="44"/>
          <w:highlight w:val="none"/>
          <w:lang w:val="en-US" w:eastAsia="zh-CN"/>
        </w:rPr>
        <w:t>2025年度锅炉年检及维保服务项目（三次）</w:t>
      </w:r>
    </w:p>
    <w:p>
      <w:pPr>
        <w:adjustRightInd w:val="0"/>
        <w:snapToGrid w:val="0"/>
        <w:spacing w:line="800" w:lineRule="exact"/>
        <w:contextualSpacing/>
        <w:jc w:val="center"/>
        <w:rPr>
          <w:b/>
          <w:sz w:val="44"/>
          <w:szCs w:val="44"/>
          <w:highlight w:val="none"/>
        </w:rPr>
      </w:pPr>
      <w:r>
        <w:rPr>
          <w:rFonts w:hint="eastAsia"/>
          <w:b/>
          <w:sz w:val="44"/>
          <w:szCs w:val="44"/>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highlight w:val="none"/>
          <w:lang w:eastAsia="zh-CN"/>
        </w:rPr>
        <w:t>2025</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4</w:t>
      </w:r>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月</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3</w:t>
      </w:r>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2025年度锅炉年检及维保服务项目（三次）</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YDFYXJ-2025010</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2025年度锅炉年检及维保服务项目（三次）</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2.4</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hint="default" w:ascii="宋体" w:hAnsi="宋体" w:eastAsia="宋体"/>
          <w:sz w:val="24"/>
          <w:lang w:val="en-US" w:eastAsia="zh-CN"/>
        </w:rPr>
      </w:pPr>
      <w:r>
        <w:rPr>
          <w:rFonts w:hint="eastAsia" w:ascii="宋体" w:hAnsi="宋体"/>
          <w:sz w:val="24"/>
          <w:lang w:val="en-US" w:eastAsia="zh-CN"/>
        </w:rPr>
        <w:t>4.2投标人持有有效的特种设备安装改造维修许可证（锅炉安装维修）或具有有效的《中华人民共和国特种设备生产许可证》（许可项目包含锅炉制造、安装、维修、修理、改造其中一项即可）。</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lang w:eastAsia="zh-CN"/>
        </w:rPr>
        <w:t>2025</w:t>
      </w:r>
      <w:r>
        <w:rPr>
          <w:rFonts w:hint="eastAsia" w:ascii="宋体" w:hAnsi="宋体"/>
          <w:b/>
          <w:sz w:val="24"/>
          <w:highlight w:val="none"/>
        </w:rPr>
        <w:t>年</w:t>
      </w:r>
      <w:r>
        <w:rPr>
          <w:rFonts w:hint="eastAsia" w:ascii="宋体" w:hAnsi="宋体"/>
          <w:b/>
          <w:sz w:val="24"/>
          <w:highlight w:val="none"/>
          <w:lang w:val="en-US" w:eastAsia="zh-CN"/>
        </w:rPr>
        <w:t>4</w:t>
      </w:r>
      <w:r>
        <w:rPr>
          <w:rFonts w:hint="eastAsia" w:ascii="宋体" w:hAnsi="宋体"/>
          <w:b/>
          <w:sz w:val="24"/>
          <w:highlight w:val="none"/>
        </w:rPr>
        <w:t>月</w:t>
      </w:r>
      <w:r>
        <w:rPr>
          <w:rFonts w:hint="eastAsia" w:ascii="宋体" w:hAnsi="宋体"/>
          <w:b/>
          <w:sz w:val="24"/>
          <w:highlight w:val="none"/>
          <w:lang w:val="en-US" w:eastAsia="zh-CN"/>
        </w:rPr>
        <w:t>11</w:t>
      </w:r>
      <w:r>
        <w:rPr>
          <w:rFonts w:hint="eastAsia" w:ascii="宋体" w:hAnsi="宋体"/>
          <w:b/>
          <w:sz w:val="24"/>
          <w:highlight w:val="none"/>
        </w:rPr>
        <w:t>日</w:t>
      </w:r>
      <w:r>
        <w:rPr>
          <w:rFonts w:hint="eastAsia" w:ascii="宋体" w:hAnsi="宋体"/>
          <w:b/>
          <w:sz w:val="24"/>
          <w:highlight w:val="none"/>
          <w:lang w:val="en-US" w:eastAsia="zh-CN"/>
        </w:rPr>
        <w:t>14</w:t>
      </w:r>
      <w:bookmarkStart w:id="4" w:name="_GoBack"/>
      <w:bookmarkEnd w:id="4"/>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2025年度锅炉年检及维保服务项目（三次）</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2025年度锅炉年检及维保服务项目（三次）</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2025</w:t>
      </w:r>
      <w:r>
        <w:rPr>
          <w:rFonts w:hint="eastAsia" w:cs="微软雅黑"/>
          <w:b/>
          <w:highlight w:val="none"/>
        </w:rPr>
        <w:t>年</w:t>
      </w:r>
      <w:r>
        <w:rPr>
          <w:rFonts w:hint="eastAsia" w:cs="微软雅黑"/>
          <w:b/>
          <w:highlight w:val="none"/>
          <w:lang w:val="en-US" w:eastAsia="zh-CN"/>
        </w:rPr>
        <w:t>4</w:t>
      </w:r>
      <w:r>
        <w:rPr>
          <w:rFonts w:hint="eastAsia" w:cs="微软雅黑"/>
          <w:b/>
          <w:highlight w:val="none"/>
        </w:rPr>
        <w:t>月</w:t>
      </w:r>
      <w:r>
        <w:rPr>
          <w:rFonts w:hint="eastAsia" w:cs="微软雅黑"/>
          <w:b/>
          <w:highlight w:val="none"/>
          <w:lang w:val="en-US" w:eastAsia="zh-CN"/>
        </w:rPr>
        <w:t>11</w:t>
      </w:r>
      <w:r>
        <w:rPr>
          <w:rFonts w:hint="eastAsia" w:cs="微软雅黑"/>
          <w:b/>
          <w:highlight w:val="none"/>
        </w:rPr>
        <w:t>日</w:t>
      </w:r>
      <w:r>
        <w:rPr>
          <w:rFonts w:hint="eastAsia"/>
          <w:b/>
          <w:sz w:val="24"/>
          <w:highlight w:val="none"/>
          <w:lang w:val="en-US" w:eastAsia="zh-CN"/>
        </w:rPr>
        <w:t>14</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hint="eastAsia" w:ascii="宋体" w:hAnsi="宋体"/>
          <w:b/>
          <w:sz w:val="24"/>
          <w:highlight w:val="none"/>
          <w:lang w:eastAsia="zh-CN"/>
        </w:rPr>
        <w:t>2025</w:t>
      </w:r>
      <w:r>
        <w:rPr>
          <w:rStyle w:val="33"/>
          <w:rFonts w:ascii="宋体" w:hAnsi="宋体"/>
          <w:b/>
          <w:sz w:val="24"/>
          <w:highlight w:val="none"/>
        </w:rPr>
        <w:t>年</w:t>
      </w:r>
      <w:r>
        <w:rPr>
          <w:rStyle w:val="33"/>
          <w:rFonts w:hint="eastAsia" w:ascii="宋体" w:hAnsi="宋体"/>
          <w:b/>
          <w:sz w:val="24"/>
          <w:highlight w:val="none"/>
          <w:lang w:val="en-US" w:eastAsia="zh-CN"/>
        </w:rPr>
        <w:t>4</w:t>
      </w:r>
      <w:r>
        <w:rPr>
          <w:rStyle w:val="33"/>
          <w:rFonts w:ascii="宋体" w:hAnsi="宋体"/>
          <w:b/>
          <w:sz w:val="24"/>
          <w:highlight w:val="none"/>
        </w:rPr>
        <w:t>月</w:t>
      </w:r>
      <w:r>
        <w:rPr>
          <w:rStyle w:val="33"/>
          <w:rFonts w:hint="eastAsia" w:ascii="宋体" w:hAnsi="宋体"/>
          <w:b/>
          <w:sz w:val="24"/>
          <w:highlight w:val="none"/>
          <w:lang w:val="en-US" w:eastAsia="zh-CN"/>
        </w:rPr>
        <w:t>11</w:t>
      </w:r>
      <w:r>
        <w:rPr>
          <w:rStyle w:val="33"/>
          <w:rFonts w:ascii="宋体" w:hAnsi="宋体"/>
          <w:b/>
          <w:sz w:val="24"/>
          <w:highlight w:val="none"/>
        </w:rPr>
        <w:t>日</w:t>
      </w:r>
      <w:r>
        <w:rPr>
          <w:rFonts w:hint="eastAsia" w:ascii="宋体" w:hAnsi="宋体"/>
          <w:b/>
          <w:sz w:val="24"/>
          <w:highlight w:val="none"/>
          <w:lang w:val="en-US" w:eastAsia="zh-CN"/>
        </w:rPr>
        <w:t>14</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412</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2025</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4</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11</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14</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20.集中现场查勘</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集中查勘时间：2025年</w:t>
      </w:r>
      <w:r>
        <w:rPr>
          <w:rFonts w:hint="eastAsia" w:ascii="宋体" w:hAnsi="宋体" w:cs="宋体"/>
          <w:snapToGrid w:val="0"/>
          <w:spacing w:val="-4"/>
          <w:kern w:val="0"/>
          <w:sz w:val="24"/>
          <w:lang w:val="en-US" w:eastAsia="zh-CN"/>
        </w:rPr>
        <w:t>4</w:t>
      </w:r>
      <w:r>
        <w:rPr>
          <w:rFonts w:hint="eastAsia" w:ascii="宋体" w:hAnsi="宋体" w:cs="宋体"/>
          <w:snapToGrid w:val="0"/>
          <w:spacing w:val="-4"/>
          <w:kern w:val="0"/>
          <w:sz w:val="24"/>
        </w:rPr>
        <w:t>月</w:t>
      </w:r>
      <w:r>
        <w:rPr>
          <w:rFonts w:hint="eastAsia" w:ascii="宋体" w:hAnsi="宋体" w:cs="宋体"/>
          <w:snapToGrid w:val="0"/>
          <w:spacing w:val="-4"/>
          <w:kern w:val="0"/>
          <w:sz w:val="24"/>
          <w:lang w:val="en-US" w:eastAsia="zh-CN"/>
        </w:rPr>
        <w:t>10</w:t>
      </w:r>
      <w:r>
        <w:rPr>
          <w:rFonts w:hint="eastAsia" w:ascii="宋体" w:hAnsi="宋体" w:cs="宋体"/>
          <w:snapToGrid w:val="0"/>
          <w:spacing w:val="-4"/>
          <w:kern w:val="0"/>
          <w:sz w:val="24"/>
        </w:rPr>
        <w:t>日上午9:30</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现场对接人：曹老师</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联系电话：18205271898</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w:t>
      </w:r>
      <w:r>
        <w:rPr>
          <w:rFonts w:hint="eastAsia" w:ascii="宋体" w:hAnsi="宋体" w:cs="宋体"/>
          <w:snapToGrid w:val="0"/>
          <w:kern w:val="0"/>
          <w:sz w:val="24"/>
          <w:lang w:val="en-US" w:eastAsia="zh-CN"/>
        </w:rPr>
        <w:t>1</w:t>
      </w:r>
      <w:r>
        <w:rPr>
          <w:rFonts w:hint="eastAsia" w:ascii="宋体" w:hAnsi="宋体" w:cs="宋体"/>
          <w:snapToGrid w:val="0"/>
          <w:kern w:val="0"/>
          <w:sz w:val="24"/>
        </w:rPr>
        <w:t>.如有疑问，请贵方与采购人联络。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2025年度锅炉年检及维保服务项目（三次）</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YDFYXJ-2025010</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2.4</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spacing w:line="440" w:lineRule="exact"/>
        <w:jc w:val="left"/>
        <w:rPr>
          <w:rFonts w:ascii="宋体" w:hAnsi="宋体" w:eastAsia="宋体" w:cs="宋体"/>
          <w:sz w:val="22"/>
        </w:rPr>
      </w:pPr>
      <w:r>
        <w:rPr>
          <w:rFonts w:hint="eastAsia" w:ascii="宋体" w:hAnsi="宋体" w:eastAsia="宋体" w:cs="宋体"/>
          <w:sz w:val="22"/>
        </w:rPr>
        <w:t>一号炉（四吨）</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1.拆装前后烟箱，重砌耐火墙，清理炉膛。（包含材料）</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2.通烟管。</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3.拆装压力表，并校验合格。（如遇需要更换压力表，需提供符合国标的压力表，三通等）</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4.拆装校验安全阀。</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5.清洗并吹扫压力表弯管。</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6.拆装清洗两侧水位计。清理管道。</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7.清洗燃气管道滤网。</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8.清理电控柜，排查线路，校验安全联动系统。</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9.燃烧器校验。</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10.拆装人手孔，查看锅炉内部情况，有无破损及脱落，修理炉膛并清理烟管等。（如需修理炉膛，需包含材料）</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11.排污阀更换。（包含阀门）</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12.更换腐蚀的排污管道更换。（包含管道）</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13.锅炉水质送检，并出具合格的检验报告。</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14.取样器管道修复</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15.锅炉外部检测，内部检测 ，并出具报告。</w:t>
      </w:r>
    </w:p>
    <w:p>
      <w:pPr>
        <w:spacing w:line="440" w:lineRule="exact"/>
        <w:jc w:val="left"/>
        <w:rPr>
          <w:rFonts w:ascii="宋体" w:hAnsi="宋体" w:eastAsia="宋体" w:cs="宋体"/>
          <w:sz w:val="22"/>
        </w:rPr>
      </w:pPr>
      <w:r>
        <w:rPr>
          <w:rFonts w:hint="eastAsia" w:ascii="宋体" w:hAnsi="宋体" w:eastAsia="宋体" w:cs="宋体"/>
          <w:sz w:val="22"/>
        </w:rPr>
        <w:t>二号炉（两吨）</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1.拆装前后烟箱，重砌耐火墙，清理炉膛。（包含材料）</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2.通烟管。</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3.拆装压力表，并校验合格。（如遇需要更换压力表，需提供 符合国标的压力表，三通等）</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4.拆装校验安全阀。</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5.清洗并吹扫压力表弯管。</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6. 拆装清洗两侧水位计，清理管道。</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7.清洗水位计缓冲器。清理探针污垢。</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8.清洗燃气管道滤网。</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9.清理电控柜，排查线路，校验安全联动系统。</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10.燃烧器校验。</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11.拆装人手孔，查看锅炉内部情况，有无破损及脱落，修理炉膛并清理烟管等。（如需修理炉膛，需包含材料。）</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12.更换排污阀门。（包含阀门）</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13. 更换腐蚀的排污管道更换。（包含管道）</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14.锅炉水质送检，并出具合格的检测报告。</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15.锅炉外部检测，并出具合格的检测报告。</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16.分汽缸阀门检修。</w:t>
      </w:r>
    </w:p>
    <w:p>
      <w:pPr>
        <w:pStyle w:val="30"/>
        <w:spacing w:line="440" w:lineRule="exact"/>
        <w:ind w:left="660" w:firstLine="0" w:firstLineChars="0"/>
        <w:jc w:val="left"/>
        <w:rPr>
          <w:rFonts w:hint="eastAsia"/>
          <w:sz w:val="24"/>
          <w:szCs w:val="24"/>
          <w:lang w:val="en-US" w:eastAsia="zh-CN"/>
        </w:rPr>
      </w:pPr>
      <w:r>
        <w:rPr>
          <w:rFonts w:hint="eastAsia" w:ascii="宋体" w:hAnsi="宋体" w:eastAsia="宋体" w:cs="宋体"/>
          <w:sz w:val="22"/>
        </w:rPr>
        <w:t>17.分汽缸检测，并出具年检报告。</w:t>
      </w:r>
    </w:p>
    <w:p>
      <w:pPr>
        <w:numPr>
          <w:ilvl w:val="0"/>
          <w:numId w:val="0"/>
        </w:numPr>
        <w:ind w:leftChars="0"/>
        <w:rPr>
          <w:rFonts w:hint="default"/>
          <w:sz w:val="24"/>
          <w:szCs w:val="24"/>
          <w:lang w:val="en-US"/>
        </w:rPr>
      </w:pPr>
      <w:r>
        <w:rPr>
          <w:rFonts w:hint="eastAsia"/>
          <w:sz w:val="24"/>
          <w:szCs w:val="24"/>
          <w:lang w:val="en-US" w:eastAsia="zh-CN"/>
        </w:rPr>
        <w:t>注：所有更换的材料配件质保2年，2年内免费换新。</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3.4其他服务。</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4.服务要求</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4.1现场条件</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（1）已具备实施条件，但项目实施不能影响医院正常的医疗工作。</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2）采购人组织现场踏勘，供应商应对现场和周围环境进行踏勘和了解，以获取有关编制响应文件和签署合同所需的各种资料，并应充分考虑影响本次报价的因素、预计实施过程中各种不利因素，由此可能发生的费用均由供应商考虑并包含在报价中。成交后，供应商不得再以不完全了解现场情况等为理由而提出额外付款或延长服务期等的要求，若有此类要求，采购人将不作任何答复与考虑，供应商应承担现场踏勘的责任和风险，踏勘现场的费用由供应商自行承担。</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4.2本项目实施过程中，成交商必须采取各项安全措施保证安全，本项目实施过程中的一切安全责任均由成交商承担。</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4.3成交商在施工期间不得损坏采购人财产。如因成交商工作人员疏忽而导致设备遗失或损坏的，由成交商承担赔偿责任。</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5.维修保养应达到的安全标准</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乙方应以新设备的安全标准维护甲方的锅炉，标准应符合国家锅炉安全标准和该锅炉生产厂家锅炉安全标准。甲方有新的要求或政府有关法规改变时，涉及该锅炉生产厂家锅炉安全标准变更时，乙方应该执行。甲方提出与锅炉有关的改造时，乙方需无条件配合。</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6.配件维修更换</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乙方提供的所有零部件必须与所维保锅炉完全匹配的原品牌，并经甲方认可的崭新零部件，以确保达到维修保养要求和标准。</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7.年检</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乙方协助甲方向特种设备质检部门申报办理锅炉年检工作，并保证年检合格，年检费用由乙方支付。如因乙方原因一次检验不合格，整改费用及复检费也由乙方承担。</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2025年度锅炉年检及维保服务项目（三次）</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YDFYXJ-2025010</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2025</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（邮箱：hoytyzdx@qq.com，固定电话：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2"/>
        <w:ind w:left="0" w:leftChars="0" w:firstLine="0" w:firstLine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20823315"/>
      <w:bookmarkStart w:id="2" w:name="_Toc16938559"/>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jc w:val="center"/>
        <w:textAlignment w:val="auto"/>
        <w:rPr>
          <w:rFonts w:hint="eastAsia" w:hAnsi="宋体"/>
          <w:b/>
          <w:sz w:val="36"/>
          <w:szCs w:val="36"/>
          <w:lang w:val="en-US" w:eastAsia="zh-CN"/>
        </w:rPr>
      </w:pPr>
      <w:r>
        <w:rPr>
          <w:rFonts w:hint="eastAsia" w:hAnsi="宋体"/>
          <w:b/>
          <w:sz w:val="36"/>
          <w:szCs w:val="36"/>
          <w:lang w:val="en-US" w:eastAsia="zh-CN"/>
        </w:rPr>
        <w:t>采购订单</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2025年度锅炉年检及维保服务项目（三次）</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val="en-US" w:eastAsia="zh-CN"/>
        </w:rPr>
        <w:t>订单</w:t>
      </w:r>
      <w:r>
        <w:rPr>
          <w:rFonts w:hint="eastAsia" w:hAnsi="宋体" w:cs="宋体"/>
          <w:sz w:val="24"/>
          <w:highlight w:val="none"/>
        </w:rPr>
        <w:t>编号：</w:t>
      </w:r>
      <w:r>
        <w:rPr>
          <w:rFonts w:hint="eastAsia" w:hAnsi="宋体" w:cs="宋体"/>
          <w:b/>
          <w:bCs/>
          <w:sz w:val="24"/>
          <w:highlight w:val="none"/>
          <w:lang w:eastAsia="zh-CN"/>
        </w:rPr>
        <w:t>YDFYXJ-2025010</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lang w:val="en-US" w:eastAsia="zh-CN"/>
        </w:rPr>
        <w:t>采购方</w:t>
      </w:r>
      <w:r>
        <w:rPr>
          <w:rFonts w:hint="eastAsia" w:ascii="宋体" w:hAnsi="宋体" w:cs="宋体"/>
          <w:sz w:val="24"/>
        </w:rPr>
        <w:t>：</w:t>
      </w:r>
      <w:r>
        <w:rPr>
          <w:rFonts w:hint="eastAsia" w:ascii="宋体" w:hAnsi="宋体" w:cs="宋体"/>
          <w:b/>
          <w:color w:val="000000"/>
          <w:kern w:val="0"/>
          <w:sz w:val="24"/>
        </w:rPr>
        <w:t>扬州大学附属医院</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lang w:val="en-US" w:eastAsia="zh-CN"/>
        </w:rPr>
        <w:t>供货方</w:t>
      </w:r>
      <w:r>
        <w:rPr>
          <w:rFonts w:hint="eastAsia" w:ascii="宋体" w:hAnsi="宋体" w:cs="宋体"/>
          <w:sz w:val="24"/>
        </w:rPr>
        <w:t>：</w:t>
      </w:r>
      <w:r>
        <w:rPr>
          <w:rFonts w:hint="eastAsia" w:ascii="宋体" w:hAnsi="宋体" w:cs="宋体"/>
          <w:b/>
          <w:bCs/>
          <w:sz w:val="24"/>
          <w:lang w:val="en-US" w:eastAsia="zh-CN"/>
        </w:rPr>
        <w:t xml:space="preserve"> </w:t>
      </w:r>
    </w:p>
    <w:tbl>
      <w:tblPr>
        <w:tblStyle w:val="18"/>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797"/>
        <w:gridCol w:w="1478"/>
        <w:gridCol w:w="720"/>
        <w:gridCol w:w="780"/>
        <w:gridCol w:w="919"/>
        <w:gridCol w:w="1045"/>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序号</w:t>
            </w:r>
          </w:p>
        </w:tc>
        <w:tc>
          <w:tcPr>
            <w:tcW w:w="1797"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商品/服务名称</w:t>
            </w:r>
          </w:p>
        </w:tc>
        <w:tc>
          <w:tcPr>
            <w:tcW w:w="1478"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型号及配置</w:t>
            </w:r>
          </w:p>
        </w:tc>
        <w:tc>
          <w:tcPr>
            <w:tcW w:w="720"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单位</w:t>
            </w:r>
          </w:p>
        </w:tc>
        <w:tc>
          <w:tcPr>
            <w:tcW w:w="780"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数量</w:t>
            </w:r>
          </w:p>
        </w:tc>
        <w:tc>
          <w:tcPr>
            <w:tcW w:w="919"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单价（元）</w:t>
            </w:r>
          </w:p>
        </w:tc>
        <w:tc>
          <w:tcPr>
            <w:tcW w:w="1045"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总价（元）</w:t>
            </w:r>
          </w:p>
        </w:tc>
        <w:tc>
          <w:tcPr>
            <w:tcW w:w="1456"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45"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1</w:t>
            </w:r>
          </w:p>
        </w:tc>
        <w:tc>
          <w:tcPr>
            <w:tcW w:w="1797"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478"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2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8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19"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045"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456"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45"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2</w:t>
            </w:r>
          </w:p>
        </w:tc>
        <w:tc>
          <w:tcPr>
            <w:tcW w:w="1797"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478"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2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8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19"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045"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456"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340" w:type="dxa"/>
            <w:gridSpan w:val="8"/>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金额合计：</w:t>
            </w:r>
            <w:r>
              <w:rPr>
                <w:rFonts w:hint="eastAsia" w:ascii="宋体" w:hAnsi="宋体"/>
                <w:b/>
                <w:bCs/>
                <w:sz w:val="24"/>
                <w:u w:val="single"/>
              </w:rPr>
              <w:t>人民币元整（¥）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9340" w:type="dxa"/>
            <w:gridSpan w:val="8"/>
            <w:vAlign w:val="center"/>
          </w:tcPr>
          <w:p>
            <w:pPr>
              <w:adjustRightInd w:val="0"/>
              <w:snapToGrid w:val="0"/>
              <w:spacing w:line="340" w:lineRule="exact"/>
              <w:ind w:firstLine="480" w:firstLineChars="200"/>
              <w:contextualSpacing/>
              <w:jc w:val="left"/>
              <w:rPr>
                <w:rFonts w:hint="default" w:ascii="宋体" w:hAnsi="宋体"/>
                <w:sz w:val="24"/>
                <w:lang w:val="en-US" w:eastAsia="zh-CN"/>
              </w:rPr>
            </w:pPr>
            <w:r>
              <w:rPr>
                <w:rFonts w:hint="eastAsia" w:ascii="宋体" w:hAnsi="宋体"/>
                <w:sz w:val="24"/>
                <w:lang w:val="en-US" w:eastAsia="zh-CN"/>
              </w:rPr>
              <w:t>备注：</w:t>
            </w:r>
          </w:p>
          <w:p>
            <w:pPr>
              <w:adjustRightInd w:val="0"/>
              <w:snapToGrid w:val="0"/>
              <w:spacing w:line="440" w:lineRule="exact"/>
              <w:ind w:firstLine="480" w:firstLineChars="200"/>
              <w:contextualSpacing/>
              <w:jc w:val="left"/>
              <w:rPr>
                <w:sz w:val="24"/>
                <w:highlight w:val="none"/>
              </w:rPr>
            </w:pPr>
            <w:r>
              <w:rPr>
                <w:rFonts w:ascii="宋体" w:hAnsi="宋体"/>
                <w:sz w:val="24"/>
                <w:highlight w:val="none"/>
              </w:rPr>
              <w:t>1、订单要求：本项目的维护保养工作应遵循双方招投标文件中所规定的相关要求，持续执行直至项目内的2台锅炉均获得</w:t>
            </w:r>
            <w:r>
              <w:rPr>
                <w:rFonts w:hint="eastAsia" w:ascii="宋体" w:hAnsi="宋体"/>
                <w:sz w:val="24"/>
                <w:highlight w:val="none"/>
              </w:rPr>
              <w:t>江苏省特种设备安全监督检验研究院扬州分院</w:t>
            </w:r>
            <w:r>
              <w:rPr>
                <w:sz w:val="24"/>
                <w:highlight w:val="none"/>
              </w:rPr>
              <w:t>出具的</w:t>
            </w:r>
            <w:r>
              <w:rPr>
                <w:rFonts w:ascii="宋体" w:hAnsi="宋体"/>
                <w:sz w:val="24"/>
                <w:highlight w:val="none"/>
              </w:rPr>
              <w:t>合格检测报告。</w:t>
            </w:r>
          </w:p>
          <w:p>
            <w:pPr>
              <w:adjustRightInd w:val="0"/>
              <w:snapToGrid w:val="0"/>
              <w:spacing w:line="440" w:lineRule="exact"/>
              <w:ind w:firstLine="480" w:firstLineChars="200"/>
              <w:contextualSpacing/>
              <w:jc w:val="left"/>
              <w:rPr>
                <w:rFonts w:ascii="宋体" w:hAnsi="宋体" w:cs="宋体"/>
                <w:sz w:val="24"/>
              </w:rPr>
            </w:pPr>
            <w:r>
              <w:rPr>
                <w:rFonts w:hint="eastAsia" w:ascii="宋体" w:hAnsi="宋体"/>
                <w:bCs/>
                <w:sz w:val="24"/>
              </w:rPr>
              <w:t>2、订单金额</w:t>
            </w:r>
            <w:r>
              <w:rPr>
                <w:rFonts w:hint="eastAsia" w:hAnsi="宋体"/>
                <w:sz w:val="24"/>
              </w:rPr>
              <w:t>包含但不限于提供的增值税、各种税费、各种规费、</w:t>
            </w:r>
            <w:r>
              <w:rPr>
                <w:rFonts w:hint="eastAsia" w:hAnsi="宋体" w:cs="宋体"/>
                <w:sz w:val="24"/>
              </w:rPr>
              <w:t>产品费用、</w:t>
            </w:r>
            <w:r>
              <w:rPr>
                <w:rFonts w:hint="eastAsia" w:hAnsi="宋体"/>
                <w:sz w:val="24"/>
              </w:rPr>
              <w:t>材料费、安装费、检测费、维修费、运输费、装卸费、保险费、人工费、管理费、调试费、培训费、资料费、</w:t>
            </w:r>
            <w:r>
              <w:rPr>
                <w:rFonts w:hint="eastAsia" w:hAnsi="宋体"/>
                <w:snapToGrid w:val="0"/>
                <w:sz w:val="24"/>
              </w:rPr>
              <w:t>机械使用费、工具使用费、</w:t>
            </w:r>
            <w:r>
              <w:rPr>
                <w:rFonts w:hint="eastAsia" w:hAnsi="宋体" w:cs="宋体"/>
                <w:bCs/>
                <w:sz w:val="24"/>
              </w:rPr>
              <w:t>进品商品关税等进口环节税、政策性文件规定的各项应有费用</w:t>
            </w:r>
            <w:r>
              <w:rPr>
                <w:rFonts w:hint="eastAsia" w:hAnsi="宋体"/>
                <w:sz w:val="24"/>
              </w:rPr>
              <w:t>、质保期内的维保费</w:t>
            </w:r>
            <w:r>
              <w:rPr>
                <w:rFonts w:hint="eastAsia" w:hAnsi="宋体"/>
                <w:snapToGrid w:val="0"/>
                <w:sz w:val="24"/>
              </w:rPr>
              <w:t>等</w:t>
            </w:r>
            <w:r>
              <w:rPr>
                <w:rFonts w:hint="eastAsia" w:hAnsi="宋体"/>
                <w:sz w:val="24"/>
              </w:rPr>
              <w:t>直至</w:t>
            </w:r>
            <w:r>
              <w:rPr>
                <w:rFonts w:hint="eastAsia" w:hAnsi="宋体" w:cs="宋体"/>
                <w:sz w:val="24"/>
              </w:rPr>
              <w:t>完成</w:t>
            </w:r>
            <w:r>
              <w:rPr>
                <w:rFonts w:hint="eastAsia" w:hAnsi="宋体" w:cs="宋体"/>
                <w:bCs/>
                <w:sz w:val="24"/>
              </w:rPr>
              <w:t>本项目发生的</w:t>
            </w:r>
            <w:r>
              <w:rPr>
                <w:rFonts w:hint="eastAsia" w:hAnsi="宋体"/>
                <w:sz w:val="24"/>
              </w:rPr>
              <w:t>所有费用和利润。</w:t>
            </w:r>
          </w:p>
          <w:p>
            <w:pPr>
              <w:adjustRightInd w:val="0"/>
              <w:spacing w:line="440" w:lineRule="exact"/>
              <w:ind w:firstLine="560" w:firstLineChars="200"/>
              <w:contextualSpacing/>
              <w:jc w:val="left"/>
              <w:rPr>
                <w:sz w:val="24"/>
              </w:rPr>
            </w:pPr>
            <w:r>
              <w:rPr>
                <w:rFonts w:hint="eastAsia" w:ascii="宋体" w:hAnsi="宋体"/>
                <w:bCs/>
                <w:spacing w:val="20"/>
                <w:sz w:val="24"/>
              </w:rPr>
              <w:t>3、</w:t>
            </w:r>
            <w:r>
              <w:rPr>
                <w:rFonts w:hint="eastAsia"/>
                <w:sz w:val="24"/>
                <w:highlight w:val="none"/>
              </w:rPr>
              <w:t>付款方式：</w:t>
            </w:r>
            <w:r>
              <w:rPr>
                <w:rFonts w:hint="eastAsia" w:ascii="宋体" w:hAnsi="宋体" w:cs="宋体"/>
                <w:bCs/>
                <w:sz w:val="24"/>
                <w:highlight w:val="none"/>
              </w:rPr>
              <w:t>供货方</w:t>
            </w:r>
            <w:r>
              <w:rPr>
                <w:sz w:val="24"/>
                <w:highlight w:val="none"/>
              </w:rPr>
              <w:t>在完成维护保养工作并根据采购方的要求，取得江苏省特种设备安全监督检验研究院扬州分院出具的合格检测报告后，应凭借采购方的验收单及开具的正式增值税发票等完备的文件资料，向采购方申请办理付款手续。采购方在收到完整无缺的票据后，将向</w:t>
            </w:r>
            <w:r>
              <w:rPr>
                <w:rFonts w:hint="eastAsia" w:ascii="宋体" w:hAnsi="宋体" w:cs="宋体"/>
                <w:bCs/>
                <w:sz w:val="24"/>
                <w:highlight w:val="none"/>
              </w:rPr>
              <w:t>供货方</w:t>
            </w:r>
            <w:r>
              <w:rPr>
                <w:sz w:val="24"/>
                <w:highlight w:val="none"/>
              </w:rPr>
              <w:t>支付订单全额款项。</w:t>
            </w:r>
            <w:r>
              <w:rPr>
                <w:rFonts w:hint="eastAsia"/>
                <w:sz w:val="24"/>
              </w:rPr>
              <w:t>（</w:t>
            </w:r>
            <w:r>
              <w:rPr>
                <w:rFonts w:hint="eastAsia"/>
                <w:b/>
                <w:bCs/>
                <w:sz w:val="24"/>
              </w:rPr>
              <w:t>以上均不计息</w:t>
            </w:r>
            <w:r>
              <w:rPr>
                <w:rFonts w:hint="eastAsia"/>
                <w:sz w:val="24"/>
              </w:rPr>
              <w:t>）</w:t>
            </w:r>
            <w:r>
              <w:rPr>
                <w:sz w:val="24"/>
              </w:rPr>
              <w:t>。</w:t>
            </w:r>
          </w:p>
          <w:p>
            <w:pPr>
              <w:adjustRightInd w:val="0"/>
              <w:snapToGrid w:val="0"/>
              <w:spacing w:line="440" w:lineRule="exact"/>
              <w:ind w:firstLine="560" w:firstLineChars="200"/>
              <w:contextualSpacing/>
              <w:jc w:val="left"/>
              <w:rPr>
                <w:rFonts w:ascii="宋体" w:hAnsi="宋体" w:cs="宋体"/>
                <w:bCs/>
                <w:sz w:val="24"/>
                <w:highlight w:val="none"/>
              </w:rPr>
            </w:pPr>
            <w:r>
              <w:rPr>
                <w:rFonts w:hint="eastAsia" w:ascii="宋体" w:hAnsi="宋体"/>
                <w:bCs/>
                <w:spacing w:val="20"/>
                <w:sz w:val="24"/>
              </w:rPr>
              <w:t>4、</w:t>
            </w:r>
            <w:r>
              <w:rPr>
                <w:rFonts w:ascii="宋体" w:hAnsi="宋体" w:cs="宋体"/>
                <w:bCs/>
                <w:sz w:val="24"/>
                <w:highlight w:val="none"/>
              </w:rPr>
              <w:t>交货时间和地点：</w:t>
            </w:r>
            <w:r>
              <w:rPr>
                <w:rFonts w:hint="eastAsia" w:ascii="宋体" w:hAnsi="宋体" w:cs="宋体"/>
                <w:bCs/>
                <w:sz w:val="24"/>
                <w:highlight w:val="none"/>
              </w:rPr>
              <w:t>供货方</w:t>
            </w:r>
            <w:r>
              <w:rPr>
                <w:rFonts w:ascii="宋体" w:hAnsi="宋体" w:cs="宋体"/>
                <w:bCs/>
                <w:sz w:val="24"/>
                <w:highlight w:val="none"/>
              </w:rPr>
              <w:t>应在收到采购方通知后的20个工作日内，依照协议约定完成所有材料配件的更换与维护保养工作；同时，</w:t>
            </w:r>
            <w:r>
              <w:rPr>
                <w:rFonts w:hint="eastAsia" w:ascii="宋体" w:hAnsi="宋体" w:cs="宋体"/>
                <w:bCs/>
                <w:sz w:val="24"/>
                <w:highlight w:val="none"/>
              </w:rPr>
              <w:t>供货方应</w:t>
            </w:r>
            <w:r>
              <w:rPr>
                <w:rFonts w:ascii="宋体" w:hAnsi="宋体" w:cs="宋体"/>
                <w:bCs/>
                <w:sz w:val="24"/>
                <w:highlight w:val="none"/>
              </w:rPr>
              <w:t>根据采购方的要求</w:t>
            </w:r>
            <w:r>
              <w:rPr>
                <w:rFonts w:hint="eastAsia" w:ascii="宋体" w:hAnsi="宋体" w:cs="宋体"/>
                <w:bCs/>
                <w:sz w:val="24"/>
                <w:highlight w:val="none"/>
              </w:rPr>
              <w:t>及时向特种设备检验机构办理锅炉定期检验相关报检手续</w:t>
            </w:r>
            <w:r>
              <w:rPr>
                <w:rFonts w:ascii="宋体" w:hAnsi="宋体" w:cs="宋体"/>
                <w:bCs/>
                <w:sz w:val="24"/>
                <w:highlight w:val="none"/>
              </w:rPr>
              <w:t>。</w:t>
            </w:r>
          </w:p>
          <w:p>
            <w:pPr>
              <w:adjustRightInd w:val="0"/>
              <w:snapToGrid w:val="0"/>
              <w:spacing w:line="440" w:lineRule="exact"/>
              <w:ind w:firstLine="480" w:firstLineChars="200"/>
              <w:contextualSpacing/>
              <w:jc w:val="left"/>
              <w:rPr>
                <w:rFonts w:ascii="宋体" w:hAnsi="宋体" w:cs="宋体"/>
                <w:bCs/>
                <w:sz w:val="24"/>
                <w:highlight w:val="none"/>
              </w:rPr>
            </w:pPr>
            <w:r>
              <w:rPr>
                <w:rFonts w:hint="eastAsia" w:ascii="宋体" w:hAnsi="宋体" w:cs="宋体"/>
                <w:bCs/>
                <w:sz w:val="24"/>
                <w:highlight w:val="none"/>
              </w:rPr>
              <w:t>5、</w:t>
            </w:r>
            <w:r>
              <w:rPr>
                <w:rFonts w:ascii="宋体" w:hAnsi="宋体" w:cs="宋体"/>
                <w:bCs/>
                <w:sz w:val="24"/>
                <w:highlight w:val="none"/>
              </w:rPr>
              <w:t>验收标准：在完成维护保养工作后，采购方将执行初步验收程序。在此过程中，若发现供货方的工作未能满足订单中约定的标准或存在任何质量问题，采购方将有权要求供货方立即进行必要的整改工作，直至其获得</w:t>
            </w:r>
            <w:r>
              <w:rPr>
                <w:rFonts w:hint="eastAsia" w:ascii="宋体" w:hAnsi="宋体"/>
                <w:sz w:val="24"/>
                <w:highlight w:val="none"/>
              </w:rPr>
              <w:t>江苏省特种设备安全监督检验研究院扬州分院</w:t>
            </w:r>
            <w:r>
              <w:rPr>
                <w:rFonts w:ascii="宋体" w:hAnsi="宋体" w:cs="宋体"/>
                <w:bCs/>
                <w:sz w:val="24"/>
                <w:highlight w:val="none"/>
              </w:rPr>
              <w:t>颁发的合格检验报告。</w:t>
            </w:r>
          </w:p>
          <w:p>
            <w:pPr>
              <w:adjustRightInd w:val="0"/>
              <w:snapToGrid w:val="0"/>
              <w:spacing w:line="340" w:lineRule="exact"/>
              <w:contextualSpacing/>
              <w:jc w:val="left"/>
              <w:rPr>
                <w:rFonts w:hint="eastAsia" w:ascii="宋体" w:hAnsi="宋体"/>
                <w:sz w:val="24"/>
                <w:vertAlign w:val="baseline"/>
                <w:lang w:val="en-US" w:eastAsia="zh-CN"/>
              </w:rPr>
            </w:pP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rPr>
              <w:t>6、若因供货方原因导致项目中锅炉年检逾期，或给采购方带来损失，供货方应承担全部责任，并对采购方因此遭受的损失进行赔偿。</w:t>
            </w:r>
          </w:p>
        </w:tc>
      </w:tr>
    </w:tbl>
    <w:p>
      <w:pPr>
        <w:pStyle w:val="16"/>
        <w:ind w:left="0" w:leftChars="0" w:firstLine="0" w:firstLineChars="0"/>
      </w:pPr>
    </w:p>
    <w:p>
      <w:pPr>
        <w:adjustRightInd w:val="0"/>
        <w:snapToGrid w:val="0"/>
        <w:spacing w:line="440" w:lineRule="exact"/>
        <w:ind w:left="-619" w:leftChars="-295" w:right="-519" w:rightChars="-247" w:firstLine="0" w:firstLineChars="0"/>
        <w:contextualSpacing/>
        <w:rPr>
          <w:rFonts w:hint="eastAsia" w:ascii="宋体" w:hAnsi="宋体"/>
          <w:kern w:val="20"/>
          <w:sz w:val="24"/>
          <w:lang w:val="en-US" w:eastAsia="zh-CN"/>
        </w:rPr>
      </w:pPr>
    </w:p>
    <w:p>
      <w:pPr>
        <w:adjustRightInd w:val="0"/>
        <w:snapToGrid w:val="0"/>
        <w:spacing w:line="440" w:lineRule="exact"/>
        <w:ind w:left="-619" w:leftChars="-295" w:right="-519" w:rightChars="-247" w:firstLine="0" w:firstLineChars="0"/>
        <w:contextualSpacing/>
        <w:rPr>
          <w:rFonts w:ascii="宋体" w:hAnsi="宋体"/>
          <w:kern w:val="20"/>
          <w:sz w:val="24"/>
        </w:rPr>
      </w:pPr>
      <w:r>
        <w:rPr>
          <w:rFonts w:hint="eastAsia" w:ascii="宋体" w:hAnsi="宋体"/>
          <w:kern w:val="20"/>
          <w:sz w:val="24"/>
          <w:lang w:val="en-US" w:eastAsia="zh-CN"/>
        </w:rPr>
        <w:t>采购方经办部门</w:t>
      </w:r>
      <w:r>
        <w:rPr>
          <w:rFonts w:hint="eastAsia" w:ascii="宋体" w:hAnsi="宋体"/>
          <w:kern w:val="20"/>
          <w:sz w:val="24"/>
        </w:rPr>
        <w:t>（盖章）</w:t>
      </w:r>
      <w:r>
        <w:rPr>
          <w:rFonts w:hint="eastAsia" w:ascii="宋体" w:hAnsi="宋体"/>
          <w:b/>
          <w:kern w:val="20"/>
          <w:sz w:val="24"/>
        </w:rPr>
        <w:t xml:space="preserve"> </w:t>
      </w:r>
      <w:r>
        <w:rPr>
          <w:rFonts w:hint="eastAsia" w:ascii="宋体" w:hAnsi="宋体"/>
          <w:b/>
          <w:kern w:val="20"/>
          <w:sz w:val="24"/>
          <w:lang w:val="en-US" w:eastAsia="zh-CN"/>
        </w:rPr>
        <w:t xml:space="preserve">                 </w:t>
      </w:r>
      <w:r>
        <w:rPr>
          <w:rFonts w:hint="eastAsia" w:ascii="宋体" w:hAnsi="宋体"/>
          <w:kern w:val="20"/>
          <w:sz w:val="24"/>
          <w:lang w:val="en-US" w:eastAsia="zh-CN"/>
        </w:rPr>
        <w:t>供货方</w:t>
      </w:r>
      <w:r>
        <w:rPr>
          <w:rFonts w:hint="eastAsia" w:ascii="宋体" w:hAnsi="宋体"/>
          <w:kern w:val="20"/>
          <w:sz w:val="24"/>
        </w:rPr>
        <w:t>：（盖章）</w:t>
      </w:r>
    </w:p>
    <w:p>
      <w:pPr>
        <w:adjustRightInd w:val="0"/>
        <w:snapToGrid w:val="0"/>
        <w:spacing w:line="440" w:lineRule="exact"/>
        <w:ind w:left="-619" w:leftChars="-295" w:right="-519" w:rightChars="-247" w:firstLine="0" w:firstLineChars="0"/>
        <w:contextualSpacing/>
        <w:rPr>
          <w:rFonts w:ascii="宋体" w:hAnsi="宋体"/>
          <w:kern w:val="20"/>
          <w:sz w:val="24"/>
        </w:rPr>
      </w:pPr>
      <w:r>
        <w:rPr>
          <w:rFonts w:hint="eastAsia" w:ascii="宋体" w:hAnsi="宋体"/>
          <w:b/>
          <w:kern w:val="20"/>
          <w:sz w:val="24"/>
        </w:rPr>
        <w:t>扬州大学附属医院采购中心</w:t>
      </w:r>
    </w:p>
    <w:p>
      <w:pPr>
        <w:spacing w:line="440" w:lineRule="exact"/>
        <w:ind w:left="-619" w:leftChars="-295" w:right="-519" w:rightChars="-247" w:firstLine="0" w:firstLineChars="0"/>
        <w:rPr>
          <w:rFonts w:hint="eastAsia" w:ascii="宋体" w:hAnsi="宋体"/>
          <w:kern w:val="20"/>
          <w:sz w:val="24"/>
        </w:rPr>
      </w:pPr>
    </w:p>
    <w:p>
      <w:pPr>
        <w:spacing w:line="440" w:lineRule="exact"/>
        <w:ind w:left="-619" w:leftChars="-295" w:right="-519" w:rightChars="-247" w:firstLine="0" w:firstLineChars="0"/>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ind w:left="-619" w:leftChars="-295" w:right="-519" w:rightChars="-247" w:firstLine="0" w:firstLineChars="0"/>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ind w:left="-619" w:leftChars="-295" w:right="-519" w:rightChars="-247" w:firstLine="0" w:firstLineChars="0"/>
        <w:rPr>
          <w:rFonts w:ascii="宋体" w:hAnsi="宋体" w:cs="宋体"/>
          <w:b/>
          <w:color w:val="000000"/>
          <w:kern w:val="0"/>
          <w:sz w:val="24"/>
        </w:rPr>
      </w:pPr>
      <w:r>
        <w:rPr>
          <w:rFonts w:hint="eastAsia" w:ascii="宋体" w:hAnsi="宋体"/>
          <w:kern w:val="20"/>
          <w:sz w:val="24"/>
        </w:rPr>
        <w:t>日    期：2025 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期：2025年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E61983"/>
    <w:rsid w:val="04F93EF7"/>
    <w:rsid w:val="053E3F8C"/>
    <w:rsid w:val="06835001"/>
    <w:rsid w:val="07CD3AA2"/>
    <w:rsid w:val="0907213E"/>
    <w:rsid w:val="0BE47D69"/>
    <w:rsid w:val="0C067990"/>
    <w:rsid w:val="0C4A2728"/>
    <w:rsid w:val="0C704CF9"/>
    <w:rsid w:val="0CF140C8"/>
    <w:rsid w:val="0D095E3B"/>
    <w:rsid w:val="0D2E16CF"/>
    <w:rsid w:val="0D4515B4"/>
    <w:rsid w:val="0E126F52"/>
    <w:rsid w:val="0E2A13BF"/>
    <w:rsid w:val="0EE42777"/>
    <w:rsid w:val="110961DE"/>
    <w:rsid w:val="11202626"/>
    <w:rsid w:val="135E7630"/>
    <w:rsid w:val="14574206"/>
    <w:rsid w:val="14A043CE"/>
    <w:rsid w:val="151678B8"/>
    <w:rsid w:val="15D76399"/>
    <w:rsid w:val="15F35842"/>
    <w:rsid w:val="172469D5"/>
    <w:rsid w:val="17407202"/>
    <w:rsid w:val="17754BB0"/>
    <w:rsid w:val="186D5CBC"/>
    <w:rsid w:val="19826916"/>
    <w:rsid w:val="1A965BFC"/>
    <w:rsid w:val="1B0E6D6D"/>
    <w:rsid w:val="1BAB4F94"/>
    <w:rsid w:val="1C94789B"/>
    <w:rsid w:val="1D552DD9"/>
    <w:rsid w:val="1D762024"/>
    <w:rsid w:val="1E525F06"/>
    <w:rsid w:val="1EAC0AAC"/>
    <w:rsid w:val="1F104C9D"/>
    <w:rsid w:val="1FF236E2"/>
    <w:rsid w:val="205648A9"/>
    <w:rsid w:val="21C93434"/>
    <w:rsid w:val="22A022B9"/>
    <w:rsid w:val="22EC14F1"/>
    <w:rsid w:val="23120E32"/>
    <w:rsid w:val="233314C7"/>
    <w:rsid w:val="23735059"/>
    <w:rsid w:val="23E9338C"/>
    <w:rsid w:val="2466755A"/>
    <w:rsid w:val="24782FEE"/>
    <w:rsid w:val="24E27B0B"/>
    <w:rsid w:val="270244AF"/>
    <w:rsid w:val="279829B9"/>
    <w:rsid w:val="283F20FB"/>
    <w:rsid w:val="28795CAE"/>
    <w:rsid w:val="28CF6D5C"/>
    <w:rsid w:val="28D728FE"/>
    <w:rsid w:val="290E1224"/>
    <w:rsid w:val="298A42A2"/>
    <w:rsid w:val="2A6C65F7"/>
    <w:rsid w:val="2AA6133D"/>
    <w:rsid w:val="2BCB5B07"/>
    <w:rsid w:val="2E026BA2"/>
    <w:rsid w:val="2E0A00DD"/>
    <w:rsid w:val="2E237847"/>
    <w:rsid w:val="2EE7735A"/>
    <w:rsid w:val="2F716810"/>
    <w:rsid w:val="2F877A0A"/>
    <w:rsid w:val="30DF7E8F"/>
    <w:rsid w:val="310442A6"/>
    <w:rsid w:val="312D648E"/>
    <w:rsid w:val="318E7998"/>
    <w:rsid w:val="31FF36A9"/>
    <w:rsid w:val="32542738"/>
    <w:rsid w:val="337C4795"/>
    <w:rsid w:val="349B0B50"/>
    <w:rsid w:val="35D6255E"/>
    <w:rsid w:val="36FB00F6"/>
    <w:rsid w:val="375A406B"/>
    <w:rsid w:val="37CB42F0"/>
    <w:rsid w:val="395873E0"/>
    <w:rsid w:val="398427FF"/>
    <w:rsid w:val="3B6B7997"/>
    <w:rsid w:val="3C7E55A0"/>
    <w:rsid w:val="3C7E7E4D"/>
    <w:rsid w:val="3D920AB3"/>
    <w:rsid w:val="3DD3194F"/>
    <w:rsid w:val="3E4F54B3"/>
    <w:rsid w:val="3EA006FD"/>
    <w:rsid w:val="406A6438"/>
    <w:rsid w:val="40C726B4"/>
    <w:rsid w:val="424B0DFC"/>
    <w:rsid w:val="42E8271B"/>
    <w:rsid w:val="43487107"/>
    <w:rsid w:val="43F56786"/>
    <w:rsid w:val="4417638D"/>
    <w:rsid w:val="45977351"/>
    <w:rsid w:val="45F42EB8"/>
    <w:rsid w:val="46056344"/>
    <w:rsid w:val="467B4C8A"/>
    <w:rsid w:val="4689608C"/>
    <w:rsid w:val="47CE0BEB"/>
    <w:rsid w:val="47DD46E6"/>
    <w:rsid w:val="489027AE"/>
    <w:rsid w:val="48B5696C"/>
    <w:rsid w:val="49AC543C"/>
    <w:rsid w:val="4ACD2A51"/>
    <w:rsid w:val="4AED437B"/>
    <w:rsid w:val="4B4053E3"/>
    <w:rsid w:val="4B8D08A2"/>
    <w:rsid w:val="4BD6274F"/>
    <w:rsid w:val="4C2279B2"/>
    <w:rsid w:val="4C472E7D"/>
    <w:rsid w:val="4C58772E"/>
    <w:rsid w:val="4CB85CB5"/>
    <w:rsid w:val="4E295D4C"/>
    <w:rsid w:val="4E842C0D"/>
    <w:rsid w:val="4F1B2C8C"/>
    <w:rsid w:val="4F4C7986"/>
    <w:rsid w:val="4F717F10"/>
    <w:rsid w:val="501519DD"/>
    <w:rsid w:val="507C6263"/>
    <w:rsid w:val="508A0E56"/>
    <w:rsid w:val="510328E8"/>
    <w:rsid w:val="510F701A"/>
    <w:rsid w:val="51673008"/>
    <w:rsid w:val="5199638E"/>
    <w:rsid w:val="51BD509B"/>
    <w:rsid w:val="537760B9"/>
    <w:rsid w:val="54422408"/>
    <w:rsid w:val="549E0F6B"/>
    <w:rsid w:val="54AC3518"/>
    <w:rsid w:val="560560AD"/>
    <w:rsid w:val="56410E61"/>
    <w:rsid w:val="56881779"/>
    <w:rsid w:val="57DA3AB3"/>
    <w:rsid w:val="58A415C5"/>
    <w:rsid w:val="590F082F"/>
    <w:rsid w:val="59104CF0"/>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5F7A741F"/>
    <w:rsid w:val="600E4C27"/>
    <w:rsid w:val="60186A28"/>
    <w:rsid w:val="60446E43"/>
    <w:rsid w:val="60DB4EA5"/>
    <w:rsid w:val="612E05C2"/>
    <w:rsid w:val="616C3D5B"/>
    <w:rsid w:val="61806483"/>
    <w:rsid w:val="619072D4"/>
    <w:rsid w:val="61F801D2"/>
    <w:rsid w:val="626E3CB0"/>
    <w:rsid w:val="632E169A"/>
    <w:rsid w:val="63473929"/>
    <w:rsid w:val="64D92503"/>
    <w:rsid w:val="65F2258C"/>
    <w:rsid w:val="66A07C1E"/>
    <w:rsid w:val="66AF19DA"/>
    <w:rsid w:val="6710513C"/>
    <w:rsid w:val="673E62A6"/>
    <w:rsid w:val="675A5AE8"/>
    <w:rsid w:val="677A6507"/>
    <w:rsid w:val="678D2F92"/>
    <w:rsid w:val="687B1D33"/>
    <w:rsid w:val="6D633984"/>
    <w:rsid w:val="6DF60098"/>
    <w:rsid w:val="6E1F0C2D"/>
    <w:rsid w:val="6F882E18"/>
    <w:rsid w:val="700C06A3"/>
    <w:rsid w:val="708C2B36"/>
    <w:rsid w:val="70952B65"/>
    <w:rsid w:val="70A153BD"/>
    <w:rsid w:val="70C57A02"/>
    <w:rsid w:val="70DB38A7"/>
    <w:rsid w:val="70FE780D"/>
    <w:rsid w:val="71D1780D"/>
    <w:rsid w:val="71DC1AE4"/>
    <w:rsid w:val="72217603"/>
    <w:rsid w:val="72487296"/>
    <w:rsid w:val="7282207E"/>
    <w:rsid w:val="74226CB9"/>
    <w:rsid w:val="75006B73"/>
    <w:rsid w:val="75126C7B"/>
    <w:rsid w:val="764E69E8"/>
    <w:rsid w:val="7787662E"/>
    <w:rsid w:val="77E52AD7"/>
    <w:rsid w:val="77F20BEE"/>
    <w:rsid w:val="798D2553"/>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2"/>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pPr>
      <w:spacing w:after="120" w:afterLines="0"/>
    </w:pPr>
    <w:rPr>
      <w:sz w:val="16"/>
      <w:szCs w:val="16"/>
    </w:rPr>
  </w:style>
  <w:style w:type="paragraph" w:styleId="6">
    <w:name w:val="Body Text"/>
    <w:basedOn w:val="1"/>
    <w:next w:val="7"/>
    <w:autoRedefine/>
    <w:qFormat/>
    <w:uiPriority w:val="99"/>
    <w:rPr>
      <w:rFonts w:ascii="楷体_GB2312" w:hAnsi="Arial" w:eastAsia="楷体_GB2312"/>
      <w:kern w:val="0"/>
      <w:sz w:val="28"/>
      <w:szCs w:val="28"/>
    </w:rPr>
  </w:style>
  <w:style w:type="paragraph" w:styleId="7">
    <w:name w:val="Body Text 2"/>
    <w:basedOn w:val="1"/>
    <w:autoRedefine/>
    <w:qFormat/>
    <w:uiPriority w:val="0"/>
    <w:pPr>
      <w:spacing w:after="120" w:line="480" w:lineRule="auto"/>
    </w:pPr>
  </w:style>
  <w:style w:type="paragraph" w:styleId="8">
    <w:name w:val="Body Text Indent"/>
    <w:basedOn w:val="1"/>
    <w:autoRedefine/>
    <w:qFormat/>
    <w:uiPriority w:val="0"/>
    <w:pPr>
      <w:ind w:firstLine="576"/>
    </w:pPr>
    <w:rPr>
      <w:b/>
      <w:sz w:val="30"/>
    </w:rPr>
  </w:style>
  <w:style w:type="paragraph" w:styleId="9">
    <w:name w:val="List Bullet 2"/>
    <w:basedOn w:val="1"/>
    <w:autoRedefine/>
    <w:unhideWhenUsed/>
    <w:qFormat/>
    <w:uiPriority w:val="0"/>
    <w:pPr>
      <w:numPr>
        <w:ilvl w:val="0"/>
        <w:numId w:val="1"/>
      </w:numPr>
      <w:contextualSpacing/>
    </w:pPr>
    <w:rPr>
      <w:rFonts w:ascii="Calibri" w:hAnsi="Calibri"/>
    </w:rPr>
  </w:style>
  <w:style w:type="paragraph" w:styleId="10">
    <w:name w:val="Plain Text"/>
    <w:basedOn w:val="1"/>
    <w:link w:val="27"/>
    <w:autoRedefine/>
    <w:qFormat/>
    <w:uiPriority w:val="99"/>
    <w:rPr>
      <w:rFonts w:ascii="宋体" w:hAnsi="Courier New"/>
      <w:szCs w:val="20"/>
    </w:rPr>
  </w:style>
  <w:style w:type="paragraph" w:styleId="11">
    <w:name w:val="Balloon Text"/>
    <w:basedOn w:val="1"/>
    <w:link w:val="26"/>
    <w:autoRedefine/>
    <w:semiHidden/>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autoRedefine/>
    <w:semiHidden/>
    <w:qFormat/>
    <w:uiPriority w:val="99"/>
    <w:rPr>
      <w:rFonts w:eastAsia="宋体"/>
      <w:kern w:val="2"/>
      <w:sz w:val="18"/>
      <w:szCs w:val="18"/>
    </w:rPr>
  </w:style>
  <w:style w:type="character" w:customStyle="1" w:styleId="25">
    <w:name w:val="页脚 Char"/>
    <w:basedOn w:val="19"/>
    <w:link w:val="12"/>
    <w:autoRedefine/>
    <w:semiHidden/>
    <w:qFormat/>
    <w:uiPriority w:val="99"/>
    <w:rPr>
      <w:rFonts w:eastAsia="宋体"/>
      <w:kern w:val="2"/>
      <w:sz w:val="18"/>
      <w:szCs w:val="18"/>
    </w:rPr>
  </w:style>
  <w:style w:type="character" w:customStyle="1" w:styleId="26">
    <w:name w:val="批注框文本 Char"/>
    <w:basedOn w:val="19"/>
    <w:link w:val="11"/>
    <w:autoRedefine/>
    <w:semiHidden/>
    <w:qFormat/>
    <w:uiPriority w:val="99"/>
    <w:rPr>
      <w:rFonts w:eastAsia="宋体"/>
      <w:kern w:val="2"/>
      <w:sz w:val="18"/>
      <w:szCs w:val="18"/>
    </w:rPr>
  </w:style>
  <w:style w:type="character" w:customStyle="1" w:styleId="27">
    <w:name w:val="纯文本 Char"/>
    <w:basedOn w:val="19"/>
    <w:link w:val="10"/>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4"/>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3"/>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character" w:customStyle="1" w:styleId="35">
    <w:name w:val="font71"/>
    <w:basedOn w:val="19"/>
    <w:autoRedefine/>
    <w:qFormat/>
    <w:uiPriority w:val="0"/>
    <w:rPr>
      <w:rFonts w:hint="eastAsia" w:ascii="宋体" w:hAnsi="宋体" w:eastAsia="宋体" w:cs="宋体"/>
      <w:b/>
      <w:bCs/>
      <w:color w:val="000000"/>
      <w:sz w:val="22"/>
      <w:szCs w:val="22"/>
      <w:u w:val="none"/>
    </w:rPr>
  </w:style>
  <w:style w:type="paragraph" w:customStyle="1" w:styleId="36">
    <w:name w:val="CM20"/>
    <w:basedOn w:val="37"/>
    <w:next w:val="37"/>
    <w:autoRedefine/>
    <w:qFormat/>
    <w:uiPriority w:val="0"/>
    <w:pPr>
      <w:spacing w:line="411" w:lineRule="atLeast"/>
    </w:pPr>
    <w:rPr>
      <w:rFonts w:cs="Times New Roman"/>
      <w:color w:val="auto"/>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5284</Words>
  <Characters>5680</Characters>
  <Lines>70</Lines>
  <Paragraphs>19</Paragraphs>
  <TotalTime>36</TotalTime>
  <ScaleCrop>false</ScaleCrop>
  <LinksUpToDate>false</LinksUpToDate>
  <CharactersWithSpaces>6228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2025-04-03T06:36:32Z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8C06D9825AF242588E0C0FCEC2199F80_13</vt:lpwstr>
  </property>
</Properties>
</file>