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14:textFill>
            <w14:solidFill>
              <w14:schemeClr w14:val="tx1"/>
            </w14:solidFill>
          </w14:textFill>
        </w:rPr>
      </w:pPr>
      <w:bookmarkStart w:id="0" w:name="_GoBack"/>
      <w:r>
        <w:rPr>
          <w:rFonts w:hint="eastAsia" w:ascii="宋体" w:hAnsi="宋体" w:eastAsia="宋体" w:cs="宋体"/>
          <w:b/>
          <w:sz w:val="36"/>
          <w:szCs w:val="36"/>
        </w:rPr>
        <w:t>扬州大学附属医院</w:t>
      </w:r>
      <w:r>
        <w:rPr>
          <w:rFonts w:hint="eastAsia" w:ascii="宋体" w:hAnsi="宋体" w:eastAsia="宋体" w:cs="宋体"/>
          <w:b/>
          <w:color w:val="000000" w:themeColor="text1"/>
          <w:sz w:val="36"/>
          <w:szCs w:val="36"/>
          <w14:textFill>
            <w14:solidFill>
              <w14:schemeClr w14:val="tx1"/>
            </w14:solidFill>
          </w14:textFill>
        </w:rPr>
        <w:t>门诊</w:t>
      </w:r>
      <w:r>
        <w:rPr>
          <w:rFonts w:hint="eastAsia" w:ascii="宋体" w:hAnsi="宋体" w:eastAsia="宋体" w:cs="宋体"/>
          <w:b/>
          <w:color w:val="000000" w:themeColor="text1"/>
          <w:sz w:val="36"/>
          <w:szCs w:val="36"/>
          <w:lang w:val="en-US" w:eastAsia="zh-CN"/>
          <w14:textFill>
            <w14:solidFill>
              <w14:schemeClr w14:val="tx1"/>
            </w14:solidFill>
          </w14:textFill>
        </w:rPr>
        <w:t>服务人员</w:t>
      </w:r>
      <w:r>
        <w:rPr>
          <w:rFonts w:hint="eastAsia" w:ascii="宋体" w:hAnsi="宋体" w:eastAsia="宋体" w:cs="宋体"/>
          <w:b/>
          <w:color w:val="000000" w:themeColor="text1"/>
          <w:sz w:val="36"/>
          <w:szCs w:val="36"/>
          <w14:textFill>
            <w14:solidFill>
              <w14:schemeClr w14:val="tx1"/>
            </w14:solidFill>
          </w14:textFill>
        </w:rPr>
        <w:t>外包</w:t>
      </w:r>
      <w:r>
        <w:rPr>
          <w:rFonts w:hint="eastAsia" w:ascii="宋体" w:hAnsi="宋体" w:eastAsia="宋体" w:cs="宋体"/>
          <w:b/>
          <w:color w:val="000000" w:themeColor="text1"/>
          <w:sz w:val="36"/>
          <w:szCs w:val="36"/>
          <w:lang w:val="en-US" w:eastAsia="zh-CN"/>
          <w14:textFill>
            <w14:solidFill>
              <w14:schemeClr w14:val="tx1"/>
            </w14:solidFill>
          </w14:textFill>
        </w:rPr>
        <w:t>项目</w:t>
      </w:r>
      <w:r>
        <w:rPr>
          <w:rFonts w:hint="eastAsia" w:ascii="宋体" w:hAnsi="宋体" w:eastAsia="宋体" w:cs="宋体"/>
          <w:b/>
          <w:color w:val="000000" w:themeColor="text1"/>
          <w:sz w:val="36"/>
          <w:szCs w:val="36"/>
          <w14:textFill>
            <w14:solidFill>
              <w14:schemeClr w14:val="tx1"/>
            </w14:solidFill>
          </w14:textFill>
        </w:rPr>
        <w:t>需求</w:t>
      </w:r>
      <w:bookmarkEnd w:id="0"/>
    </w:p>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b/>
          <w:bCs/>
          <w:color w:val="auto"/>
        </w:rPr>
      </w:pPr>
      <w:r>
        <w:rPr>
          <w:rFonts w:hint="eastAsia" w:hAnsi="宋体"/>
          <w:b/>
          <w:bCs/>
          <w:color w:val="auto"/>
          <w:szCs w:val="21"/>
          <w:highlight w:val="none"/>
          <w:lang w:val="en-US" w:eastAsia="zh-CN"/>
        </w:rPr>
        <w:t>一、</w:t>
      </w:r>
      <w:r>
        <w:rPr>
          <w:rFonts w:hint="eastAsia" w:hAnsi="宋体"/>
          <w:b/>
          <w:bCs/>
          <w:color w:val="auto"/>
          <w:szCs w:val="21"/>
          <w:highlight w:val="none"/>
        </w:rPr>
        <w:t>项目名称</w:t>
      </w:r>
      <w:r>
        <w:rPr>
          <w:rFonts w:hint="eastAsia" w:hAnsi="宋体"/>
          <w:b/>
          <w:bCs/>
          <w:color w:val="auto"/>
          <w:szCs w:val="21"/>
          <w:highlight w:val="none"/>
          <w:lang w:val="en-US" w:eastAsia="zh-CN"/>
        </w:rPr>
        <w:t xml:space="preserve">  </w:t>
      </w:r>
      <w:r>
        <w:rPr>
          <w:rFonts w:hint="eastAsia" w:ascii="宋体" w:hAnsi="宋体"/>
          <w:color w:val="auto"/>
          <w:szCs w:val="21"/>
          <w:highlight w:val="none"/>
          <w:lang w:eastAsia="zh-CN"/>
        </w:rPr>
        <w:t>扬州大学附属医院门诊服务人员外包采购项目</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color w:val="auto"/>
        </w:rPr>
      </w:pPr>
      <w:r>
        <w:rPr>
          <w:rFonts w:hint="eastAsia" w:ascii="宋体" w:hAnsi="宋体" w:cs="宋体"/>
          <w:b/>
          <w:bCs/>
          <w:color w:val="auto"/>
          <w:lang w:val="en-US" w:eastAsia="zh-CN"/>
        </w:rPr>
        <w:t>二、</w:t>
      </w:r>
      <w:r>
        <w:rPr>
          <w:rFonts w:hint="eastAsia" w:ascii="宋体" w:hAnsi="宋体" w:cs="宋体"/>
          <w:b/>
          <w:bCs/>
          <w:color w:val="auto"/>
        </w:rPr>
        <w:t>项目属性</w:t>
      </w:r>
      <w:r>
        <w:rPr>
          <w:rFonts w:hint="eastAsia" w:ascii="宋体" w:hAnsi="宋体" w:cs="宋体"/>
          <w:b/>
          <w:bCs/>
          <w:color w:val="auto"/>
          <w:lang w:val="en-US" w:eastAsia="zh-CN"/>
        </w:rPr>
        <w:t xml:space="preserve">  </w:t>
      </w:r>
      <w:r>
        <w:rPr>
          <w:rFonts w:hint="eastAsia" w:ascii="宋体" w:hAnsi="宋体" w:cs="宋体"/>
          <w:color w:val="auto"/>
        </w:rPr>
        <w:t>服务类项目</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rPr>
      </w:pPr>
      <w:r>
        <w:rPr>
          <w:rFonts w:hint="eastAsia" w:ascii="宋体" w:hAnsi="宋体" w:cs="宋体"/>
          <w:b/>
          <w:bCs/>
          <w:color w:val="auto"/>
          <w:lang w:val="en-US" w:eastAsia="zh-CN"/>
        </w:rPr>
        <w:t>三、</w:t>
      </w:r>
      <w:r>
        <w:rPr>
          <w:rFonts w:hint="eastAsia" w:ascii="宋体" w:hAnsi="宋体" w:cs="宋体"/>
          <w:b/>
          <w:bCs/>
          <w:color w:val="auto"/>
        </w:rPr>
        <w:t>项目</w:t>
      </w:r>
      <w:r>
        <w:rPr>
          <w:rFonts w:hint="eastAsia" w:ascii="宋体" w:hAnsi="宋体" w:cs="宋体"/>
          <w:b/>
          <w:bCs/>
          <w:color w:val="auto"/>
          <w:lang w:val="en-US" w:eastAsia="zh-CN"/>
        </w:rPr>
        <w:t>报价</w:t>
      </w:r>
    </w:p>
    <w:p>
      <w:pPr>
        <w:pStyle w:val="2"/>
        <w:keepNext w:val="0"/>
        <w:keepLines w:val="0"/>
        <w:pageBreakBefore w:val="0"/>
        <w:widowControl w:val="0"/>
        <w:kinsoku/>
        <w:wordWrap/>
        <w:overflowPunct/>
        <w:topLinePunct w:val="0"/>
        <w:autoSpaceDE/>
        <w:autoSpaceDN/>
        <w:bidi w:val="0"/>
        <w:adjustRightInd/>
        <w:snapToGrid/>
        <w:spacing w:line="312" w:lineRule="auto"/>
        <w:ind w:firstLine="630" w:firstLineChars="300"/>
        <w:textAlignment w:val="auto"/>
        <w:rPr>
          <w:rFonts w:hint="eastAsia" w:ascii="宋体" w:hAnsi="宋体" w:cs="宋体"/>
          <w:color w:val="auto"/>
        </w:rPr>
      </w:pPr>
      <w:r>
        <w:rPr>
          <w:rFonts w:hint="eastAsia" w:ascii="宋体" w:hAnsi="宋体" w:cs="宋体"/>
          <w:color w:val="auto"/>
          <w:lang w:val="en-US" w:eastAsia="zh-CN"/>
        </w:rPr>
        <w:t>项目预算金额</w:t>
      </w:r>
      <w:r>
        <w:rPr>
          <w:rFonts w:hint="eastAsia" w:ascii="宋体" w:hAnsi="宋体" w:cs="宋体"/>
          <w:color w:val="auto"/>
          <w:szCs w:val="21"/>
          <w:lang w:val="en-US" w:eastAsia="zh-CN"/>
        </w:rPr>
        <w:t>1365.93</w:t>
      </w:r>
      <w:r>
        <w:rPr>
          <w:rFonts w:hint="eastAsia" w:ascii="宋体" w:hAnsi="宋体" w:cs="宋体"/>
          <w:color w:val="auto"/>
          <w:szCs w:val="21"/>
        </w:rPr>
        <w:t>万元/3年（</w:t>
      </w:r>
      <w:r>
        <w:rPr>
          <w:rFonts w:hint="eastAsia" w:ascii="宋体" w:hAnsi="宋体" w:cs="宋体"/>
          <w:color w:val="auto"/>
          <w:szCs w:val="21"/>
          <w:lang w:val="en-US" w:eastAsia="zh-CN"/>
        </w:rPr>
        <w:t>455.3</w:t>
      </w:r>
      <w:r>
        <w:rPr>
          <w:rFonts w:hint="eastAsia" w:ascii="宋体" w:hAnsi="宋体" w:cs="宋体"/>
          <w:color w:val="auto"/>
          <w:szCs w:val="21"/>
        </w:rPr>
        <w:t>万元/年）</w:t>
      </w:r>
      <w:r>
        <w:rPr>
          <w:rFonts w:hint="eastAsia" w:ascii="宋体" w:hAnsi="宋体" w:cs="宋体"/>
          <w:color w:val="auto"/>
          <w:szCs w:val="21"/>
          <w:lang w:eastAsia="zh-CN"/>
        </w:rPr>
        <w:t>。</w:t>
      </w:r>
      <w:r>
        <w:rPr>
          <w:rFonts w:hint="eastAsia" w:ascii="宋体" w:hAnsi="宋体"/>
          <w:color w:val="auto"/>
          <w:szCs w:val="21"/>
          <w:highlight w:val="none"/>
        </w:rPr>
        <w:t>本项目设置最高限价，1年最高限价</w:t>
      </w:r>
      <w:r>
        <w:rPr>
          <w:rFonts w:hint="eastAsia" w:ascii="宋体" w:hAnsi="宋体" w:cs="宋体"/>
          <w:color w:val="auto"/>
          <w:szCs w:val="21"/>
          <w:lang w:val="en-US" w:eastAsia="zh-CN"/>
        </w:rPr>
        <w:t>455</w:t>
      </w:r>
      <w:r>
        <w:rPr>
          <w:rFonts w:hint="eastAsia" w:ascii="宋体" w:hAnsi="宋体"/>
          <w:color w:val="auto"/>
          <w:szCs w:val="21"/>
          <w:highlight w:val="none"/>
        </w:rPr>
        <w:t>万元，3年最高限价</w:t>
      </w:r>
      <w:r>
        <w:rPr>
          <w:rFonts w:hint="eastAsia" w:ascii="宋体" w:hAnsi="宋体" w:cs="宋体"/>
          <w:color w:val="auto"/>
          <w:szCs w:val="21"/>
          <w:lang w:val="en-US" w:eastAsia="zh-CN"/>
        </w:rPr>
        <w:t>1365</w:t>
      </w:r>
      <w:r>
        <w:rPr>
          <w:rFonts w:hint="eastAsia" w:ascii="宋体" w:hAnsi="宋体"/>
          <w:color w:val="auto"/>
          <w:szCs w:val="21"/>
          <w:highlight w:val="none"/>
        </w:rPr>
        <w:t>万元。投标按1年期报价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超过最高限价为无效报价，做无效响应处理。</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color w:val="auto"/>
        </w:rPr>
      </w:pPr>
      <w:r>
        <w:rPr>
          <w:rFonts w:hint="eastAsia" w:ascii="宋体" w:hAnsi="宋体" w:cs="宋体"/>
          <w:b/>
          <w:bCs/>
          <w:color w:val="auto"/>
          <w:lang w:val="en-US" w:eastAsia="zh-CN"/>
        </w:rPr>
        <w:t>四、</w:t>
      </w:r>
      <w:r>
        <w:rPr>
          <w:rFonts w:hint="eastAsia" w:ascii="宋体" w:hAnsi="宋体" w:cs="宋体"/>
          <w:b/>
          <w:bCs/>
          <w:color w:val="auto"/>
        </w:rPr>
        <w:t>服务期</w:t>
      </w:r>
    </w:p>
    <w:p>
      <w:pPr>
        <w:keepNext w:val="0"/>
        <w:keepLines w:val="0"/>
        <w:pageBreakBefore w:val="0"/>
        <w:widowControl w:val="0"/>
        <w:kinsoku/>
        <w:wordWrap/>
        <w:overflowPunct/>
        <w:topLinePunct w:val="0"/>
        <w:autoSpaceDE/>
        <w:autoSpaceDN/>
        <w:bidi w:val="0"/>
        <w:adjustRightInd/>
        <w:snapToGrid/>
        <w:spacing w:line="312" w:lineRule="auto"/>
        <w:ind w:firstLine="630" w:firstLineChars="300"/>
        <w:textAlignment w:val="auto"/>
        <w:rPr>
          <w:rFonts w:hint="eastAsia" w:ascii="宋体" w:hAnsi="宋体" w:cs="宋体"/>
          <w:color w:val="auto"/>
        </w:rPr>
      </w:pPr>
      <w:r>
        <w:rPr>
          <w:rFonts w:hint="eastAsia" w:ascii="宋体" w:hAnsi="宋体" w:cs="宋体"/>
          <w:color w:val="auto"/>
          <w:lang w:val="en-US" w:eastAsia="zh-CN"/>
        </w:rPr>
        <w:t>本项目</w:t>
      </w:r>
      <w:r>
        <w:rPr>
          <w:rFonts w:hint="eastAsia" w:hAnsi="宋体"/>
          <w:color w:val="auto"/>
          <w:sz w:val="21"/>
          <w:highlight w:val="none"/>
        </w:rPr>
        <w:t>服务期限3年（自签订合同之日起计），首签一年</w:t>
      </w:r>
      <w:r>
        <w:rPr>
          <w:rFonts w:hint="eastAsia" w:ascii="宋体" w:hAnsi="宋体" w:cs="宋体"/>
          <w:color w:val="auto"/>
        </w:rPr>
        <w:t>，考核合格的情况下，采购人与中标人续签下一年合同。</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color w:val="auto"/>
        </w:rPr>
      </w:pPr>
      <w:r>
        <w:rPr>
          <w:rFonts w:hint="eastAsia" w:ascii="宋体" w:hAnsi="宋体" w:cs="宋体"/>
          <w:b/>
          <w:bCs/>
          <w:color w:val="auto"/>
          <w:lang w:val="en-US" w:eastAsia="zh-CN"/>
        </w:rPr>
        <w:t>五、</w:t>
      </w:r>
      <w:r>
        <w:rPr>
          <w:rFonts w:hint="eastAsia" w:ascii="宋体" w:hAnsi="宋体" w:cs="宋体"/>
          <w:b/>
          <w:bCs/>
          <w:color w:val="auto"/>
        </w:rPr>
        <w:t>付款方式</w:t>
      </w:r>
    </w:p>
    <w:p>
      <w:pPr>
        <w:keepNext w:val="0"/>
        <w:keepLines w:val="0"/>
        <w:pageBreakBefore w:val="0"/>
        <w:widowControl w:val="0"/>
        <w:kinsoku/>
        <w:wordWrap/>
        <w:overflowPunct/>
        <w:topLinePunct w:val="0"/>
        <w:autoSpaceDE/>
        <w:autoSpaceDN/>
        <w:bidi w:val="0"/>
        <w:adjustRightInd/>
        <w:snapToGrid/>
        <w:spacing w:line="312" w:lineRule="auto"/>
        <w:ind w:firstLine="630" w:firstLineChars="300"/>
        <w:textAlignment w:val="auto"/>
        <w:rPr>
          <w:rFonts w:hint="eastAsia" w:ascii="宋体" w:hAnsi="宋体" w:cs="宋体"/>
          <w:color w:val="auto"/>
        </w:rPr>
      </w:pPr>
      <w:r>
        <w:rPr>
          <w:rFonts w:hint="eastAsia" w:ascii="宋体" w:hAnsi="宋体" w:cs="宋体" w:eastAsiaTheme="minorEastAsia"/>
          <w:color w:val="auto"/>
          <w:kern w:val="2"/>
          <w:sz w:val="21"/>
          <w:szCs w:val="24"/>
          <w:lang w:val="en-US" w:eastAsia="zh-CN" w:bidi="ar-SA"/>
        </w:rPr>
        <w:t>服务款项按月支付，先服务后付费。服务费用实行先考核，后拨付制度。</w:t>
      </w:r>
      <w:r>
        <w:rPr>
          <w:rFonts w:hint="eastAsia" w:ascii="宋体" w:hAnsi="宋体" w:cs="宋体"/>
          <w:color w:val="auto"/>
        </w:rPr>
        <w:t>中标人向采购人提供上月结算详细费用构成相关材料（包括所有服务人员花名册、社会保险缴纳凭证、支付增值税凭证、支付政府收费单据等），采购人确认后，双方按考核结果确定实际支付费用。所有款项自收到发票后按照采购人相关规定支付。</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default" w:ascii="宋体" w:hAnsi="宋体" w:cs="宋体" w:eastAsiaTheme="minorEastAsia"/>
          <w:color w:val="auto"/>
          <w:lang w:val="en-US" w:eastAsia="zh-CN"/>
        </w:rPr>
      </w:pPr>
      <w:r>
        <w:rPr>
          <w:rFonts w:hint="eastAsia" w:ascii="宋体" w:hAnsi="宋体" w:cs="宋体"/>
          <w:b/>
          <w:bCs/>
          <w:color w:val="auto"/>
          <w:lang w:val="en-US" w:eastAsia="zh-CN"/>
        </w:rPr>
        <w:t>六、</w:t>
      </w:r>
      <w:r>
        <w:rPr>
          <w:rFonts w:hint="eastAsia" w:ascii="宋体" w:hAnsi="宋体" w:cs="宋体"/>
          <w:b/>
          <w:bCs/>
          <w:color w:val="auto"/>
        </w:rPr>
        <w:t>服务费用</w:t>
      </w:r>
      <w:r>
        <w:rPr>
          <w:rFonts w:hint="eastAsia" w:ascii="宋体" w:hAnsi="宋体" w:cs="宋体"/>
          <w:b/>
          <w:bCs/>
          <w:color w:val="auto"/>
          <w:lang w:val="en-US" w:eastAsia="zh-CN"/>
        </w:rPr>
        <w:t>及相关要求</w:t>
      </w:r>
    </w:p>
    <w:p>
      <w:pPr>
        <w:pStyle w:val="19"/>
        <w:adjustRightInd w:val="0"/>
        <w:snapToGrid w:val="0"/>
        <w:spacing w:line="440" w:lineRule="exact"/>
        <w:ind w:firstLine="420" w:firstLineChars="200"/>
        <w:contextualSpacing/>
        <w:rPr>
          <w:rFonts w:hint="default" w:ascii="宋体" w:hAnsi="宋体" w:cs="宋体" w:eastAsiaTheme="minorEastAsia"/>
          <w:color w:val="auto"/>
          <w:kern w:val="2"/>
          <w:sz w:val="21"/>
          <w:szCs w:val="24"/>
          <w:lang w:val="en-US" w:eastAsia="zh-CN" w:bidi="ar-SA"/>
        </w:rPr>
      </w:pPr>
      <w:r>
        <w:rPr>
          <w:rFonts w:hint="eastAsia" w:ascii="宋体" w:hAnsi="宋体" w:cs="宋体"/>
          <w:color w:val="auto"/>
          <w:kern w:val="2"/>
          <w:sz w:val="21"/>
          <w:szCs w:val="24"/>
          <w:lang w:val="en-US" w:eastAsia="zh-CN" w:bidi="ar-SA"/>
        </w:rPr>
        <w:t>（一）服务费用要求</w:t>
      </w:r>
    </w:p>
    <w:p>
      <w:pPr>
        <w:pStyle w:val="19"/>
        <w:adjustRightInd w:val="0"/>
        <w:snapToGrid w:val="0"/>
        <w:spacing w:line="440" w:lineRule="exact"/>
        <w:ind w:firstLine="420" w:firstLineChars="200"/>
        <w:contextualSpacing/>
        <w:rPr>
          <w:rFonts w:hint="eastAsia" w:ascii="宋体" w:hAnsi="宋体" w:cs="宋体" w:eastAsiaTheme="minorEastAsia"/>
          <w:color w:val="auto"/>
          <w:kern w:val="2"/>
          <w:sz w:val="21"/>
          <w:szCs w:val="24"/>
          <w:lang w:val="en-US" w:eastAsia="zh-CN" w:bidi="ar-SA"/>
        </w:rPr>
      </w:pPr>
      <w:r>
        <w:rPr>
          <w:rFonts w:hint="eastAsia" w:ascii="宋体" w:hAnsi="宋体" w:cs="宋体" w:eastAsiaTheme="minorEastAsia"/>
          <w:color w:val="auto"/>
          <w:kern w:val="2"/>
          <w:sz w:val="21"/>
          <w:szCs w:val="24"/>
          <w:lang w:val="en-US" w:eastAsia="zh-CN" w:bidi="ar-SA"/>
        </w:rPr>
        <w:t>1</w:t>
      </w:r>
      <w:r>
        <w:rPr>
          <w:rFonts w:hint="eastAsia" w:ascii="宋体" w:hAnsi="宋体" w:cs="宋体"/>
          <w:color w:val="auto"/>
          <w:kern w:val="2"/>
          <w:sz w:val="21"/>
          <w:szCs w:val="24"/>
          <w:lang w:val="en-US" w:eastAsia="zh-CN" w:bidi="ar-SA"/>
        </w:rPr>
        <w:t>.</w:t>
      </w:r>
      <w:r>
        <w:rPr>
          <w:rFonts w:hint="eastAsia" w:ascii="宋体" w:hAnsi="宋体" w:cs="宋体" w:eastAsiaTheme="minorEastAsia"/>
          <w:color w:val="auto"/>
          <w:kern w:val="2"/>
          <w:sz w:val="21"/>
          <w:szCs w:val="24"/>
          <w:lang w:val="en-US" w:eastAsia="zh-CN" w:bidi="ar-SA"/>
        </w:rPr>
        <w:t>本项目服务费由投标人自行测算投标报价（含为完成招标文件规定的服务工作所涉及的一切相关费用</w:t>
      </w:r>
      <w:r>
        <w:rPr>
          <w:rFonts w:hint="eastAsia" w:ascii="宋体" w:hAnsi="宋体" w:cs="宋体"/>
          <w:color w:val="auto"/>
          <w:kern w:val="2"/>
          <w:sz w:val="21"/>
          <w:szCs w:val="24"/>
          <w:lang w:val="en-US" w:eastAsia="zh-CN" w:bidi="ar-SA"/>
        </w:rPr>
        <w:t>。</w:t>
      </w:r>
    </w:p>
    <w:p>
      <w:pPr>
        <w:pStyle w:val="19"/>
        <w:adjustRightInd w:val="0"/>
        <w:snapToGrid w:val="0"/>
        <w:spacing w:line="440" w:lineRule="exact"/>
        <w:ind w:firstLine="420" w:firstLineChars="200"/>
        <w:contextualSpacing/>
        <w:rPr>
          <w:rFonts w:hAnsi="宋体" w:cs="宋体"/>
          <w:color w:val="000000" w:themeColor="text1"/>
          <w:sz w:val="21"/>
          <w:highlight w:val="none"/>
          <w:u w:val="none"/>
          <w14:textFill>
            <w14:solidFill>
              <w14:schemeClr w14:val="tx1"/>
            </w14:solidFill>
          </w14:textFill>
        </w:rPr>
      </w:pPr>
      <w:r>
        <w:rPr>
          <w:rFonts w:hint="eastAsia" w:ascii="宋体" w:hAnsi="宋体" w:cs="宋体"/>
          <w:color w:val="auto"/>
          <w:kern w:val="2"/>
          <w:sz w:val="21"/>
          <w:szCs w:val="24"/>
          <w:lang w:val="en-US" w:eastAsia="zh-CN" w:bidi="ar-SA"/>
        </w:rPr>
        <w:t>2.</w:t>
      </w:r>
      <w:r>
        <w:rPr>
          <w:rFonts w:hint="eastAsia" w:ascii="宋体" w:hAnsi="宋体" w:cs="宋体" w:eastAsiaTheme="minorEastAsia"/>
          <w:color w:val="auto"/>
          <w:kern w:val="2"/>
          <w:sz w:val="21"/>
          <w:szCs w:val="24"/>
          <w:lang w:val="en-US" w:eastAsia="zh-CN" w:bidi="ar-SA"/>
        </w:rPr>
        <w:t>本项目服务费</w:t>
      </w:r>
      <w:r>
        <w:rPr>
          <w:rFonts w:hint="eastAsia" w:hAnsi="宋体"/>
          <w:color w:val="auto"/>
          <w:sz w:val="21"/>
          <w:highlight w:val="none"/>
        </w:rPr>
        <w:t>包括服务人员基本工资（</w:t>
      </w:r>
      <w:r>
        <w:rPr>
          <w:rFonts w:hint="eastAsia" w:hAnsi="宋体"/>
          <w:bCs/>
          <w:color w:val="auto"/>
          <w:sz w:val="21"/>
          <w:highlight w:val="none"/>
        </w:rPr>
        <w:t>符合政府最低工资标准</w:t>
      </w:r>
      <w:r>
        <w:rPr>
          <w:rFonts w:hint="eastAsia" w:hAnsi="宋体"/>
          <w:color w:val="auto"/>
          <w:sz w:val="21"/>
          <w:highlight w:val="none"/>
        </w:rPr>
        <w:t>）、岗位考核工资、各种岗位津贴，各种加班费、五险一金、防暑降温费（仅高温岗位发放）、年终考核、满勤奖、</w:t>
      </w:r>
      <w:r>
        <w:rPr>
          <w:rFonts w:hint="eastAsia" w:hAnsi="宋体"/>
          <w:bCs/>
          <w:color w:val="auto"/>
          <w:sz w:val="21"/>
          <w:highlight w:val="none"/>
        </w:rPr>
        <w:t>管理人员薪资、服务人员资质证件费用、培训费、服装费、</w:t>
      </w:r>
      <w:r>
        <w:rPr>
          <w:rFonts w:hint="eastAsia" w:hAnsi="宋体"/>
          <w:color w:val="auto"/>
          <w:sz w:val="21"/>
          <w:highlight w:val="none"/>
        </w:rPr>
        <w:t>管理费、</w:t>
      </w:r>
      <w:r>
        <w:rPr>
          <w:rFonts w:hint="eastAsia" w:ascii="宋体" w:hAnsi="宋体" w:cs="宋体"/>
          <w:color w:val="auto"/>
        </w:rPr>
        <w:t>工具、耗材、办公用品费用、</w:t>
      </w:r>
      <w:r>
        <w:rPr>
          <w:rFonts w:hint="eastAsia" w:hAnsi="宋体"/>
          <w:color w:val="auto"/>
          <w:sz w:val="21"/>
          <w:highlight w:val="none"/>
        </w:rPr>
        <w:t>各种规费、税金等</w:t>
      </w:r>
      <w:r>
        <w:rPr>
          <w:rFonts w:hint="eastAsia" w:hAnsi="宋体" w:cs="宋体"/>
          <w:color w:val="auto"/>
          <w:sz w:val="21"/>
          <w:highlight w:val="none"/>
        </w:rPr>
        <w:t>支付给员工的</w:t>
      </w:r>
      <w:r>
        <w:rPr>
          <w:rFonts w:hint="eastAsia" w:hAnsi="宋体" w:cs="宋体"/>
          <w:color w:val="auto"/>
          <w:sz w:val="21"/>
          <w:highlight w:val="none"/>
          <w:u w:val="none"/>
        </w:rPr>
        <w:t>工资和国家强制缴纳的各种社会保障资金等招标文件所要求和</w:t>
      </w:r>
      <w:r>
        <w:rPr>
          <w:rFonts w:hint="eastAsia" w:hAnsi="宋体"/>
          <w:color w:val="auto"/>
          <w:sz w:val="21"/>
          <w:highlight w:val="none"/>
          <w:u w:val="none"/>
        </w:rPr>
        <w:t>完成本项目发生的</w:t>
      </w:r>
      <w:r>
        <w:rPr>
          <w:rFonts w:hint="eastAsia" w:hAnsi="宋体" w:cs="宋体"/>
          <w:color w:val="auto"/>
          <w:sz w:val="21"/>
          <w:highlight w:val="none"/>
          <w:u w:val="none"/>
        </w:rPr>
        <w:t>的全部费用。</w:t>
      </w:r>
      <w:r>
        <w:rPr>
          <w:rFonts w:hint="eastAsia" w:hAnsi="宋体" w:cs="宋体"/>
          <w:color w:val="000000" w:themeColor="text1"/>
          <w:sz w:val="21"/>
          <w:highlight w:val="none"/>
          <w:u w:val="none"/>
          <w14:textFill>
            <w14:solidFill>
              <w14:schemeClr w14:val="tx1"/>
            </w14:solidFill>
          </w14:textFill>
        </w:rPr>
        <w:t>项目期限内，如因劳动部门提高扬州市区从业人员最低工资标准或社会保险基数，续签合同时经采购方同意可根据政策同比例上浮续签合同金额。</w:t>
      </w:r>
    </w:p>
    <w:p>
      <w:pPr>
        <w:pStyle w:val="19"/>
        <w:adjustRightInd w:val="0"/>
        <w:snapToGrid w:val="0"/>
        <w:spacing w:line="44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3.</w:t>
      </w:r>
      <w:r>
        <w:rPr>
          <w:rFonts w:hint="eastAsia" w:hAnsi="宋体" w:cs="宋体"/>
          <w:color w:val="auto"/>
          <w:sz w:val="21"/>
          <w:highlight w:val="none"/>
        </w:rPr>
        <w:t>本</w:t>
      </w:r>
      <w:r>
        <w:rPr>
          <w:rFonts w:hint="eastAsia" w:hAnsi="宋体" w:cs="宋体"/>
          <w:color w:val="auto"/>
          <w:sz w:val="21"/>
          <w:highlight w:val="none"/>
          <w:lang w:val="en-US" w:eastAsia="zh-CN"/>
        </w:rPr>
        <w:t>项目</w:t>
      </w:r>
      <w:r>
        <w:rPr>
          <w:rFonts w:hint="eastAsia" w:hAnsi="宋体" w:cs="宋体"/>
          <w:color w:val="auto"/>
          <w:sz w:val="21"/>
          <w:highlight w:val="none"/>
        </w:rPr>
        <w:t>总价款包含</w:t>
      </w:r>
      <w:r>
        <w:rPr>
          <w:rFonts w:hint="eastAsia" w:hAnsi="宋体" w:cs="宋体"/>
          <w:color w:val="auto"/>
          <w:sz w:val="21"/>
          <w:highlight w:val="none"/>
          <w:lang w:val="en-US" w:eastAsia="zh-CN"/>
        </w:rPr>
        <w:t>投标人</w:t>
      </w:r>
      <w:r>
        <w:rPr>
          <w:rFonts w:hint="eastAsia" w:hAnsi="宋体" w:cs="宋体"/>
          <w:color w:val="auto"/>
          <w:sz w:val="21"/>
          <w:highlight w:val="none"/>
        </w:rPr>
        <w:t>根据</w:t>
      </w:r>
      <w:r>
        <w:rPr>
          <w:rFonts w:hint="eastAsia" w:hAnsi="宋体" w:cs="宋体"/>
          <w:color w:val="auto"/>
          <w:sz w:val="21"/>
          <w:highlight w:val="none"/>
          <w:lang w:val="en-US" w:eastAsia="zh-CN"/>
        </w:rPr>
        <w:t>采购</w:t>
      </w:r>
      <w:r>
        <w:rPr>
          <w:rFonts w:hint="eastAsia" w:hAnsi="宋体" w:cs="宋体"/>
          <w:color w:val="auto"/>
          <w:sz w:val="21"/>
          <w:highlight w:val="none"/>
        </w:rPr>
        <w:t>需要应当提供的伴随服务费用。服务期间，</w:t>
      </w:r>
      <w:r>
        <w:rPr>
          <w:rFonts w:hint="eastAsia" w:hAnsi="宋体" w:cs="宋体"/>
          <w:color w:val="auto"/>
          <w:sz w:val="21"/>
          <w:highlight w:val="none"/>
          <w:lang w:val="en-US" w:eastAsia="zh-CN"/>
        </w:rPr>
        <w:t>采购方</w:t>
      </w:r>
      <w:r>
        <w:rPr>
          <w:rFonts w:hint="eastAsia" w:hAnsi="宋体" w:cs="宋体"/>
          <w:color w:val="auto"/>
          <w:sz w:val="21"/>
          <w:highlight w:val="none"/>
        </w:rPr>
        <w:t>若由于各种客观原因，必须对采购项目所牵涉的服务或人员进行适当的</w:t>
      </w:r>
      <w:r>
        <w:rPr>
          <w:rFonts w:hint="eastAsia" w:hAnsi="宋体" w:cs="宋体"/>
          <w:b/>
          <w:bCs/>
          <w:color w:val="auto"/>
          <w:sz w:val="21"/>
          <w:highlight w:val="none"/>
        </w:rPr>
        <w:t>增减</w:t>
      </w:r>
      <w:r>
        <w:rPr>
          <w:rFonts w:hint="eastAsia" w:hAnsi="宋体" w:cs="宋体"/>
          <w:color w:val="auto"/>
          <w:sz w:val="21"/>
          <w:highlight w:val="none"/>
        </w:rPr>
        <w:t>时，在双方协商一致的前提下，可以按照招标采购时的价格水平做相应的</w:t>
      </w:r>
      <w:r>
        <w:rPr>
          <w:rFonts w:hint="eastAsia" w:hAnsi="宋体" w:cs="宋体"/>
          <w:b/>
          <w:bCs/>
          <w:color w:val="auto"/>
          <w:sz w:val="21"/>
          <w:highlight w:val="none"/>
        </w:rPr>
        <w:t>调整</w:t>
      </w:r>
      <w:r>
        <w:rPr>
          <w:rFonts w:hint="eastAsia" w:hAnsi="宋体" w:cs="宋体"/>
          <w:color w:val="auto"/>
          <w:sz w:val="21"/>
          <w:highlight w:val="none"/>
        </w:rPr>
        <w:t>，并据此签订补充合同。</w:t>
      </w:r>
    </w:p>
    <w:p>
      <w:pPr>
        <w:pStyle w:val="19"/>
        <w:adjustRightInd w:val="0"/>
        <w:snapToGrid w:val="0"/>
        <w:spacing w:line="440" w:lineRule="exact"/>
        <w:ind w:firstLine="420" w:firstLineChars="200"/>
        <w:contextualSpacing/>
        <w:rPr>
          <w:rFonts w:hint="eastAsia" w:ascii="宋体" w:hAnsi="宋体" w:cs="宋体"/>
          <w:color w:val="auto"/>
        </w:rPr>
      </w:pPr>
      <w:r>
        <w:rPr>
          <w:rFonts w:hint="eastAsia" w:hAnsi="宋体" w:cs="宋体"/>
          <w:color w:val="auto"/>
          <w:sz w:val="21"/>
          <w:highlight w:val="none"/>
          <w:lang w:val="en-US" w:eastAsia="zh-CN"/>
        </w:rPr>
        <w:t>4.</w:t>
      </w:r>
      <w:r>
        <w:rPr>
          <w:rFonts w:hint="eastAsia" w:hAnsi="宋体" w:cs="宋体"/>
          <w:color w:val="auto"/>
          <w:sz w:val="21"/>
          <w:highlight w:val="none"/>
        </w:rPr>
        <w:t>本</w:t>
      </w:r>
      <w:r>
        <w:rPr>
          <w:rFonts w:hint="eastAsia" w:hAnsi="宋体" w:cs="宋体"/>
          <w:color w:val="auto"/>
          <w:sz w:val="21"/>
          <w:highlight w:val="none"/>
          <w:lang w:val="en-US" w:eastAsia="zh-CN"/>
        </w:rPr>
        <w:t>项目</w:t>
      </w:r>
      <w:r>
        <w:rPr>
          <w:rFonts w:hint="eastAsia" w:hAnsi="宋体" w:cs="宋体"/>
          <w:color w:val="auto"/>
          <w:sz w:val="21"/>
          <w:highlight w:val="none"/>
        </w:rPr>
        <w:t>执行中相关的一切税费均由</w:t>
      </w:r>
      <w:r>
        <w:rPr>
          <w:rFonts w:hint="eastAsia" w:hAnsi="宋体" w:cs="宋体"/>
          <w:color w:val="auto"/>
          <w:sz w:val="21"/>
          <w:highlight w:val="none"/>
          <w:lang w:val="en-US" w:eastAsia="zh-CN"/>
        </w:rPr>
        <w:t>投标人</w:t>
      </w:r>
      <w:r>
        <w:rPr>
          <w:rFonts w:hint="eastAsia" w:hAnsi="宋体" w:cs="宋体"/>
          <w:color w:val="auto"/>
          <w:sz w:val="21"/>
          <w:highlight w:val="none"/>
        </w:rPr>
        <w:t>负担。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投标人应根据本企业的成本自行决定报价，但不得以低于其企业成本的报价投标。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6.</w:t>
      </w:r>
      <w:r>
        <w:rPr>
          <w:rFonts w:hint="eastAsia" w:ascii="宋体" w:hAnsi="宋体" w:cs="宋体"/>
          <w:color w:val="auto"/>
        </w:rPr>
        <w:t>报价时，人员工资低于扬州市最低工资标准及未依法测算缴纳社会保险、医疗保险、住房公积金、税费的作无效报价处理。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eastAsiaTheme="minorEastAsia"/>
          <w:color w:val="auto"/>
          <w:lang w:eastAsia="zh-CN"/>
        </w:rPr>
      </w:pPr>
      <w:r>
        <w:rPr>
          <w:rFonts w:hint="eastAsia" w:ascii="宋体" w:hAnsi="宋体" w:cs="宋体"/>
          <w:color w:val="auto"/>
          <w:lang w:val="en-US" w:eastAsia="zh-CN"/>
        </w:rPr>
        <w:t>7.</w:t>
      </w:r>
      <w:r>
        <w:rPr>
          <w:rFonts w:hint="eastAsia" w:ascii="宋体" w:hAnsi="宋体" w:cs="宋体"/>
          <w:color w:val="auto"/>
        </w:rPr>
        <w:t>除非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r>
        <w:rPr>
          <w:rFonts w:hint="eastAsia" w:ascii="宋体" w:hAnsi="宋体" w:cs="宋体"/>
          <w:color w:val="auto"/>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Ansi="宋体" w:cs="宋体"/>
          <w:color w:val="auto"/>
          <w:sz w:val="21"/>
          <w:highlight w:val="none"/>
        </w:rPr>
      </w:pPr>
      <w:r>
        <w:rPr>
          <w:rFonts w:hint="eastAsia" w:ascii="宋体" w:hAnsi="宋体" w:cs="宋体"/>
          <w:color w:val="auto"/>
          <w:lang w:val="en-US" w:eastAsia="zh-CN"/>
        </w:rPr>
        <w:t>8.</w:t>
      </w:r>
      <w:r>
        <w:rPr>
          <w:rFonts w:hint="eastAsia" w:hAnsi="宋体" w:cs="宋体"/>
          <w:color w:val="auto"/>
          <w:sz w:val="21"/>
          <w:highlight w:val="none"/>
        </w:rPr>
        <w:t>本</w:t>
      </w:r>
      <w:r>
        <w:rPr>
          <w:rFonts w:hint="eastAsia" w:hAnsi="宋体" w:cs="宋体"/>
          <w:color w:val="auto"/>
          <w:sz w:val="21"/>
          <w:highlight w:val="none"/>
          <w:lang w:val="en-US" w:eastAsia="zh-CN"/>
        </w:rPr>
        <w:t>项目</w:t>
      </w:r>
      <w:r>
        <w:rPr>
          <w:rFonts w:hint="eastAsia" w:hAnsi="宋体" w:cs="宋体"/>
          <w:color w:val="auto"/>
          <w:sz w:val="21"/>
          <w:highlight w:val="none"/>
        </w:rPr>
        <w:t>禁止转包或分包，本</w:t>
      </w:r>
      <w:r>
        <w:rPr>
          <w:rFonts w:hint="eastAsia" w:hAnsi="宋体" w:cs="宋体"/>
          <w:color w:val="auto"/>
          <w:sz w:val="21"/>
          <w:highlight w:val="none"/>
          <w:lang w:val="en-US" w:eastAsia="zh-CN"/>
        </w:rPr>
        <w:t>项目</w:t>
      </w:r>
      <w:r>
        <w:rPr>
          <w:rFonts w:hint="eastAsia" w:hAnsi="宋体" w:cs="宋体"/>
          <w:color w:val="auto"/>
          <w:sz w:val="21"/>
          <w:highlight w:val="none"/>
        </w:rPr>
        <w:t>范围的服务，应由</w:t>
      </w:r>
      <w:r>
        <w:rPr>
          <w:rFonts w:hint="eastAsia" w:hAnsi="宋体" w:cs="宋体"/>
          <w:color w:val="auto"/>
          <w:sz w:val="21"/>
          <w:highlight w:val="none"/>
          <w:lang w:val="en-US" w:eastAsia="zh-CN"/>
        </w:rPr>
        <w:t>投标人</w:t>
      </w:r>
      <w:r>
        <w:rPr>
          <w:rFonts w:hint="eastAsia" w:hAnsi="宋体" w:cs="宋体"/>
          <w:color w:val="auto"/>
          <w:sz w:val="21"/>
          <w:highlight w:val="none"/>
        </w:rPr>
        <w:t>直接提供的，不得转让他人提供。</w:t>
      </w:r>
    </w:p>
    <w:p>
      <w:pPr>
        <w:pStyle w:val="2"/>
        <w:rPr>
          <w:rFonts w:hint="eastAsia" w:hAnsi="宋体" w:cs="宋体"/>
          <w:color w:val="auto"/>
          <w:sz w:val="21"/>
          <w:highlight w:val="none"/>
          <w:lang w:val="en-US"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二</w:t>
      </w:r>
      <w:r>
        <w:rPr>
          <w:rFonts w:hint="eastAsia" w:hAnsi="宋体" w:cs="宋体"/>
          <w:color w:val="auto"/>
          <w:sz w:val="21"/>
          <w:highlight w:val="none"/>
          <w:lang w:eastAsia="zh-CN"/>
        </w:rPr>
        <w:t>）</w:t>
      </w:r>
      <w:r>
        <w:rPr>
          <w:rFonts w:hint="eastAsia" w:hAnsi="宋体" w:cs="宋体"/>
          <w:color w:val="auto"/>
          <w:sz w:val="21"/>
          <w:highlight w:val="none"/>
          <w:lang w:val="en-US" w:eastAsia="zh-CN"/>
        </w:rPr>
        <w:t>服务费用明细</w:t>
      </w:r>
    </w:p>
    <w:p>
      <w:pPr>
        <w:pStyle w:val="2"/>
        <w:rPr>
          <w:rFonts w:hint="eastAsia"/>
          <w:lang w:val="en-US" w:eastAsia="zh-CN"/>
        </w:rPr>
      </w:pPr>
    </w:p>
    <w:tbl>
      <w:tblPr>
        <w:tblStyle w:val="13"/>
        <w:tblW w:w="9399" w:type="dxa"/>
        <w:jc w:val="center"/>
        <w:tblLayout w:type="fixed"/>
        <w:tblCellMar>
          <w:top w:w="0" w:type="dxa"/>
          <w:left w:w="108" w:type="dxa"/>
          <w:bottom w:w="0" w:type="dxa"/>
          <w:right w:w="108" w:type="dxa"/>
        </w:tblCellMar>
      </w:tblPr>
      <w:tblGrid>
        <w:gridCol w:w="673"/>
        <w:gridCol w:w="2436"/>
        <w:gridCol w:w="1249"/>
        <w:gridCol w:w="5041"/>
      </w:tblGrid>
      <w:tr>
        <w:tblPrEx>
          <w:tblCellMar>
            <w:top w:w="0" w:type="dxa"/>
            <w:left w:w="108" w:type="dxa"/>
            <w:bottom w:w="0" w:type="dxa"/>
            <w:right w:w="108" w:type="dxa"/>
          </w:tblCellMar>
        </w:tblPrEx>
        <w:trPr>
          <w:trHeight w:val="514" w:hRule="atLeast"/>
          <w:jc w:val="center"/>
        </w:trPr>
        <w:tc>
          <w:tcPr>
            <w:tcW w:w="9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b/>
                <w:bCs/>
                <w:color w:val="000000"/>
                <w:sz w:val="21"/>
                <w:szCs w:val="21"/>
                <w:lang w:val="en-US"/>
              </w:rPr>
            </w:pPr>
            <w:r>
              <w:rPr>
                <w:rFonts w:hint="eastAsia" w:asciiTheme="minorEastAsia" w:hAnsiTheme="minorEastAsia" w:eastAsiaTheme="minorEastAsia" w:cstheme="minorEastAsia"/>
                <w:b/>
                <w:bCs/>
                <w:color w:val="000000"/>
                <w:kern w:val="0"/>
                <w:sz w:val="30"/>
                <w:szCs w:val="30"/>
                <w14:ligatures w14:val="none"/>
              </w:rPr>
              <w:t>扬州大学附属医院</w:t>
            </w:r>
            <w:r>
              <w:rPr>
                <w:rFonts w:hint="eastAsia" w:asciiTheme="minorEastAsia" w:hAnsiTheme="minorEastAsia" w:eastAsiaTheme="minorEastAsia" w:cstheme="minorEastAsia"/>
                <w:b/>
                <w:bCs/>
                <w:i w:val="0"/>
                <w:iCs w:val="0"/>
                <w:color w:val="000000"/>
                <w:kern w:val="0"/>
                <w:sz w:val="30"/>
                <w:szCs w:val="30"/>
                <w:u w:val="none"/>
                <w:lang w:val="en-US" w:eastAsia="zh-CN" w:bidi="ar"/>
              </w:rPr>
              <w:t>导医服务费</w:t>
            </w:r>
            <w:r>
              <w:rPr>
                <w:rFonts w:hint="eastAsia" w:asciiTheme="minorEastAsia" w:hAnsiTheme="minorEastAsia" w:cstheme="minorEastAsia"/>
                <w:b/>
                <w:bCs/>
                <w:i w:val="0"/>
                <w:iCs w:val="0"/>
                <w:color w:val="000000"/>
                <w:kern w:val="0"/>
                <w:sz w:val="30"/>
                <w:szCs w:val="30"/>
                <w:u w:val="none"/>
                <w:lang w:val="en-US" w:eastAsia="zh-CN" w:bidi="ar"/>
              </w:rPr>
              <w:t>明细</w:t>
            </w:r>
          </w:p>
        </w:tc>
      </w:tr>
      <w:tr>
        <w:tblPrEx>
          <w:tblCellMar>
            <w:top w:w="0" w:type="dxa"/>
            <w:left w:w="108" w:type="dxa"/>
            <w:bottom w:w="0" w:type="dxa"/>
            <w:right w:w="108" w:type="dxa"/>
          </w:tblCellMar>
        </w:tblPrEx>
        <w:trPr>
          <w:trHeight w:val="363"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序号</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费用明细</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金额（元）</w:t>
            </w: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tLeast"/>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备注</w:t>
            </w:r>
          </w:p>
        </w:tc>
      </w:tr>
      <w:tr>
        <w:tblPrEx>
          <w:tblCellMar>
            <w:top w:w="0" w:type="dxa"/>
            <w:left w:w="108" w:type="dxa"/>
            <w:bottom w:w="0" w:type="dxa"/>
            <w:right w:w="108" w:type="dxa"/>
          </w:tblCellMar>
        </w:tblPrEx>
        <w:trPr>
          <w:trHeight w:val="363" w:hRule="atLeast"/>
          <w:jc w:val="center"/>
        </w:trPr>
        <w:tc>
          <w:tcPr>
            <w:tcW w:w="67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普通岗实发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bidi="ar"/>
              </w:rPr>
              <w:t>3000</w:t>
            </w:r>
          </w:p>
        </w:tc>
        <w:tc>
          <w:tcPr>
            <w:tcW w:w="5041"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员工</w:t>
            </w:r>
            <w:r>
              <w:rPr>
                <w:rFonts w:hint="eastAsia" w:asciiTheme="minorEastAsia" w:hAnsiTheme="minorEastAsia" w:cstheme="minorEastAsia"/>
                <w:color w:val="000000"/>
                <w:kern w:val="0"/>
                <w:sz w:val="21"/>
                <w:szCs w:val="21"/>
                <w:lang w:val="en-US" w:eastAsia="zh-CN" w:bidi="ar"/>
              </w:rPr>
              <w:t>工资，其中500元用作每月绩效考核，考核岗位工作量和服务质量</w:t>
            </w:r>
          </w:p>
        </w:tc>
      </w:tr>
      <w:tr>
        <w:tblPrEx>
          <w:tblCellMar>
            <w:top w:w="0" w:type="dxa"/>
            <w:left w:w="108" w:type="dxa"/>
            <w:bottom w:w="0" w:type="dxa"/>
            <w:right w:w="108" w:type="dxa"/>
          </w:tblCellMar>
        </w:tblPrEx>
        <w:trPr>
          <w:trHeight w:val="363" w:hRule="atLeast"/>
          <w:jc w:val="center"/>
        </w:trPr>
        <w:tc>
          <w:tcPr>
            <w:tcW w:w="67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辅诊岗实发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≥4000</w:t>
            </w:r>
          </w:p>
        </w:tc>
        <w:tc>
          <w:tcPr>
            <w:tcW w:w="504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363" w:hRule="atLeast"/>
          <w:jc w:val="center"/>
        </w:trPr>
        <w:tc>
          <w:tcPr>
            <w:tcW w:w="67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个人五险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按照政府规定，社保基数和比例，个人部分金额</w:t>
            </w:r>
          </w:p>
        </w:tc>
      </w:tr>
      <w:tr>
        <w:tblPrEx>
          <w:tblCellMar>
            <w:top w:w="0" w:type="dxa"/>
            <w:left w:w="108" w:type="dxa"/>
            <w:bottom w:w="0" w:type="dxa"/>
            <w:right w:w="108" w:type="dxa"/>
          </w:tblCellMar>
        </w:tblPrEx>
        <w:trPr>
          <w:trHeight w:val="363" w:hRule="atLeast"/>
          <w:jc w:val="center"/>
        </w:trPr>
        <w:tc>
          <w:tcPr>
            <w:tcW w:w="67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公司五险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kern w:val="0"/>
                <w:sz w:val="21"/>
                <w:szCs w:val="21"/>
                <w:lang w:val="en-US" w:eastAsia="zh-CN" w:bidi="ar"/>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按照政府规定，社保基数和比例，公司部分金额</w:t>
            </w:r>
          </w:p>
        </w:tc>
      </w:tr>
      <w:tr>
        <w:tblPrEx>
          <w:tblCellMar>
            <w:top w:w="0" w:type="dxa"/>
            <w:left w:w="108" w:type="dxa"/>
            <w:bottom w:w="0" w:type="dxa"/>
            <w:right w:w="108" w:type="dxa"/>
          </w:tblCellMar>
        </w:tblPrEx>
        <w:trPr>
          <w:trHeight w:val="354" w:hRule="atLeast"/>
          <w:jc w:val="center"/>
        </w:trPr>
        <w:tc>
          <w:tcPr>
            <w:tcW w:w="67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个人一金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按照政府规定，公积金基数和比例，个人部分金额</w:t>
            </w:r>
          </w:p>
        </w:tc>
      </w:tr>
      <w:tr>
        <w:tblPrEx>
          <w:tblCellMar>
            <w:top w:w="0" w:type="dxa"/>
            <w:left w:w="108" w:type="dxa"/>
            <w:bottom w:w="0" w:type="dxa"/>
            <w:right w:w="108" w:type="dxa"/>
          </w:tblCellMar>
        </w:tblPrEx>
        <w:trPr>
          <w:trHeight w:val="363" w:hRule="atLeast"/>
          <w:jc w:val="center"/>
        </w:trPr>
        <w:tc>
          <w:tcPr>
            <w:tcW w:w="67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公司一金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按照政府规定，公积金基数和比例，公司部分金额</w:t>
            </w:r>
          </w:p>
        </w:tc>
      </w:tr>
      <w:tr>
        <w:tblPrEx>
          <w:tblCellMar>
            <w:top w:w="0" w:type="dxa"/>
            <w:left w:w="108" w:type="dxa"/>
            <w:bottom w:w="0" w:type="dxa"/>
            <w:right w:w="108" w:type="dxa"/>
          </w:tblCellMar>
        </w:tblPrEx>
        <w:trPr>
          <w:trHeight w:val="363"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员工综合福利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kern w:val="0"/>
                <w:sz w:val="21"/>
                <w:szCs w:val="21"/>
                <w:lang w:val="en-US" w:eastAsia="zh-CN" w:bidi="ar"/>
              </w:rPr>
              <w:t>≥3</w:t>
            </w:r>
            <w:r>
              <w:rPr>
                <w:rFonts w:hint="eastAsia" w:asciiTheme="minorEastAsia" w:hAnsiTheme="minorEastAsia" w:eastAsiaTheme="minorEastAsia" w:cstheme="minorEastAsia"/>
                <w:color w:val="000000"/>
                <w:kern w:val="0"/>
                <w:sz w:val="21"/>
                <w:szCs w:val="21"/>
                <w:lang w:bidi="ar"/>
              </w:rPr>
              <w:t>00</w:t>
            </w: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月度优秀导医、年度优秀导医、表扬</w:t>
            </w:r>
            <w:r>
              <w:rPr>
                <w:rFonts w:hint="eastAsia" w:asciiTheme="minorEastAsia" w:hAnsiTheme="minorEastAsia" w:cstheme="minorEastAsia"/>
                <w:color w:val="000000"/>
                <w:kern w:val="0"/>
                <w:sz w:val="21"/>
                <w:szCs w:val="21"/>
                <w:lang w:val="en-US" w:eastAsia="zh-CN" w:bidi="ar"/>
              </w:rPr>
              <w:t>单</w:t>
            </w:r>
            <w:r>
              <w:rPr>
                <w:rFonts w:hint="eastAsia" w:asciiTheme="minorEastAsia" w:hAnsiTheme="minorEastAsia" w:eastAsiaTheme="minorEastAsia" w:cstheme="minorEastAsia"/>
                <w:color w:val="000000"/>
                <w:kern w:val="0"/>
                <w:sz w:val="21"/>
                <w:szCs w:val="21"/>
                <w:lang w:val="en-US" w:eastAsia="zh-CN" w:bidi="ar"/>
              </w:rPr>
              <w:t>、锦旗、</w:t>
            </w:r>
            <w:r>
              <w:rPr>
                <w:rFonts w:hint="eastAsia" w:asciiTheme="minorEastAsia" w:hAnsiTheme="minorEastAsia" w:eastAsiaTheme="minorEastAsia" w:cstheme="minorEastAsia"/>
                <w:color w:val="000000"/>
                <w:kern w:val="0"/>
                <w:sz w:val="21"/>
                <w:szCs w:val="21"/>
                <w:lang w:bidi="ar"/>
              </w:rPr>
              <w:t>节日福利、年终、产假</w:t>
            </w:r>
            <w:r>
              <w:rPr>
                <w:rFonts w:hint="eastAsia" w:asciiTheme="minorEastAsia" w:hAnsiTheme="minorEastAsia" w:cstheme="minorEastAsia"/>
                <w:color w:val="000000"/>
                <w:kern w:val="0"/>
                <w:sz w:val="21"/>
                <w:szCs w:val="21"/>
                <w:lang w:eastAsia="zh-CN" w:bidi="ar"/>
              </w:rPr>
              <w:t>、</w:t>
            </w:r>
            <w:r>
              <w:rPr>
                <w:rFonts w:hint="eastAsia" w:asciiTheme="minorEastAsia" w:hAnsiTheme="minorEastAsia" w:cstheme="minorEastAsia"/>
                <w:color w:val="000000"/>
                <w:kern w:val="0"/>
                <w:sz w:val="21"/>
                <w:szCs w:val="21"/>
                <w:lang w:val="en-US" w:eastAsia="zh-CN" w:bidi="ar"/>
              </w:rPr>
              <w:t>组长、特殊岗位</w:t>
            </w:r>
            <w:r>
              <w:rPr>
                <w:rFonts w:hint="eastAsia" w:asciiTheme="minorEastAsia" w:hAnsiTheme="minorEastAsia" w:eastAsiaTheme="minorEastAsia" w:cstheme="minorEastAsia"/>
                <w:color w:val="000000"/>
                <w:kern w:val="0"/>
                <w:sz w:val="21"/>
                <w:szCs w:val="21"/>
                <w:lang w:bidi="ar"/>
              </w:rPr>
              <w:t>等综合福利</w:t>
            </w:r>
          </w:p>
        </w:tc>
      </w:tr>
      <w:tr>
        <w:tblPrEx>
          <w:tblCellMar>
            <w:top w:w="0" w:type="dxa"/>
            <w:left w:w="108" w:type="dxa"/>
            <w:bottom w:w="0" w:type="dxa"/>
            <w:right w:w="108" w:type="dxa"/>
          </w:tblCellMar>
        </w:tblPrEx>
        <w:trPr>
          <w:trHeight w:val="363"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人事服务培训费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 w:val="21"/>
                <w:szCs w:val="21"/>
                <w:lang w:val="en-US"/>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招聘、培训、社保管理等</w:t>
            </w:r>
          </w:p>
        </w:tc>
      </w:tr>
      <w:tr>
        <w:tblPrEx>
          <w:tblCellMar>
            <w:top w:w="0" w:type="dxa"/>
            <w:left w:w="108" w:type="dxa"/>
            <w:bottom w:w="0" w:type="dxa"/>
            <w:right w:w="108" w:type="dxa"/>
          </w:tblCellMar>
        </w:tblPrEx>
        <w:trPr>
          <w:trHeight w:val="363"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7</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员工服装</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春装、夏装、秋装、冬装</w:t>
            </w:r>
          </w:p>
        </w:tc>
      </w:tr>
      <w:tr>
        <w:tblPrEx>
          <w:tblCellMar>
            <w:top w:w="0" w:type="dxa"/>
            <w:left w:w="108" w:type="dxa"/>
            <w:bottom w:w="0" w:type="dxa"/>
            <w:right w:w="108" w:type="dxa"/>
          </w:tblCellMar>
        </w:tblPrEx>
        <w:trPr>
          <w:trHeight w:val="363"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管理成本</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kern w:val="0"/>
                <w:sz w:val="21"/>
                <w:szCs w:val="21"/>
                <w:lang w:val="en-US" w:eastAsia="zh-CN" w:bidi="ar"/>
              </w:rPr>
              <w:t>现场管理、</w:t>
            </w:r>
            <w:r>
              <w:rPr>
                <w:rFonts w:hint="eastAsia" w:asciiTheme="minorEastAsia" w:hAnsiTheme="minorEastAsia" w:eastAsiaTheme="minorEastAsia" w:cstheme="minorEastAsia"/>
                <w:color w:val="000000"/>
                <w:kern w:val="0"/>
                <w:sz w:val="21"/>
                <w:szCs w:val="21"/>
                <w:lang w:bidi="ar"/>
              </w:rPr>
              <w:t>办公用品、办公耗材</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员工激励</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团体活动</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团队文化建设等</w:t>
            </w:r>
          </w:p>
        </w:tc>
      </w:tr>
      <w:tr>
        <w:tblPrEx>
          <w:tblCellMar>
            <w:top w:w="0" w:type="dxa"/>
            <w:left w:w="108" w:type="dxa"/>
            <w:bottom w:w="0" w:type="dxa"/>
            <w:right w:w="108" w:type="dxa"/>
          </w:tblCellMar>
        </w:tblPrEx>
        <w:trPr>
          <w:trHeight w:val="363" w:hRule="atLeast"/>
          <w:jc w:val="center"/>
        </w:trPr>
        <w:tc>
          <w:tcPr>
            <w:tcW w:w="67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sz w:val="21"/>
                <w:szCs w:val="21"/>
                <w:lang w:val="en-US" w:eastAsia="zh-CN"/>
              </w:rPr>
              <w:t>普通岗</w:t>
            </w:r>
            <w:r>
              <w:rPr>
                <w:rFonts w:hint="eastAsia" w:asciiTheme="minorEastAsia" w:hAnsiTheme="minorEastAsia" w:cstheme="minorEastAsia"/>
                <w:color w:val="000000"/>
                <w:kern w:val="0"/>
                <w:sz w:val="21"/>
                <w:szCs w:val="21"/>
                <w:lang w:val="en-US" w:eastAsia="zh-CN" w:bidi="ar"/>
              </w:rPr>
              <w:t>税点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cstheme="minorEastAsia"/>
                <w:color w:val="000000"/>
                <w:kern w:val="0"/>
                <w:sz w:val="21"/>
                <w:szCs w:val="21"/>
                <w:lang w:val="en-US" w:eastAsia="zh-CN" w:bidi="ar"/>
              </w:rPr>
            </w:pPr>
          </w:p>
        </w:tc>
        <w:tc>
          <w:tcPr>
            <w:tcW w:w="5041"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trHeight w:val="363" w:hRule="atLeast"/>
          <w:jc w:val="center"/>
        </w:trPr>
        <w:tc>
          <w:tcPr>
            <w:tcW w:w="67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cstheme="minorEastAsia"/>
                <w:color w:val="000000"/>
                <w:kern w:val="0"/>
                <w:sz w:val="21"/>
                <w:szCs w:val="21"/>
                <w:lang w:val="en-US" w:eastAsia="zh-CN" w:bidi="ar"/>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sz w:val="21"/>
                <w:szCs w:val="21"/>
                <w:lang w:val="en-US" w:eastAsia="zh-CN"/>
              </w:rPr>
              <w:t>分诊辅助岗税点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cstheme="minorEastAsia"/>
                <w:color w:val="000000"/>
                <w:kern w:val="0"/>
                <w:sz w:val="21"/>
                <w:szCs w:val="21"/>
                <w:lang w:val="en-US" w:eastAsia="zh-CN" w:bidi="ar"/>
              </w:rPr>
            </w:pPr>
          </w:p>
        </w:tc>
        <w:tc>
          <w:tcPr>
            <w:tcW w:w="504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trHeight w:val="363" w:hRule="atLeast"/>
          <w:jc w:val="center"/>
        </w:trPr>
        <w:tc>
          <w:tcPr>
            <w:tcW w:w="67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普通岗合计</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b/>
                <w:bCs/>
                <w:color w:val="000000"/>
                <w:sz w:val="21"/>
                <w:szCs w:val="21"/>
                <w:lang w:val="en-US" w:eastAsia="zh-CN"/>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363" w:hRule="atLeast"/>
          <w:jc w:val="center"/>
        </w:trPr>
        <w:tc>
          <w:tcPr>
            <w:tcW w:w="673"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分诊辅助岗合计</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b/>
                <w:bCs/>
                <w:color w:val="000000"/>
                <w:kern w:val="0"/>
                <w:sz w:val="21"/>
                <w:szCs w:val="21"/>
                <w:lang w:val="en-US" w:eastAsia="zh-CN" w:bidi="ar"/>
              </w:rPr>
            </w:pPr>
          </w:p>
        </w:tc>
        <w:tc>
          <w:tcPr>
            <w:tcW w:w="5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sz w:val="21"/>
                <w:szCs w:val="21"/>
              </w:rPr>
            </w:pPr>
          </w:p>
        </w:tc>
      </w:tr>
    </w:tbl>
    <w:p>
      <w:pPr>
        <w:pStyle w:val="2"/>
        <w:rPr>
          <w:rFonts w:hint="eastAsia" w:hAnsi="宋体" w:cs="宋体"/>
          <w:b/>
          <w:bCs/>
          <w:i/>
          <w:iCs/>
          <w:color w:val="auto"/>
          <w:sz w:val="21"/>
          <w:highlight w:val="none"/>
          <w:u w:val="single"/>
          <w:lang w:val="en-US" w:eastAsia="zh-CN"/>
        </w:rPr>
      </w:pPr>
      <w:r>
        <w:rPr>
          <w:rFonts w:hint="eastAsia" w:hAnsi="宋体" w:cs="宋体"/>
          <w:color w:val="auto"/>
          <w:sz w:val="21"/>
          <w:highlight w:val="none"/>
          <w:lang w:val="en-US" w:eastAsia="zh-CN"/>
        </w:rPr>
        <w:t>备注：</w:t>
      </w:r>
      <w:r>
        <w:rPr>
          <w:rFonts w:hint="eastAsia" w:hAnsi="宋体" w:cs="宋体"/>
          <w:b/>
          <w:bCs/>
          <w:i/>
          <w:iCs/>
          <w:color w:val="auto"/>
          <w:sz w:val="21"/>
          <w:highlight w:val="none"/>
          <w:u w:val="single"/>
          <w:lang w:val="en-US" w:eastAsia="zh-CN"/>
        </w:rPr>
        <w:t>（1）序号1中实发工资不得低于表中相应金额，否则为无效报价。</w:t>
      </w:r>
    </w:p>
    <w:p>
      <w:pPr>
        <w:pStyle w:val="2"/>
        <w:numPr>
          <w:ilvl w:val="0"/>
          <w:numId w:val="1"/>
        </w:numPr>
        <w:rPr>
          <w:rFonts w:hint="eastAsia" w:hAnsi="宋体" w:cs="宋体"/>
          <w:b/>
          <w:bCs/>
          <w:i/>
          <w:iCs/>
          <w:color w:val="auto"/>
          <w:sz w:val="21"/>
          <w:highlight w:val="none"/>
          <w:u w:val="single"/>
          <w:lang w:val="en-US" w:eastAsia="zh-CN"/>
        </w:rPr>
      </w:pPr>
      <w:r>
        <w:rPr>
          <w:rFonts w:hint="eastAsia" w:hAnsi="宋体" w:cs="宋体"/>
          <w:b/>
          <w:bCs/>
          <w:i/>
          <w:iCs/>
          <w:color w:val="auto"/>
          <w:sz w:val="21"/>
          <w:highlight w:val="none"/>
          <w:u w:val="single"/>
          <w:lang w:val="en-US" w:eastAsia="zh-CN"/>
        </w:rPr>
        <w:t>序号2-3中五险一金缴纳金额不得低于扬州市相关规定，否则视为无效报价。</w:t>
      </w:r>
    </w:p>
    <w:p>
      <w:pPr>
        <w:pStyle w:val="2"/>
        <w:numPr>
          <w:ilvl w:val="0"/>
          <w:numId w:val="1"/>
        </w:numPr>
        <w:rPr>
          <w:rFonts w:hint="default" w:hAnsi="宋体" w:cs="宋体"/>
          <w:b/>
          <w:bCs/>
          <w:i/>
          <w:iCs/>
          <w:color w:val="auto"/>
          <w:sz w:val="21"/>
          <w:highlight w:val="none"/>
          <w:u w:val="single"/>
          <w:lang w:val="en-US" w:eastAsia="zh-CN"/>
        </w:rPr>
      </w:pPr>
      <w:r>
        <w:rPr>
          <w:rFonts w:hint="eastAsia" w:hAnsi="宋体" w:cs="宋体"/>
          <w:b/>
          <w:bCs/>
          <w:i/>
          <w:iCs/>
          <w:color w:val="auto"/>
          <w:sz w:val="21"/>
          <w:highlight w:val="none"/>
          <w:u w:val="single"/>
          <w:lang w:val="en-US" w:eastAsia="zh-CN"/>
        </w:rPr>
        <w:t>序号4中综合福利为举例福利，具体以中标人发放口径为准，单每人月均到手金额应不低于300元。</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color w:val="auto"/>
        </w:rPr>
      </w:pPr>
      <w:r>
        <w:rPr>
          <w:rFonts w:hint="eastAsia" w:ascii="宋体" w:hAnsi="宋体" w:cs="宋体"/>
          <w:b/>
          <w:bCs/>
          <w:color w:val="auto"/>
          <w:lang w:val="en-US" w:eastAsia="zh-CN"/>
        </w:rPr>
        <w:t>七</w:t>
      </w:r>
      <w:r>
        <w:rPr>
          <w:rFonts w:hint="eastAsia" w:ascii="宋体" w:hAnsi="宋体" w:cs="宋体"/>
          <w:b/>
          <w:bCs/>
          <w:color w:val="auto"/>
        </w:rPr>
        <w:t>、服务标准及要求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eastAsiaTheme="minorEastAsia"/>
          <w:color w:val="auto"/>
          <w:lang w:val="en-US" w:eastAsia="zh-CN"/>
        </w:rPr>
      </w:pPr>
      <w:r>
        <w:rPr>
          <w:rFonts w:hint="eastAsia" w:ascii="宋体" w:hAnsi="宋体" w:cs="宋体"/>
          <w:color w:val="auto"/>
        </w:rPr>
        <w:t>（一）</w:t>
      </w:r>
      <w:r>
        <w:rPr>
          <w:rFonts w:hint="eastAsia" w:ascii="宋体" w:hAnsi="宋体" w:cs="宋体"/>
          <w:color w:val="auto"/>
          <w:lang w:val="en-US" w:eastAsia="zh-CN"/>
        </w:rPr>
        <w:t>服务总体要求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w:t>
      </w:r>
      <w:r>
        <w:rPr>
          <w:rFonts w:hint="eastAsia" w:ascii="宋体" w:hAnsi="宋体" w:cs="宋体"/>
          <w:color w:val="auto"/>
        </w:rPr>
        <w:t>服务</w:t>
      </w:r>
      <w:r>
        <w:rPr>
          <w:rFonts w:hint="eastAsia" w:ascii="宋体" w:hAnsi="宋体" w:cs="宋体"/>
          <w:color w:val="auto"/>
          <w:lang w:val="en-US" w:eastAsia="zh-CN"/>
        </w:rPr>
        <w:t>目标：为更好的贯彻“以患者为中心，以服务为宗旨”的理念，努力构建和谐医患关系，为患者提供优质门诊服务、改善患者就医体验，提高患者满意度。</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lang w:eastAsia="zh-CN"/>
        </w:rPr>
        <w:t>.</w:t>
      </w:r>
      <w:r>
        <w:rPr>
          <w:rFonts w:hint="eastAsia" w:ascii="宋体" w:hAnsi="宋体" w:cs="宋体"/>
          <w:color w:val="auto"/>
        </w:rPr>
        <w:t>投标人应设立与本服务项目所对应的组织机构，对服务流程与服务质量、培训、绩效、应急演练、员工权益保障实施有效管理；管理团队人数配置合理，确定各级员工的任务，确定权利与责任，确定工作标准，有效运用多种质量管理工具和信息化管理系统进行管理，如品管圈、5S管理模式、PDCA管理方式、网格化管理模式等，在服务项目中有部分成功实施的案例，对服务管理品质负责。</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rPr>
        <w:t xml:space="preserve">3、投标人须明晰业务范畴、任务、岗位职责及管理流程，形成与采购人管理需求的有效对接。具有完整的服务方案，服务方案均须有重点，重点表达合理，对管理路径可追踪、有痕迹。能够采取培训、绩效管理等手段使作业标准或重点工作得到正确贯彻执行，使体系文件落在实处。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rPr>
        <w:t>4</w:t>
      </w:r>
      <w:r>
        <w:rPr>
          <w:rFonts w:hint="eastAsia" w:ascii="宋体" w:hAnsi="宋体" w:cs="宋体"/>
          <w:color w:val="auto"/>
          <w:lang w:eastAsia="zh-CN"/>
        </w:rPr>
        <w:t>.</w:t>
      </w:r>
      <w:r>
        <w:rPr>
          <w:rFonts w:hint="eastAsia" w:ascii="宋体" w:hAnsi="宋体" w:cs="宋体"/>
          <w:color w:val="auto"/>
        </w:rPr>
        <w:t>投标人具有健全管理规章制度，其内容包括但不限于劳资管理制度（体现工资的计算及支付，确保员工劳动报酬的公正性与及时性）；考勤管理制度（体现员工打卡记录、外出办事时的出门证制度以及考勤考核，全方位保障工作秩序与效率的同步提升）；请（休）假管理制度（体现请假流程，婚假、病假等各类请假手续，配备请假单样式，以保障员工权益与工作秩序的双重和谐）；奖惩管理制度（体现晋升机制、奖励、严重违纪管理，共同营造公正、积极的工作氛围、）；投诉处理制度、流程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投标人具有服务质量日常管理与监控信息管理系统，提高管理的集成化、智能化、无纸化，满足本项目服务管理整体品质与效率。服务过程中根据采购人个性化需求新增模块内容时，产生的费用由投标人自行承担。投标人使用的信息化智能管理系统软件包括以下功能：人员管理、运送派工、工单查询、员工实时状态查询、大屏展示、数据统计等。需提供相关管理软件功能截图（满足功能即可，功能名称无需一一对应）。</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6.</w:t>
      </w:r>
      <w:r>
        <w:rPr>
          <w:rFonts w:hint="eastAsia" w:ascii="宋体" w:hAnsi="宋体" w:cs="宋体"/>
          <w:color w:val="auto"/>
        </w:rPr>
        <w:t>投标人具备应对安全事故处理的应急保障能力，建立健全的安全事故处理方案，体现人身意外伤害赔偿项目和标准、员工意外伤害事故处理办法、配备员工意外伤害事故报告表、工伤赔偿管理办法、工伤法律规定及赔偿流程、确保在面对安全事故时能够迅速、公正、有效地应对。其内容包括但不限于意外伤害赔偿措施、工伤赔偿措施、风险规避措施等。若因投标人管理不善导致采购人、中标人工作人员、服务对象、设备或对社会造成损害，投标人须承担全部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7.</w:t>
      </w:r>
      <w:r>
        <w:rPr>
          <w:rFonts w:hint="eastAsia" w:ascii="宋体" w:hAnsi="宋体" w:cs="宋体"/>
          <w:color w:val="auto"/>
        </w:rPr>
        <w:t>投标人具备人员培训能力，建立健全的培训方案，有完善的不同岗位（不含管理人员岗位）培训计划（内容包括但不限于基础、熟悉工作环境、通讯设备使用要求、岗位要求、安全要求、应急响应、岗位技能等），培训计划中岗位技能、应急响应、安全要求、岗位要求等培训频次，每月不少于1次，其内容包括但不限于管理人员培训计划，普通一线员工的工作培训流程、培训形式、培训方法、效果评估、培训考核、自主研发线上学习培训系统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8.</w:t>
      </w:r>
      <w:r>
        <w:rPr>
          <w:rFonts w:hint="eastAsia" w:ascii="宋体" w:hAnsi="宋体" w:cs="宋体"/>
          <w:color w:val="auto"/>
        </w:rPr>
        <w:t>投标人档案资料需完整无缺，建立健全的档案管理方案，其内容包括但不限于档案资料收集、保存、电子档案管理等。管理过程需有清晰地记录，并及时归档。档案管理必须满足三级甲等医院在各类评审、评估及检查中的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9.</w:t>
      </w:r>
      <w:r>
        <w:rPr>
          <w:rFonts w:hint="eastAsia" w:ascii="宋体" w:hAnsi="宋体" w:cs="宋体"/>
          <w:color w:val="auto"/>
        </w:rPr>
        <w:t>投标人具备确保员工团队稳定性的能力，建立完善的员工队伍稳定方案。通过激发内部竞争活力、实施人文关怀等措施，有效促进员工队伍的稳固与发展。对于所有拟上岗员工定期开展专业的业务培训，确保培训合格后方可正式上岗。其内容包含但不限于内部竞聘、人文关怀、培训考核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0.</w:t>
      </w:r>
      <w:r>
        <w:rPr>
          <w:rFonts w:hint="eastAsia" w:ascii="宋体" w:hAnsi="宋体" w:cs="宋体"/>
          <w:color w:val="auto"/>
        </w:rPr>
        <w:t>投标人需在进驻与撤离过程中，对意外事件具备迅速响应和有效处理的应急能力。建立健全的进退场方案，妥善安排人员交接，具备应对交接过程中可能发生的突发事件的应变能力。人事劳资关系小组提前30天启动准备，正常工作接管小组提前15天着手准备工作，物资交接小组则于提前7天开始筹备，无缝衔接、高效运转的交接。其内容包括但不限于进场方案、初始化管理计划、退场方案、人员交接安排、交接中突发事件应对措施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1.负责门急诊、住院区域的导诊、陪诊、自助设备服务工作，维持各服务区域的就诊秩序，合理疏导病人，缩短病人就诊时间，提高自助设备使用率；</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2.处理现场投诉和突发事件，及时缓解医患或患者间矛盾，解决病人的一般性争议；</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3.完成满意度调查，征求与梳理病人提出的意见及建议，及时向上级领导反馈；</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4.负责发放宣传资料；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5.负责诊疗辅助工作；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6.协助服务区域禁烟监督工作；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7.完成医院领导交给的其他与本职工作相关的任务。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（三）导诊（辅诊）工作职责</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1.在门诊护士长和现场主管的领导下工作。每天早上提前15分钟上班，开展日常工作。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2.</w:t>
      </w:r>
      <w:r>
        <w:rPr>
          <w:rFonts w:hint="eastAsia" w:ascii="宋体" w:hAnsi="宋体" w:cs="宋体"/>
          <w:color w:val="auto"/>
        </w:rPr>
        <w:t>掌握医疗服务基本特点和医疗业务基本流程，熟悉医院所有科室布局和功能，</w:t>
      </w:r>
      <w:r>
        <w:rPr>
          <w:rFonts w:hint="eastAsia" w:ascii="宋体" w:hAnsi="宋体" w:cs="宋体"/>
          <w:color w:val="auto"/>
          <w:lang w:val="en-US" w:eastAsia="zh-CN"/>
        </w:rPr>
        <w:t>负责分诊、咨询、就医引导和陪同等服务工作，首问负责，</w:t>
      </w:r>
      <w:r>
        <w:rPr>
          <w:rFonts w:hint="eastAsia" w:ascii="宋体" w:hAnsi="宋体" w:cs="宋体"/>
          <w:color w:val="auto"/>
        </w:rPr>
        <w:t>解答患者提出的问题，服务用语规范。</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3.</w:t>
      </w:r>
      <w:r>
        <w:rPr>
          <w:rFonts w:hint="eastAsia" w:ascii="宋体" w:hAnsi="宋体" w:cs="宋体"/>
          <w:color w:val="auto"/>
        </w:rPr>
        <w:t>流动巡查各诊疗区域</w:t>
      </w:r>
      <w:r>
        <w:rPr>
          <w:rFonts w:hint="eastAsia" w:ascii="宋体" w:hAnsi="宋体" w:cs="宋体"/>
          <w:color w:val="auto"/>
          <w:lang w:eastAsia="zh-CN"/>
        </w:rPr>
        <w:t>，</w:t>
      </w:r>
      <w:r>
        <w:rPr>
          <w:rFonts w:hint="eastAsia" w:ascii="宋体" w:hAnsi="宋体" w:cs="宋体"/>
          <w:color w:val="auto"/>
          <w:lang w:val="en-US" w:eastAsia="zh-CN"/>
        </w:rPr>
        <w:t>高峰时对病人进行分流及引导，</w:t>
      </w:r>
      <w:r>
        <w:rPr>
          <w:rFonts w:hint="eastAsia" w:ascii="宋体" w:hAnsi="宋体" w:cs="宋体"/>
          <w:color w:val="auto"/>
        </w:rPr>
        <w:t>指导病人使用自助设备，</w:t>
      </w:r>
      <w:r>
        <w:rPr>
          <w:rFonts w:hint="eastAsia" w:ascii="宋体" w:hAnsi="宋体" w:cs="宋体"/>
          <w:color w:val="auto"/>
          <w:lang w:val="en-US" w:eastAsia="zh-CN"/>
        </w:rPr>
        <w:t>帮助</w:t>
      </w:r>
      <w:r>
        <w:rPr>
          <w:rFonts w:hint="eastAsia" w:ascii="宋体" w:hAnsi="宋体" w:cs="宋体"/>
          <w:color w:val="auto"/>
        </w:rPr>
        <w:t>病人</w:t>
      </w:r>
      <w:r>
        <w:rPr>
          <w:rFonts w:hint="eastAsia" w:ascii="宋体" w:hAnsi="宋体" w:cs="宋体"/>
          <w:color w:val="auto"/>
          <w:lang w:val="en-US" w:eastAsia="zh-CN"/>
        </w:rPr>
        <w:t>完成自助设备</w:t>
      </w:r>
      <w:r>
        <w:rPr>
          <w:rFonts w:hint="eastAsia" w:ascii="宋体" w:hAnsi="宋体" w:cs="宋体"/>
          <w:color w:val="auto"/>
        </w:rPr>
        <w:t>挂号、缴费、打印</w:t>
      </w:r>
      <w:r>
        <w:rPr>
          <w:rFonts w:hint="eastAsia" w:ascii="宋体" w:hAnsi="宋体" w:cs="宋体"/>
          <w:color w:val="auto"/>
          <w:lang w:eastAsia="zh-CN"/>
        </w:rPr>
        <w:t>、</w:t>
      </w:r>
      <w:r>
        <w:rPr>
          <w:rFonts w:hint="eastAsia" w:ascii="宋体" w:hAnsi="宋体" w:cs="宋体"/>
          <w:color w:val="auto"/>
        </w:rPr>
        <w:t>退费</w:t>
      </w:r>
      <w:r>
        <w:rPr>
          <w:rFonts w:hint="eastAsia" w:ascii="宋体" w:hAnsi="宋体" w:cs="宋体"/>
          <w:color w:val="auto"/>
          <w:lang w:val="en-US" w:eastAsia="zh-CN"/>
        </w:rPr>
        <w:t>等操作</w:t>
      </w:r>
      <w:r>
        <w:rPr>
          <w:rFonts w:hint="eastAsia" w:ascii="宋体" w:hAnsi="宋体" w:cs="宋体"/>
          <w:color w:val="auto"/>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4.经常观察候诊病人，发现病情变化和病情较重的病人安排提前诊治或联系护送至急诊科处理。协助护士处理意外突发事件</w:t>
      </w:r>
      <w:r>
        <w:rPr>
          <w:rFonts w:hint="eastAsia" w:ascii="宋体" w:hAnsi="宋体" w:cs="宋体"/>
          <w:color w:val="auto"/>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5.主动帮助老、弱、残、重病人优先就诊，必要时协助轮椅推送至对应科室。</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6.认真落实各项便民措施，</w:t>
      </w:r>
      <w:r>
        <w:rPr>
          <w:rFonts w:hint="eastAsia" w:ascii="宋体" w:hAnsi="宋体" w:cs="宋体"/>
          <w:color w:val="auto"/>
        </w:rPr>
        <w:t>如免费提供轮椅、平车、健康教育宣传材料等。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7.</w:t>
      </w:r>
      <w:r>
        <w:rPr>
          <w:rFonts w:hint="eastAsia" w:ascii="宋体" w:hAnsi="宋体" w:cs="宋体"/>
          <w:color w:val="auto"/>
        </w:rPr>
        <w:t>熟悉高效投诉处理机制</w:t>
      </w:r>
      <w:r>
        <w:rPr>
          <w:rFonts w:hint="eastAsia" w:ascii="宋体" w:hAnsi="宋体" w:cs="宋体"/>
          <w:color w:val="auto"/>
          <w:lang w:eastAsia="zh-CN"/>
        </w:rPr>
        <w:t>，</w:t>
      </w:r>
      <w:r>
        <w:rPr>
          <w:rFonts w:hint="eastAsia" w:ascii="宋体" w:hAnsi="宋体" w:cs="宋体"/>
          <w:color w:val="auto"/>
        </w:rPr>
        <w:t>首</w:t>
      </w:r>
      <w:r>
        <w:rPr>
          <w:rFonts w:hint="eastAsia" w:ascii="宋体" w:hAnsi="宋体" w:cs="宋体"/>
          <w:color w:val="auto"/>
          <w:lang w:val="en-US" w:eastAsia="zh-CN"/>
        </w:rPr>
        <w:t>诉</w:t>
      </w:r>
      <w:r>
        <w:rPr>
          <w:rFonts w:hint="eastAsia" w:ascii="宋体" w:hAnsi="宋体" w:cs="宋体"/>
          <w:color w:val="auto"/>
        </w:rPr>
        <w:t>负责，协调处理医患双方有关问题。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8.保持工作台面及诊区环境的清洁，劝阻吸烟者。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9.下班前负责检查诊区的房间、电脑、电灯、空调、门窗、水龙头关闭情况。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10.</w:t>
      </w:r>
      <w:r>
        <w:rPr>
          <w:rFonts w:hint="eastAsia" w:ascii="宋体" w:hAnsi="宋体" w:cs="宋体"/>
          <w:color w:val="auto"/>
        </w:rPr>
        <w:t>自动扶梯安全管理：对乘自动扶梯的患者应加强安全告知和指导工作，严防意外发生。</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11.</w:t>
      </w:r>
      <w:r>
        <w:rPr>
          <w:rFonts w:hint="eastAsia" w:ascii="宋体" w:hAnsi="宋体" w:cs="宋体"/>
          <w:color w:val="auto"/>
        </w:rPr>
        <w:t>征询、收集患者对医院意见和建议，发现问题，及时向门诊部汇报。</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eastAsia="zh-CN"/>
        </w:rPr>
      </w:pPr>
      <w:r>
        <w:rPr>
          <w:rFonts w:hint="eastAsia" w:ascii="宋体" w:hAnsi="宋体" w:cs="宋体"/>
          <w:color w:val="auto"/>
          <w:lang w:val="en-US" w:eastAsia="zh-CN"/>
        </w:rPr>
        <w:t>12.完成医院和门诊部布置的其他工作。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四</w:t>
      </w:r>
      <w:r>
        <w:rPr>
          <w:rFonts w:hint="eastAsia" w:ascii="宋体" w:hAnsi="宋体" w:cs="宋体"/>
          <w:color w:val="auto"/>
          <w:lang w:eastAsia="zh-CN"/>
        </w:rPr>
        <w:t>）</w:t>
      </w:r>
      <w:r>
        <w:rPr>
          <w:rFonts w:hint="eastAsia" w:ascii="宋体" w:hAnsi="宋体" w:cs="宋体"/>
          <w:color w:val="auto"/>
          <w:lang w:val="en-US" w:eastAsia="zh-CN"/>
        </w:rPr>
        <w:t>自助服务工作职责</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1.热情耐心解答患者提出的问题，服务用语规范。</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2.协助并指导患者进行各区域自助设备的使用，包括当日挂号、预约挂号、取预约号、自助缴费、自助打印等。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3.做好服务区域自助设备的日常维护、报修，及时更换打印纸，保持机器外观整洁，显示屏呈正常使用界面。</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Ansi="宋体" w:cs="宋体"/>
          <w:color w:val="auto"/>
          <w:sz w:val="21"/>
          <w:highlight w:val="none"/>
        </w:rPr>
      </w:pPr>
      <w:r>
        <w:rPr>
          <w:rFonts w:hint="eastAsia" w:ascii="宋体" w:hAnsi="宋体" w:cs="宋体"/>
          <w:color w:val="auto"/>
          <w:lang w:val="en-US" w:eastAsia="zh-CN"/>
        </w:rPr>
        <w:t>4.积极宣传预约挂号方式，指导并教会患者至少能使用一种有效预约方式操作。</w:t>
      </w:r>
    </w:p>
    <w:p>
      <w:pPr>
        <w:pStyle w:val="19"/>
        <w:adjustRightInd w:val="0"/>
        <w:snapToGrid w:val="0"/>
        <w:spacing w:line="440" w:lineRule="exact"/>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五</w:t>
      </w:r>
      <w:r>
        <w:rPr>
          <w:rFonts w:hint="eastAsia" w:hAnsi="宋体" w:cs="宋体"/>
          <w:color w:val="auto"/>
          <w:sz w:val="21"/>
          <w:highlight w:val="none"/>
          <w:lang w:eastAsia="zh-CN"/>
        </w:rPr>
        <w:t>）</w:t>
      </w:r>
      <w:r>
        <w:rPr>
          <w:rFonts w:hint="eastAsia" w:hAnsi="宋体" w:cs="宋体"/>
          <w:color w:val="auto"/>
          <w:sz w:val="21"/>
          <w:highlight w:val="none"/>
          <w:lang w:val="en-US" w:eastAsia="zh-CN"/>
        </w:rPr>
        <w:t>现场管理要求</w:t>
      </w:r>
    </w:p>
    <w:p>
      <w:pPr>
        <w:pStyle w:val="19"/>
        <w:adjustRightInd w:val="0"/>
        <w:snapToGrid w:val="0"/>
        <w:spacing w:line="440" w:lineRule="exact"/>
        <w:ind w:firstLine="630" w:firstLineChars="300"/>
        <w:contextualSpacing/>
        <w:rPr>
          <w:rFonts w:hAnsi="宋体" w:cs="宋体"/>
          <w:color w:val="auto"/>
          <w:sz w:val="21"/>
          <w:highlight w:val="none"/>
        </w:rPr>
      </w:pPr>
      <w:r>
        <w:rPr>
          <w:rFonts w:hAnsi="宋体" w:cs="宋体"/>
          <w:color w:val="auto"/>
          <w:sz w:val="21"/>
          <w:highlight w:val="none"/>
        </w:rPr>
        <w:t>为加强对派出人员的领导与管理，充分调动所有劳务人员的积极性，应做好如下工作：</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1.员工</w:t>
      </w:r>
      <w:r>
        <w:rPr>
          <w:rFonts w:hAnsi="宋体" w:cs="宋体"/>
          <w:color w:val="auto"/>
          <w:sz w:val="21"/>
          <w:highlight w:val="none"/>
        </w:rPr>
        <w:t>岗前培训：</w:t>
      </w:r>
      <w:r>
        <w:rPr>
          <w:rFonts w:hint="eastAsia" w:hAnsi="宋体" w:cs="宋体"/>
          <w:color w:val="auto"/>
          <w:sz w:val="21"/>
          <w:highlight w:val="none"/>
          <w:lang w:val="en-US" w:eastAsia="zh-CN"/>
        </w:rPr>
        <w:t>驻场经理</w:t>
      </w:r>
      <w:r>
        <w:rPr>
          <w:rFonts w:hAnsi="宋体" w:cs="宋体"/>
          <w:color w:val="auto"/>
          <w:sz w:val="21"/>
          <w:highlight w:val="none"/>
        </w:rPr>
        <w:t>负责在入职2天内完成岗前培训，培训内容应包括医院概况及各项规章制度、相应岗位职责等，并对培训内容进行书面考核合格（部分科室有笔试要求的，考试成绩要达到合格标准）后，方可派往相关岗位工作。</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2.员工</w:t>
      </w:r>
      <w:r>
        <w:rPr>
          <w:rFonts w:hAnsi="宋体" w:cs="宋体"/>
          <w:color w:val="auto"/>
          <w:sz w:val="21"/>
          <w:highlight w:val="none"/>
        </w:rPr>
        <w:t>岗中培训：用工部门定期组织开展相关</w:t>
      </w:r>
      <w:r>
        <w:rPr>
          <w:rFonts w:hint="eastAsia" w:hAnsi="宋体" w:cs="宋体"/>
          <w:color w:val="auto"/>
          <w:sz w:val="21"/>
          <w:highlight w:val="none"/>
        </w:rPr>
        <w:t>专业</w:t>
      </w:r>
      <w:r>
        <w:rPr>
          <w:rFonts w:hAnsi="宋体" w:cs="宋体"/>
          <w:color w:val="auto"/>
          <w:sz w:val="21"/>
          <w:highlight w:val="none"/>
        </w:rPr>
        <w:t>知识培训</w:t>
      </w:r>
      <w:r>
        <w:rPr>
          <w:rFonts w:hint="eastAsia" w:hAnsi="宋体" w:cs="宋体"/>
          <w:color w:val="auto"/>
          <w:sz w:val="21"/>
          <w:highlight w:val="none"/>
        </w:rPr>
        <w:t>和演练</w:t>
      </w:r>
      <w:r>
        <w:rPr>
          <w:rFonts w:hAnsi="宋体" w:cs="宋体"/>
          <w:color w:val="auto"/>
          <w:sz w:val="21"/>
          <w:highlight w:val="none"/>
        </w:rPr>
        <w:t>，所有</w:t>
      </w:r>
      <w:r>
        <w:rPr>
          <w:rFonts w:hint="eastAsia" w:hAnsi="宋体" w:cs="宋体"/>
          <w:color w:val="auto"/>
          <w:sz w:val="21"/>
          <w:highlight w:val="none"/>
          <w:lang w:val="en-US" w:eastAsia="zh-CN"/>
        </w:rPr>
        <w:t>派驻</w:t>
      </w:r>
      <w:r>
        <w:rPr>
          <w:rFonts w:hAnsi="宋体" w:cs="宋体"/>
          <w:color w:val="auto"/>
          <w:sz w:val="21"/>
          <w:highlight w:val="none"/>
        </w:rPr>
        <w:t>人员必须无条件服从，并做好相关培训手册的规范填写，每年培训不低于</w:t>
      </w:r>
      <w:r>
        <w:rPr>
          <w:rFonts w:hint="eastAsia" w:hAnsi="宋体" w:cs="宋体"/>
          <w:color w:val="auto"/>
          <w:sz w:val="21"/>
          <w:highlight w:val="none"/>
        </w:rPr>
        <w:t>12</w:t>
      </w:r>
      <w:r>
        <w:rPr>
          <w:rFonts w:hAnsi="宋体" w:cs="宋体"/>
          <w:color w:val="auto"/>
          <w:sz w:val="21"/>
          <w:highlight w:val="none"/>
        </w:rPr>
        <w:t>次（每</w:t>
      </w:r>
      <w:r>
        <w:rPr>
          <w:rFonts w:hint="eastAsia" w:hAnsi="宋体" w:cs="宋体"/>
          <w:color w:val="auto"/>
          <w:sz w:val="21"/>
          <w:highlight w:val="none"/>
        </w:rPr>
        <w:t>月</w:t>
      </w:r>
      <w:r>
        <w:rPr>
          <w:rFonts w:hAnsi="宋体" w:cs="宋体"/>
          <w:color w:val="auto"/>
          <w:sz w:val="21"/>
          <w:highlight w:val="none"/>
        </w:rPr>
        <w:t>进行一次，公共情</w:t>
      </w:r>
      <w:r>
        <w:rPr>
          <w:rFonts w:hint="eastAsia" w:hAnsi="宋体" w:cs="宋体"/>
          <w:color w:val="auto"/>
          <w:sz w:val="21"/>
          <w:highlight w:val="none"/>
        </w:rPr>
        <w:t>况、</w:t>
      </w:r>
      <w:r>
        <w:rPr>
          <w:rFonts w:hAnsi="宋体" w:cs="宋体"/>
          <w:color w:val="auto"/>
          <w:sz w:val="21"/>
          <w:highlight w:val="none"/>
        </w:rPr>
        <w:t>突发事件加做），培训后</w:t>
      </w:r>
      <w:r>
        <w:rPr>
          <w:rFonts w:hint="eastAsia" w:hAnsi="宋体" w:cs="宋体"/>
          <w:color w:val="auto"/>
          <w:sz w:val="21"/>
          <w:highlight w:val="none"/>
          <w:lang w:val="en-US" w:eastAsia="zh-CN"/>
        </w:rPr>
        <w:t>公司</w:t>
      </w:r>
      <w:r>
        <w:rPr>
          <w:rFonts w:hAnsi="宋体" w:cs="宋体"/>
          <w:color w:val="auto"/>
          <w:sz w:val="21"/>
          <w:highlight w:val="none"/>
        </w:rPr>
        <w:t>按照PDCA管理方式做好培训数据的分析及总结。</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3.员工</w:t>
      </w:r>
      <w:r>
        <w:rPr>
          <w:rFonts w:hAnsi="宋体" w:cs="宋体"/>
          <w:color w:val="auto"/>
          <w:sz w:val="21"/>
          <w:highlight w:val="none"/>
        </w:rPr>
        <w:t>日常管理</w:t>
      </w:r>
      <w:r>
        <w:rPr>
          <w:rFonts w:hint="eastAsia" w:hAnsi="宋体" w:cs="宋体"/>
          <w:color w:val="auto"/>
          <w:sz w:val="21"/>
          <w:highlight w:val="none"/>
          <w:lang w:val="en-US" w:eastAsia="zh-CN"/>
        </w:rPr>
        <w:t>应</w:t>
      </w:r>
      <w:r>
        <w:rPr>
          <w:rFonts w:hAnsi="宋体" w:cs="宋体"/>
          <w:color w:val="auto"/>
          <w:sz w:val="21"/>
          <w:highlight w:val="none"/>
        </w:rPr>
        <w:t>建立用工人员花名册，信息齐全并每月维护，提前上报人事变动情况</w:t>
      </w:r>
      <w:r>
        <w:rPr>
          <w:rFonts w:hint="eastAsia" w:hAnsi="宋体" w:cs="宋体"/>
          <w:color w:val="auto"/>
          <w:sz w:val="21"/>
          <w:highlight w:val="none"/>
          <w:lang w:eastAsia="zh-CN"/>
        </w:rPr>
        <w:t>。</w:t>
      </w:r>
      <w:r>
        <w:rPr>
          <w:rFonts w:hint="eastAsia" w:hAnsi="宋体" w:cs="宋体"/>
          <w:color w:val="auto"/>
          <w:sz w:val="21"/>
          <w:highlight w:val="none"/>
          <w:lang w:val="en-US" w:eastAsia="zh-CN"/>
        </w:rPr>
        <w:t>驻场经理</w:t>
      </w:r>
      <w:r>
        <w:rPr>
          <w:rFonts w:hAnsi="宋体" w:cs="宋体"/>
          <w:color w:val="auto"/>
          <w:sz w:val="21"/>
          <w:highlight w:val="none"/>
        </w:rPr>
        <w:t>每周组织自查，建立巡查表，对</w:t>
      </w:r>
      <w:r>
        <w:rPr>
          <w:rFonts w:hint="eastAsia" w:hAnsi="宋体" w:cs="宋体"/>
          <w:color w:val="auto"/>
          <w:sz w:val="21"/>
          <w:highlight w:val="none"/>
          <w:lang w:val="en-US" w:eastAsia="zh-CN"/>
        </w:rPr>
        <w:t>派遣人员</w:t>
      </w:r>
      <w:r>
        <w:rPr>
          <w:rFonts w:hAnsi="宋体" w:cs="宋体"/>
          <w:color w:val="auto"/>
          <w:sz w:val="21"/>
          <w:highlight w:val="none"/>
        </w:rPr>
        <w:t>工作期间遵章守纪、履行职责、工作质量和安全情况进行检查，并做好检查记录。在日常检查过程中如发现问题或存在重大隐患，应在第一时间上报所在科室进行整改，汇报沟通。</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4.</w:t>
      </w:r>
      <w:r>
        <w:rPr>
          <w:rFonts w:hAnsi="宋体" w:cs="宋体"/>
          <w:color w:val="auto"/>
          <w:sz w:val="21"/>
          <w:highlight w:val="none"/>
        </w:rPr>
        <w:t>每</w:t>
      </w:r>
      <w:r>
        <w:rPr>
          <w:rFonts w:hint="eastAsia" w:hAnsi="宋体" w:cs="宋体"/>
          <w:color w:val="auto"/>
          <w:sz w:val="21"/>
          <w:highlight w:val="none"/>
        </w:rPr>
        <w:t>月</w:t>
      </w:r>
      <w:r>
        <w:rPr>
          <w:rFonts w:hAnsi="宋体" w:cs="宋体"/>
          <w:color w:val="auto"/>
          <w:sz w:val="21"/>
          <w:highlight w:val="none"/>
        </w:rPr>
        <w:t>发放服务质量调查表，</w:t>
      </w:r>
      <w:r>
        <w:rPr>
          <w:rFonts w:hint="eastAsia" w:hAnsi="宋体" w:cs="宋体"/>
          <w:color w:val="auto"/>
          <w:sz w:val="21"/>
          <w:highlight w:val="none"/>
          <w:lang w:val="en-US" w:eastAsia="zh-CN"/>
        </w:rPr>
        <w:t>驻场经理</w:t>
      </w:r>
      <w:r>
        <w:rPr>
          <w:rFonts w:hAnsi="宋体" w:cs="宋体"/>
          <w:color w:val="auto"/>
          <w:sz w:val="21"/>
          <w:highlight w:val="none"/>
        </w:rPr>
        <w:t>管理考核表</w:t>
      </w:r>
      <w:r>
        <w:rPr>
          <w:rFonts w:hint="eastAsia" w:hAnsi="宋体" w:cs="宋体"/>
          <w:color w:val="auto"/>
          <w:sz w:val="21"/>
          <w:highlight w:val="none"/>
          <w:lang w:eastAsia="zh-CN"/>
        </w:rPr>
        <w:t>，</w:t>
      </w:r>
      <w:r>
        <w:rPr>
          <w:rFonts w:hAnsi="宋体" w:cs="宋体"/>
          <w:color w:val="auto"/>
          <w:sz w:val="21"/>
          <w:highlight w:val="none"/>
        </w:rPr>
        <w:t>对各专业服务人员在日常工作中的服务态度、工作质量等以书面形式向被服务的单元征求意见，做好书面记录并分析改进，对提出的问题不能及时解决的，将进行考核评分。考核结果与管理费挂钩。</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5.</w:t>
      </w:r>
      <w:r>
        <w:rPr>
          <w:rFonts w:hAnsi="宋体" w:cs="宋体"/>
          <w:color w:val="auto"/>
          <w:sz w:val="21"/>
          <w:highlight w:val="none"/>
        </w:rPr>
        <w:t>派遣人员有下列情况之一，</w:t>
      </w:r>
      <w:r>
        <w:rPr>
          <w:rFonts w:hint="eastAsia" w:hAnsi="宋体" w:cs="宋体"/>
          <w:color w:val="auto"/>
          <w:sz w:val="21"/>
          <w:highlight w:val="none"/>
          <w:lang w:val="en-US" w:eastAsia="zh-CN"/>
        </w:rPr>
        <w:t>医院</w:t>
      </w:r>
      <w:r>
        <w:rPr>
          <w:rFonts w:hAnsi="宋体" w:cs="宋体"/>
          <w:color w:val="auto"/>
          <w:sz w:val="21"/>
          <w:highlight w:val="none"/>
        </w:rPr>
        <w:t>可以随时提出更换，</w:t>
      </w:r>
      <w:r>
        <w:rPr>
          <w:rFonts w:hint="eastAsia" w:hAnsi="宋体" w:cs="宋体"/>
          <w:color w:val="auto"/>
          <w:sz w:val="21"/>
          <w:highlight w:val="none"/>
          <w:lang w:val="en-US" w:eastAsia="zh-CN"/>
        </w:rPr>
        <w:t>公司</w:t>
      </w:r>
      <w:r>
        <w:rPr>
          <w:rFonts w:hAnsi="宋体" w:cs="宋体"/>
          <w:color w:val="auto"/>
          <w:sz w:val="21"/>
          <w:highlight w:val="none"/>
        </w:rPr>
        <w:t>应在一周内更换到位。</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1)</w:t>
      </w:r>
      <w:r>
        <w:rPr>
          <w:rFonts w:hAnsi="宋体" w:cs="宋体"/>
          <w:color w:val="auto"/>
          <w:sz w:val="21"/>
          <w:highlight w:val="none"/>
        </w:rPr>
        <w:t>不遵守劳动纪律或甲方规章制度，损害甲方经济利益。</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2)</w:t>
      </w:r>
      <w:r>
        <w:rPr>
          <w:rFonts w:hAnsi="宋体" w:cs="宋体"/>
          <w:color w:val="auto"/>
          <w:sz w:val="21"/>
          <w:highlight w:val="none"/>
        </w:rPr>
        <w:t>违背职业道德并产生</w:t>
      </w:r>
      <w:r>
        <w:rPr>
          <w:rFonts w:hint="eastAsia" w:hAnsi="宋体" w:cs="宋体"/>
          <w:color w:val="auto"/>
          <w:sz w:val="21"/>
          <w:highlight w:val="none"/>
        </w:rPr>
        <w:t>不良</w:t>
      </w:r>
      <w:r>
        <w:rPr>
          <w:rFonts w:hAnsi="宋体" w:cs="宋体"/>
          <w:color w:val="auto"/>
          <w:sz w:val="21"/>
          <w:highlight w:val="none"/>
        </w:rPr>
        <w:t>影响的。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3)</w:t>
      </w:r>
      <w:r>
        <w:rPr>
          <w:rFonts w:hAnsi="宋体" w:cs="宋体"/>
          <w:color w:val="auto"/>
          <w:sz w:val="21"/>
          <w:highlight w:val="none"/>
        </w:rPr>
        <w:t>连续旷工时间超过二天或一年内累计旷工时间超过三天者。</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4)</w:t>
      </w:r>
      <w:r>
        <w:rPr>
          <w:rFonts w:hAnsi="宋体" w:cs="宋体"/>
          <w:color w:val="auto"/>
          <w:sz w:val="21"/>
          <w:highlight w:val="none"/>
        </w:rPr>
        <w:t>无理取闹、打架斗殴或恐吓威胁相关管理人员严重影响工作秩序的。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5)</w:t>
      </w:r>
      <w:r>
        <w:rPr>
          <w:rFonts w:hAnsi="宋体" w:cs="宋体"/>
          <w:color w:val="auto"/>
          <w:sz w:val="21"/>
          <w:highlight w:val="none"/>
        </w:rPr>
        <w:t>贪污、</w:t>
      </w:r>
      <w:r>
        <w:rPr>
          <w:rFonts w:hint="eastAsia" w:hAnsi="宋体" w:cs="宋体"/>
          <w:color w:val="auto"/>
          <w:sz w:val="21"/>
          <w:highlight w:val="none"/>
        </w:rPr>
        <w:t>诈骗、</w:t>
      </w:r>
      <w:r>
        <w:rPr>
          <w:rFonts w:hAnsi="宋体" w:cs="宋体"/>
          <w:color w:val="auto"/>
          <w:sz w:val="21"/>
          <w:highlight w:val="none"/>
        </w:rPr>
        <w:t>盗窃、赌博、营私舞弊</w:t>
      </w:r>
      <w:r>
        <w:rPr>
          <w:rFonts w:hint="eastAsia" w:hAnsi="宋体" w:cs="宋体"/>
          <w:color w:val="auto"/>
          <w:sz w:val="21"/>
          <w:highlight w:val="none"/>
        </w:rPr>
        <w:t>等</w:t>
      </w:r>
      <w:r>
        <w:rPr>
          <w:rFonts w:hAnsi="宋体" w:cs="宋体"/>
          <w:color w:val="auto"/>
          <w:sz w:val="21"/>
          <w:highlight w:val="none"/>
        </w:rPr>
        <w:t>情节严重的。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6)</w:t>
      </w:r>
      <w:r>
        <w:rPr>
          <w:rFonts w:hAnsi="宋体" w:cs="宋体"/>
          <w:color w:val="auto"/>
          <w:sz w:val="21"/>
          <w:highlight w:val="none"/>
        </w:rPr>
        <w:t>违反工作规定或操作规程，发生责任事故，造成严重经济损失的。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7)</w:t>
      </w:r>
      <w:r>
        <w:rPr>
          <w:rFonts w:hAnsi="宋体" w:cs="宋体"/>
          <w:color w:val="auto"/>
          <w:sz w:val="21"/>
          <w:highlight w:val="none"/>
        </w:rPr>
        <w:t>伪造成绩单、学历、健康证明及用其他不正当手段欺骗甲方的。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8)</w:t>
      </w:r>
      <w:r>
        <w:rPr>
          <w:rFonts w:hAnsi="宋体" w:cs="宋体"/>
          <w:color w:val="auto"/>
          <w:sz w:val="21"/>
          <w:highlight w:val="none"/>
        </w:rPr>
        <w:t>有违法行为、被依法追究刑事责任的。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9)</w:t>
      </w:r>
      <w:r>
        <w:rPr>
          <w:rFonts w:hAnsi="宋体" w:cs="宋体"/>
          <w:color w:val="auto"/>
          <w:sz w:val="21"/>
          <w:highlight w:val="none"/>
        </w:rPr>
        <w:t>乙方工作人员服务差，被有效投诉一年内累计达到3次的。</w:t>
      </w:r>
    </w:p>
    <w:p>
      <w:pPr>
        <w:pStyle w:val="19"/>
        <w:adjustRightInd w:val="0"/>
        <w:snapToGrid w:val="0"/>
        <w:spacing w:line="440" w:lineRule="exact"/>
        <w:ind w:firstLine="420" w:firstLineChars="200"/>
        <w:contextualSpacing/>
        <w:rPr>
          <w:rFonts w:hAnsi="宋体" w:cs="宋体"/>
          <w:color w:val="auto"/>
          <w:sz w:val="21"/>
          <w:highlight w:val="none"/>
        </w:rPr>
      </w:pPr>
      <w:r>
        <w:rPr>
          <w:rFonts w:hint="eastAsia" w:hAnsi="宋体" w:cs="宋体"/>
          <w:color w:val="auto"/>
          <w:sz w:val="21"/>
          <w:highlight w:val="none"/>
          <w:lang w:val="en-US" w:eastAsia="zh-CN"/>
        </w:rPr>
        <w:t>10)</w:t>
      </w:r>
      <w:r>
        <w:rPr>
          <w:rFonts w:hAnsi="宋体" w:cs="宋体"/>
          <w:color w:val="auto"/>
          <w:sz w:val="21"/>
          <w:highlight w:val="none"/>
        </w:rPr>
        <w:t>在工作时间发现脱岗、迟到或早退达半小时，在一</w:t>
      </w:r>
      <w:r>
        <w:rPr>
          <w:rFonts w:hint="eastAsia" w:hAnsi="宋体" w:cs="宋体"/>
          <w:color w:val="auto"/>
          <w:sz w:val="21"/>
          <w:highlight w:val="none"/>
        </w:rPr>
        <w:t>月</w:t>
      </w:r>
      <w:r>
        <w:rPr>
          <w:rFonts w:hAnsi="宋体" w:cs="宋体"/>
          <w:color w:val="auto"/>
          <w:sz w:val="21"/>
          <w:highlight w:val="none"/>
        </w:rPr>
        <w:t>内累计达到3次</w:t>
      </w:r>
      <w:r>
        <w:rPr>
          <w:rFonts w:hint="eastAsia" w:hAnsi="宋体" w:cs="宋体"/>
          <w:color w:val="auto"/>
          <w:sz w:val="21"/>
          <w:highlight w:val="none"/>
        </w:rPr>
        <w:t>，一年内累计达到5次</w:t>
      </w:r>
      <w:r>
        <w:rPr>
          <w:rFonts w:hAnsi="宋体" w:cs="宋体"/>
          <w:color w:val="auto"/>
          <w:sz w:val="21"/>
          <w:highlight w:val="none"/>
        </w:rPr>
        <w:t>的。</w:t>
      </w:r>
    </w:p>
    <w:p>
      <w:pPr>
        <w:pStyle w:val="19"/>
        <w:adjustRightInd w:val="0"/>
        <w:snapToGrid w:val="0"/>
        <w:spacing w:line="440" w:lineRule="exact"/>
        <w:ind w:firstLine="420" w:firstLineChars="200"/>
        <w:contextualSpacing/>
        <w:rPr>
          <w:rFonts w:hint="eastAsia" w:ascii="宋体" w:hAnsi="宋体" w:cs="宋体"/>
          <w:color w:val="auto"/>
        </w:rPr>
      </w:pPr>
      <w:r>
        <w:rPr>
          <w:rFonts w:hint="eastAsia" w:hAnsi="宋体" w:cs="宋体"/>
          <w:color w:val="auto"/>
          <w:sz w:val="21"/>
          <w:highlight w:val="none"/>
          <w:lang w:val="en-US" w:eastAsia="zh-CN"/>
        </w:rPr>
        <w:t>11)</w:t>
      </w:r>
      <w:r>
        <w:rPr>
          <w:rFonts w:hAnsi="宋体" w:cs="宋体"/>
          <w:color w:val="auto"/>
          <w:sz w:val="21"/>
          <w:highlight w:val="none"/>
        </w:rPr>
        <w:t>出现其它违反国家法律、法规或甲方规章制度造成严重后果的。</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default" w:ascii="宋体" w:hAnsi="宋体" w:cs="宋体" w:eastAsiaTheme="minorEastAsia"/>
          <w:color w:val="auto"/>
          <w:lang w:val="en-US" w:eastAsia="zh-CN"/>
        </w:rPr>
      </w:pPr>
      <w:r>
        <w:rPr>
          <w:rFonts w:hint="eastAsia" w:ascii="宋体" w:hAnsi="宋体" w:cs="宋体"/>
          <w:b/>
          <w:bCs/>
          <w:color w:val="auto"/>
          <w:lang w:val="en-US" w:eastAsia="zh-CN"/>
        </w:rPr>
        <w:t>八</w:t>
      </w:r>
      <w:r>
        <w:rPr>
          <w:rFonts w:hint="eastAsia" w:ascii="宋体" w:hAnsi="宋体" w:cs="宋体"/>
          <w:b/>
          <w:bCs/>
          <w:color w:val="auto"/>
        </w:rPr>
        <w:t>、服务</w:t>
      </w:r>
      <w:r>
        <w:rPr>
          <w:rFonts w:hint="eastAsia" w:ascii="宋体" w:hAnsi="宋体" w:cs="宋体"/>
          <w:b/>
          <w:bCs/>
          <w:color w:val="auto"/>
          <w:lang w:val="en-US" w:eastAsia="zh-CN"/>
        </w:rPr>
        <w:t>岗位</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（一）</w:t>
      </w:r>
      <w:r>
        <w:rPr>
          <w:rFonts w:hint="eastAsia" w:ascii="宋体" w:hAnsi="宋体" w:cs="宋体"/>
          <w:color w:val="auto"/>
        </w:rPr>
        <w:t>人员要求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1.共需要导医≤56人</w:t>
      </w:r>
      <w:r>
        <w:rPr>
          <w:rFonts w:hint="eastAsia" w:ascii="宋体" w:hAnsi="宋体" w:cs="宋体"/>
          <w:color w:val="auto"/>
        </w:rPr>
        <w:t>，具体详见人员配置表</w:t>
      </w:r>
      <w:r>
        <w:rPr>
          <w:rFonts w:hint="eastAsia" w:ascii="宋体" w:hAnsi="宋体" w:cs="宋体"/>
          <w:color w:val="auto"/>
          <w:lang w:val="en-US" w:eastAsia="zh-CN"/>
        </w:rPr>
        <w:t>，其中普通岗31人，辅诊岗≤25人。所有在院被聘用导医人员岗位相对固定，不得随意转岗、流动，如果变化，需提前跟院方相关部门沟通。应保证服务人员全数在岗，缺岗应及时补充。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2.年龄25-45周岁、女性、大专及以上学历，护理专业优先，能熟练操作电脑，身体健康、无传染病、无精神疾病，持健康证，统一着装上岗，服装需要经过院方审核。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3.工作时间根据开诊流量弹性安排，每个星期工作的时间不超过40个小时/人（包括40个小时），每周工作时长不小于5.5天。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rPr>
      </w:pPr>
      <w:r>
        <w:rPr>
          <w:rFonts w:hint="eastAsia" w:ascii="宋体" w:hAnsi="宋体" w:cs="宋体"/>
          <w:color w:val="auto"/>
          <w:lang w:val="en-US" w:eastAsia="zh-CN"/>
        </w:rPr>
        <w:t>（二）</w:t>
      </w:r>
      <w:r>
        <w:rPr>
          <w:rFonts w:hint="eastAsia" w:ascii="宋体" w:hAnsi="宋体" w:cs="宋体"/>
          <w:color w:val="auto"/>
        </w:rPr>
        <w:t>人员配置表</w:t>
      </w:r>
    </w:p>
    <w:tbl>
      <w:tblPr>
        <w:tblStyle w:val="13"/>
        <w:tblpPr w:leftFromText="180" w:rightFromText="180" w:vertAnchor="text" w:horzAnchor="page" w:tblpX="1858" w:tblpY="244"/>
        <w:tblOverlap w:val="never"/>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2310"/>
        <w:gridCol w:w="710"/>
        <w:gridCol w:w="4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8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color w:val="000000"/>
                <w:kern w:val="0"/>
                <w:sz w:val="32"/>
                <w:szCs w:val="32"/>
                <w14:ligatures w14:val="none"/>
              </w:rPr>
              <w:t>扬州大学附属医院</w:t>
            </w:r>
            <w:r>
              <w:rPr>
                <w:rFonts w:hint="eastAsia" w:ascii="宋体" w:hAnsi="宋体" w:eastAsia="宋体" w:cs="宋体"/>
                <w:b/>
                <w:bCs/>
                <w:i w:val="0"/>
                <w:iCs w:val="0"/>
                <w:color w:val="000000"/>
                <w:kern w:val="0"/>
                <w:sz w:val="32"/>
                <w:szCs w:val="32"/>
                <w:u w:val="none"/>
                <w:lang w:val="en-US" w:eastAsia="zh-CN" w:bidi="ar"/>
              </w:rPr>
              <w:t>服务外包人员配置表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东区门诊一楼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门厅</w:t>
            </w:r>
          </w:p>
        </w:tc>
        <w:tc>
          <w:tcPr>
            <w:tcW w:w="7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医学背景优先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志愿者服务</w:t>
            </w:r>
          </w:p>
        </w:tc>
        <w:tc>
          <w:tcPr>
            <w:tcW w:w="7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一站式服务中心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highlight w:val="none"/>
                <w:u w:val="none"/>
                <w:lang w:val="en-US" w:eastAsia="zh-CN" w:bidi="ar"/>
              </w:rPr>
              <w:t>分诊辅助，持有《护士资格证》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自助服务区、收费窗口</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采血处、检验自助机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急诊自助机、收费窗口</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东区住院处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住院处自助机、窗口</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东区医技一楼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影像自助区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东区医技三楼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心电、超声自助区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1"/>
                <w:szCs w:val="21"/>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东区门诊二楼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w:t>
            </w:r>
            <w:r>
              <w:rPr>
                <w:rFonts w:hint="eastAsia" w:ascii="宋体" w:hAnsi="宋体" w:eastAsia="宋体" w:cs="宋体"/>
                <w:i w:val="0"/>
                <w:iCs w:val="0"/>
                <w:color w:val="000000"/>
                <w:kern w:val="0"/>
                <w:sz w:val="21"/>
                <w:szCs w:val="21"/>
                <w:highlight w:val="none"/>
                <w:u w:val="none"/>
                <w:lang w:val="en-US" w:eastAsia="zh-CN" w:bidi="ar"/>
              </w:rPr>
              <w:t>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收费窗口、自助服务区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互联网医院线下服务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医学背景优先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东区门诊三楼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诊区（机动）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w:t>
            </w:r>
            <w:r>
              <w:rPr>
                <w:rFonts w:hint="eastAsia" w:ascii="宋体" w:hAnsi="宋体" w:eastAsia="宋体" w:cs="宋体"/>
                <w:i w:val="0"/>
                <w:iCs w:val="0"/>
                <w:color w:val="000000"/>
                <w:kern w:val="0"/>
                <w:sz w:val="21"/>
                <w:szCs w:val="21"/>
                <w:highlight w:val="none"/>
                <w:u w:val="none"/>
                <w:lang w:val="en-US" w:eastAsia="zh-CN" w:bidi="ar"/>
              </w:rPr>
              <w:t>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东区门诊四楼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诊区（机动）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w:t>
            </w:r>
            <w:r>
              <w:rPr>
                <w:rFonts w:hint="eastAsia" w:ascii="宋体" w:hAnsi="宋体" w:eastAsia="宋体" w:cs="宋体"/>
                <w:i w:val="0"/>
                <w:iCs w:val="0"/>
                <w:color w:val="000000"/>
                <w:kern w:val="0"/>
                <w:sz w:val="21"/>
                <w:szCs w:val="21"/>
                <w:highlight w:val="none"/>
                <w:u w:val="none"/>
                <w:lang w:val="en-US" w:eastAsia="zh-CN" w:bidi="ar"/>
              </w:rPr>
              <w:t>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东区门诊五楼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诊区（儿保+口腔科）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w:t>
            </w:r>
            <w:r>
              <w:rPr>
                <w:rFonts w:hint="eastAsia" w:ascii="宋体" w:hAnsi="宋体" w:eastAsia="宋体" w:cs="宋体"/>
                <w:i w:val="0"/>
                <w:iCs w:val="0"/>
                <w:color w:val="000000"/>
                <w:kern w:val="0"/>
                <w:sz w:val="21"/>
                <w:szCs w:val="21"/>
                <w:highlight w:val="none"/>
                <w:u w:val="none"/>
                <w:lang w:val="en-US" w:eastAsia="zh-CN" w:bidi="ar"/>
              </w:rPr>
              <w:t>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现场管理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东区经理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西区门诊一楼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门厅</w:t>
            </w:r>
          </w:p>
        </w:tc>
        <w:tc>
          <w:tcPr>
            <w:tcW w:w="7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医学背景优先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志愿者服务</w:t>
            </w:r>
          </w:p>
        </w:tc>
        <w:tc>
          <w:tcPr>
            <w:tcW w:w="7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一站式服务中心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w:t>
            </w:r>
            <w:r>
              <w:rPr>
                <w:rFonts w:hint="eastAsia" w:ascii="宋体" w:hAnsi="宋体" w:eastAsia="宋体" w:cs="宋体"/>
                <w:i w:val="0"/>
                <w:iCs w:val="0"/>
                <w:color w:val="000000"/>
                <w:kern w:val="0"/>
                <w:sz w:val="21"/>
                <w:szCs w:val="21"/>
                <w:highlight w:val="none"/>
                <w:u w:val="none"/>
                <w:lang w:val="en-US" w:eastAsia="zh-CN" w:bidi="ar"/>
              </w:rPr>
              <w:t>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药房窗口、报到机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门诊收费窗口、自助机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互联网医院线下服务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医学背景优先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医学背景优先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急诊自助机、收费窗口</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西区住院处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住院处自助机、窗口</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西区门诊二楼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诊区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采血处、检验自助机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收费窗口、自助机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影像自助服务区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西区门诊三楼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自助服务区（机动）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医技检查候诊区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西区门诊四楼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分诊辅助，持有《护士资格证》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自助服务区（机动）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现场管理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西区经理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总人数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56</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九、考核方法及标准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（一）考核方式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1.中标人每月至少一次与采购人进行质量工作汇报（包括工作计划、进展情况、质控点、解决措施、预控目标等），需有书面报告。</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2.人员考核，医院各用人科室对所辖区域的导医每月进行服务评价，各岗位根据工作要求自制评价表。得分≥90分，当月服务费全额支付；得分&lt;90分，每减少1分，当月服务费减付1%；得分&lt;80分，每减少1分，当月服务费减付2%。汇总每位导医评价得分，计算当月应支付总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3.医院成立外包服务评价小组，每月根据《扬州大学附属医院门诊外包服务评价表》进行打分，满意度≥95分，全额支付当月应支付总费用；&lt;95分，每减少1分，减付0.5%；&lt;90分，每减少1分，减付1%。汇总满意度得分，计算出服务系数，每月按实支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4.中标人连续三次或以上月度服务综合检查考评低于80分，采购人有权解除合同。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5.</w:t>
      </w:r>
      <w:r>
        <w:rPr>
          <w:rFonts w:hint="default" w:ascii="宋体" w:hAnsi="宋体" w:cs="宋体"/>
          <w:color w:val="auto"/>
          <w:lang w:val="en-US" w:eastAsia="zh-CN"/>
        </w:rPr>
        <w:t>医院外包服务评价小组每年进行一次年度考核，考核合格，续签下一年度合同。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（二）考核内容</w:t>
      </w:r>
    </w:p>
    <w:tbl>
      <w:tblPr>
        <w:tblStyle w:val="13"/>
        <w:tblpPr w:leftFromText="180" w:rightFromText="180" w:vertAnchor="text" w:horzAnchor="page" w:tblpX="1112" w:tblpY="424"/>
        <w:tblOverlap w:val="never"/>
        <w:tblW w:w="94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272"/>
        <w:gridCol w:w="648"/>
        <w:gridCol w:w="5964"/>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46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扬州大学附属医院门诊外包服务评价表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得分细则</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40%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人员形象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1、仪表端正，着装整洁得体，符合着装规范。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2、挂牌上岗，淡妆修饰，形象健康，简洁大方。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3、举止文雅，坐姿站姿优美，精神饱满。</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查现场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劳动纪律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1、严格遵守医院各项规章制度，准时上下班，不迟到不早退、无故缺席、旷工。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2、上班时间不打手机，不发短信，不串岗，不脱岗，不离岗，不闲聊，不做与工作无关的事。</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查现场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工作质态</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1、对来院人员主动相迎，态度和蔼，微笑服务，语言亲切，礼貌称呼，做到首问负责制，有问必答，百问不厌，热情引导，使用规范服务用语。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2、对年老体弱、行动不便的患者主动搀扶，引导陪同就诊。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3、电话铃响三声之内接起，解答问题耐心细致，亲切和蔼，语言表达清晰准确。</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工作能力</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1、履行岗位职责，且执行质量较高。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2、能协助解决各类应急突发问题。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3、能够发现问题，提出合理性建设性建议。</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员工培训</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根据医院服务要求，加强员工的培训，有针对性的进行在岗培训，确保员工正确掌握操作规范，熟练掌握应知应会的相关知识。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现场提问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资料齐全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提供完整的各类工作表单，资料内容真实、详细。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思想品德</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1、积极维护医院名誉，自居遵守医院保密制度。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2、维护医院良好形象及声誉，爱护医院的公共财产，养成节约为本的美德。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3、良好的团队精神，作风正派，同事相处融洽。</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工作效率</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自助设备预约率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以今年自助机预约数据制定基础工作量指标，完成基础指标得分，指标随门诊量增长和各项评审要求而逐年提升。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自助设备使用率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以今年自助机预约数据制定基础工作量指标，完成基础指标得分，指标随门诊量增长和各项评审要求而逐年提升。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工作整改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对提出的改善建议积极响应和回复，制定纠正预防措施。</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工作能动性</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1、积极配合部门工作安排，并能较好的完成。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2、积极配合各类各级迎检工作，表现良好。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3、按时参加各类会议，及时汇报工作过程中存在的问题</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服务态度</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患者满意度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
                <w:sz w:val="21"/>
                <w:szCs w:val="21"/>
                <w:lang w:val="en-US" w:eastAsia="zh-CN" w:bidi="ar"/>
              </w:rPr>
              <w:t>门诊患者满意度</w:t>
            </w:r>
            <w:r>
              <w:rPr>
                <w:rStyle w:val="17"/>
                <w:sz w:val="21"/>
                <w:szCs w:val="21"/>
                <w:lang w:val="en-US" w:eastAsia="zh-CN" w:bidi="ar"/>
              </w:rPr>
              <w:t>≥</w:t>
            </w:r>
            <w:r>
              <w:rPr>
                <w:rStyle w:val="16"/>
                <w:sz w:val="21"/>
                <w:szCs w:val="21"/>
                <w:lang w:val="en-US" w:eastAsia="zh-CN" w:bidi="ar"/>
              </w:rPr>
              <w:t>90%得分，指标逐年递增。</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患者投诉</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有一次门诊患者有效投诉不得分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员工满意度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工作人员对机构的满意度≥80%得分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部门满意度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医院工作人员对机构的满意度≥80%得分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问卷调查</w:t>
            </w:r>
          </w:p>
        </w:tc>
      </w:tr>
    </w:tbl>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cs="宋体"/>
          <w:color w:val="auto"/>
          <w:lang w:val="en-US" w:eastAsia="zh-CN"/>
        </w:rPr>
      </w:pPr>
      <w:r>
        <w:rPr>
          <w:rFonts w:hint="eastAsia" w:ascii="宋体" w:hAnsi="宋体" w:cs="宋体"/>
          <w:color w:val="auto"/>
          <w:lang w:val="en-US" w:eastAsia="zh-CN"/>
        </w:rPr>
        <w:t>（三）奖励条款</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1.在医院重大检查、重要活动中表现突出，为医院赢得声誉，报采购人外包服务评价小组集体讨论审定后给予适当奖励。</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Cs/>
          <w:color w:val="auto"/>
          <w:szCs w:val="21"/>
        </w:rPr>
      </w:pPr>
      <w:r>
        <w:rPr>
          <w:rFonts w:hint="eastAsia" w:ascii="宋体" w:hAnsi="宋体" w:cs="宋体"/>
          <w:color w:val="auto"/>
          <w:lang w:val="en-US" w:eastAsia="zh-CN"/>
        </w:rPr>
        <w:t>2.突发事件应对及时有效，避免医院财产损失以及人身伤害，根据其具体情况，报采购人外包服务评价小组集体讨论审定后给予适当奖励。</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十、评标标准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应提供项目管理方案包括：项目负责人的情况介绍、管理理念和方法、组织管理、人力资源管理、培训计划、绩效和激励、日常运营和现场管理、质量监控与管理、进退场交接方案、应急措施等。</w:t>
      </w:r>
    </w:p>
    <w:p>
      <w:pPr>
        <w:pStyle w:val="2"/>
        <w:rPr>
          <w:rFonts w:hint="eastAsia" w:ascii="宋体" w:hAnsi="宋体" w:cs="宋体"/>
          <w:color w:val="auto"/>
          <w:lang w:val="en-US" w:eastAsia="zh-CN"/>
        </w:rPr>
      </w:pPr>
    </w:p>
    <w:tbl>
      <w:tblPr>
        <w:tblStyle w:val="13"/>
        <w:tblpPr w:leftFromText="180" w:rightFromText="180" w:vertAnchor="text" w:horzAnchor="page" w:tblpX="1593" w:tblpY="346"/>
        <w:tblOverlap w:val="never"/>
        <w:tblW w:w="9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008"/>
        <w:gridCol w:w="7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1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评分项目</w:t>
            </w:r>
          </w:p>
        </w:tc>
        <w:tc>
          <w:tcPr>
            <w:tcW w:w="739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w:t>
            </w:r>
          </w:p>
        </w:tc>
        <w:tc>
          <w:tcPr>
            <w:tcW w:w="100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普通岗单价</w:t>
            </w:r>
          </w:p>
        </w:tc>
        <w:tc>
          <w:tcPr>
            <w:tcW w:w="739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所提供的服务必须与采购要求相符合，即以满足招标文件要求且投标报价最低的普通岗单价为评标基准价，其价格分为10分。其他投标人的价格分按下列公式计算：投标报价得分=（评标基准价/投标报价）×10×100％（保留二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（30分）</w:t>
            </w: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7399" w:type="dxa"/>
            <w:vMerge w:val="continue"/>
            <w:tcBorders>
              <w:top w:val="single" w:color="000000" w:sz="8" w:space="0"/>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辅诊岗单价</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所提供的服务必须与采购要求相符合，即以满足招标文件要求且投标报价最低的辅诊岗单价为评标基准价，其价格分为10分。其他投标人的价格分按下列公式计算：投标报价得分=（评标基准价/投标报价）×10×100％（保留二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价格组成</w:t>
            </w: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1.普通岗单价中1-4项占普通岗报价比例不得低于86.08%，在此基础上每增加1%得1分，最多得5分。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73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2.辅诊岗单价中1-4项占普通岗报价比例不得低于87.27%，在此基础上每增加1%得1分，最多得5分。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w:t>
            </w: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有承担为医院或机关、事业单位提供3年及3年以上与本项目类似得连续服务项目业绩合同的得3分，每增加一份加2分，3年以下项目业绩合同不计分。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（13分）</w:t>
            </w: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（11分）</w:t>
            </w:r>
          </w:p>
        </w:tc>
        <w:tc>
          <w:tcPr>
            <w:tcW w:w="73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需提供合同首页、合同金额所在页、签字盖章页等复印件及合同金额</w:t>
            </w:r>
            <w:r>
              <w:rPr>
                <w:rFonts w:ascii="Calibri" w:hAnsi="Calibri" w:eastAsia="宋体" w:cs="Calibri"/>
                <w:b/>
                <w:bCs/>
                <w:i w:val="0"/>
                <w:iCs w:val="0"/>
                <w:color w:val="000000"/>
                <w:kern w:val="0"/>
                <w:sz w:val="21"/>
                <w:szCs w:val="21"/>
                <w:u w:val="none"/>
                <w:lang w:val="en-US" w:eastAsia="zh-CN" w:bidi="ar"/>
              </w:rPr>
              <w:t>30%</w:t>
            </w:r>
            <w:r>
              <w:rPr>
                <w:rFonts w:hint="eastAsia" w:ascii="宋体" w:hAnsi="宋体" w:eastAsia="宋体" w:cs="宋体"/>
                <w:b/>
                <w:bCs/>
                <w:i w:val="0"/>
                <w:iCs w:val="0"/>
                <w:color w:val="000000"/>
                <w:kern w:val="0"/>
                <w:sz w:val="21"/>
                <w:szCs w:val="21"/>
                <w:u w:val="none"/>
                <w:lang w:val="en-US" w:eastAsia="zh-CN" w:bidi="ar"/>
              </w:rPr>
              <w:t>以上的服务发票或者收款证明加盖投标人公章，未提供或者提供不全不得分。）</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信誉</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以上合同能提供客户出具的履约评价为优秀（或满意），每提供一份得1分，最多得2分。未提供履约评价的不得分。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w:t>
            </w: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体系制度（10分）</w:t>
            </w:r>
          </w:p>
        </w:tc>
        <w:tc>
          <w:tcPr>
            <w:tcW w:w="73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公司具有明确的组织架构，有员工行为规范准则、员工考核管理办法、员工廉洁自律规定、员工学习培训制度、安全生产管理规定，有一项方案优于项目需求的，得2分；方案符合项目需求的，得1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（42分）</w:t>
            </w:r>
          </w:p>
        </w:tc>
        <w:tc>
          <w:tcPr>
            <w:tcW w:w="100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服务方案（30分）</w:t>
            </w: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管理人员配置</w:t>
            </w:r>
            <w:r>
              <w:rPr>
                <w:rFonts w:hint="eastAsia" w:ascii="宋体" w:hAnsi="宋体" w:eastAsia="宋体" w:cs="宋体"/>
                <w:b/>
                <w:bCs/>
                <w:i w:val="0"/>
                <w:iCs w:val="0"/>
                <w:color w:val="000000"/>
                <w:kern w:val="0"/>
                <w:sz w:val="21"/>
                <w:szCs w:val="21"/>
                <w:u w:val="none"/>
                <w:lang w:val="en-US" w:eastAsia="zh-CN" w:bidi="ar"/>
              </w:rPr>
              <w:t>（满分5分）</w:t>
            </w:r>
            <w:r>
              <w:rPr>
                <w:rFonts w:hint="eastAsia" w:ascii="宋体" w:hAnsi="宋体" w:eastAsia="宋体" w:cs="宋体"/>
                <w:i w:val="0"/>
                <w:iCs w:val="0"/>
                <w:color w:val="000000"/>
                <w:kern w:val="0"/>
                <w:sz w:val="21"/>
                <w:szCs w:val="21"/>
                <w:u w:val="none"/>
                <w:lang w:val="en-US" w:eastAsia="zh-CN" w:bidi="ar"/>
              </w:rPr>
              <w:t>：须配置1名具有全日制普通高校本科及以上学历的驻点管理人员，且具有人力资源管理经验案例得3分，没有不得分。驻点管理人员具有人力资源管理师得2分，不符合以上条件的不得分。(提供人力资源和社会保障部职业技能鉴定中心证书、学历证书、身份证及该员工在职企业近6个月内社保缴费清单证明，以上均为复印件，原件备查，没有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2.人力资源管理方案</w:t>
            </w:r>
            <w:r>
              <w:rPr>
                <w:rFonts w:hint="eastAsia" w:ascii="宋体" w:hAnsi="宋体" w:eastAsia="宋体" w:cs="宋体"/>
                <w:b/>
                <w:bCs/>
                <w:i w:val="0"/>
                <w:iCs w:val="0"/>
                <w:color w:val="000000"/>
                <w:kern w:val="0"/>
                <w:sz w:val="21"/>
                <w:szCs w:val="21"/>
                <w:u w:val="none"/>
                <w:lang w:val="en-US" w:eastAsia="zh-CN" w:bidi="ar"/>
              </w:rPr>
              <w:t>（满分10分）</w:t>
            </w:r>
            <w:r>
              <w:rPr>
                <w:rFonts w:hint="eastAsia" w:ascii="宋体" w:hAnsi="宋体" w:eastAsia="宋体" w:cs="宋体"/>
                <w:i w:val="0"/>
                <w:iCs w:val="0"/>
                <w:color w:val="000000"/>
                <w:kern w:val="0"/>
                <w:sz w:val="21"/>
                <w:szCs w:val="21"/>
                <w:u w:val="none"/>
                <w:lang w:val="en-US" w:eastAsia="zh-CN" w:bidi="ar"/>
              </w:rPr>
              <w:t>：有符合劳动法且适用医院的人力资源管理驻点管理机构、人力资源管理季度和年度工作计划、人员招聘、试用、培训、薪资发放、考核、奖惩、离职、纠纷解决等全流程管理方案（包括但不限于）。有一项方案优于项目需求的，得1分；方案符合项目需求的，得0.5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3.派遣公司人力资源储备及对缺员岗位及时补充人员的方案</w:t>
            </w:r>
            <w:r>
              <w:rPr>
                <w:rFonts w:hint="eastAsia" w:ascii="宋体" w:hAnsi="宋体" w:eastAsia="宋体" w:cs="宋体"/>
                <w:b/>
                <w:bCs/>
                <w:i w:val="0"/>
                <w:iCs w:val="0"/>
                <w:color w:val="000000"/>
                <w:kern w:val="0"/>
                <w:sz w:val="21"/>
                <w:szCs w:val="21"/>
                <w:u w:val="none"/>
                <w:lang w:val="en-US" w:eastAsia="zh-CN" w:bidi="ar"/>
              </w:rPr>
              <w:t>（满分5分）</w:t>
            </w:r>
            <w:r>
              <w:rPr>
                <w:rFonts w:hint="eastAsia" w:ascii="宋体" w:hAnsi="宋体" w:eastAsia="宋体" w:cs="宋体"/>
                <w:i w:val="0"/>
                <w:iCs w:val="0"/>
                <w:color w:val="000000"/>
                <w:kern w:val="0"/>
                <w:sz w:val="21"/>
                <w:szCs w:val="21"/>
                <w:u w:val="none"/>
                <w:lang w:val="en-US" w:eastAsia="zh-CN" w:bidi="ar"/>
              </w:rPr>
              <w:t>：方案优于项目需求的，得5分；方案符合项目需求的，得3分；方案不符合项目需求或未提供的，得0分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99"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4.根据投标人针对本项目日常服务管理特点和难点进行分析，并提出解决问题的措施进行综合评分</w:t>
            </w:r>
            <w:r>
              <w:rPr>
                <w:rFonts w:hint="eastAsia" w:ascii="宋体" w:hAnsi="宋体" w:eastAsia="宋体" w:cs="宋体"/>
                <w:b/>
                <w:bCs/>
                <w:i w:val="0"/>
                <w:iCs w:val="0"/>
                <w:color w:val="000000"/>
                <w:kern w:val="0"/>
                <w:sz w:val="21"/>
                <w:szCs w:val="21"/>
                <w:u w:val="none"/>
                <w:lang w:val="en-US" w:eastAsia="zh-CN" w:bidi="ar"/>
              </w:rPr>
              <w:t>（满分5分）</w:t>
            </w:r>
            <w:r>
              <w:rPr>
                <w:rFonts w:hint="eastAsia" w:ascii="宋体" w:hAnsi="宋体" w:eastAsia="宋体" w:cs="宋体"/>
                <w:i w:val="0"/>
                <w:iCs w:val="0"/>
                <w:color w:val="000000"/>
                <w:kern w:val="0"/>
                <w:sz w:val="21"/>
                <w:szCs w:val="21"/>
                <w:u w:val="none"/>
                <w:lang w:val="en-US" w:eastAsia="zh-CN" w:bidi="ar"/>
              </w:rPr>
              <w:t>：方案优于项目需求的，得5分；方案符合项目需求的，得3分；方案不符合项目需求或未提供的，得0分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5.投标人提供应急服务方案（包括但不限于）</w:t>
            </w:r>
            <w:r>
              <w:rPr>
                <w:rFonts w:hint="eastAsia" w:ascii="宋体" w:hAnsi="宋体" w:eastAsia="宋体" w:cs="宋体"/>
                <w:b/>
                <w:bCs/>
                <w:i w:val="0"/>
                <w:iCs w:val="0"/>
                <w:color w:val="000000"/>
                <w:kern w:val="0"/>
                <w:sz w:val="21"/>
                <w:szCs w:val="21"/>
                <w:u w:val="none"/>
                <w:lang w:val="en-US" w:eastAsia="zh-CN" w:bidi="ar"/>
              </w:rPr>
              <w:t>（满分5分）</w:t>
            </w:r>
            <w:r>
              <w:rPr>
                <w:rFonts w:hint="eastAsia" w:ascii="宋体" w:hAnsi="宋体" w:eastAsia="宋体" w:cs="宋体"/>
                <w:i w:val="0"/>
                <w:iCs w:val="0"/>
                <w:color w:val="000000"/>
                <w:kern w:val="0"/>
                <w:sz w:val="21"/>
                <w:szCs w:val="21"/>
                <w:u w:val="none"/>
                <w:lang w:val="en-US" w:eastAsia="zh-CN" w:bidi="ar"/>
              </w:rPr>
              <w:t>：火灾应急预案；意外事故应急预案；患者跌倒应急预案；防疫应急预案等。方案优于项目需求的，得5分；方案符合项目需求的，得3分；方案不符合项目需求或未提供的，得0分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档案资料</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根据投标人制定的档案管理制度情况进行综合评分</w:t>
            </w:r>
            <w:r>
              <w:rPr>
                <w:rFonts w:hint="eastAsia" w:ascii="宋体" w:hAnsi="宋体" w:eastAsia="宋体" w:cs="宋体"/>
                <w:b/>
                <w:bCs/>
                <w:i w:val="0"/>
                <w:iCs w:val="0"/>
                <w:color w:val="000000"/>
                <w:kern w:val="0"/>
                <w:sz w:val="21"/>
                <w:szCs w:val="21"/>
                <w:u w:val="none"/>
                <w:lang w:val="en-US" w:eastAsia="zh-CN" w:bidi="ar"/>
              </w:rPr>
              <w:t>（满分2分）</w:t>
            </w:r>
            <w:r>
              <w:rPr>
                <w:rFonts w:hint="eastAsia" w:ascii="宋体" w:hAnsi="宋体" w:eastAsia="宋体" w:cs="宋体"/>
                <w:i w:val="0"/>
                <w:iCs w:val="0"/>
                <w:color w:val="000000"/>
                <w:kern w:val="0"/>
                <w:sz w:val="21"/>
                <w:szCs w:val="21"/>
                <w:u w:val="none"/>
                <w:lang w:val="en-US" w:eastAsia="zh-CN" w:bidi="ar"/>
              </w:rPr>
              <w:t>：评审内容包括档案资料（管理人员、设施、设备、管理服务、业主方反馈资料、行政文件资料）。方案优于项目需求的，得2分；方案符合项目需求的，得1分；方案不符合项目需求或未提供的，得0分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服务承诺（5分）</w:t>
            </w: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服务承诺</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5个为零承诺（人身伤亡责任事故为零、生产设备责任事故为零、火灾责任事故为零、偷盗事件为零、重大环保责任事故为零）、违规违纪事件发生率为零承诺、确保人员一周以内招聘到岗时效性承诺、确保医患人员发生冲突为零承诺、用工科室综合服务满意度90%以上承诺。以上有一项服务承诺函得1分，最高得5分，无承诺不得分（投标方提供承诺书，加盖单位公章，注意：中标后一旦出现承诺未执行到位并且影响采购方正常有序工作，采购方有权立即终止合同，并向其索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启动退出机制</w:t>
            </w: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接管方案</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规定时间提供各管理人员及各岗位人员配置、信息化系统工具、管理制度、接管措施等接管方案，评标委员会根据投标人提供的接管方案进行综合评审，接管方案科学、合理、规范、详细、可操作性强，且满足招标文件的要求得5分，接管方案基本科学、合理、规范、详细、可操作性一般，基本满足招标文件的要求得2-3分，接管方案差，不能满足招标文件的要求得1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nil"/>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退场方案</w:t>
            </w:r>
          </w:p>
        </w:tc>
        <w:tc>
          <w:tcPr>
            <w:tcW w:w="739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在较短的时间内提供完善的、完整的、符合医院管理工作实际情况、不影响医院运行的完整退出机制方案书（包括资料移交、场地和各岗位的移交、人员处置、人员社保、离职补偿金等涉及医院和员工权益的处置等方案）。方案科学、合理、规范、详细、可操作性强，符合招标文件要求且提供退场方案的承诺书得5分；方案基本可行、有退场方案的承诺书得2-3分；有方案无承诺的得1分，无方案有承诺得1分，没有方案且没有承诺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c>
          <w:tcPr>
            <w:tcW w:w="10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7399"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lang w:val="en-US" w:eastAsia="zh-CN"/>
        </w:rPr>
      </w:pPr>
      <w:r>
        <w:rPr>
          <w:rFonts w:hint="eastAsia" w:ascii="宋体" w:hAnsi="宋体" w:cs="宋体"/>
          <w:color w:val="auto"/>
          <w:lang w:val="en-US" w:eastAsia="zh-CN"/>
        </w:rPr>
        <w:t>注：1.评标时，未能按以上要求提供相应证明的，不作为评标依据，不得分。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2.以上要求提供政府发文/政府证书的，如投标人提供协会或其他民间机构发文/证书的，一律不得分。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3.投标人提供的所有材料，需真实有效。中标后2个工作日内提供招标文件中要求的各类材料、证书、承诺函及人员花名册等原件，报采购人逐一核查材料的真实性，若经发现存在弄虚作假行为，采购人有权取消中标人中标资格，同时追究其法律赔偿责任。（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cs="宋体"/>
          <w:color w:val="auto"/>
        </w:rPr>
      </w:pP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b/>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A3D08"/>
    <w:multiLevelType w:val="singleLevel"/>
    <w:tmpl w:val="EFCA3D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00000"/>
    <w:rsid w:val="51A82A68"/>
    <w:rsid w:val="6785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rFonts w:ascii="Arial" w:hAnsi="Arial" w:eastAsia="Arial" w:cs="Arial"/>
      <w:sz w:val="40"/>
      <w:szCs w:val="40"/>
    </w:rPr>
  </w:style>
  <w:style w:type="paragraph" w:styleId="4">
    <w:name w:val="heading 2"/>
    <w:basedOn w:val="1"/>
    <w:next w:val="5"/>
    <w:autoRedefine/>
    <w:unhideWhenUsed/>
    <w:qFormat/>
    <w:uiPriority w:val="0"/>
    <w:pPr>
      <w:keepNext/>
      <w:keepLines/>
      <w:spacing w:line="360" w:lineRule="auto"/>
      <w:outlineLvl w:val="1"/>
    </w:pPr>
    <w:rPr>
      <w:rFonts w:ascii="宋体" w:hAnsi="宋体" w:cs="宋体"/>
      <w:b/>
    </w:rPr>
  </w:style>
  <w:style w:type="paragraph" w:styleId="6">
    <w:name w:val="heading 3"/>
    <w:basedOn w:val="1"/>
    <w:next w:val="1"/>
    <w:unhideWhenUsed/>
    <w:qFormat/>
    <w:uiPriority w:val="0"/>
    <w:pPr>
      <w:keepNext/>
      <w:keepLines/>
      <w:spacing w:line="360" w:lineRule="auto"/>
      <w:jc w:val="center"/>
      <w:outlineLvl w:val="2"/>
    </w:pPr>
    <w:rPr>
      <w:rFonts w:ascii="宋体" w:hAnsi="宋体"/>
      <w:b/>
      <w:bCs/>
      <w:color w:val="000000"/>
      <w:szCs w:val="21"/>
    </w:rPr>
  </w:style>
  <w:style w:type="paragraph" w:styleId="7">
    <w:name w:val="heading 4"/>
    <w:basedOn w:val="1"/>
    <w:next w:val="1"/>
    <w:autoRedefine/>
    <w:unhideWhenUsed/>
    <w:qFormat/>
    <w:uiPriority w:val="0"/>
    <w:pPr>
      <w:keepNext/>
      <w:keepLines/>
      <w:spacing w:line="360" w:lineRule="auto"/>
      <w:ind w:firstLine="420"/>
      <w:outlineLvl w:val="3"/>
    </w:pPr>
    <w:rPr>
      <w:rFonts w:ascii="宋体" w:hAnsi="宋体"/>
      <w:color w:val="FF0000"/>
      <w:szCs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1"/>
    <w:autoRedefine/>
    <w:qFormat/>
    <w:uiPriority w:val="0"/>
    <w:pPr>
      <w:ind w:firstLine="480" w:firstLineChars="200"/>
    </w:pPr>
  </w:style>
  <w:style w:type="paragraph" w:styleId="5">
    <w:name w:val="Normal Indent"/>
    <w:basedOn w:val="1"/>
    <w:autoRedefine/>
    <w:unhideWhenUsed/>
    <w:qFormat/>
    <w:uiPriority w:val="0"/>
    <w:pPr>
      <w:ind w:firstLine="420"/>
    </w:pPr>
    <w:rPr>
      <w:rFonts w:ascii="Times New Roman" w:hAnsi="Times New Roman"/>
    </w:rPr>
  </w:style>
  <w:style w:type="paragraph" w:styleId="8">
    <w:name w:val="Body Text"/>
    <w:basedOn w:val="1"/>
    <w:next w:val="9"/>
    <w:qFormat/>
    <w:uiPriority w:val="0"/>
    <w:pPr>
      <w:spacing w:line="360" w:lineRule="auto"/>
      <w:jc w:val="center"/>
    </w:pPr>
    <w:rPr>
      <w:rFonts w:ascii="宋体" w:hAnsi="宋体" w:cs="宋体"/>
      <w:szCs w:val="21"/>
    </w:rPr>
  </w:style>
  <w:style w:type="paragraph" w:styleId="9">
    <w:name w:val="Body Text First Indent"/>
    <w:basedOn w:val="8"/>
    <w:next w:val="1"/>
    <w:autoRedefine/>
    <w:qFormat/>
    <w:uiPriority w:val="0"/>
    <w:pPr>
      <w:ind w:firstLine="420"/>
    </w:pPr>
  </w:style>
  <w:style w:type="paragraph" w:styleId="10">
    <w:name w:val="Body Text Indent"/>
    <w:basedOn w:val="1"/>
    <w:next w:val="11"/>
    <w:unhideWhenUsed/>
    <w:qFormat/>
    <w:uiPriority w:val="99"/>
    <w:pPr>
      <w:spacing w:after="120"/>
      <w:ind w:left="420" w:leftChars="200"/>
    </w:pPr>
    <w:rPr>
      <w:rFonts w:cs="Times New Roman"/>
      <w:kern w:val="0"/>
    </w:rPr>
  </w:style>
  <w:style w:type="paragraph" w:styleId="11">
    <w:name w:val="envelope return"/>
    <w:basedOn w:val="1"/>
    <w:autoRedefine/>
    <w:unhideWhenUsed/>
    <w:qFormat/>
    <w:uiPriority w:val="99"/>
    <w:pPr>
      <w:snapToGrid w:val="0"/>
    </w:pPr>
    <w:rPr>
      <w:rFonts w:ascii="Cambria" w:hAnsi="Cambria" w:eastAsia="宋体" w:cs="Times New Roman"/>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List Paragraph"/>
    <w:basedOn w:val="1"/>
    <w:autoRedefine/>
    <w:qFormat/>
    <w:uiPriority w:val="0"/>
    <w:pPr>
      <w:ind w:firstLine="420"/>
    </w:pPr>
  </w:style>
  <w:style w:type="character" w:customStyle="1" w:styleId="16">
    <w:name w:val="font01"/>
    <w:basedOn w:val="14"/>
    <w:autoRedefine/>
    <w:qFormat/>
    <w:uiPriority w:val="0"/>
    <w:rPr>
      <w:rFonts w:hint="eastAsia" w:ascii="宋体" w:hAnsi="宋体" w:eastAsia="宋体" w:cs="宋体"/>
      <w:color w:val="000000"/>
      <w:sz w:val="24"/>
      <w:szCs w:val="24"/>
      <w:u w:val="none"/>
    </w:rPr>
  </w:style>
  <w:style w:type="character" w:customStyle="1" w:styleId="17">
    <w:name w:val="font91"/>
    <w:basedOn w:val="14"/>
    <w:autoRedefine/>
    <w:qFormat/>
    <w:uiPriority w:val="0"/>
    <w:rPr>
      <w:rFonts w:ascii="微软雅黑" w:hAnsi="微软雅黑" w:eastAsia="微软雅黑" w:cs="微软雅黑"/>
      <w:color w:val="000000"/>
      <w:sz w:val="24"/>
      <w:szCs w:val="24"/>
      <w:u w:val="none"/>
    </w:rPr>
  </w:style>
  <w:style w:type="paragraph" w:customStyle="1" w:styleId="18">
    <w:name w:val="_Style 7"/>
    <w:basedOn w:val="1"/>
    <w:next w:val="15"/>
    <w:autoRedefine/>
    <w:qFormat/>
    <w:uiPriority w:val="34"/>
    <w:pPr>
      <w:snapToGrid/>
      <w:spacing w:line="240" w:lineRule="auto"/>
      <w:ind w:firstLine="420" w:firstLineChars="200"/>
    </w:pPr>
    <w:rPr>
      <w:rFonts w:ascii="Calibri" w:hAnsi="Calibri" w:cs="Times New Roman"/>
      <w:sz w:val="21"/>
      <w:szCs w:val="22"/>
    </w:rPr>
  </w:style>
  <w:style w:type="paragraph" w:customStyle="1" w:styleId="19">
    <w:name w:val="纯文本1"/>
    <w:basedOn w:val="1"/>
    <w:autoRedefine/>
    <w:qFormat/>
    <w:uiPriority w:val="0"/>
    <w:rPr>
      <w:rFonts w:ascii="宋体" w:hAnsi="Courier New"/>
      <w:kern w:val="0"/>
      <w:sz w:val="20"/>
      <w:szCs w:val="21"/>
    </w:rPr>
  </w:style>
  <w:style w:type="character" w:customStyle="1" w:styleId="20">
    <w:name w:val="font31"/>
    <w:basedOn w:val="14"/>
    <w:autoRedefine/>
    <w:qFormat/>
    <w:uiPriority w:val="0"/>
    <w:rPr>
      <w:rFonts w:hint="eastAsia" w:ascii="宋体" w:hAnsi="宋体" w:eastAsia="宋体" w:cs="宋体"/>
      <w:color w:val="000000"/>
      <w:sz w:val="21"/>
      <w:szCs w:val="21"/>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character" w:customStyle="1" w:styleId="22">
    <w:name w:val="font11"/>
    <w:basedOn w:val="14"/>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1508</Words>
  <Characters>1546</Characters>
  <Lines>0</Lines>
  <Paragraphs>0</Paragraphs>
  <TotalTime>1</TotalTime>
  <ScaleCrop>false</ScaleCrop>
  <LinksUpToDate>false</LinksUpToDate>
  <CharactersWithSpaces>1550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2025-04-07T05:54:00Z</dcterms:created>
  <dc:creator>秋实</dc:creator>
  <cp:lastModifiedBy>胡永田</cp:lastModifiedBy>
  <dcterms:modified xsi:type="dcterms:W3CDTF">2025-04-11T09:26:02Z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1F1CD900B8BE4ADE98EE866C70989EF4_13</vt:lpwstr>
  </property>
  <property fmtid="{D5CDD505-2E9C-101B-9397-08002B2CF9AE}" pid="4" name="KSOTemplateDocerSaveRecord">
    <vt:lpwstr>eyJoZGlkIjoiNTU0ZmIwYTQ3NzlmZGUxZmU3Zjk0M2IyZTNmM2IxNjAiLCJ1c2VySWQiOiIyMTQ5MTc5NzUifQ==</vt:lpwstr>
  </property>
</Properties>
</file>