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eastAsia="宋体" w:cs="宋体"/>
          <w:b/>
          <w:snapToGrid w:val="0"/>
          <w:kern w:val="0"/>
          <w:sz w:val="44"/>
          <w:szCs w:val="44"/>
          <w:lang w:eastAsia="zh-CN"/>
        </w:rPr>
      </w:pPr>
      <w:r>
        <w:rPr>
          <w:rFonts w:hint="eastAsia" w:ascii="宋体" w:hAnsi="宋体" w:cs="宋体"/>
          <w:b/>
          <w:snapToGrid w:val="0"/>
          <w:kern w:val="0"/>
          <w:sz w:val="44"/>
          <w:szCs w:val="44"/>
          <w:lang w:eastAsia="zh-CN"/>
        </w:rPr>
        <w:t>西区零星空调管道更换维修服务项目（二次）</w:t>
      </w:r>
    </w:p>
    <w:p>
      <w:pPr>
        <w:adjustRightInd w:val="0"/>
        <w:snapToGrid w:val="0"/>
        <w:spacing w:line="800" w:lineRule="exact"/>
        <w:contextualSpacing/>
        <w:jc w:val="center"/>
        <w:rPr>
          <w:b/>
          <w:sz w:val="44"/>
          <w:szCs w:val="44"/>
        </w:rPr>
      </w:pPr>
      <w:r>
        <w:rPr>
          <w:rFonts w:hint="eastAsia"/>
          <w:b/>
          <w:sz w:val="44"/>
          <w:szCs w:val="44"/>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14</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西区零星空调管道更换维修服务项目（二次）</w:t>
      </w:r>
      <w:r>
        <w:rPr>
          <w:rFonts w:hint="eastAsia" w:ascii="宋体" w:hAnsi="宋体" w:cs="宋体"/>
          <w:snapToGrid w:val="0"/>
          <w:kern w:val="0"/>
          <w:sz w:val="24"/>
        </w:rPr>
        <w:t>（编号：YDFYXJ-</w:t>
      </w:r>
      <w:r>
        <w:rPr>
          <w:rFonts w:hint="eastAsia" w:ascii="宋体" w:hAnsi="宋体" w:cs="宋体"/>
          <w:snapToGrid w:val="0"/>
          <w:kern w:val="0"/>
          <w:sz w:val="24"/>
          <w:lang w:eastAsia="zh-CN"/>
        </w:rPr>
        <w:t>2025014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西区零星空调管道更换维修服务项目（二次）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1.4</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4</w:t>
      </w:r>
      <w:r>
        <w:rPr>
          <w:rFonts w:hint="eastAsia" w:ascii="宋体" w:hAnsi="宋体"/>
          <w:b/>
          <w:sz w:val="24"/>
        </w:rPr>
        <w:t>月</w:t>
      </w:r>
      <w:r>
        <w:rPr>
          <w:rFonts w:hint="eastAsia" w:ascii="宋体" w:hAnsi="宋体"/>
          <w:b/>
          <w:sz w:val="24"/>
          <w:lang w:val="en-US" w:eastAsia="zh-CN"/>
        </w:rPr>
        <w:t>23</w:t>
      </w:r>
      <w:r>
        <w:rPr>
          <w:rFonts w:hint="eastAsia" w:ascii="宋体" w:hAnsi="宋体"/>
          <w:b/>
          <w:sz w:val="24"/>
        </w:rPr>
        <w:t>日</w:t>
      </w:r>
      <w:r>
        <w:rPr>
          <w:rFonts w:hint="eastAsia" w:ascii="宋体" w:hAnsi="宋体"/>
          <w:b/>
          <w:sz w:val="24"/>
          <w:lang w:val="en-US" w:eastAsia="zh-CN"/>
        </w:rPr>
        <w:t>上午9</w:t>
      </w:r>
      <w:r>
        <w:rPr>
          <w:rFonts w:hint="eastAsia" w:ascii="宋体" w:hAnsi="宋体"/>
          <w:b/>
          <w:sz w:val="24"/>
        </w:rPr>
        <w:t>：30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西区零星空调管道更换维修服务项目（二次）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西区零星空调管道更换维修服务项目（二次）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w:t>
      </w:r>
      <w:r>
        <w:rPr>
          <w:rFonts w:hint="eastAsia" w:ascii="宋体" w:hAnsi="宋体" w:cs="宋体"/>
          <w:sz w:val="24"/>
          <w:lang w:val="en-US" w:eastAsia="zh-CN"/>
        </w:rPr>
        <w:t>医院要求完成</w:t>
      </w:r>
      <w:r>
        <w:rPr>
          <w:rFonts w:hint="eastAsia" w:ascii="宋体" w:hAnsi="宋体" w:cs="宋体"/>
          <w:sz w:val="24"/>
        </w:rPr>
        <w:t>西区16病区以及门诊CT室西走廊过道中央空调镀锌管道系统检修与更换</w:t>
      </w:r>
      <w:r>
        <w:rPr>
          <w:rFonts w:hint="eastAsia" w:ascii="宋体" w:hAnsi="宋体" w:cs="宋体"/>
          <w:sz w:val="24"/>
          <w:lang w:val="en-US" w:eastAsia="zh-CN"/>
        </w:rPr>
        <w:t>后</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建设</w:t>
      </w:r>
      <w:r>
        <w:rPr>
          <w:rFonts w:hint="eastAsia" w:ascii="宋体" w:hAnsi="宋体" w:cs="宋体"/>
          <w:sz w:val="24"/>
        </w:rPr>
        <w:t>费用。</w:t>
      </w:r>
      <w:r>
        <w:rPr>
          <w:rFonts w:hint="eastAsia" w:ascii="宋体" w:hAnsi="宋体" w:cs="宋体"/>
          <w:snapToGrid w:val="0"/>
          <w:kern w:val="0"/>
          <w:sz w:val="24"/>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4</w:t>
      </w:r>
      <w:r>
        <w:rPr>
          <w:rFonts w:hint="eastAsia" w:cs="微软雅黑"/>
          <w:b/>
        </w:rPr>
        <w:t>月</w:t>
      </w:r>
      <w:r>
        <w:rPr>
          <w:rFonts w:hint="eastAsia" w:cs="微软雅黑"/>
          <w:b/>
          <w:lang w:val="en-US" w:eastAsia="zh-CN"/>
        </w:rPr>
        <w:t>23</w:t>
      </w:r>
      <w:r>
        <w:rPr>
          <w:rFonts w:hint="eastAsia" w:cs="微软雅黑"/>
          <w:b/>
        </w:rPr>
        <w:t>日</w:t>
      </w:r>
      <w:r>
        <w:rPr>
          <w:rStyle w:val="34"/>
          <w:rFonts w:hint="eastAsia"/>
          <w:b/>
          <w:lang w:val="en-US" w:eastAsia="zh-CN"/>
        </w:rPr>
        <w:t>9</w:t>
      </w:r>
      <w:r>
        <w:rPr>
          <w:rStyle w:val="34"/>
          <w:b/>
        </w:rPr>
        <w:t>：30</w:t>
      </w:r>
      <w:r>
        <w:rPr>
          <w:rFonts w:hint="eastAsia" w:cs="微软雅黑"/>
          <w:color w:val="000000"/>
        </w:rPr>
        <w:t>前</w:t>
      </w:r>
      <w:r>
        <w:rPr>
          <w:rStyle w:val="34"/>
          <w:b/>
        </w:rPr>
        <w:t>（北</w:t>
      </w:r>
      <w:r>
        <w:rPr>
          <w:rStyle w:val="34"/>
          <w:b/>
          <w:color w:val="000000"/>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rPr>
        <w:t>2025</w:t>
      </w:r>
      <w:r>
        <w:rPr>
          <w:rStyle w:val="34"/>
          <w:rFonts w:ascii="宋体" w:hAnsi="宋体"/>
          <w:b/>
          <w:sz w:val="24"/>
        </w:rPr>
        <w:t>年</w:t>
      </w:r>
      <w:r>
        <w:rPr>
          <w:rStyle w:val="34"/>
          <w:rFonts w:hint="eastAsia" w:ascii="宋体" w:hAnsi="宋体"/>
          <w:b/>
          <w:sz w:val="24"/>
          <w:lang w:val="en-US" w:eastAsia="zh-CN"/>
        </w:rPr>
        <w:t>4</w:t>
      </w:r>
      <w:r>
        <w:rPr>
          <w:rStyle w:val="34"/>
          <w:rFonts w:ascii="宋体" w:hAnsi="宋体"/>
          <w:b/>
          <w:sz w:val="24"/>
        </w:rPr>
        <w:t>月</w:t>
      </w:r>
      <w:r>
        <w:rPr>
          <w:rStyle w:val="34"/>
          <w:rFonts w:hint="eastAsia" w:ascii="宋体" w:hAnsi="宋体"/>
          <w:b/>
          <w:sz w:val="24"/>
          <w:lang w:val="en-US" w:eastAsia="zh-CN"/>
        </w:rPr>
        <w:t>23</w:t>
      </w:r>
      <w:r>
        <w:rPr>
          <w:rStyle w:val="34"/>
          <w:rFonts w:ascii="宋体" w:hAnsi="宋体"/>
          <w:b/>
          <w:sz w:val="24"/>
        </w:rPr>
        <w:t>日</w:t>
      </w:r>
      <w:r>
        <w:rPr>
          <w:rStyle w:val="34"/>
          <w:rFonts w:hint="eastAsia" w:ascii="宋体" w:hAnsi="宋体"/>
          <w:b/>
          <w:sz w:val="24"/>
          <w:lang w:val="en-US" w:eastAsia="zh-CN"/>
        </w:rPr>
        <w:t>9</w:t>
      </w:r>
      <w:r>
        <w:rPr>
          <w:rStyle w:val="34"/>
          <w:rFonts w:ascii="宋体" w:hAnsi="宋体"/>
          <w:b/>
          <w:sz w:val="24"/>
        </w:rPr>
        <w:t>：30（北</w:t>
      </w:r>
      <w:r>
        <w:rPr>
          <w:rStyle w:val="34"/>
          <w:rFonts w:ascii="宋体" w:hAnsi="宋体"/>
          <w:b/>
          <w:color w:val="000000"/>
          <w:sz w:val="24"/>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23</w:t>
      </w:r>
      <w:r>
        <w:rPr>
          <w:rFonts w:hint="eastAsia" w:ascii="宋体" w:hAnsi="宋体" w:cs="宋体"/>
          <w:b/>
          <w:snapToGrid w:val="0"/>
          <w:spacing w:val="-4"/>
          <w:kern w:val="0"/>
          <w:sz w:val="24"/>
        </w:rPr>
        <w:t>日</w:t>
      </w:r>
      <w:r>
        <w:rPr>
          <w:rFonts w:hint="eastAsia" w:ascii="宋体" w:hAnsi="宋体"/>
          <w:b/>
          <w:sz w:val="24"/>
          <w:lang w:val="en-US" w:eastAsia="zh-CN"/>
        </w:rPr>
        <w:t>下午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bookmarkStart w:id="4" w:name="_GoBack"/>
      <w:bookmarkEnd w:id="4"/>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西区零星空调管道更换维修服务项目（二次）</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2025014</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1.4</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spacing w:line="360" w:lineRule="auto"/>
      </w:pPr>
      <w:r>
        <w:rPr>
          <w:rFonts w:hint="eastAsia" w:ascii="黑体" w:hAnsi="黑体" w:eastAsia="黑体" w:cs="黑体"/>
          <w:b/>
          <w:bCs/>
          <w:color w:val="000000"/>
          <w:kern w:val="0"/>
          <w:sz w:val="24"/>
          <w:lang w:val="en-US" w:eastAsia="zh-CN"/>
        </w:rPr>
        <w:t>2.1</w:t>
      </w:r>
      <w:r>
        <w:rPr>
          <w:rFonts w:hint="eastAsia" w:ascii="黑体" w:hAnsi="黑体" w:eastAsia="黑体" w:cs="黑体"/>
          <w:b/>
          <w:bCs/>
          <w:color w:val="000000"/>
          <w:kern w:val="0"/>
          <w:sz w:val="24"/>
        </w:rPr>
        <w:t>空调管道维修</w:t>
      </w:r>
      <w:r>
        <w:rPr>
          <w:rFonts w:hint="eastAsia" w:ascii="黑体" w:hAnsi="黑体" w:eastAsia="黑体" w:cs="黑体"/>
          <w:b/>
          <w:bCs/>
          <w:color w:val="000000"/>
          <w:kern w:val="0"/>
          <w:sz w:val="24"/>
          <w:lang w:val="en-US" w:eastAsia="zh-CN"/>
        </w:rPr>
        <w:t>参考</w:t>
      </w:r>
      <w:r>
        <w:rPr>
          <w:rFonts w:hint="eastAsia" w:ascii="黑体" w:hAnsi="黑体" w:eastAsia="黑体" w:cs="黑体"/>
          <w:b/>
          <w:bCs/>
          <w:color w:val="000000"/>
          <w:kern w:val="0"/>
          <w:sz w:val="24"/>
        </w:rPr>
        <w:t>报价清单</w:t>
      </w:r>
    </w:p>
    <w:tbl>
      <w:tblPr>
        <w:tblStyle w:val="18"/>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399"/>
        <w:gridCol w:w="851"/>
        <w:gridCol w:w="1014"/>
        <w:gridCol w:w="113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spacing w:line="232" w:lineRule="auto"/>
              <w:jc w:val="center"/>
              <w:rPr>
                <w:rFonts w:ascii="仿宋" w:hAnsi="仿宋" w:eastAsia="仿宋" w:cs="宋体"/>
                <w:b/>
                <w:color w:val="000000"/>
                <w:spacing w:val="-2"/>
                <w:sz w:val="22"/>
              </w:rPr>
            </w:pPr>
            <w:r>
              <w:rPr>
                <w:rFonts w:hint="eastAsia" w:ascii="仿宋" w:hAnsi="仿宋" w:eastAsia="仿宋" w:cs="宋体"/>
                <w:b/>
                <w:color w:val="000000"/>
                <w:spacing w:val="-2"/>
                <w:sz w:val="22"/>
              </w:rPr>
              <w:t>序号</w:t>
            </w:r>
          </w:p>
        </w:tc>
        <w:tc>
          <w:tcPr>
            <w:tcW w:w="3399" w:type="dxa"/>
            <w:shd w:val="clear" w:color="auto" w:fill="auto"/>
            <w:vAlign w:val="center"/>
          </w:tcPr>
          <w:p>
            <w:pPr>
              <w:spacing w:line="232" w:lineRule="auto"/>
              <w:jc w:val="center"/>
              <w:rPr>
                <w:rFonts w:ascii="仿宋" w:hAnsi="仿宋" w:eastAsia="仿宋" w:cs="宋体"/>
                <w:b/>
                <w:color w:val="000000"/>
                <w:spacing w:val="-2"/>
                <w:sz w:val="22"/>
              </w:rPr>
            </w:pPr>
            <w:r>
              <w:rPr>
                <w:rFonts w:hint="eastAsia" w:ascii="仿宋" w:hAnsi="仿宋" w:eastAsia="仿宋" w:cs="宋体"/>
                <w:b/>
                <w:color w:val="000000"/>
                <w:spacing w:val="-2"/>
                <w:sz w:val="22"/>
              </w:rPr>
              <w:t>材料及规格</w:t>
            </w:r>
          </w:p>
        </w:tc>
        <w:tc>
          <w:tcPr>
            <w:tcW w:w="851" w:type="dxa"/>
            <w:shd w:val="clear" w:color="auto" w:fill="auto"/>
            <w:vAlign w:val="center"/>
          </w:tcPr>
          <w:p>
            <w:pPr>
              <w:spacing w:line="232" w:lineRule="auto"/>
              <w:jc w:val="center"/>
              <w:rPr>
                <w:rFonts w:ascii="仿宋" w:hAnsi="仿宋" w:eastAsia="仿宋"/>
                <w:b/>
                <w:bCs/>
                <w:sz w:val="22"/>
              </w:rPr>
            </w:pPr>
            <w:r>
              <w:rPr>
                <w:rFonts w:hint="eastAsia" w:ascii="仿宋" w:hAnsi="仿宋" w:eastAsia="仿宋" w:cs="宋体"/>
                <w:b/>
                <w:color w:val="000000"/>
                <w:spacing w:val="-2"/>
                <w:sz w:val="22"/>
              </w:rPr>
              <w:t>单位</w:t>
            </w:r>
          </w:p>
        </w:tc>
        <w:tc>
          <w:tcPr>
            <w:tcW w:w="1014" w:type="dxa"/>
            <w:shd w:val="clear" w:color="auto" w:fill="auto"/>
            <w:vAlign w:val="center"/>
          </w:tcPr>
          <w:p>
            <w:pPr>
              <w:spacing w:line="232" w:lineRule="auto"/>
              <w:jc w:val="center"/>
              <w:rPr>
                <w:rFonts w:ascii="仿宋" w:hAnsi="仿宋" w:eastAsia="仿宋"/>
                <w:b/>
                <w:bCs/>
                <w:sz w:val="22"/>
              </w:rPr>
            </w:pPr>
            <w:r>
              <w:rPr>
                <w:rFonts w:hint="eastAsia" w:ascii="仿宋" w:hAnsi="仿宋" w:eastAsia="仿宋" w:cs="宋体"/>
                <w:b/>
                <w:color w:val="000000"/>
                <w:spacing w:val="-2"/>
                <w:sz w:val="22"/>
              </w:rPr>
              <w:t>数量</w:t>
            </w:r>
          </w:p>
        </w:tc>
        <w:tc>
          <w:tcPr>
            <w:tcW w:w="1133" w:type="dxa"/>
          </w:tcPr>
          <w:p>
            <w:pPr>
              <w:spacing w:line="232" w:lineRule="auto"/>
              <w:jc w:val="center"/>
              <w:rPr>
                <w:rFonts w:hint="eastAsia" w:ascii="仿宋" w:hAnsi="仿宋" w:eastAsia="仿宋" w:cs="宋体"/>
                <w:b/>
                <w:color w:val="000000"/>
                <w:spacing w:val="-2"/>
                <w:sz w:val="22"/>
              </w:rPr>
            </w:pPr>
            <w:r>
              <w:rPr>
                <w:rFonts w:hint="eastAsia" w:ascii="仿宋" w:hAnsi="仿宋" w:eastAsia="仿宋" w:cs="宋体"/>
                <w:b/>
                <w:color w:val="000000"/>
                <w:spacing w:val="-2"/>
                <w:sz w:val="22"/>
              </w:rPr>
              <w:t>单价（元）</w:t>
            </w:r>
          </w:p>
        </w:tc>
        <w:tc>
          <w:tcPr>
            <w:tcW w:w="992" w:type="dxa"/>
          </w:tcPr>
          <w:p>
            <w:pPr>
              <w:spacing w:line="232" w:lineRule="auto"/>
              <w:jc w:val="center"/>
              <w:rPr>
                <w:rFonts w:hint="eastAsia" w:ascii="仿宋" w:hAnsi="仿宋" w:eastAsia="仿宋" w:cs="宋体"/>
                <w:b/>
                <w:color w:val="000000"/>
                <w:spacing w:val="-2"/>
                <w:sz w:val="22"/>
              </w:rPr>
            </w:pPr>
            <w:r>
              <w:rPr>
                <w:rFonts w:hint="eastAsia" w:ascii="仿宋" w:hAnsi="仿宋" w:eastAsia="仿宋" w:cs="宋体"/>
                <w:b/>
                <w:color w:val="000000"/>
                <w:spacing w:val="-2"/>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lang w:val="en-US" w:eastAsia="zh-CN"/>
              </w:rPr>
            </w:pPr>
            <w:r>
              <w:rPr>
                <w:rFonts w:hint="eastAsia" w:ascii="仿宋" w:hAnsi="仿宋" w:eastAsia="仿宋"/>
                <w:sz w:val="22"/>
                <w:lang w:val="en-US" w:eastAsia="zh-CN"/>
              </w:rPr>
              <w:t>1</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80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hint="eastAsia" w:ascii="仿宋" w:hAnsi="仿宋" w:eastAsia="仿宋" w:cs="宋体"/>
                <w:sz w:val="22"/>
                <w:lang w:eastAsia="zh-CN"/>
              </w:rPr>
            </w:pPr>
            <w:r>
              <w:rPr>
                <w:rFonts w:hint="eastAsia" w:ascii="仿宋" w:hAnsi="仿宋" w:eastAsia="仿宋" w:cs="宋体"/>
                <w:sz w:val="22"/>
                <w:lang w:val="en-US" w:eastAsia="zh-CN"/>
              </w:rPr>
              <w:t>8</w:t>
            </w:r>
          </w:p>
        </w:tc>
        <w:tc>
          <w:tcPr>
            <w:tcW w:w="1133" w:type="dxa"/>
          </w:tcPr>
          <w:p>
            <w:pPr>
              <w:jc w:val="center"/>
              <w:rPr>
                <w:rFonts w:hint="eastAsia" w:ascii="仿宋" w:hAnsi="仿宋" w:eastAsia="仿宋" w:cs="宋体"/>
                <w:sz w:val="22"/>
              </w:rPr>
            </w:pPr>
          </w:p>
        </w:tc>
        <w:tc>
          <w:tcPr>
            <w:tcW w:w="992" w:type="dxa"/>
          </w:tcPr>
          <w:p>
            <w:pPr>
              <w:jc w:val="center"/>
              <w:rPr>
                <w:rFonts w:hint="eastAsia"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lang w:val="en-US" w:eastAsia="zh-CN"/>
              </w:rPr>
            </w:pPr>
            <w:r>
              <w:rPr>
                <w:rFonts w:hint="eastAsia" w:ascii="仿宋" w:hAnsi="仿宋" w:eastAsia="仿宋"/>
                <w:sz w:val="22"/>
                <w:lang w:val="en-US" w:eastAsia="zh-CN"/>
              </w:rPr>
              <w:t>2</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100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hint="default" w:ascii="仿宋" w:hAnsi="仿宋" w:eastAsia="仿宋" w:cs="宋体"/>
                <w:sz w:val="22"/>
                <w:lang w:val="en-US" w:eastAsia="zh-CN"/>
              </w:rPr>
            </w:pPr>
            <w:r>
              <w:rPr>
                <w:rFonts w:hint="eastAsia" w:ascii="仿宋" w:hAnsi="仿宋" w:eastAsia="仿宋" w:cs="宋体"/>
                <w:sz w:val="22"/>
                <w:lang w:val="en-US" w:eastAsia="zh-CN"/>
              </w:rPr>
              <w:t>16</w:t>
            </w:r>
          </w:p>
        </w:tc>
        <w:tc>
          <w:tcPr>
            <w:tcW w:w="1133" w:type="dxa"/>
          </w:tcPr>
          <w:p>
            <w:pPr>
              <w:jc w:val="center"/>
              <w:rPr>
                <w:rFonts w:ascii="仿宋" w:hAnsi="仿宋" w:eastAsia="仿宋" w:cs="宋体"/>
                <w:sz w:val="22"/>
              </w:rPr>
            </w:pPr>
          </w:p>
        </w:tc>
        <w:tc>
          <w:tcPr>
            <w:tcW w:w="992" w:type="dxa"/>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lang w:val="en-US" w:eastAsia="zh-CN"/>
              </w:rPr>
            </w:pPr>
            <w:r>
              <w:rPr>
                <w:rFonts w:hint="eastAsia" w:ascii="仿宋" w:hAnsi="仿宋" w:eastAsia="仿宋"/>
                <w:sz w:val="22"/>
                <w:lang w:val="en-US" w:eastAsia="zh-CN"/>
              </w:rPr>
              <w:t>3</w:t>
            </w:r>
          </w:p>
        </w:tc>
        <w:tc>
          <w:tcPr>
            <w:tcW w:w="5264" w:type="dxa"/>
            <w:gridSpan w:val="3"/>
            <w:shd w:val="clear" w:color="auto" w:fill="auto"/>
            <w:vAlign w:val="center"/>
          </w:tcPr>
          <w:p>
            <w:pPr>
              <w:jc w:val="center"/>
              <w:rPr>
                <w:rFonts w:ascii="仿宋" w:hAnsi="仿宋" w:eastAsia="仿宋" w:cs="宋体"/>
                <w:sz w:val="22"/>
              </w:rPr>
            </w:pPr>
            <w:r>
              <w:rPr>
                <w:rFonts w:ascii="仿宋" w:hAnsi="仿宋" w:eastAsia="仿宋" w:cs="宋体"/>
                <w:sz w:val="22"/>
              </w:rPr>
              <w:t>总价合计</w:t>
            </w:r>
          </w:p>
        </w:tc>
        <w:tc>
          <w:tcPr>
            <w:tcW w:w="2125" w:type="dxa"/>
            <w:gridSpan w:val="2"/>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137" w:type="dxa"/>
            <w:gridSpan w:val="6"/>
            <w:shd w:val="clear" w:color="auto" w:fill="auto"/>
            <w:vAlign w:val="center"/>
          </w:tcPr>
          <w:p>
            <w:pPr>
              <w:spacing w:line="240" w:lineRule="atLeast"/>
              <w:jc w:val="left"/>
              <w:rPr>
                <w:rFonts w:ascii="仿宋" w:hAnsi="仿宋" w:eastAsia="仿宋" w:cs="宋体"/>
                <w:b/>
                <w:bCs/>
                <w:sz w:val="22"/>
                <w:szCs w:val="22"/>
              </w:rPr>
            </w:pPr>
            <w:r>
              <w:rPr>
                <w:rFonts w:hint="eastAsia" w:ascii="仿宋" w:hAnsi="仿宋" w:eastAsia="仿宋" w:cs="宋体"/>
                <w:sz w:val="22"/>
              </w:rPr>
              <w:t>备注:</w:t>
            </w:r>
            <w:r>
              <w:rPr>
                <w:rFonts w:hint="eastAsia" w:ascii="仿宋" w:hAnsi="仿宋" w:eastAsia="仿宋" w:cs="宋体"/>
                <w:sz w:val="22"/>
                <w:lang w:val="en-US" w:eastAsia="zh-CN"/>
              </w:rPr>
              <w:t xml:space="preserve"> </w:t>
            </w:r>
            <w:r>
              <w:rPr>
                <w:rFonts w:hint="eastAsia" w:ascii="仿宋" w:hAnsi="仿宋" w:eastAsia="仿宋" w:cs="宋体"/>
                <w:b/>
                <w:bCs/>
                <w:sz w:val="22"/>
                <w:lang w:val="en-US" w:eastAsia="zh-CN"/>
              </w:rPr>
              <w:t>1</w:t>
            </w:r>
            <w:r>
              <w:rPr>
                <w:rFonts w:ascii="仿宋" w:hAnsi="仿宋" w:eastAsia="仿宋" w:cs="宋体"/>
                <w:b/>
                <w:bCs/>
                <w:sz w:val="22"/>
                <w:szCs w:val="22"/>
              </w:rPr>
              <w:t>.</w:t>
            </w:r>
            <w:r>
              <w:rPr>
                <w:rFonts w:hint="eastAsia" w:ascii="仿宋" w:hAnsi="仿宋" w:eastAsia="仿宋" w:cs="宋体"/>
                <w:b/>
                <w:bCs/>
                <w:sz w:val="22"/>
                <w:szCs w:val="22"/>
              </w:rPr>
              <w:t>报价包含</w:t>
            </w:r>
            <w:r>
              <w:rPr>
                <w:rFonts w:hint="eastAsia" w:ascii="仿宋" w:hAnsi="仿宋" w:eastAsia="仿宋" w:cs="宋体"/>
                <w:b/>
                <w:bCs/>
                <w:color w:val="000000"/>
                <w:spacing w:val="-2"/>
                <w:sz w:val="22"/>
              </w:rPr>
              <w:t>拆除原腐蚀管道及三通，重新安装焊接管道及三通安装；</w:t>
            </w:r>
          </w:p>
          <w:p>
            <w:pPr>
              <w:pStyle w:val="2"/>
              <w:spacing w:line="240" w:lineRule="atLeast"/>
              <w:ind w:firstLine="652" w:firstLineChars="295"/>
              <w:rPr>
                <w:rFonts w:ascii="仿宋" w:hAnsi="仿宋" w:eastAsia="仿宋" w:cs="宋体"/>
                <w:b/>
                <w:bCs/>
                <w:sz w:val="22"/>
                <w:szCs w:val="22"/>
              </w:rPr>
            </w:pPr>
            <w:r>
              <w:rPr>
                <w:rFonts w:hint="eastAsia" w:ascii="仿宋" w:hAnsi="仿宋" w:eastAsia="仿宋" w:cs="宋体"/>
                <w:b/>
                <w:bCs/>
                <w:sz w:val="22"/>
                <w:szCs w:val="22"/>
                <w:lang w:val="en-US" w:eastAsia="zh-CN"/>
              </w:rPr>
              <w:t>2</w:t>
            </w:r>
            <w:r>
              <w:rPr>
                <w:rFonts w:ascii="仿宋" w:hAnsi="仿宋" w:eastAsia="仿宋" w:cs="宋体"/>
                <w:b/>
                <w:bCs/>
                <w:sz w:val="22"/>
                <w:szCs w:val="22"/>
              </w:rPr>
              <w:t>.</w:t>
            </w:r>
            <w:r>
              <w:rPr>
                <w:rFonts w:hint="eastAsia" w:ascii="仿宋" w:hAnsi="仿宋" w:eastAsia="仿宋" w:cs="宋体"/>
                <w:b/>
                <w:bCs/>
                <w:sz w:val="22"/>
                <w:szCs w:val="22"/>
              </w:rPr>
              <w:t>报价包含阀门、管道保温（材质：玻璃棉，工艺、保温厚度按规范要求且不小于5cm，玻璃布包扎）；</w:t>
            </w:r>
          </w:p>
          <w:p>
            <w:pPr>
              <w:spacing w:line="240" w:lineRule="atLeast"/>
              <w:ind w:firstLine="663" w:firstLineChars="300"/>
              <w:jc w:val="left"/>
              <w:rPr>
                <w:rFonts w:hint="eastAsia" w:ascii="仿宋" w:hAnsi="仿宋" w:eastAsia="仿宋" w:cs="宋体"/>
                <w:sz w:val="22"/>
              </w:rPr>
            </w:pPr>
            <w:r>
              <w:rPr>
                <w:rFonts w:hint="eastAsia" w:ascii="仿宋" w:hAnsi="仿宋" w:eastAsia="仿宋" w:cs="宋体"/>
                <w:b/>
                <w:bCs/>
                <w:sz w:val="22"/>
                <w:szCs w:val="22"/>
                <w:lang w:val="en-US" w:eastAsia="zh-CN"/>
              </w:rPr>
              <w:t>3</w:t>
            </w:r>
            <w:r>
              <w:rPr>
                <w:rFonts w:hint="eastAsia" w:ascii="仿宋" w:hAnsi="仿宋" w:eastAsia="仿宋" w:cs="宋体"/>
                <w:b/>
                <w:bCs/>
                <w:sz w:val="22"/>
                <w:szCs w:val="22"/>
              </w:rPr>
              <w:t>.报价包含原天花顶拆除并原样恢复。</w:t>
            </w:r>
          </w:p>
        </w:tc>
      </w:tr>
    </w:tbl>
    <w:p>
      <w:pPr>
        <w:spacing w:line="440" w:lineRule="exact"/>
        <w:jc w:val="left"/>
        <w:rPr>
          <w:rFonts w:ascii="仿宋" w:hAnsi="仿宋" w:eastAsia="仿宋"/>
          <w:sz w:val="24"/>
        </w:rPr>
      </w:pPr>
      <w:r>
        <w:rPr>
          <w:rFonts w:hint="eastAsia" w:ascii="仿宋" w:hAnsi="仿宋" w:eastAsia="仿宋"/>
          <w:b/>
          <w:sz w:val="24"/>
        </w:rPr>
        <w:t>注：</w:t>
      </w:r>
      <w:r>
        <w:rPr>
          <w:rFonts w:hint="eastAsia" w:ascii="仿宋" w:hAnsi="仿宋" w:eastAsia="仿宋"/>
          <w:sz w:val="24"/>
        </w:rPr>
        <w:t>1.以上报价包含从维修到交付采购人使用所包含的一切费用，包括但不限于增值税、销售税及其它税费、各种规费、运输费、装卸费、仓储费、包装费、设计费、制作费、材料费、安装费、管理费、安全文明施工费、资料费、机械使用费、工具使用费、</w:t>
      </w:r>
      <w:r>
        <w:rPr>
          <w:rFonts w:ascii="仿宋" w:hAnsi="仿宋" w:eastAsia="仿宋" w:cs="宋体"/>
          <w:color w:val="000000"/>
          <w:spacing w:val="-2"/>
          <w:sz w:val="24"/>
        </w:rPr>
        <w:t>人工降效费（操作空间有限，避免人流高峰时段施工）</w:t>
      </w:r>
      <w:r>
        <w:rPr>
          <w:rFonts w:hint="eastAsia" w:ascii="仿宋" w:hAnsi="仿宋" w:eastAsia="仿宋"/>
          <w:sz w:val="24"/>
        </w:rPr>
        <w:t>等直至合同有效期内各项应有费用及其他有关的为完成本项目发生的所有费用和利润。</w:t>
      </w:r>
      <w:r>
        <w:rPr>
          <w:rFonts w:hint="eastAsia" w:ascii="仿宋" w:hAnsi="仿宋" w:eastAsia="仿宋"/>
          <w:sz w:val="24"/>
          <w:lang w:val="en-US" w:eastAsia="zh-CN"/>
        </w:rPr>
        <w:t>询价</w:t>
      </w:r>
      <w:r>
        <w:rPr>
          <w:rFonts w:hint="eastAsia" w:ascii="仿宋" w:hAnsi="仿宋" w:eastAsia="仿宋"/>
          <w:sz w:val="24"/>
        </w:rPr>
        <w:t>文件未列明，而</w:t>
      </w:r>
      <w:r>
        <w:rPr>
          <w:rFonts w:hint="eastAsia" w:ascii="仿宋" w:hAnsi="仿宋" w:eastAsia="仿宋"/>
          <w:sz w:val="24"/>
          <w:lang w:val="en-US" w:eastAsia="zh-CN"/>
        </w:rPr>
        <w:t>供应商</w:t>
      </w:r>
      <w:r>
        <w:rPr>
          <w:rFonts w:hint="eastAsia" w:ascii="仿宋" w:hAnsi="仿宋" w:eastAsia="仿宋"/>
          <w:sz w:val="24"/>
        </w:rPr>
        <w:t>认为必需的费用也需列入报价中。</w:t>
      </w:r>
    </w:p>
    <w:p>
      <w:pPr>
        <w:spacing w:line="440" w:lineRule="exact"/>
        <w:ind w:firstLine="472" w:firstLineChars="200"/>
        <w:jc w:val="left"/>
        <w:rPr>
          <w:rFonts w:ascii="仿宋" w:hAnsi="仿宋" w:eastAsia="仿宋" w:cs="宋体"/>
          <w:color w:val="000000"/>
          <w:spacing w:val="-2"/>
          <w:sz w:val="24"/>
        </w:rPr>
      </w:pPr>
      <w:r>
        <w:rPr>
          <w:rFonts w:hint="eastAsia" w:ascii="仿宋" w:hAnsi="仿宋" w:eastAsia="仿宋" w:cs="宋体"/>
          <w:color w:val="000000"/>
          <w:spacing w:val="-2"/>
          <w:sz w:val="24"/>
        </w:rPr>
        <w:t>2</w:t>
      </w:r>
      <w:r>
        <w:rPr>
          <w:rFonts w:ascii="仿宋" w:hAnsi="仿宋" w:eastAsia="仿宋" w:cs="宋体"/>
          <w:color w:val="000000"/>
          <w:spacing w:val="-2"/>
          <w:sz w:val="24"/>
        </w:rPr>
        <w:t>.</w:t>
      </w:r>
      <w:r>
        <w:rPr>
          <w:rFonts w:hint="eastAsia" w:ascii="仿宋" w:hAnsi="仿宋" w:eastAsia="仿宋" w:cs="宋体"/>
          <w:color w:val="000000"/>
          <w:spacing w:val="-2"/>
          <w:sz w:val="24"/>
        </w:rPr>
        <w:t>由设计变更或发包人要求变动的内容引起的工程量清单已有项目的工程量的增加和减少，其相应单价不变，工程量据实增减。</w:t>
      </w:r>
    </w:p>
    <w:p>
      <w:pPr>
        <w:spacing w:line="440" w:lineRule="exact"/>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sz w:val="24"/>
        </w:rPr>
        <w:t>.本项目工程量增减变化时，是对合同价款增减调整的依据，承包人不能因变更提出不合理的造价要求，造价变化按上述约定执行，结算审核时按实调整。</w:t>
      </w:r>
    </w:p>
    <w:p>
      <w:pPr>
        <w:spacing w:line="440" w:lineRule="exact"/>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承包人应充分考虑此项维修工作的特殊性，在修复清单上的漏水点时会涉及到的其他增项工作如互相连通、相邻等管道的拆装，周边影响维修的设备设施的拆装和恢复及排除其他施工障碍造成工作量增加如病员投诉、医疗工作对施工时间、施工工艺造成的影响和费用的增加等为完成维修工作所产生的所有费用由承包方承担。承包方不得要求院方承担以上费用，亦不得以此要求延长工期，否则将承担赔偿责任和违约责任。</w:t>
      </w:r>
    </w:p>
    <w:p>
      <w:pPr>
        <w:spacing w:line="440" w:lineRule="exact"/>
        <w:ind w:firstLine="480" w:firstLineChars="200"/>
        <w:jc w:val="left"/>
        <w:rPr>
          <w:rFonts w:ascii="仿宋" w:hAnsi="仿宋" w:eastAsia="仿宋"/>
          <w:sz w:val="24"/>
        </w:rPr>
      </w:pPr>
      <w:r>
        <w:rPr>
          <w:rFonts w:hint="eastAsia" w:ascii="仿宋" w:hAnsi="仿宋" w:eastAsia="仿宋"/>
          <w:sz w:val="24"/>
        </w:rPr>
        <w:t>5.管道、保温安装</w:t>
      </w:r>
      <w:r>
        <w:rPr>
          <w:rFonts w:hint="eastAsia" w:ascii="仿宋" w:hAnsi="仿宋" w:eastAsia="仿宋" w:cs="宋体"/>
          <w:sz w:val="22"/>
          <w:szCs w:val="22"/>
        </w:rPr>
        <w:t>工艺参照国家规范和行业标准。</w:t>
      </w:r>
    </w:p>
    <w:p>
      <w:pPr>
        <w:spacing w:line="360" w:lineRule="auto"/>
        <w:rPr>
          <w:rFonts w:ascii="仿宋" w:hAnsi="仿宋" w:eastAsia="仿宋"/>
          <w:sz w:val="24"/>
        </w:rPr>
      </w:pPr>
      <w:r>
        <w:rPr>
          <w:rFonts w:hint="eastAsia" w:ascii="宋体" w:hAnsi="宋体" w:eastAsia="宋体" w:cs="宋体"/>
          <w:b/>
          <w:bCs/>
          <w:color w:val="000000"/>
          <w:kern w:val="2"/>
          <w:sz w:val="21"/>
          <w:szCs w:val="21"/>
          <w:lang w:val="en-US" w:eastAsia="zh-CN" w:bidi="ar-SA"/>
        </w:rPr>
        <w:t>2.2工期要求：</w:t>
      </w:r>
      <w:r>
        <w:rPr>
          <w:rFonts w:hint="eastAsia" w:ascii="仿宋" w:hAnsi="仿宋" w:eastAsia="仿宋"/>
          <w:sz w:val="24"/>
          <w:lang w:val="en-US" w:eastAsia="zh-CN"/>
        </w:rPr>
        <w:t>20</w:t>
      </w:r>
      <w:r>
        <w:rPr>
          <w:rFonts w:hint="eastAsia" w:ascii="仿宋" w:hAnsi="仿宋" w:eastAsia="仿宋"/>
          <w:sz w:val="24"/>
        </w:rPr>
        <w:t>天</w:t>
      </w:r>
    </w:p>
    <w:p>
      <w:pPr>
        <w:pStyle w:val="9"/>
        <w:spacing w:line="360" w:lineRule="auto"/>
        <w:rPr>
          <w:rFonts w:ascii="仿宋" w:hAnsi="仿宋" w:eastAsia="仿宋"/>
          <w:kern w:val="2"/>
          <w:sz w:val="24"/>
          <w:szCs w:val="24"/>
        </w:rPr>
      </w:pPr>
      <w:r>
        <w:rPr>
          <w:rFonts w:hint="eastAsia" w:ascii="宋体" w:hAnsi="宋体" w:eastAsia="宋体" w:cs="宋体"/>
          <w:b/>
          <w:bCs/>
          <w:color w:val="000000"/>
          <w:kern w:val="2"/>
          <w:sz w:val="21"/>
          <w:szCs w:val="21"/>
          <w:lang w:val="en-US" w:eastAsia="zh-CN" w:bidi="ar-SA"/>
        </w:rPr>
        <w:t>2.3质保期：</w:t>
      </w:r>
      <w:r>
        <w:rPr>
          <w:rFonts w:hint="eastAsia" w:ascii="仿宋" w:hAnsi="仿宋" w:eastAsia="仿宋"/>
          <w:kern w:val="2"/>
          <w:sz w:val="24"/>
          <w:szCs w:val="24"/>
        </w:rPr>
        <w:t>两年</w:t>
      </w:r>
    </w:p>
    <w:p>
      <w:pPr>
        <w:tabs>
          <w:tab w:val="left" w:pos="900"/>
        </w:tabs>
        <w:spacing w:line="360" w:lineRule="auto"/>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2.4品牌要求：</w:t>
      </w:r>
    </w:p>
    <w:tbl>
      <w:tblPr>
        <w:tblStyle w:val="18"/>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49"/>
        <w:gridCol w:w="4282"/>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ascii="仿宋" w:hAnsi="仿宋" w:eastAsia="仿宋"/>
                <w:b/>
                <w:sz w:val="24"/>
              </w:rPr>
            </w:pPr>
            <w:r>
              <w:rPr>
                <w:rFonts w:hint="eastAsia" w:ascii="仿宋" w:hAnsi="仿宋" w:eastAsia="仿宋"/>
                <w:b/>
                <w:sz w:val="24"/>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ascii="仿宋" w:hAnsi="仿宋" w:eastAsia="仿宋"/>
                <w:b/>
                <w:sz w:val="24"/>
                <w:szCs w:val="32"/>
              </w:rPr>
            </w:pPr>
            <w:r>
              <w:rPr>
                <w:rFonts w:hint="eastAsia" w:ascii="仿宋" w:hAnsi="仿宋" w:eastAsia="仿宋"/>
                <w:b/>
                <w:sz w:val="24"/>
                <w:szCs w:val="32"/>
              </w:rPr>
              <w:t>序号</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主要材料名称</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品牌</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1</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lang w:eastAsia="zh-CN"/>
              </w:rPr>
              <w:t>橡塑</w:t>
            </w:r>
            <w:r>
              <w:rPr>
                <w:rFonts w:hint="eastAsia"/>
              </w:rPr>
              <w:t>保温</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赢胜、福乐斯、欧文斯</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hint="eastAsia" w:eastAsia="宋体"/>
                <w:lang w:val="en-US" w:eastAsia="zh-CN"/>
              </w:rPr>
            </w:pPr>
            <w:r>
              <w:rPr>
                <w:rFonts w:hint="eastAsia"/>
                <w:lang w:val="en-US" w:eastAsia="zh-CN"/>
              </w:rPr>
              <w:t>2</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rPr>
                <w:rFonts w:hint="eastAsia" w:eastAsia="宋体"/>
                <w:lang w:eastAsia="zh-CN"/>
              </w:rPr>
            </w:pPr>
            <w:r>
              <w:rPr>
                <w:rFonts w:hint="eastAsia"/>
                <w:lang w:eastAsia="zh-CN"/>
              </w:rPr>
              <w:t>玻璃岩棉</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rPr>
                <w:rFonts w:hint="eastAsia" w:eastAsia="宋体"/>
                <w:lang w:eastAsia="zh-CN"/>
              </w:rPr>
            </w:pPr>
            <w:r>
              <w:rPr>
                <w:rFonts w:hint="eastAsia"/>
                <w:lang w:eastAsia="zh-CN"/>
              </w:rPr>
              <w:t>符合国标标准</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hint="eastAsia" w:eastAsia="宋体"/>
                <w:lang w:val="en-US" w:eastAsia="zh-CN"/>
              </w:rPr>
            </w:pPr>
            <w:r>
              <w:rPr>
                <w:rFonts w:hint="eastAsia"/>
                <w:lang w:val="en-US" w:eastAsia="zh-CN"/>
              </w:rPr>
              <w:t>3</w:t>
            </w:r>
          </w:p>
        </w:tc>
        <w:tc>
          <w:tcPr>
            <w:tcW w:w="1309"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镀锌钢管（国标）</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正大、光环、劳动</w:t>
            </w:r>
          </w:p>
        </w:tc>
        <w:tc>
          <w:tcPr>
            <w:tcW w:w="591" w:type="pct"/>
            <w:tcBorders>
              <w:top w:val="single" w:color="auto" w:sz="4" w:space="0"/>
              <w:left w:val="nil"/>
              <w:bottom w:val="single" w:color="auto" w:sz="4" w:space="0"/>
              <w:right w:val="single" w:color="auto" w:sz="4" w:space="0"/>
            </w:tcBorders>
            <w:vAlign w:val="center"/>
          </w:tcPr>
          <w:p>
            <w:pPr>
              <w:pStyle w:val="10"/>
              <w:spacing w:line="440" w:lineRule="exact"/>
            </w:pPr>
            <w:r>
              <w:t>热镀锌</w:t>
            </w:r>
          </w:p>
        </w:tc>
      </w:tr>
    </w:tbl>
    <w:p>
      <w:pPr>
        <w:pStyle w:val="17"/>
        <w:shd w:val="clear" w:color="auto" w:fill="FFFFFF"/>
        <w:spacing w:before="0" w:beforeAutospacing="0" w:after="0" w:afterAutospacing="0"/>
        <w:rPr>
          <w:rFonts w:hint="eastAsia"/>
          <w:b/>
          <w:bCs/>
          <w:snapToGrid w:val="0"/>
        </w:rPr>
      </w:pPr>
    </w:p>
    <w:p>
      <w:pPr>
        <w:pStyle w:val="17"/>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西区零星空调管道更换维修服务项目（二次）</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ascii="宋体" w:hAnsi="宋体"/>
          <w:b/>
          <w:sz w:val="36"/>
          <w:szCs w:val="36"/>
        </w:rPr>
      </w:pPr>
      <w:bookmarkStart w:id="1" w:name="_Toc513029243"/>
      <w:bookmarkStart w:id="2" w:name="_Toc16938559"/>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西区零星空调管道更换维修服务项目（二次）</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2025014</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p>
          <w:p>
            <w:pPr>
              <w:adjustRightInd w:val="0"/>
              <w:snapToGrid w:val="0"/>
              <w:spacing w:line="340" w:lineRule="exact"/>
              <w:ind w:firstLine="480" w:firstLineChars="200"/>
              <w:contextualSpacing/>
              <w:jc w:val="left"/>
              <w:rPr>
                <w:rFonts w:hint="eastAsia" w:ascii="宋体" w:hAnsi="宋体"/>
                <w:sz w:val="24"/>
                <w:lang w:eastAsia="zh-CN"/>
              </w:rPr>
            </w:pP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2" w:firstLineChars="151"/>
              <w:contextualSpacing/>
            </w:pPr>
            <w:r>
              <w:rPr>
                <w:rFonts w:hint="eastAsia" w:ascii="宋体" w:hAnsi="宋体"/>
                <w:b w:val="0"/>
                <w:bCs/>
                <w:spacing w:val="20"/>
                <w:sz w:val="24"/>
                <w:lang w:val="en-US" w:eastAsia="zh-CN"/>
              </w:rPr>
              <w:t>3、</w:t>
            </w:r>
            <w:r>
              <w:rPr>
                <w:rFonts w:hint="eastAsia" w:hAnsi="宋体"/>
                <w:sz w:val="24"/>
              </w:rPr>
              <w:t>付款方式为按甲方要求</w:t>
            </w:r>
            <w:r>
              <w:rPr>
                <w:rFonts w:hint="eastAsia" w:hAnsi="宋体"/>
                <w:sz w:val="24"/>
                <w:lang w:val="en-US" w:eastAsia="zh-CN"/>
              </w:rPr>
              <w:t>完成</w:t>
            </w:r>
            <w:r>
              <w:rPr>
                <w:rFonts w:hint="eastAsia" w:hAnsi="宋体"/>
                <w:sz w:val="24"/>
                <w:lang w:eastAsia="zh-CN"/>
              </w:rPr>
              <w:t>西区零星空调管道更换维修服务项目（二次）</w:t>
            </w:r>
            <w:r>
              <w:rPr>
                <w:rFonts w:hint="eastAsia" w:hAnsi="宋体"/>
                <w:sz w:val="24"/>
                <w:lang w:val="en-US" w:eastAsia="zh-CN"/>
              </w:rPr>
              <w:t>后</w:t>
            </w:r>
            <w:r>
              <w:rPr>
                <w:rFonts w:hint="eastAsia" w:hAnsi="宋体"/>
                <w:sz w:val="24"/>
              </w:rPr>
              <w:t>，乙方凭甲方的验收单及开具的正规增值税发票等材料向甲方办理付款手续，甲方凭手续齐全的票据向乙方支付</w:t>
            </w:r>
            <w:r>
              <w:rPr>
                <w:rFonts w:hint="eastAsia" w:hAnsi="宋体"/>
                <w:sz w:val="24"/>
                <w:lang w:val="en-US" w:eastAsia="zh-CN"/>
              </w:rPr>
              <w:t>建设</w:t>
            </w:r>
            <w:r>
              <w:rPr>
                <w:rFonts w:hint="eastAsia" w:hAnsi="宋体"/>
                <w:sz w:val="24"/>
              </w:rPr>
              <w:t>费用。</w:t>
            </w:r>
            <w:r>
              <w:rPr>
                <w:rFonts w:hint="eastAsia"/>
              </w:rPr>
              <w:t>（</w:t>
            </w:r>
            <w:r>
              <w:rPr>
                <w:rFonts w:hint="eastAsia"/>
                <w:b/>
                <w:bCs/>
              </w:rPr>
              <w:t>以上均不计息</w:t>
            </w:r>
            <w:r>
              <w:rPr>
                <w:rFonts w:hint="eastAsia"/>
              </w:rPr>
              <w:t>）。</w:t>
            </w:r>
          </w:p>
          <w:p>
            <w:pPr>
              <w:adjustRightInd w:val="0"/>
              <w:snapToGrid w:val="0"/>
              <w:spacing w:line="340" w:lineRule="exact"/>
              <w:ind w:firstLine="546" w:firstLineChars="195"/>
              <w:contextualSpacing/>
              <w:rPr>
                <w:rFonts w:ascii="宋体" w:hAnsi="宋体" w:cs="宋体"/>
                <w:color w:val="000000"/>
                <w:kern w:val="0"/>
                <w:sz w:val="24"/>
              </w:rPr>
            </w:pPr>
            <w:r>
              <w:rPr>
                <w:rFonts w:hint="eastAsia" w:ascii="宋体" w:hAnsi="宋体"/>
                <w:b w:val="0"/>
                <w:bCs/>
                <w:spacing w:val="20"/>
                <w:sz w:val="24"/>
                <w:lang w:val="en-US" w:eastAsia="zh-CN"/>
              </w:rPr>
              <w:t>4、</w:t>
            </w:r>
            <w:r>
              <w:rPr>
                <w:rFonts w:hint="eastAsia" w:hAnsi="宋体"/>
                <w:sz w:val="24"/>
              </w:rPr>
              <w:t>交货时间和地点</w:t>
            </w:r>
            <w:r>
              <w:rPr>
                <w:rFonts w:hint="eastAsia" w:hAnsi="宋体"/>
                <w:sz w:val="24"/>
                <w:lang w:eastAsia="zh-CN"/>
              </w:rPr>
              <w:t>：</w:t>
            </w:r>
            <w:r>
              <w:rPr>
                <w:rFonts w:hint="eastAsia" w:hAnsi="宋体"/>
                <w:sz w:val="24"/>
                <w:lang w:val="en-US" w:eastAsia="zh-CN"/>
              </w:rPr>
              <w:t>供货</w:t>
            </w:r>
            <w:r>
              <w:rPr>
                <w:rFonts w:hint="eastAsia" w:hAnsi="宋体"/>
                <w:sz w:val="24"/>
              </w:rPr>
              <w:t>方在</w:t>
            </w:r>
            <w:r>
              <w:rPr>
                <w:rFonts w:hint="eastAsia" w:hAnsi="宋体"/>
                <w:sz w:val="24"/>
                <w:lang w:val="en-US" w:eastAsia="zh-CN"/>
              </w:rPr>
              <w:t>接到采购方</w:t>
            </w:r>
            <w:r>
              <w:rPr>
                <w:rFonts w:hint="eastAsia" w:hAnsi="宋体"/>
                <w:sz w:val="24"/>
              </w:rPr>
              <w:t>通知</w:t>
            </w:r>
            <w:r>
              <w:rPr>
                <w:rFonts w:hint="eastAsia" w:hAnsi="宋体"/>
                <w:sz w:val="24"/>
                <w:lang w:val="en-US" w:eastAsia="zh-CN"/>
              </w:rPr>
              <w:t>10</w:t>
            </w:r>
            <w:r>
              <w:rPr>
                <w:rFonts w:hint="eastAsia" w:hAnsi="宋体"/>
                <w:sz w:val="24"/>
              </w:rPr>
              <w:t>个工作日内完成按甲方要求</w:t>
            </w:r>
            <w:r>
              <w:rPr>
                <w:rFonts w:hint="eastAsia" w:hAnsi="宋体"/>
                <w:sz w:val="24"/>
                <w:lang w:val="en-US" w:eastAsia="zh-CN"/>
              </w:rPr>
              <w:t>完成</w:t>
            </w:r>
            <w:r>
              <w:rPr>
                <w:rFonts w:hint="eastAsia" w:hAnsi="宋体"/>
                <w:sz w:val="24"/>
                <w:lang w:eastAsia="zh-CN"/>
              </w:rPr>
              <w:t>西区零星空调管道更换维修服务项目（二次）</w:t>
            </w:r>
            <w:r>
              <w:rPr>
                <w:rFonts w:hint="eastAsia" w:hAnsi="宋体"/>
                <w:sz w:val="24"/>
                <w:lang w:val="en-US" w:eastAsia="zh-CN"/>
              </w:rPr>
              <w:t>交付使用</w:t>
            </w:r>
            <w:r>
              <w:rPr>
                <w:rFonts w:hint="eastAsia" w:hAnsi="宋体"/>
                <w:sz w:val="24"/>
              </w:rPr>
              <w:t>。</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2"/>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15637FD"/>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370D29"/>
    <w:rsid w:val="30DF7E8F"/>
    <w:rsid w:val="310821E5"/>
    <w:rsid w:val="318E7998"/>
    <w:rsid w:val="32542738"/>
    <w:rsid w:val="32961BEB"/>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F56786"/>
    <w:rsid w:val="445C6678"/>
    <w:rsid w:val="45977351"/>
    <w:rsid w:val="45F42EB8"/>
    <w:rsid w:val="46056344"/>
    <w:rsid w:val="467B4C8A"/>
    <w:rsid w:val="468C5E0A"/>
    <w:rsid w:val="481D7ECC"/>
    <w:rsid w:val="48B5696C"/>
    <w:rsid w:val="49AC543C"/>
    <w:rsid w:val="4AA743C5"/>
    <w:rsid w:val="4AB45EC6"/>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8B60AE"/>
    <w:rsid w:val="54AC3518"/>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ABB1C53"/>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3970</Words>
  <Characters>4332</Characters>
  <Lines>52</Lines>
  <Paragraphs>14</Paragraphs>
  <TotalTime>2</TotalTime>
  <ScaleCrop>false</ScaleCrop>
  <LinksUpToDate>false</LinksUpToDate>
  <CharactersWithSpaces>4820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2025-04-14T00:43:27Z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9B65EAC95739486AB3D8300B74E6F7F5_13</vt:lpwstr>
  </property>
</Properties>
</file>