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450579">
      <w:pPr>
        <w:adjustRightInd w:val="0"/>
        <w:snapToGrid w:val="0"/>
        <w:spacing w:line="560" w:lineRule="exact"/>
        <w:jc w:val="center"/>
        <w:rPr>
          <w:rFonts w:ascii="宋体" w:hAnsi="宋体" w:cs="仿宋"/>
          <w:spacing w:val="28"/>
          <w:sz w:val="44"/>
          <w:szCs w:val="44"/>
        </w:rPr>
      </w:pPr>
    </w:p>
    <w:p w14:paraId="2F2B6128">
      <w:pPr>
        <w:jc w:val="center"/>
        <w:rPr>
          <w:rFonts w:hint="eastAsia" w:ascii="宋体" w:hAnsi="宋体" w:cs="宋体"/>
          <w:b/>
          <w:bCs/>
          <w:sz w:val="48"/>
          <w:szCs w:val="48"/>
        </w:rPr>
      </w:pPr>
      <w:r>
        <w:rPr>
          <w:rFonts w:hint="eastAsia" w:ascii="宋体" w:hAnsi="宋体" w:cs="宋体"/>
          <w:b/>
          <w:bCs/>
          <w:sz w:val="48"/>
          <w:szCs w:val="48"/>
        </w:rPr>
        <w:t>扬州大学附属医院京沪高级医学中心导视标识及文化墙设计制作安装项目</w:t>
      </w:r>
    </w:p>
    <w:p w14:paraId="415F1439">
      <w:pPr>
        <w:jc w:val="center"/>
        <w:rPr>
          <w:rFonts w:ascii="宋体" w:hAnsi="宋体" w:cs="宋体"/>
          <w:b/>
          <w:bCs/>
          <w:sz w:val="48"/>
          <w:szCs w:val="48"/>
        </w:rPr>
      </w:pPr>
      <w:r>
        <w:rPr>
          <w:rFonts w:hint="eastAsia" w:ascii="宋体" w:hAnsi="宋体" w:cs="宋体"/>
          <w:b/>
          <w:bCs/>
          <w:sz w:val="48"/>
          <w:szCs w:val="48"/>
        </w:rPr>
        <w:t>院内公开谈判文件</w:t>
      </w:r>
    </w:p>
    <w:p w14:paraId="790B9DFF">
      <w:pPr>
        <w:adjustRightInd w:val="0"/>
        <w:snapToGrid w:val="0"/>
        <w:spacing w:line="560" w:lineRule="exact"/>
        <w:jc w:val="center"/>
        <w:rPr>
          <w:rFonts w:ascii="宋体" w:hAnsi="宋体" w:cs="仿宋"/>
          <w:spacing w:val="28"/>
          <w:sz w:val="44"/>
          <w:szCs w:val="44"/>
        </w:rPr>
      </w:pPr>
    </w:p>
    <w:p w14:paraId="0A6B73AB">
      <w:pPr>
        <w:adjustRightInd w:val="0"/>
        <w:snapToGrid w:val="0"/>
        <w:spacing w:line="360" w:lineRule="auto"/>
        <w:jc w:val="center"/>
        <w:rPr>
          <w:rFonts w:eastAsia="黑体"/>
          <w:b/>
          <w:snapToGrid w:val="0"/>
          <w:sz w:val="72"/>
        </w:rPr>
      </w:pPr>
      <w: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6" cstate="print"/>
                    <a:stretch>
                      <a:fillRect/>
                    </a:stretch>
                  </pic:blipFill>
                  <pic:spPr>
                    <a:xfrm>
                      <a:off x="0" y="0"/>
                      <a:ext cx="5480685" cy="4157345"/>
                    </a:xfrm>
                    <a:prstGeom prst="rect">
                      <a:avLst/>
                    </a:prstGeom>
                    <a:noFill/>
                    <a:ln>
                      <a:noFill/>
                    </a:ln>
                  </pic:spPr>
                </pic:pic>
              </a:graphicData>
            </a:graphic>
          </wp:inline>
        </w:drawing>
      </w:r>
    </w:p>
    <w:p w14:paraId="7ABAEA02">
      <w:pPr>
        <w:spacing w:line="360" w:lineRule="auto"/>
        <w:ind w:firstLine="848" w:firstLineChars="265"/>
        <w:jc w:val="center"/>
        <w:rPr>
          <w:rFonts w:ascii="宋体" w:hAnsi="宋体" w:cs="宋体"/>
          <w:sz w:val="32"/>
          <w:szCs w:val="32"/>
        </w:rPr>
      </w:pPr>
    </w:p>
    <w:p w14:paraId="69EC3182">
      <w:pPr>
        <w:spacing w:line="360" w:lineRule="auto"/>
        <w:jc w:val="center"/>
        <w:rPr>
          <w:rFonts w:ascii="宋体" w:hAnsi="宋体" w:cs="宋体"/>
          <w:b/>
          <w:sz w:val="32"/>
          <w:szCs w:val="32"/>
        </w:rPr>
      </w:pPr>
      <w:r>
        <w:rPr>
          <w:rFonts w:hint="eastAsia" w:ascii="宋体" w:hAnsi="宋体" w:cs="宋体"/>
          <w:sz w:val="32"/>
          <w:szCs w:val="32"/>
        </w:rPr>
        <w:t>采   购  人：</w:t>
      </w:r>
      <w:r>
        <w:rPr>
          <w:rFonts w:hint="eastAsia" w:ascii="宋体" w:hAnsi="宋体" w:cs="宋体"/>
          <w:b/>
          <w:sz w:val="32"/>
          <w:szCs w:val="32"/>
        </w:rPr>
        <w:t>扬州大学附属医院</w:t>
      </w:r>
    </w:p>
    <w:p w14:paraId="381EF017">
      <w:pPr>
        <w:spacing w:line="360" w:lineRule="auto"/>
        <w:ind w:firstLine="848" w:firstLineChars="265"/>
        <w:jc w:val="center"/>
        <w:rPr>
          <w:rFonts w:ascii="宋体" w:hAnsi="宋体" w:cs="宋体"/>
          <w:sz w:val="32"/>
          <w:szCs w:val="32"/>
        </w:rPr>
      </w:pPr>
    </w:p>
    <w:p w14:paraId="1B9BF7FB">
      <w:pPr>
        <w:spacing w:line="360" w:lineRule="auto"/>
        <w:jc w:val="center"/>
        <w:rPr>
          <w:rFonts w:ascii="宋体" w:hAnsi="宋体" w:cs="宋体"/>
          <w:sz w:val="32"/>
          <w:szCs w:val="32"/>
        </w:rPr>
      </w:pPr>
      <w:r>
        <w:rPr>
          <w:rFonts w:hint="eastAsia" w:ascii="宋体" w:hAnsi="宋体" w:cs="宋体"/>
          <w:sz w:val="32"/>
          <w:szCs w:val="32"/>
        </w:rPr>
        <w:t>发 放 日 期：</w:t>
      </w:r>
      <w:bookmarkStart w:id="0" w:name="EB59c3faf64f2a4bd092a206fb1d0c3c03"/>
      <w:r>
        <w:rPr>
          <w:rFonts w:hint="eastAsia" w:ascii="宋体" w:hAnsi="宋体" w:cs="宋体"/>
          <w:b/>
          <w:sz w:val="32"/>
          <w:szCs w:val="32"/>
        </w:rPr>
        <w:t>2025年</w:t>
      </w:r>
      <w:r>
        <w:rPr>
          <w:rFonts w:hint="eastAsia" w:ascii="宋体" w:hAnsi="宋体" w:cs="宋体"/>
          <w:b/>
          <w:sz w:val="32"/>
          <w:szCs w:val="32"/>
          <w:lang w:val="en-US" w:eastAsia="zh-CN"/>
        </w:rPr>
        <w:t>4</w:t>
      </w:r>
      <w:r>
        <w:rPr>
          <w:rFonts w:hint="eastAsia" w:ascii="宋体" w:hAnsi="宋体" w:cs="宋体"/>
          <w:b/>
          <w:sz w:val="32"/>
          <w:szCs w:val="32"/>
        </w:rPr>
        <w:t>月</w:t>
      </w:r>
      <w:bookmarkEnd w:id="0"/>
    </w:p>
    <w:p w14:paraId="5D501653">
      <w:pPr>
        <w:jc w:val="center"/>
        <w:rPr>
          <w:rFonts w:ascii="宋体" w:hAnsi="宋体"/>
          <w:b/>
          <w:bCs/>
          <w:sz w:val="48"/>
          <w:szCs w:val="48"/>
        </w:rPr>
      </w:pPr>
    </w:p>
    <w:p w14:paraId="67BE12EF">
      <w:pPr>
        <w:spacing w:line="360" w:lineRule="auto"/>
        <w:ind w:firstLine="4200" w:firstLineChars="1400"/>
        <w:rPr>
          <w:rFonts w:ascii="宋体" w:hAnsi="宋体"/>
          <w:b/>
          <w:bCs/>
          <w:sz w:val="36"/>
          <w:szCs w:val="36"/>
        </w:rPr>
      </w:pPr>
      <w:r>
        <w:rPr>
          <w:rFonts w:hint="eastAsia" w:ascii="宋体" w:hAnsi="宋体"/>
          <w:sz w:val="30"/>
          <w:szCs w:val="30"/>
        </w:rPr>
        <w:br w:type="page"/>
      </w:r>
      <w:r>
        <w:rPr>
          <w:rFonts w:hint="eastAsia" w:ascii="宋体" w:hAnsi="宋体"/>
          <w:b/>
          <w:bCs/>
          <w:sz w:val="36"/>
          <w:szCs w:val="36"/>
        </w:rPr>
        <w:t>目  录</w:t>
      </w:r>
    </w:p>
    <w:p w14:paraId="675DD7B5">
      <w:pPr>
        <w:pStyle w:val="20"/>
        <w:ind w:firstLine="630" w:firstLineChars="300"/>
      </w:pPr>
    </w:p>
    <w:p w14:paraId="1637E05A">
      <w:pPr>
        <w:pStyle w:val="20"/>
        <w:ind w:firstLine="240" w:firstLineChars="100"/>
        <w:contextualSpacing/>
        <w:jc w:val="left"/>
        <w:rPr>
          <w:rFonts w:asciiTheme="minorEastAsia" w:hAnsiTheme="minorEastAsia" w:eastAsiaTheme="minorEastAsia"/>
          <w:sz w:val="24"/>
        </w:rPr>
      </w:pPr>
      <w:r>
        <w:rPr>
          <w:rFonts w:asciiTheme="minorEastAsia" w:hAnsiTheme="minorEastAsia" w:eastAsiaTheme="minorEastAsia"/>
          <w:sz w:val="24"/>
        </w:rPr>
        <w:t>一、</w:t>
      </w:r>
      <w:r>
        <w:rPr>
          <w:rFonts w:hint="eastAsia" w:asciiTheme="minorEastAsia" w:hAnsiTheme="minorEastAsia" w:eastAsiaTheme="minorEastAsia"/>
          <w:sz w:val="24"/>
        </w:rPr>
        <w:t>招标邀请</w:t>
      </w:r>
      <w:r>
        <w:rPr>
          <w:rFonts w:asciiTheme="minorEastAsia" w:hAnsiTheme="minorEastAsia" w:eastAsiaTheme="minorEastAsia"/>
          <w:sz w:val="24"/>
        </w:rPr>
        <w:t>………………………………………………………………………</w:t>
      </w: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PAGEREF _Toc39744251 \h </w:instrText>
      </w:r>
      <w:r>
        <w:rPr>
          <w:rFonts w:asciiTheme="minorEastAsia" w:hAnsiTheme="minorEastAsia" w:eastAsiaTheme="minorEastAsia"/>
          <w:sz w:val="24"/>
        </w:rPr>
        <w:fldChar w:fldCharType="separate"/>
      </w:r>
      <w:r>
        <w:rPr>
          <w:rFonts w:asciiTheme="minorEastAsia" w:hAnsiTheme="minorEastAsia" w:eastAsiaTheme="minorEastAsia"/>
          <w:sz w:val="24"/>
        </w:rPr>
        <w:t>2</w:t>
      </w:r>
      <w:r>
        <w:rPr>
          <w:rFonts w:asciiTheme="minorEastAsia" w:hAnsiTheme="minorEastAsia" w:eastAsiaTheme="minorEastAsia"/>
          <w:sz w:val="24"/>
        </w:rPr>
        <w:fldChar w:fldCharType="end"/>
      </w:r>
    </w:p>
    <w:p w14:paraId="7EACB3C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二、项目需求</w:t>
      </w:r>
      <w:r>
        <w:rPr>
          <w:rFonts w:asciiTheme="minorEastAsia" w:hAnsiTheme="minorEastAsia" w:eastAsiaTheme="minorEastAsia"/>
          <w:sz w:val="24"/>
        </w:rPr>
        <w:t>………………………………………………………………………</w:t>
      </w:r>
      <w:r>
        <w:rPr>
          <w:rFonts w:hint="eastAsia" w:asciiTheme="minorEastAsia" w:hAnsiTheme="minorEastAsia" w:eastAsiaTheme="minorEastAsia"/>
          <w:sz w:val="24"/>
        </w:rPr>
        <w:t>3</w:t>
      </w:r>
    </w:p>
    <w:p w14:paraId="2B43D751">
      <w:pPr>
        <w:spacing w:line="360" w:lineRule="auto"/>
        <w:ind w:firstLine="240" w:firstLineChars="100"/>
        <w:contextualSpacing/>
        <w:jc w:val="left"/>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投标人须知……………………………………………………………………</w:t>
      </w:r>
      <w:r>
        <w:rPr>
          <w:rFonts w:hint="eastAsia" w:asciiTheme="minorEastAsia" w:hAnsiTheme="minorEastAsia" w:eastAsiaTheme="minorEastAsia"/>
          <w:sz w:val="24"/>
        </w:rPr>
        <w:t>4</w:t>
      </w:r>
    </w:p>
    <w:p w14:paraId="63CA17AD">
      <w:pPr>
        <w:spacing w:line="360" w:lineRule="auto"/>
        <w:ind w:firstLine="240" w:firstLineChars="100"/>
        <w:contextualSpacing/>
        <w:jc w:val="left"/>
        <w:rPr>
          <w:rFonts w:ascii="宋体" w:hAnsi="宋体"/>
          <w:bCs/>
          <w:sz w:val="24"/>
        </w:rPr>
      </w:pPr>
      <w:r>
        <w:rPr>
          <w:rFonts w:hint="eastAsia" w:ascii="宋体" w:hAnsi="宋体"/>
          <w:bCs/>
          <w:sz w:val="24"/>
        </w:rPr>
        <w:t>四、投标文件格式及附件要求</w:t>
      </w:r>
      <w:r>
        <w:rPr>
          <w:rFonts w:ascii="宋体" w:hAnsi="宋体"/>
          <w:bCs/>
          <w:sz w:val="24"/>
        </w:rPr>
        <w:t>……………………………………………………</w:t>
      </w:r>
      <w:r>
        <w:rPr>
          <w:rFonts w:hint="eastAsia" w:ascii="宋体" w:hAnsi="宋体"/>
          <w:bCs/>
          <w:sz w:val="24"/>
        </w:rPr>
        <w:t>7</w:t>
      </w:r>
    </w:p>
    <w:p w14:paraId="09900219">
      <w:pPr>
        <w:spacing w:line="360" w:lineRule="auto"/>
        <w:ind w:firstLine="240" w:firstLineChars="100"/>
        <w:contextualSpacing/>
        <w:jc w:val="left"/>
        <w:rPr>
          <w:rFonts w:ascii="宋体" w:hAnsi="宋体"/>
          <w:bCs/>
          <w:sz w:val="24"/>
        </w:rPr>
      </w:pPr>
      <w:r>
        <w:rPr>
          <w:rFonts w:hint="eastAsia" w:ascii="宋体" w:hAnsi="宋体"/>
          <w:bCs/>
          <w:sz w:val="24"/>
        </w:rPr>
        <w:t>五、供应商廉洁自律承诺书</w:t>
      </w:r>
      <w:r>
        <w:rPr>
          <w:rFonts w:ascii="宋体" w:hAnsi="宋体"/>
          <w:bCs/>
          <w:sz w:val="24"/>
        </w:rPr>
        <w:t>………………………………………………………</w:t>
      </w:r>
      <w:r>
        <w:rPr>
          <w:rFonts w:hint="eastAsia" w:ascii="宋体" w:hAnsi="宋体"/>
          <w:bCs/>
          <w:sz w:val="24"/>
        </w:rPr>
        <w:t>12</w:t>
      </w:r>
    </w:p>
    <w:p w14:paraId="29A19B2B">
      <w:pPr>
        <w:spacing w:line="360" w:lineRule="auto"/>
        <w:contextualSpacing/>
        <w:jc w:val="center"/>
        <w:rPr>
          <w:rFonts w:ascii="宋体" w:hAnsi="宋体"/>
          <w:bCs/>
          <w:sz w:val="24"/>
        </w:rPr>
      </w:pPr>
    </w:p>
    <w:p w14:paraId="7CE53448">
      <w:pPr>
        <w:rPr>
          <w:rFonts w:ascii="宋体" w:hAnsi="宋体"/>
          <w:sz w:val="30"/>
          <w:szCs w:val="30"/>
        </w:rPr>
      </w:pPr>
    </w:p>
    <w:p w14:paraId="18626B7B">
      <w:pPr>
        <w:spacing w:line="360" w:lineRule="auto"/>
        <w:jc w:val="center"/>
      </w:pPr>
      <w:bookmarkStart w:id="1" w:name="_Toc39744251"/>
    </w:p>
    <w:p w14:paraId="7F3811EB">
      <w:pPr>
        <w:spacing w:line="360" w:lineRule="auto"/>
        <w:jc w:val="center"/>
      </w:pPr>
    </w:p>
    <w:p w14:paraId="35BCFFA0">
      <w:pPr>
        <w:spacing w:line="360" w:lineRule="auto"/>
        <w:jc w:val="center"/>
      </w:pPr>
    </w:p>
    <w:p w14:paraId="33FDFEEF">
      <w:pPr>
        <w:spacing w:line="360" w:lineRule="auto"/>
        <w:jc w:val="center"/>
      </w:pPr>
    </w:p>
    <w:p w14:paraId="184D0A90">
      <w:pPr>
        <w:spacing w:line="360" w:lineRule="auto"/>
        <w:jc w:val="center"/>
      </w:pPr>
    </w:p>
    <w:p w14:paraId="54F9C286">
      <w:pPr>
        <w:spacing w:line="360" w:lineRule="auto"/>
        <w:jc w:val="center"/>
      </w:pPr>
    </w:p>
    <w:p w14:paraId="70F134FC">
      <w:pPr>
        <w:spacing w:line="360" w:lineRule="auto"/>
        <w:jc w:val="center"/>
      </w:pPr>
    </w:p>
    <w:p w14:paraId="62F64995">
      <w:pPr>
        <w:spacing w:line="360" w:lineRule="auto"/>
        <w:jc w:val="center"/>
      </w:pPr>
    </w:p>
    <w:p w14:paraId="34806EDC">
      <w:pPr>
        <w:spacing w:line="360" w:lineRule="auto"/>
        <w:jc w:val="center"/>
      </w:pPr>
    </w:p>
    <w:p w14:paraId="3C6AF79A">
      <w:pPr>
        <w:spacing w:line="360" w:lineRule="auto"/>
        <w:jc w:val="center"/>
      </w:pPr>
    </w:p>
    <w:p w14:paraId="4E76E0FB">
      <w:pPr>
        <w:spacing w:line="360" w:lineRule="auto"/>
        <w:jc w:val="center"/>
      </w:pPr>
    </w:p>
    <w:p w14:paraId="5909B7BA">
      <w:pPr>
        <w:spacing w:line="360" w:lineRule="auto"/>
        <w:jc w:val="center"/>
      </w:pPr>
    </w:p>
    <w:p w14:paraId="692D340C">
      <w:pPr>
        <w:spacing w:line="360" w:lineRule="auto"/>
        <w:jc w:val="center"/>
      </w:pPr>
    </w:p>
    <w:p w14:paraId="48910A44">
      <w:pPr>
        <w:spacing w:line="360" w:lineRule="auto"/>
        <w:jc w:val="center"/>
      </w:pPr>
    </w:p>
    <w:p w14:paraId="3F0DAA9A">
      <w:pPr>
        <w:spacing w:line="360" w:lineRule="auto"/>
        <w:jc w:val="center"/>
      </w:pPr>
    </w:p>
    <w:p w14:paraId="5E399C85">
      <w:pPr>
        <w:spacing w:line="360" w:lineRule="auto"/>
        <w:jc w:val="center"/>
      </w:pPr>
    </w:p>
    <w:p w14:paraId="102B1C91">
      <w:pPr>
        <w:spacing w:line="360" w:lineRule="auto"/>
        <w:jc w:val="center"/>
      </w:pPr>
    </w:p>
    <w:p w14:paraId="6458346A">
      <w:pPr>
        <w:spacing w:line="360" w:lineRule="auto"/>
        <w:jc w:val="center"/>
      </w:pPr>
    </w:p>
    <w:p w14:paraId="1DD016A5">
      <w:pPr>
        <w:rPr>
          <w:rFonts w:ascii="宋体" w:hAnsi="宋体" w:cs="宋体"/>
          <w:b/>
          <w:sz w:val="28"/>
          <w:szCs w:val="20"/>
        </w:rPr>
      </w:pPr>
      <w:r>
        <w:rPr>
          <w:rFonts w:ascii="宋体" w:hAnsi="宋体" w:cs="宋体"/>
          <w:b/>
          <w:sz w:val="28"/>
          <w:szCs w:val="20"/>
        </w:rPr>
        <w:br w:type="page"/>
      </w:r>
    </w:p>
    <w:p w14:paraId="33FC294E">
      <w:pPr>
        <w:pStyle w:val="17"/>
      </w:pPr>
    </w:p>
    <w:p w14:paraId="3BBE89D6">
      <w:pPr>
        <w:jc w:val="center"/>
        <w:rPr>
          <w:b/>
          <w:sz w:val="32"/>
          <w:szCs w:val="32"/>
        </w:rPr>
      </w:pPr>
      <w:r>
        <w:rPr>
          <w:rFonts w:hint="eastAsia"/>
          <w:b/>
          <w:sz w:val="32"/>
          <w:szCs w:val="32"/>
        </w:rPr>
        <w:t>一、</w:t>
      </w:r>
      <w:bookmarkEnd w:id="1"/>
      <w:r>
        <w:rPr>
          <w:rFonts w:hint="eastAsia"/>
          <w:b/>
          <w:sz w:val="32"/>
          <w:szCs w:val="32"/>
        </w:rPr>
        <w:t>谈判邀请</w:t>
      </w:r>
    </w:p>
    <w:tbl>
      <w:tblPr>
        <w:tblStyle w:val="26"/>
        <w:tblW w:w="4997"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5"/>
        <w:gridCol w:w="2172"/>
        <w:gridCol w:w="864"/>
        <w:gridCol w:w="604"/>
        <w:gridCol w:w="235"/>
        <w:gridCol w:w="3163"/>
      </w:tblGrid>
      <w:tr w14:paraId="230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6C2981FF">
            <w:pPr>
              <w:jc w:val="center"/>
              <w:rPr>
                <w:rFonts w:ascii="宋体" w:hAnsi="宋体"/>
                <w:szCs w:val="21"/>
              </w:rPr>
            </w:pPr>
            <w:r>
              <w:rPr>
                <w:rFonts w:hint="eastAsia" w:ascii="宋体" w:hAnsi="宋体"/>
                <w:szCs w:val="21"/>
              </w:rPr>
              <w:t>项目名称</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7A7FCDC2">
            <w:pPr>
              <w:jc w:val="center"/>
              <w:rPr>
                <w:rFonts w:ascii="宋体" w:hAnsi="宋体"/>
                <w:szCs w:val="21"/>
              </w:rPr>
            </w:pPr>
            <w:r>
              <w:rPr>
                <w:rFonts w:hint="eastAsia" w:ascii="宋体" w:hAnsi="宋体"/>
                <w:szCs w:val="21"/>
              </w:rPr>
              <w:t>扬州大学附属医院京沪高级医学中心导视标识及文化墙设计制作安装项目</w:t>
            </w:r>
          </w:p>
        </w:tc>
      </w:tr>
      <w:tr w14:paraId="7406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7EF63E14">
            <w:pPr>
              <w:jc w:val="center"/>
              <w:rPr>
                <w:rFonts w:ascii="宋体" w:hAnsi="宋体"/>
                <w:szCs w:val="21"/>
              </w:rPr>
            </w:pPr>
            <w:r>
              <w:rPr>
                <w:rFonts w:hint="eastAsia" w:ascii="宋体" w:hAnsi="宋体"/>
                <w:szCs w:val="21"/>
              </w:rPr>
              <w:t>服务地点</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36E39688">
            <w:pPr>
              <w:rPr>
                <w:rFonts w:ascii="宋体" w:hAnsi="宋体"/>
                <w:b/>
                <w:szCs w:val="21"/>
              </w:rPr>
            </w:pPr>
            <w:r>
              <w:rPr>
                <w:rFonts w:hint="eastAsia" w:ascii="宋体" w:hAnsi="宋体"/>
                <w:bCs/>
                <w:szCs w:val="21"/>
              </w:rPr>
              <w:t>扬州大学附属医院</w:t>
            </w:r>
          </w:p>
        </w:tc>
      </w:tr>
      <w:tr w14:paraId="53DB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71" w:type="pct"/>
            <w:tcBorders>
              <w:top w:val="single" w:color="auto" w:sz="4" w:space="0"/>
              <w:left w:val="single" w:color="auto" w:sz="4" w:space="0"/>
              <w:bottom w:val="single" w:color="auto" w:sz="4" w:space="0"/>
              <w:right w:val="single" w:color="auto" w:sz="4" w:space="0"/>
            </w:tcBorders>
            <w:vAlign w:val="center"/>
          </w:tcPr>
          <w:p w14:paraId="19C16387">
            <w:pPr>
              <w:jc w:val="center"/>
              <w:rPr>
                <w:rFonts w:ascii="宋体" w:hAnsi="宋体"/>
                <w:szCs w:val="21"/>
              </w:rPr>
            </w:pPr>
            <w:r>
              <w:rPr>
                <w:rFonts w:hint="eastAsia" w:ascii="宋体" w:hAnsi="宋体"/>
                <w:szCs w:val="21"/>
              </w:rPr>
              <w:t>承包方式</w:t>
            </w:r>
          </w:p>
        </w:tc>
        <w:tc>
          <w:tcPr>
            <w:tcW w:w="1274" w:type="pct"/>
            <w:tcBorders>
              <w:top w:val="single" w:color="auto" w:sz="4" w:space="0"/>
              <w:left w:val="single" w:color="auto" w:sz="4" w:space="0"/>
              <w:bottom w:val="single" w:color="auto" w:sz="4" w:space="0"/>
              <w:right w:val="single" w:color="auto" w:sz="4" w:space="0"/>
            </w:tcBorders>
            <w:vAlign w:val="center"/>
          </w:tcPr>
          <w:p w14:paraId="7DF98A3D">
            <w:pPr>
              <w:spacing w:line="320" w:lineRule="exact"/>
              <w:rPr>
                <w:rFonts w:ascii="宋体" w:hAnsi="宋体"/>
                <w:szCs w:val="21"/>
              </w:rPr>
            </w:pPr>
            <w:r>
              <w:rPr>
                <w:rFonts w:hint="eastAsia" w:ascii="宋体" w:hAnsi="宋体"/>
                <w:szCs w:val="21"/>
              </w:rPr>
              <w:t>/</w:t>
            </w:r>
          </w:p>
        </w:tc>
        <w:tc>
          <w:tcPr>
            <w:tcW w:w="861" w:type="pct"/>
            <w:gridSpan w:val="2"/>
            <w:tcBorders>
              <w:top w:val="single" w:color="auto" w:sz="4" w:space="0"/>
              <w:left w:val="single" w:color="auto" w:sz="4" w:space="0"/>
              <w:bottom w:val="single" w:color="auto" w:sz="4" w:space="0"/>
              <w:right w:val="single" w:color="auto" w:sz="4" w:space="0"/>
            </w:tcBorders>
            <w:vAlign w:val="center"/>
          </w:tcPr>
          <w:p w14:paraId="3C30A5C1">
            <w:pPr>
              <w:jc w:val="center"/>
              <w:rPr>
                <w:rFonts w:ascii="宋体" w:hAnsi="宋体"/>
                <w:szCs w:val="21"/>
              </w:rPr>
            </w:pPr>
            <w:r>
              <w:rPr>
                <w:rFonts w:hint="eastAsia" w:ascii="宋体" w:hAnsi="宋体"/>
                <w:szCs w:val="21"/>
              </w:rPr>
              <w:t>质量标准</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4546E612">
            <w:pPr>
              <w:jc w:val="center"/>
              <w:rPr>
                <w:rFonts w:ascii="宋体" w:hAnsi="宋体"/>
                <w:szCs w:val="21"/>
              </w:rPr>
            </w:pPr>
            <w:r>
              <w:rPr>
                <w:rFonts w:hint="eastAsia" w:ascii="宋体" w:hAnsi="宋体"/>
                <w:szCs w:val="21"/>
              </w:rPr>
              <w:t>合 格</w:t>
            </w:r>
          </w:p>
        </w:tc>
      </w:tr>
      <w:tr w14:paraId="7BD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51255E89">
            <w:pPr>
              <w:jc w:val="center"/>
              <w:rPr>
                <w:rFonts w:ascii="宋体" w:hAnsi="宋体"/>
                <w:color w:val="auto"/>
                <w:szCs w:val="21"/>
              </w:rPr>
            </w:pPr>
            <w:r>
              <w:rPr>
                <w:rFonts w:hint="eastAsia" w:ascii="宋体" w:hAnsi="宋体"/>
                <w:color w:val="auto"/>
                <w:szCs w:val="21"/>
              </w:rPr>
              <w:t>预算价</w:t>
            </w:r>
          </w:p>
        </w:tc>
        <w:tc>
          <w:tcPr>
            <w:tcW w:w="1274" w:type="pct"/>
            <w:tcBorders>
              <w:top w:val="single" w:color="auto" w:sz="4" w:space="0"/>
              <w:left w:val="single" w:color="auto" w:sz="4" w:space="0"/>
              <w:bottom w:val="single" w:color="auto" w:sz="4" w:space="0"/>
              <w:right w:val="single" w:color="auto" w:sz="4" w:space="0"/>
            </w:tcBorders>
            <w:vAlign w:val="center"/>
          </w:tcPr>
          <w:p w14:paraId="17A0D40E">
            <w:pPr>
              <w:spacing w:line="320" w:lineRule="exact"/>
              <w:rPr>
                <w:rFonts w:ascii="宋体" w:hAnsi="宋体"/>
                <w:color w:val="auto"/>
                <w:szCs w:val="21"/>
              </w:rPr>
            </w:pPr>
            <w:r>
              <w:rPr>
                <w:rFonts w:hint="eastAsia" w:ascii="宋体" w:hAnsi="宋体"/>
                <w:color w:val="auto"/>
                <w:szCs w:val="21"/>
                <w:lang w:val="en-US" w:eastAsia="zh-CN"/>
              </w:rPr>
              <w:t>7</w:t>
            </w:r>
            <w:r>
              <w:rPr>
                <w:rFonts w:hint="eastAsia" w:ascii="宋体" w:hAnsi="宋体"/>
                <w:color w:val="auto"/>
                <w:szCs w:val="21"/>
              </w:rPr>
              <w:t>万</w:t>
            </w:r>
          </w:p>
        </w:tc>
        <w:tc>
          <w:tcPr>
            <w:tcW w:w="861" w:type="pct"/>
            <w:gridSpan w:val="2"/>
            <w:tcBorders>
              <w:top w:val="single" w:color="auto" w:sz="4" w:space="0"/>
              <w:left w:val="single" w:color="auto" w:sz="4" w:space="0"/>
              <w:right w:val="single" w:color="auto" w:sz="4" w:space="0"/>
            </w:tcBorders>
            <w:vAlign w:val="center"/>
          </w:tcPr>
          <w:p w14:paraId="14F87CE0">
            <w:pPr>
              <w:jc w:val="center"/>
              <w:rPr>
                <w:rFonts w:ascii="宋体" w:hAnsi="宋体"/>
                <w:szCs w:val="21"/>
              </w:rPr>
            </w:pPr>
            <w:r>
              <w:rPr>
                <w:rFonts w:hint="eastAsia" w:ascii="宋体" w:hAnsi="宋体"/>
                <w:szCs w:val="21"/>
              </w:rPr>
              <w:t>标书工本费</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09358737">
            <w:pPr>
              <w:jc w:val="center"/>
              <w:rPr>
                <w:rFonts w:ascii="宋体" w:hAnsi="宋体"/>
                <w:szCs w:val="21"/>
              </w:rPr>
            </w:pPr>
            <w:r>
              <w:rPr>
                <w:rFonts w:hint="eastAsia" w:ascii="宋体" w:hAnsi="宋体"/>
                <w:szCs w:val="21"/>
              </w:rPr>
              <w:t>/</w:t>
            </w:r>
          </w:p>
        </w:tc>
      </w:tr>
      <w:tr w14:paraId="2325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4545F4FC">
            <w:pPr>
              <w:jc w:val="center"/>
              <w:rPr>
                <w:rFonts w:ascii="宋体" w:hAnsi="宋体"/>
                <w:szCs w:val="21"/>
              </w:rPr>
            </w:pPr>
            <w:r>
              <w:rPr>
                <w:rFonts w:hint="eastAsia"/>
                <w:szCs w:val="21"/>
              </w:rPr>
              <w:t>投标文件要求</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09268D26">
            <w:pPr>
              <w:spacing w:line="360" w:lineRule="auto"/>
              <w:rPr>
                <w:rFonts w:ascii="宋体" w:hAnsi="宋体"/>
                <w:szCs w:val="21"/>
              </w:rPr>
            </w:pPr>
            <w:r>
              <w:rPr>
                <w:rFonts w:hint="eastAsia" w:ascii="宋体" w:hAnsi="宋体"/>
                <w:szCs w:val="21"/>
              </w:rPr>
              <w:t>投标文件正本1份，副本4份；所有投标文件的封面及封袋上都必须加盖投标单位法人公章及其法定代表人或授权委托人的签字。</w:t>
            </w:r>
          </w:p>
        </w:tc>
      </w:tr>
      <w:tr w14:paraId="30FA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71" w:type="pct"/>
            <w:tcBorders>
              <w:top w:val="single" w:color="auto" w:sz="4" w:space="0"/>
              <w:left w:val="single" w:color="auto" w:sz="4" w:space="0"/>
              <w:bottom w:val="single" w:color="auto" w:sz="4" w:space="0"/>
              <w:right w:val="single" w:color="auto" w:sz="4" w:space="0"/>
            </w:tcBorders>
            <w:vAlign w:val="center"/>
          </w:tcPr>
          <w:p w14:paraId="0476A5F5">
            <w:pPr>
              <w:jc w:val="center"/>
              <w:rPr>
                <w:rFonts w:ascii="宋体" w:hAnsi="宋体"/>
                <w:color w:val="auto"/>
                <w:szCs w:val="21"/>
              </w:rPr>
            </w:pPr>
            <w:r>
              <w:rPr>
                <w:rFonts w:hint="eastAsia" w:ascii="宋体" w:hAnsi="宋体"/>
                <w:color w:val="auto"/>
                <w:szCs w:val="21"/>
              </w:rPr>
              <w:t>建设周期</w:t>
            </w:r>
          </w:p>
        </w:tc>
        <w:tc>
          <w:tcPr>
            <w:tcW w:w="1274" w:type="pct"/>
            <w:tcBorders>
              <w:top w:val="single" w:color="auto" w:sz="4" w:space="0"/>
              <w:left w:val="single" w:color="auto" w:sz="4" w:space="0"/>
              <w:bottom w:val="single" w:color="auto" w:sz="4" w:space="0"/>
              <w:right w:val="single" w:color="auto" w:sz="4" w:space="0"/>
            </w:tcBorders>
            <w:vAlign w:val="center"/>
          </w:tcPr>
          <w:p w14:paraId="075CF432">
            <w:pPr>
              <w:spacing w:line="320" w:lineRule="exact"/>
              <w:jc w:val="center"/>
              <w:rPr>
                <w:rFonts w:ascii="宋体" w:hAnsi="宋体"/>
                <w:color w:val="auto"/>
                <w:szCs w:val="21"/>
              </w:rPr>
            </w:pPr>
            <w:r>
              <w:rPr>
                <w:rFonts w:hint="eastAsia" w:ascii="宋体" w:hAnsi="宋体"/>
                <w:color w:val="auto"/>
                <w:szCs w:val="21"/>
                <w:lang w:val="en-US" w:eastAsia="zh-CN"/>
              </w:rPr>
              <w:t>20</w:t>
            </w:r>
            <w:r>
              <w:rPr>
                <w:rFonts w:hint="eastAsia" w:ascii="宋体" w:hAnsi="宋体"/>
                <w:color w:val="auto"/>
                <w:szCs w:val="21"/>
              </w:rPr>
              <w:t>个日历天</w:t>
            </w:r>
          </w:p>
        </w:tc>
        <w:tc>
          <w:tcPr>
            <w:tcW w:w="861" w:type="pct"/>
            <w:gridSpan w:val="2"/>
            <w:tcBorders>
              <w:top w:val="single" w:color="auto" w:sz="4" w:space="0"/>
              <w:left w:val="single" w:color="auto" w:sz="4" w:space="0"/>
              <w:right w:val="single" w:color="auto" w:sz="4" w:space="0"/>
            </w:tcBorders>
            <w:vAlign w:val="center"/>
          </w:tcPr>
          <w:p w14:paraId="2576E2FC">
            <w:pPr>
              <w:jc w:val="center"/>
              <w:rPr>
                <w:rFonts w:ascii="宋体" w:hAnsi="宋体"/>
                <w:color w:val="auto"/>
                <w:szCs w:val="21"/>
              </w:rPr>
            </w:pPr>
            <w:r>
              <w:rPr>
                <w:rFonts w:hint="eastAsia" w:ascii="宋体" w:hAnsi="宋体"/>
                <w:color w:val="auto"/>
                <w:szCs w:val="21"/>
              </w:rPr>
              <w:t>付款方式</w:t>
            </w:r>
          </w:p>
        </w:tc>
        <w:tc>
          <w:tcPr>
            <w:tcW w:w="1992" w:type="pct"/>
            <w:gridSpan w:val="2"/>
            <w:tcBorders>
              <w:top w:val="single" w:color="auto" w:sz="4" w:space="0"/>
              <w:left w:val="single" w:color="auto" w:sz="4" w:space="0"/>
              <w:bottom w:val="single" w:color="auto" w:sz="4" w:space="0"/>
              <w:right w:val="single" w:color="auto" w:sz="4" w:space="0"/>
            </w:tcBorders>
            <w:vAlign w:val="center"/>
          </w:tcPr>
          <w:p w14:paraId="6FA5974A">
            <w:pPr>
              <w:jc w:val="left"/>
              <w:rPr>
                <w:rFonts w:ascii="宋体" w:hAnsi="宋体"/>
                <w:color w:val="auto"/>
                <w:szCs w:val="21"/>
              </w:rPr>
            </w:pPr>
            <w:r>
              <w:rPr>
                <w:rFonts w:hint="eastAsia" w:ascii="宋体" w:hAnsi="宋体"/>
                <w:b/>
                <w:bCs/>
                <w:color w:val="auto"/>
                <w:szCs w:val="21"/>
              </w:rPr>
              <w:t>合同签订后导视、标识及文化墙制作完毕，安装结束，甲方一次性验收合格后，乙方可开具正规增值税票据交由甲方办理付款手续，甲方凭手续齐全的单据向乙方支付合同总价的90%货款，余款作为质量保证金待质保期满后归还，如乙方未能履行合同规定的义务，甲方有权从质量保证金中取得补偿，不足部分，甲方有权向乙方追偿（以上均不计息）。</w:t>
            </w:r>
          </w:p>
        </w:tc>
      </w:tr>
      <w:tr w14:paraId="44F1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1" w:type="pct"/>
            <w:tcBorders>
              <w:top w:val="single" w:color="auto" w:sz="4" w:space="0"/>
              <w:left w:val="single" w:color="auto" w:sz="4" w:space="0"/>
              <w:bottom w:val="single" w:color="auto" w:sz="4" w:space="0"/>
              <w:right w:val="single" w:color="auto" w:sz="4" w:space="0"/>
            </w:tcBorders>
            <w:vAlign w:val="center"/>
          </w:tcPr>
          <w:p w14:paraId="45345A7A">
            <w:pPr>
              <w:spacing w:line="360" w:lineRule="auto"/>
              <w:jc w:val="center"/>
              <w:rPr>
                <w:rFonts w:ascii="宋体" w:hAnsi="宋体"/>
                <w:color w:val="auto"/>
                <w:szCs w:val="21"/>
              </w:rPr>
            </w:pPr>
            <w:r>
              <w:rPr>
                <w:rFonts w:hint="eastAsia" w:ascii="宋体" w:hAnsi="宋体"/>
                <w:color w:val="auto"/>
                <w:szCs w:val="21"/>
              </w:rPr>
              <w:t>报名截止时间</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5D94AB83">
            <w:pPr>
              <w:spacing w:line="360" w:lineRule="auto"/>
              <w:rPr>
                <w:rFonts w:ascii="宋体" w:hAnsi="宋体"/>
                <w:color w:val="auto"/>
                <w:szCs w:val="21"/>
                <w:highlight w:val="yellow"/>
              </w:rPr>
            </w:pPr>
            <w:r>
              <w:rPr>
                <w:rFonts w:hint="eastAsia" w:ascii="宋体" w:hAnsi="宋体"/>
                <w:color w:val="auto"/>
                <w:szCs w:val="21"/>
              </w:rPr>
              <w:t>2025年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20</w:t>
            </w:r>
            <w:r>
              <w:rPr>
                <w:rFonts w:hint="eastAsia" w:ascii="宋体" w:hAnsi="宋体"/>
                <w:color w:val="auto"/>
                <w:szCs w:val="21"/>
              </w:rPr>
              <w:t>日17：00</w:t>
            </w:r>
          </w:p>
        </w:tc>
      </w:tr>
      <w:tr w14:paraId="508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871" w:type="pct"/>
            <w:tcBorders>
              <w:top w:val="single" w:color="auto" w:sz="4" w:space="0"/>
              <w:left w:val="single" w:color="auto" w:sz="4" w:space="0"/>
              <w:bottom w:val="single" w:color="auto" w:sz="4" w:space="0"/>
              <w:right w:val="single" w:color="auto" w:sz="4" w:space="0"/>
            </w:tcBorders>
            <w:vAlign w:val="center"/>
          </w:tcPr>
          <w:p w14:paraId="52D02DCC">
            <w:pPr>
              <w:spacing w:line="360" w:lineRule="auto"/>
              <w:jc w:val="center"/>
              <w:rPr>
                <w:rFonts w:ascii="宋体" w:hAnsi="宋体"/>
                <w:szCs w:val="21"/>
              </w:rPr>
            </w:pPr>
            <w:r>
              <w:rPr>
                <w:rFonts w:hint="eastAsia" w:ascii="宋体" w:hAnsi="宋体"/>
                <w:szCs w:val="21"/>
              </w:rPr>
              <w:t>文件递交地址</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25623272">
            <w:pPr>
              <w:spacing w:line="360" w:lineRule="auto"/>
              <w:rPr>
                <w:rFonts w:hint="default" w:ascii="宋体" w:hAnsi="宋体" w:eastAsia="宋体"/>
                <w:szCs w:val="21"/>
                <w:lang w:val="en-US" w:eastAsia="zh-CN"/>
              </w:rPr>
            </w:pPr>
            <w:r>
              <w:rPr>
                <w:rFonts w:hint="eastAsia" w:ascii="宋体" w:hAnsi="宋体"/>
                <w:szCs w:val="21"/>
              </w:rPr>
              <w:t>扬大附院西区行政楼</w:t>
            </w:r>
            <w:r>
              <w:rPr>
                <w:rFonts w:hint="eastAsia" w:ascii="宋体" w:hAnsi="宋体"/>
                <w:szCs w:val="21"/>
                <w:lang w:val="en-US" w:eastAsia="zh-CN"/>
              </w:rPr>
              <w:t>407</w:t>
            </w:r>
            <w:r>
              <w:rPr>
                <w:rFonts w:hint="eastAsia" w:ascii="宋体" w:hAnsi="宋体"/>
                <w:szCs w:val="21"/>
              </w:rPr>
              <w:t>会议室</w:t>
            </w:r>
            <w:r>
              <w:rPr>
                <w:rFonts w:hint="eastAsia" w:ascii="宋体" w:hAnsi="宋体"/>
                <w:szCs w:val="21"/>
                <w:lang w:val="en-US" w:eastAsia="zh-CN"/>
              </w:rPr>
              <w:t xml:space="preserve">  2025.4.21  16：00</w:t>
            </w:r>
          </w:p>
        </w:tc>
      </w:tr>
      <w:tr w14:paraId="56A2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05139CF8">
            <w:pPr>
              <w:spacing w:line="360" w:lineRule="auto"/>
              <w:jc w:val="center"/>
              <w:rPr>
                <w:rFonts w:ascii="宋体" w:hAnsi="宋体" w:eastAsia="微软雅黑"/>
                <w:color w:val="FF0000"/>
                <w:szCs w:val="21"/>
              </w:rPr>
            </w:pPr>
            <w:r>
              <w:rPr>
                <w:rFonts w:hint="eastAsia" w:ascii="宋体" w:hAnsi="宋体"/>
                <w:color w:val="FF0000"/>
                <w:szCs w:val="21"/>
              </w:rPr>
              <w:t>招标时间</w:t>
            </w:r>
          </w:p>
        </w:tc>
        <w:tc>
          <w:tcPr>
            <w:tcW w:w="1781" w:type="pct"/>
            <w:gridSpan w:val="2"/>
            <w:tcBorders>
              <w:top w:val="single" w:color="auto" w:sz="4" w:space="0"/>
              <w:left w:val="single" w:color="auto" w:sz="4" w:space="0"/>
              <w:bottom w:val="single" w:color="auto" w:sz="4" w:space="0"/>
              <w:right w:val="single" w:color="auto" w:sz="4" w:space="0"/>
            </w:tcBorders>
            <w:vAlign w:val="center"/>
          </w:tcPr>
          <w:p w14:paraId="2B8563A6">
            <w:pPr>
              <w:spacing w:line="360" w:lineRule="auto"/>
              <w:jc w:val="center"/>
              <w:rPr>
                <w:rFonts w:ascii="宋体" w:hAnsi="宋体"/>
                <w:color w:val="FF0000"/>
                <w:szCs w:val="21"/>
              </w:rPr>
            </w:pPr>
            <w:r>
              <w:rPr>
                <w:rFonts w:hint="eastAsia" w:ascii="宋体" w:hAnsi="宋体"/>
                <w:color w:val="FF0000"/>
                <w:szCs w:val="21"/>
              </w:rPr>
              <w:t>2025年</w:t>
            </w:r>
            <w:r>
              <w:rPr>
                <w:rFonts w:hint="eastAsia" w:ascii="宋体" w:hAnsi="宋体"/>
                <w:color w:val="FF0000"/>
                <w:szCs w:val="21"/>
                <w:lang w:val="en-US" w:eastAsia="zh-CN"/>
              </w:rPr>
              <w:t>4</w:t>
            </w:r>
            <w:r>
              <w:rPr>
                <w:rFonts w:hint="eastAsia" w:ascii="宋体" w:hAnsi="宋体"/>
                <w:color w:val="FF0000"/>
                <w:szCs w:val="21"/>
              </w:rPr>
              <w:t>月</w:t>
            </w:r>
            <w:r>
              <w:rPr>
                <w:rFonts w:hint="eastAsia" w:ascii="宋体" w:hAnsi="宋体"/>
                <w:color w:val="FF0000"/>
                <w:szCs w:val="21"/>
                <w:lang w:val="en-US" w:eastAsia="zh-CN"/>
              </w:rPr>
              <w:t>21</w:t>
            </w:r>
            <w:r>
              <w:rPr>
                <w:rFonts w:hint="eastAsia" w:ascii="宋体" w:hAnsi="宋体"/>
                <w:color w:val="FF0000"/>
                <w:szCs w:val="21"/>
              </w:rPr>
              <w:t>日</w:t>
            </w:r>
            <w:r>
              <w:rPr>
                <w:rFonts w:hint="eastAsia" w:ascii="宋体" w:hAnsi="宋体"/>
                <w:color w:val="FF0000"/>
                <w:szCs w:val="21"/>
                <w:lang w:val="en-US" w:eastAsia="zh-CN"/>
              </w:rPr>
              <w:t>16</w:t>
            </w:r>
            <w:r>
              <w:rPr>
                <w:rFonts w:hint="eastAsia" w:ascii="宋体" w:hAnsi="宋体"/>
                <w:color w:val="FF0000"/>
                <w:szCs w:val="21"/>
              </w:rPr>
              <w:t>：</w:t>
            </w:r>
            <w:r>
              <w:rPr>
                <w:rFonts w:hint="eastAsia" w:ascii="宋体" w:hAnsi="宋体"/>
                <w:color w:val="FF0000"/>
                <w:szCs w:val="21"/>
                <w:lang w:val="en-US" w:eastAsia="zh-CN"/>
              </w:rPr>
              <w:t>0</w:t>
            </w:r>
            <w:r>
              <w:rPr>
                <w:rFonts w:hint="eastAsia" w:ascii="宋体" w:hAnsi="宋体"/>
                <w:color w:val="FF0000"/>
                <w:szCs w:val="21"/>
              </w:rPr>
              <w:t>0</w:t>
            </w:r>
          </w:p>
        </w:tc>
        <w:tc>
          <w:tcPr>
            <w:tcW w:w="492" w:type="pct"/>
            <w:gridSpan w:val="2"/>
            <w:tcBorders>
              <w:top w:val="single" w:color="auto" w:sz="4" w:space="0"/>
              <w:left w:val="single" w:color="auto" w:sz="4" w:space="0"/>
              <w:bottom w:val="single" w:color="auto" w:sz="4" w:space="0"/>
              <w:right w:val="single" w:color="auto" w:sz="4" w:space="0"/>
            </w:tcBorders>
            <w:vAlign w:val="center"/>
          </w:tcPr>
          <w:p w14:paraId="66606CE6">
            <w:pPr>
              <w:spacing w:line="360" w:lineRule="auto"/>
              <w:jc w:val="center"/>
              <w:rPr>
                <w:rFonts w:ascii="宋体" w:hAnsi="宋体"/>
                <w:color w:val="FF0000"/>
                <w:szCs w:val="21"/>
              </w:rPr>
            </w:pPr>
            <w:r>
              <w:rPr>
                <w:rFonts w:hint="eastAsia" w:ascii="宋体" w:hAnsi="宋体"/>
                <w:color w:val="FF0000"/>
                <w:szCs w:val="21"/>
              </w:rPr>
              <w:t>地点</w:t>
            </w:r>
          </w:p>
        </w:tc>
        <w:tc>
          <w:tcPr>
            <w:tcW w:w="1854" w:type="pct"/>
            <w:tcBorders>
              <w:top w:val="single" w:color="auto" w:sz="4" w:space="0"/>
              <w:left w:val="single" w:color="auto" w:sz="4" w:space="0"/>
              <w:bottom w:val="single" w:color="auto" w:sz="4" w:space="0"/>
              <w:right w:val="single" w:color="auto" w:sz="4" w:space="0"/>
            </w:tcBorders>
            <w:vAlign w:val="center"/>
          </w:tcPr>
          <w:p w14:paraId="37A0E836">
            <w:pPr>
              <w:spacing w:line="360" w:lineRule="auto"/>
              <w:jc w:val="center"/>
              <w:rPr>
                <w:rFonts w:asciiTheme="minorEastAsia" w:hAnsiTheme="minorEastAsia" w:eastAsiaTheme="minorEastAsia"/>
                <w:color w:val="FF0000"/>
                <w:szCs w:val="21"/>
              </w:rPr>
            </w:pPr>
            <w:r>
              <w:rPr>
                <w:rFonts w:hint="eastAsia" w:ascii="宋体" w:hAnsi="宋体"/>
                <w:b/>
                <w:color w:val="FF0000"/>
                <w:szCs w:val="21"/>
              </w:rPr>
              <w:t>扬大附院西区行政楼</w:t>
            </w:r>
            <w:r>
              <w:rPr>
                <w:rFonts w:hint="eastAsia" w:ascii="宋体" w:hAnsi="宋体"/>
                <w:b/>
                <w:color w:val="FF0000"/>
                <w:szCs w:val="21"/>
                <w:lang w:val="en-US" w:eastAsia="zh-CN"/>
              </w:rPr>
              <w:t>407</w:t>
            </w:r>
            <w:r>
              <w:rPr>
                <w:rFonts w:hint="eastAsia" w:ascii="宋体" w:hAnsi="宋体"/>
                <w:b/>
                <w:color w:val="FF0000"/>
                <w:szCs w:val="21"/>
              </w:rPr>
              <w:t>会议室</w:t>
            </w:r>
          </w:p>
        </w:tc>
      </w:tr>
      <w:tr w14:paraId="5F3D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3A7E76A1">
            <w:pPr>
              <w:spacing w:line="360" w:lineRule="auto"/>
              <w:jc w:val="center"/>
              <w:rPr>
                <w:rFonts w:ascii="宋体" w:hAnsi="宋体"/>
                <w:szCs w:val="21"/>
              </w:rPr>
            </w:pPr>
            <w:r>
              <w:rPr>
                <w:rFonts w:hint="eastAsia" w:ascii="宋体" w:hAnsi="宋体"/>
                <w:szCs w:val="21"/>
              </w:rPr>
              <w:t>联系方式</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C07244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联系人：张老师   联系电话：0514-82099552</w:t>
            </w:r>
          </w:p>
          <w:p w14:paraId="521E5152">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地址：扬大附院西区行政楼403办公室</w:t>
            </w:r>
          </w:p>
        </w:tc>
      </w:tr>
      <w:tr w14:paraId="3D98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71" w:type="pct"/>
            <w:tcBorders>
              <w:top w:val="single" w:color="auto" w:sz="4" w:space="0"/>
              <w:left w:val="single" w:color="auto" w:sz="4" w:space="0"/>
              <w:bottom w:val="single" w:color="auto" w:sz="4" w:space="0"/>
              <w:right w:val="single" w:color="auto" w:sz="4" w:space="0"/>
            </w:tcBorders>
            <w:vAlign w:val="center"/>
          </w:tcPr>
          <w:p w14:paraId="5045A3D4">
            <w:pPr>
              <w:spacing w:line="360" w:lineRule="auto"/>
              <w:jc w:val="center"/>
              <w:rPr>
                <w:rFonts w:ascii="宋体" w:hAnsi="宋体"/>
                <w:szCs w:val="21"/>
              </w:rPr>
            </w:pPr>
            <w:r>
              <w:rPr>
                <w:rFonts w:hint="eastAsia" w:ascii="宋体" w:hAnsi="宋体"/>
                <w:szCs w:val="21"/>
              </w:rPr>
              <w:t>备注</w:t>
            </w:r>
          </w:p>
        </w:tc>
        <w:tc>
          <w:tcPr>
            <w:tcW w:w="4128" w:type="pct"/>
            <w:gridSpan w:val="5"/>
            <w:tcBorders>
              <w:top w:val="single" w:color="auto" w:sz="4" w:space="0"/>
              <w:left w:val="single" w:color="auto" w:sz="4" w:space="0"/>
              <w:bottom w:val="single" w:color="auto" w:sz="4" w:space="0"/>
              <w:right w:val="single" w:color="auto" w:sz="4" w:space="0"/>
            </w:tcBorders>
            <w:vAlign w:val="center"/>
          </w:tcPr>
          <w:p w14:paraId="105DABB3">
            <w:pPr>
              <w:spacing w:line="360" w:lineRule="auto"/>
              <w:ind w:firstLine="422" w:firstLineChars="200"/>
              <w:jc w:val="left"/>
              <w:rPr>
                <w:rFonts w:ascii="宋体" w:hAnsi="宋体" w:cs="宋体"/>
                <w:b/>
                <w:bCs/>
                <w:szCs w:val="21"/>
              </w:rPr>
            </w:pPr>
            <w:r>
              <w:rPr>
                <w:rFonts w:hint="eastAsia" w:ascii="宋体" w:hAnsi="宋体" w:cs="宋体"/>
                <w:b/>
                <w:bCs/>
                <w:szCs w:val="21"/>
              </w:rPr>
              <w:t>本项目不接受分包及转包；</w:t>
            </w:r>
          </w:p>
          <w:p w14:paraId="34F6304F">
            <w:pPr>
              <w:spacing w:line="360" w:lineRule="auto"/>
              <w:ind w:firstLine="422" w:firstLineChars="200"/>
              <w:jc w:val="left"/>
              <w:rPr>
                <w:rFonts w:ascii="宋体" w:hAnsi="宋体" w:cs="宋体"/>
                <w:szCs w:val="21"/>
              </w:rPr>
            </w:pPr>
            <w:r>
              <w:rPr>
                <w:rFonts w:hint="eastAsia" w:ascii="宋体" w:hAnsi="宋体" w:cs="宋体"/>
                <w:b/>
                <w:bCs/>
                <w:szCs w:val="21"/>
              </w:rPr>
              <w:t>未提供格式的投标人自拟。</w:t>
            </w:r>
          </w:p>
        </w:tc>
      </w:tr>
    </w:tbl>
    <w:p w14:paraId="6D2C9E1F">
      <w:pPr>
        <w:ind w:firstLine="4176" w:firstLineChars="1300"/>
        <w:rPr>
          <w:b/>
          <w:sz w:val="32"/>
          <w:szCs w:val="32"/>
        </w:rPr>
      </w:pPr>
      <w:bookmarkStart w:id="2" w:name="_Toc39744253"/>
    </w:p>
    <w:p w14:paraId="03E9D960">
      <w:pPr>
        <w:ind w:firstLine="4176" w:firstLineChars="1300"/>
        <w:rPr>
          <w:b/>
          <w:sz w:val="32"/>
          <w:szCs w:val="32"/>
        </w:rPr>
      </w:pPr>
    </w:p>
    <w:p w14:paraId="7D66F88E">
      <w:pPr>
        <w:ind w:firstLine="4176" w:firstLineChars="1300"/>
        <w:rPr>
          <w:b/>
          <w:sz w:val="32"/>
          <w:szCs w:val="32"/>
        </w:rPr>
      </w:pPr>
    </w:p>
    <w:p w14:paraId="33EFD1A1">
      <w:pPr>
        <w:ind w:firstLine="4176" w:firstLineChars="1300"/>
        <w:rPr>
          <w:b/>
          <w:sz w:val="32"/>
          <w:szCs w:val="32"/>
        </w:rPr>
      </w:pPr>
    </w:p>
    <w:p w14:paraId="6C551EB6">
      <w:pPr>
        <w:ind w:firstLine="4176" w:firstLineChars="1300"/>
        <w:rPr>
          <w:b/>
          <w:sz w:val="32"/>
          <w:szCs w:val="32"/>
        </w:rPr>
      </w:pPr>
    </w:p>
    <w:p w14:paraId="72B02CCB">
      <w:r>
        <w:br w:type="page"/>
      </w:r>
    </w:p>
    <w:p w14:paraId="6AC3CE55"/>
    <w:p w14:paraId="6E8582F5">
      <w:pPr>
        <w:jc w:val="center"/>
        <w:rPr>
          <w:b/>
          <w:sz w:val="32"/>
          <w:szCs w:val="32"/>
        </w:rPr>
      </w:pPr>
      <w:r>
        <w:rPr>
          <w:rFonts w:hint="eastAsia"/>
          <w:b/>
          <w:sz w:val="32"/>
          <w:szCs w:val="32"/>
        </w:rPr>
        <w:t>二、项目需求</w:t>
      </w:r>
    </w:p>
    <w:p w14:paraId="6FD888E2">
      <w:pPr>
        <w:spacing w:line="440" w:lineRule="exact"/>
        <w:ind w:left="372" w:leftChars="177" w:right="124" w:rightChars="59" w:firstLine="566" w:firstLineChars="236"/>
        <w:contextualSpacing/>
        <w:rPr>
          <w:b w:val="0"/>
          <w:bCs/>
          <w:sz w:val="24"/>
          <w:szCs w:val="24"/>
        </w:rPr>
      </w:pPr>
      <w:r>
        <w:rPr>
          <w:rFonts w:hint="eastAsia"/>
          <w:b w:val="0"/>
          <w:bCs/>
          <w:sz w:val="24"/>
          <w:szCs w:val="24"/>
        </w:rPr>
        <w:t>一、项目内容</w:t>
      </w:r>
    </w:p>
    <w:p w14:paraId="6B4F96FD">
      <w:pPr>
        <w:adjustRightInd w:val="0"/>
        <w:spacing w:line="440" w:lineRule="exact"/>
        <w:ind w:left="372" w:leftChars="177" w:firstLine="480" w:firstLineChars="200"/>
        <w:contextualSpacing/>
        <w:rPr>
          <w:rFonts w:hint="eastAsia"/>
          <w:sz w:val="24"/>
          <w:szCs w:val="24"/>
        </w:rPr>
      </w:pPr>
      <w:r>
        <w:rPr>
          <w:rFonts w:hint="eastAsia"/>
          <w:sz w:val="24"/>
          <w:szCs w:val="24"/>
        </w:rPr>
        <w:t>扬州大学附属医院西区医院对12病区进行提升改造，</w:t>
      </w:r>
      <w:r>
        <w:rPr>
          <w:rFonts w:hint="eastAsia" w:cs="宋体"/>
          <w:color w:val="000000"/>
          <w:sz w:val="24"/>
          <w:szCs w:val="24"/>
        </w:rPr>
        <w:t>需对</w:t>
      </w:r>
      <w:r>
        <w:rPr>
          <w:rFonts w:hint="eastAsia"/>
          <w:sz w:val="24"/>
          <w:szCs w:val="24"/>
        </w:rPr>
        <w:t>京沪高级医学中心</w:t>
      </w:r>
      <w:r>
        <w:rPr>
          <w:rFonts w:hint="eastAsia"/>
          <w:sz w:val="24"/>
          <w:szCs w:val="24"/>
          <w:lang w:val="en-US" w:eastAsia="zh-CN"/>
        </w:rPr>
        <w:t>病房及门诊区域</w:t>
      </w:r>
      <w:r>
        <w:rPr>
          <w:rFonts w:hint="eastAsia" w:cs="宋体"/>
          <w:color w:val="000000"/>
          <w:sz w:val="24"/>
          <w:szCs w:val="24"/>
        </w:rPr>
        <w:t>导视标识及文化墙项目进行设计、</w:t>
      </w:r>
      <w:r>
        <w:rPr>
          <w:rFonts w:hint="eastAsia"/>
          <w:sz w:val="24"/>
          <w:szCs w:val="24"/>
        </w:rPr>
        <w:t>排版、</w:t>
      </w:r>
      <w:r>
        <w:rPr>
          <w:rFonts w:hint="eastAsia" w:cs="宋体"/>
          <w:color w:val="000000"/>
          <w:sz w:val="24"/>
          <w:szCs w:val="24"/>
        </w:rPr>
        <w:t>制作和安装</w:t>
      </w:r>
      <w:r>
        <w:rPr>
          <w:rFonts w:hint="eastAsia"/>
          <w:sz w:val="24"/>
          <w:szCs w:val="24"/>
        </w:rPr>
        <w:t>。本次项目包括按照设计要求、国家最新规范标准，对</w:t>
      </w:r>
      <w:r>
        <w:rPr>
          <w:sz w:val="24"/>
          <w:szCs w:val="24"/>
        </w:rPr>
        <w:t>室内</w:t>
      </w:r>
      <w:r>
        <w:rPr>
          <w:rFonts w:hint="eastAsia"/>
          <w:sz w:val="24"/>
          <w:szCs w:val="24"/>
        </w:rPr>
        <w:t>导视</w:t>
      </w:r>
      <w:r>
        <w:rPr>
          <w:sz w:val="24"/>
          <w:szCs w:val="24"/>
        </w:rPr>
        <w:t>、</w:t>
      </w:r>
      <w:r>
        <w:rPr>
          <w:rFonts w:hint="eastAsia"/>
          <w:sz w:val="24"/>
          <w:szCs w:val="24"/>
        </w:rPr>
        <w:t>区域</w:t>
      </w:r>
      <w:r>
        <w:rPr>
          <w:sz w:val="24"/>
          <w:szCs w:val="24"/>
        </w:rPr>
        <w:t>分布</w:t>
      </w:r>
      <w:r>
        <w:rPr>
          <w:rFonts w:hint="eastAsia"/>
          <w:sz w:val="24"/>
          <w:szCs w:val="24"/>
        </w:rPr>
        <w:t>、</w:t>
      </w:r>
      <w:r>
        <w:rPr>
          <w:sz w:val="24"/>
          <w:szCs w:val="24"/>
        </w:rPr>
        <w:t>区域名称</w:t>
      </w:r>
      <w:r>
        <w:rPr>
          <w:rFonts w:hint="eastAsia"/>
          <w:sz w:val="24"/>
          <w:szCs w:val="24"/>
        </w:rPr>
        <w:t>、</w:t>
      </w:r>
      <w:r>
        <w:rPr>
          <w:sz w:val="24"/>
          <w:szCs w:val="24"/>
        </w:rPr>
        <w:t>科室</w:t>
      </w:r>
      <w:r>
        <w:rPr>
          <w:rFonts w:hint="eastAsia"/>
          <w:sz w:val="24"/>
          <w:szCs w:val="24"/>
        </w:rPr>
        <w:t>、诊室、</w:t>
      </w:r>
      <w:r>
        <w:rPr>
          <w:sz w:val="24"/>
          <w:szCs w:val="24"/>
        </w:rPr>
        <w:t>设备间</w:t>
      </w:r>
      <w:r>
        <w:rPr>
          <w:rFonts w:hint="eastAsia"/>
          <w:sz w:val="24"/>
          <w:szCs w:val="24"/>
        </w:rPr>
        <w:t>标识、警示标识、公示标识、</w:t>
      </w:r>
      <w:r>
        <w:rPr>
          <w:sz w:val="24"/>
          <w:szCs w:val="24"/>
        </w:rPr>
        <w:t>温馨提示</w:t>
      </w:r>
      <w:r>
        <w:rPr>
          <w:rFonts w:hint="eastAsia"/>
          <w:sz w:val="24"/>
          <w:szCs w:val="24"/>
        </w:rPr>
        <w:t>等进行</w:t>
      </w:r>
      <w:r>
        <w:rPr>
          <w:rFonts w:hint="eastAsia"/>
          <w:sz w:val="24"/>
          <w:szCs w:val="24"/>
          <w:lang w:val="en-US" w:eastAsia="zh-CN"/>
        </w:rPr>
        <w:t>设计制作安装</w:t>
      </w:r>
      <w:r>
        <w:rPr>
          <w:rFonts w:hint="eastAsia"/>
          <w:sz w:val="24"/>
          <w:szCs w:val="24"/>
        </w:rPr>
        <w:t>及配套服务。</w:t>
      </w:r>
      <w:r>
        <w:rPr>
          <w:rFonts w:hint="eastAsia"/>
          <w:b/>
          <w:bCs/>
          <w:sz w:val="24"/>
          <w:szCs w:val="24"/>
        </w:rPr>
        <w:t>本项目为交钥匙工程，本次采购包括</w:t>
      </w:r>
      <w:r>
        <w:rPr>
          <w:rFonts w:hint="eastAsia"/>
          <w:b/>
          <w:bCs/>
          <w:sz w:val="24"/>
          <w:szCs w:val="24"/>
          <w:lang w:val="en-US" w:eastAsia="zh-CN"/>
        </w:rPr>
        <w:t>原标识</w:t>
      </w:r>
      <w:r>
        <w:rPr>
          <w:rFonts w:hint="eastAsia"/>
          <w:b/>
          <w:bCs/>
          <w:sz w:val="24"/>
          <w:szCs w:val="24"/>
        </w:rPr>
        <w:t>的</w:t>
      </w:r>
      <w:r>
        <w:rPr>
          <w:rFonts w:hint="eastAsia"/>
          <w:b/>
          <w:bCs/>
          <w:sz w:val="24"/>
          <w:szCs w:val="24"/>
          <w:lang w:val="en-US" w:eastAsia="zh-CN"/>
        </w:rPr>
        <w:t>拆除</w:t>
      </w:r>
      <w:r>
        <w:rPr>
          <w:rFonts w:hint="eastAsia"/>
          <w:b/>
          <w:bCs/>
          <w:sz w:val="24"/>
          <w:szCs w:val="24"/>
          <w:lang w:eastAsia="zh-CN"/>
        </w:rPr>
        <w:t>（</w:t>
      </w:r>
      <w:r>
        <w:rPr>
          <w:rFonts w:hint="eastAsia"/>
          <w:b/>
          <w:bCs/>
          <w:sz w:val="24"/>
          <w:szCs w:val="24"/>
          <w:lang w:val="en-US" w:eastAsia="zh-CN"/>
        </w:rPr>
        <w:t>如有</w:t>
      </w:r>
      <w:r>
        <w:rPr>
          <w:rFonts w:hint="eastAsia"/>
          <w:b/>
          <w:bCs/>
          <w:sz w:val="24"/>
          <w:szCs w:val="24"/>
          <w:lang w:eastAsia="zh-CN"/>
        </w:rPr>
        <w:t>）</w:t>
      </w:r>
      <w:r>
        <w:rPr>
          <w:rFonts w:hint="eastAsia"/>
          <w:b/>
          <w:bCs/>
          <w:sz w:val="24"/>
          <w:szCs w:val="24"/>
        </w:rPr>
        <w:t>、</w:t>
      </w:r>
      <w:r>
        <w:rPr>
          <w:rFonts w:hint="eastAsia"/>
          <w:b/>
          <w:bCs/>
          <w:sz w:val="24"/>
          <w:szCs w:val="24"/>
          <w:lang w:val="en-US" w:eastAsia="zh-CN"/>
        </w:rPr>
        <w:t>安装、</w:t>
      </w:r>
      <w:r>
        <w:rPr>
          <w:rFonts w:hint="eastAsia"/>
          <w:b/>
          <w:bCs/>
          <w:sz w:val="24"/>
          <w:szCs w:val="24"/>
        </w:rPr>
        <w:t>选型设计、供货、运输、卸货、施工安全防护</w:t>
      </w:r>
      <w:r>
        <w:rPr>
          <w:rFonts w:hint="eastAsia"/>
          <w:b/>
          <w:bCs/>
          <w:sz w:val="24"/>
          <w:szCs w:val="24"/>
          <w:lang w:val="en-US" w:eastAsia="zh-CN"/>
        </w:rPr>
        <w:t>等服务。</w:t>
      </w:r>
    </w:p>
    <w:p w14:paraId="38C63DD0">
      <w:pPr>
        <w:spacing w:line="440" w:lineRule="exact"/>
        <w:ind w:left="372" w:leftChars="177" w:right="124" w:rightChars="59" w:firstLine="566" w:firstLineChars="236"/>
        <w:contextualSpacing/>
        <w:rPr>
          <w:b w:val="0"/>
          <w:bCs/>
          <w:sz w:val="24"/>
          <w:szCs w:val="24"/>
        </w:rPr>
      </w:pPr>
      <w:r>
        <w:rPr>
          <w:rFonts w:hint="eastAsia"/>
          <w:b w:val="0"/>
          <w:bCs/>
          <w:sz w:val="24"/>
          <w:szCs w:val="24"/>
        </w:rPr>
        <w:t>二、设计和施工遵循的技术标准、规范要求</w:t>
      </w:r>
    </w:p>
    <w:p w14:paraId="4D3F60DC">
      <w:pPr>
        <w:spacing w:line="440" w:lineRule="exact"/>
        <w:ind w:left="372" w:leftChars="177" w:right="124" w:rightChars="59" w:firstLine="566" w:firstLineChars="236"/>
        <w:contextualSpacing/>
        <w:rPr>
          <w:rFonts w:hint="default"/>
          <w:sz w:val="24"/>
          <w:szCs w:val="24"/>
          <w:lang w:val="en-US" w:eastAsia="zh-CN"/>
        </w:rPr>
      </w:pPr>
      <w:r>
        <w:rPr>
          <w:rFonts w:hint="eastAsia"/>
          <w:sz w:val="24"/>
          <w:szCs w:val="24"/>
          <w:lang w:val="en-US" w:eastAsia="zh-CN"/>
        </w:rPr>
        <w:t>1、设计、制作依据</w:t>
      </w:r>
    </w:p>
    <w:p w14:paraId="054D49F0">
      <w:pPr>
        <w:adjustRightInd w:val="0"/>
        <w:spacing w:line="440" w:lineRule="exact"/>
        <w:ind w:firstLine="480" w:firstLineChars="200"/>
        <w:contextualSpacing/>
        <w:rPr>
          <w:rFonts w:cs="宋体"/>
          <w:b/>
          <w:bCs/>
          <w:color w:val="000000"/>
          <w:sz w:val="24"/>
          <w:szCs w:val="24"/>
        </w:rPr>
      </w:pPr>
      <w:r>
        <w:rPr>
          <w:rFonts w:cs="宋体"/>
          <w:color w:val="000000"/>
          <w:sz w:val="24"/>
          <w:szCs w:val="24"/>
        </w:rPr>
        <w:t>《公共建筑标识系统技术规范》 (GB∕T 51223-2017)</w:t>
      </w:r>
    </w:p>
    <w:p w14:paraId="3BBBE53E">
      <w:pPr>
        <w:adjustRightInd w:val="0"/>
        <w:spacing w:line="440" w:lineRule="exact"/>
        <w:ind w:firstLine="480" w:firstLineChars="200"/>
        <w:contextualSpacing/>
        <w:rPr>
          <w:rFonts w:cs="宋体"/>
          <w:color w:val="000000"/>
          <w:sz w:val="24"/>
          <w:szCs w:val="24"/>
        </w:rPr>
      </w:pPr>
      <w:r>
        <w:rPr>
          <w:rFonts w:cs="宋体"/>
          <w:color w:val="000000"/>
          <w:sz w:val="24"/>
          <w:szCs w:val="24"/>
        </w:rPr>
        <w:t>《标牌》 (GB∕T 13306 2011)</w:t>
      </w:r>
    </w:p>
    <w:p w14:paraId="48915865">
      <w:pPr>
        <w:adjustRightInd w:val="0"/>
        <w:spacing w:line="440" w:lineRule="exact"/>
        <w:ind w:firstLine="480" w:firstLineChars="200"/>
        <w:contextualSpacing/>
        <w:rPr>
          <w:rFonts w:cs="宋体"/>
          <w:color w:val="000000"/>
          <w:sz w:val="24"/>
          <w:szCs w:val="24"/>
        </w:rPr>
      </w:pPr>
      <w:r>
        <w:rPr>
          <w:rFonts w:cs="宋体"/>
          <w:color w:val="000000"/>
          <w:sz w:val="24"/>
          <w:szCs w:val="24"/>
        </w:rPr>
        <w:t>《标志用公共信息图形符号》 (GB／T10001</w:t>
      </w:r>
      <w:r>
        <w:rPr>
          <w:rFonts w:hint="eastAsia" w:cs="宋体"/>
          <w:color w:val="000000"/>
          <w:sz w:val="24"/>
          <w:szCs w:val="24"/>
        </w:rPr>
        <w:t>.</w:t>
      </w:r>
      <w:r>
        <w:rPr>
          <w:rFonts w:cs="宋体"/>
          <w:color w:val="000000"/>
          <w:sz w:val="24"/>
          <w:szCs w:val="24"/>
        </w:rPr>
        <w:t>1—4)</w:t>
      </w:r>
    </w:p>
    <w:p w14:paraId="64DE87CB">
      <w:pPr>
        <w:adjustRightInd w:val="0"/>
        <w:spacing w:line="440" w:lineRule="exact"/>
        <w:ind w:firstLine="480" w:firstLineChars="200"/>
        <w:contextualSpacing/>
        <w:rPr>
          <w:rFonts w:cs="宋体"/>
          <w:color w:val="000000"/>
          <w:sz w:val="24"/>
          <w:szCs w:val="24"/>
        </w:rPr>
      </w:pPr>
      <w:r>
        <w:rPr>
          <w:rFonts w:cs="宋体"/>
          <w:color w:val="000000"/>
          <w:sz w:val="24"/>
          <w:szCs w:val="24"/>
        </w:rPr>
        <w:t>《标志用图形符号的制定和测试程序》 (GBl2103</w:t>
      </w:r>
    </w:p>
    <w:p w14:paraId="02E4DA48">
      <w:pPr>
        <w:adjustRightInd w:val="0"/>
        <w:spacing w:line="440" w:lineRule="exact"/>
        <w:ind w:firstLine="480" w:firstLineChars="200"/>
        <w:contextualSpacing/>
        <w:rPr>
          <w:rFonts w:cs="宋体"/>
          <w:color w:val="000000"/>
          <w:sz w:val="24"/>
          <w:szCs w:val="24"/>
        </w:rPr>
      </w:pPr>
      <w:r>
        <w:rPr>
          <w:rFonts w:cs="宋体"/>
          <w:color w:val="000000"/>
          <w:sz w:val="24"/>
          <w:szCs w:val="24"/>
        </w:rPr>
        <w:t>《标志用图形符号的制定和测试程序》 (GBl2103</w:t>
      </w:r>
      <w:r>
        <w:rPr>
          <w:rFonts w:hint="eastAsia" w:cs="宋体"/>
          <w:color w:val="000000"/>
          <w:sz w:val="24"/>
          <w:szCs w:val="24"/>
        </w:rPr>
        <w:t>)</w:t>
      </w:r>
    </w:p>
    <w:p w14:paraId="3E642BE4">
      <w:pPr>
        <w:adjustRightInd w:val="0"/>
        <w:spacing w:line="440" w:lineRule="exact"/>
        <w:ind w:firstLine="480" w:firstLineChars="200"/>
        <w:contextualSpacing/>
        <w:rPr>
          <w:rFonts w:cs="宋体"/>
          <w:color w:val="000000"/>
          <w:sz w:val="24"/>
          <w:szCs w:val="24"/>
        </w:rPr>
      </w:pPr>
      <w:r>
        <w:rPr>
          <w:rFonts w:cs="宋体"/>
          <w:color w:val="000000"/>
          <w:sz w:val="24"/>
          <w:szCs w:val="24"/>
        </w:rPr>
        <w:t>《消防安全标志》 (GBl3495)</w:t>
      </w:r>
    </w:p>
    <w:p w14:paraId="0C72112C">
      <w:pPr>
        <w:adjustRightInd w:val="0"/>
        <w:spacing w:line="440" w:lineRule="exact"/>
        <w:ind w:firstLine="480" w:firstLineChars="200"/>
        <w:contextualSpacing/>
        <w:rPr>
          <w:rFonts w:cs="宋体"/>
          <w:color w:val="000000"/>
          <w:sz w:val="24"/>
          <w:szCs w:val="24"/>
        </w:rPr>
      </w:pPr>
      <w:r>
        <w:rPr>
          <w:rFonts w:cs="宋体"/>
          <w:color w:val="000000"/>
          <w:sz w:val="24"/>
          <w:szCs w:val="24"/>
        </w:rPr>
        <w:t>《图形符号表示规则总则》 (GB／T16900)</w:t>
      </w:r>
    </w:p>
    <w:p w14:paraId="0199B8BB">
      <w:pPr>
        <w:adjustRightInd w:val="0"/>
        <w:spacing w:line="440" w:lineRule="exact"/>
        <w:ind w:firstLine="480" w:firstLineChars="200"/>
        <w:contextualSpacing/>
        <w:rPr>
          <w:rFonts w:cs="宋体"/>
          <w:color w:val="000000"/>
          <w:sz w:val="24"/>
          <w:szCs w:val="24"/>
        </w:rPr>
      </w:pPr>
      <w:r>
        <w:rPr>
          <w:rFonts w:cs="宋体"/>
          <w:color w:val="000000"/>
          <w:sz w:val="24"/>
          <w:szCs w:val="24"/>
        </w:rPr>
        <w:t>《图形符号表示规则标志用图形符号》 (GB／T16903)</w:t>
      </w:r>
    </w:p>
    <w:p w14:paraId="00B7D13D">
      <w:pPr>
        <w:adjustRightInd w:val="0"/>
        <w:spacing w:line="440" w:lineRule="exact"/>
        <w:ind w:firstLine="480" w:firstLineChars="200"/>
        <w:contextualSpacing/>
        <w:rPr>
          <w:rFonts w:cs="宋体"/>
          <w:color w:val="000000"/>
          <w:sz w:val="24"/>
          <w:szCs w:val="24"/>
        </w:rPr>
      </w:pPr>
      <w:r>
        <w:rPr>
          <w:rFonts w:cs="宋体"/>
          <w:color w:val="000000"/>
          <w:sz w:val="24"/>
          <w:szCs w:val="24"/>
        </w:rPr>
        <w:t>《公共信息符号制定和使用原则》 (1S0／TR7239)</w:t>
      </w:r>
    </w:p>
    <w:p w14:paraId="39B10F6B">
      <w:pPr>
        <w:pStyle w:val="8"/>
        <w:adjustRightInd w:val="0"/>
        <w:spacing w:line="440" w:lineRule="exact"/>
        <w:ind w:firstLine="480" w:firstLineChars="200"/>
        <w:contextualSpacing/>
        <w:rPr>
          <w:rFonts w:hint="eastAsia" w:ascii="宋体" w:hAnsi="宋体" w:eastAsia="宋体"/>
          <w:b w:val="0"/>
          <w:bCs/>
          <w:sz w:val="24"/>
          <w:szCs w:val="24"/>
        </w:rPr>
      </w:pPr>
      <w:r>
        <w:rPr>
          <w:rFonts w:hint="eastAsia" w:ascii="宋体" w:hAnsi="宋体" w:eastAsia="宋体"/>
          <w:b w:val="0"/>
          <w:bCs/>
          <w:sz w:val="24"/>
          <w:szCs w:val="24"/>
        </w:rPr>
        <w:t>本工程包括但不限于</w:t>
      </w:r>
      <w:r>
        <w:rPr>
          <w:rFonts w:ascii="宋体" w:hAnsi="宋体" w:eastAsia="宋体"/>
          <w:b w:val="0"/>
          <w:bCs/>
          <w:sz w:val="24"/>
          <w:szCs w:val="24"/>
        </w:rPr>
        <w:t>其它与本工程相关的技术规范。如果国家有新的行业标准公布，则按新标准执行。</w:t>
      </w:r>
    </w:p>
    <w:p w14:paraId="53722CB7">
      <w:pPr>
        <w:spacing w:line="440" w:lineRule="exact"/>
        <w:ind w:left="372" w:leftChars="177" w:right="124" w:rightChars="59" w:firstLine="566" w:firstLineChars="236"/>
        <w:contextualSpacing/>
        <w:rPr>
          <w:sz w:val="24"/>
          <w:szCs w:val="24"/>
        </w:rPr>
      </w:pPr>
      <w:r>
        <w:rPr>
          <w:rFonts w:hint="eastAsia"/>
          <w:sz w:val="24"/>
          <w:szCs w:val="24"/>
        </w:rPr>
        <w:t>2、相关要求</w:t>
      </w:r>
    </w:p>
    <w:p w14:paraId="6AA17692">
      <w:pPr>
        <w:spacing w:line="440" w:lineRule="exact"/>
        <w:ind w:left="372" w:leftChars="177" w:right="124" w:rightChars="59" w:firstLine="566" w:firstLineChars="236"/>
        <w:contextualSpacing/>
        <w:rPr>
          <w:sz w:val="24"/>
          <w:szCs w:val="24"/>
        </w:rPr>
      </w:pPr>
      <w:r>
        <w:rPr>
          <w:rFonts w:hint="eastAsia"/>
          <w:sz w:val="24"/>
          <w:szCs w:val="24"/>
          <w:lang w:val="en-US" w:eastAsia="zh-CN"/>
        </w:rPr>
        <w:t>2.1</w:t>
      </w:r>
      <w:r>
        <w:rPr>
          <w:rFonts w:hint="eastAsia"/>
          <w:sz w:val="24"/>
          <w:szCs w:val="24"/>
        </w:rPr>
        <w:t>乙方在施工时要确保安全生产、文明施工、疫情防控，杜绝各类不良事件的发生，因不规范施工管理造成的后果，一切责任由乙方承担。</w:t>
      </w:r>
    </w:p>
    <w:p w14:paraId="526157F6">
      <w:pPr>
        <w:spacing w:line="440" w:lineRule="exact"/>
        <w:ind w:left="372" w:leftChars="177" w:right="124" w:rightChars="59" w:firstLine="569" w:firstLineChars="236"/>
        <w:contextualSpacing/>
        <w:rPr>
          <w:b/>
          <w:bCs/>
          <w:sz w:val="24"/>
          <w:szCs w:val="24"/>
        </w:rPr>
      </w:pPr>
      <w:r>
        <w:rPr>
          <w:rFonts w:hint="eastAsia"/>
          <w:b/>
          <w:bCs/>
          <w:sz w:val="24"/>
          <w:szCs w:val="24"/>
          <w:lang w:val="en-US" w:eastAsia="zh-CN"/>
        </w:rPr>
        <w:t>2.2</w:t>
      </w:r>
      <w:r>
        <w:rPr>
          <w:rFonts w:hint="eastAsia"/>
          <w:b/>
          <w:bCs/>
          <w:sz w:val="24"/>
          <w:szCs w:val="24"/>
        </w:rPr>
        <w:t>因施工的特殊性，施工要严格控噪音防止干扰住院病人，施工期间严格按照监理管理要求同装饰单位进行配合作业。</w:t>
      </w:r>
    </w:p>
    <w:p w14:paraId="2633AD6D">
      <w:pPr>
        <w:spacing w:line="440" w:lineRule="exact"/>
        <w:ind w:left="372" w:leftChars="177" w:right="124" w:rightChars="59" w:firstLine="600" w:firstLineChars="249"/>
        <w:contextualSpacing/>
        <w:rPr>
          <w:rFonts w:hint="eastAsia"/>
          <w:sz w:val="24"/>
          <w:szCs w:val="24"/>
        </w:rPr>
      </w:pPr>
      <w:r>
        <w:rPr>
          <w:rFonts w:hint="eastAsia"/>
          <w:b/>
          <w:bCs/>
          <w:sz w:val="24"/>
          <w:szCs w:val="24"/>
          <w:lang w:val="en-US" w:eastAsia="zh-CN"/>
        </w:rPr>
        <w:t>2.3</w:t>
      </w:r>
      <w:r>
        <w:rPr>
          <w:rFonts w:hint="eastAsia"/>
          <w:b/>
          <w:bCs/>
          <w:sz w:val="24"/>
          <w:szCs w:val="24"/>
        </w:rPr>
        <w:t>甲方提供</w:t>
      </w:r>
      <w:r>
        <w:rPr>
          <w:rFonts w:hint="eastAsia"/>
          <w:b/>
          <w:bCs/>
          <w:sz w:val="24"/>
          <w:szCs w:val="24"/>
          <w:lang w:val="en-US" w:eastAsia="zh-CN"/>
        </w:rPr>
        <w:t>标识形式和规格</w:t>
      </w:r>
      <w:r>
        <w:rPr>
          <w:rFonts w:hint="eastAsia"/>
          <w:b/>
          <w:bCs/>
          <w:sz w:val="24"/>
          <w:szCs w:val="24"/>
        </w:rPr>
        <w:t>仅供参考。</w:t>
      </w:r>
    </w:p>
    <w:p w14:paraId="5FBDAE41">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3、设计、制作要求</w:t>
      </w:r>
    </w:p>
    <w:p w14:paraId="34A54678">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3.1室内导视、区域分布、区域名称、科室、诊室、科室和设备间标识、警示标识、公示标识、温馨提示。</w:t>
      </w:r>
    </w:p>
    <w:p w14:paraId="734CC0A9">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3.2设计深度要求投标人应以可实施性为指导进行技术方案响应，设计深度力求详尽，包括但不限于创意方案、设计说明、设计效果图以及标识和文化墙的布局、样式、材质、颜色等方面的描述。</w:t>
      </w:r>
    </w:p>
    <w:p w14:paraId="1910251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3.3设计方案内容要求投标人应提交详尽的项目设计方案及其相关的资料文件，包括但不限于以下资料：</w:t>
      </w:r>
    </w:p>
    <w:p w14:paraId="55E6B72F">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3.3.1设计说明及主要展示内容等；描述设计方案的逻辑思路，说明其设计内容、思路等；</w:t>
      </w:r>
    </w:p>
    <w:p w14:paraId="66E608A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3.3.2项目设计点位与实景对比效果，点对点说明设计内容；</w:t>
      </w:r>
    </w:p>
    <w:p w14:paraId="6B7C0001">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3.3.3项目的空间设计，整体彩色效果图及细节效果图；彩色效果图应充分虑场所特点、使用需求和文化内涵，表现总体氛围和主要空间的环境效果等，确保实用性与美观性的统一；</w:t>
      </w:r>
    </w:p>
    <w:p w14:paraId="39D348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3.3.4材质应用设计；技术规格应明确标识和文化墙的造型图、风格、色彩、制作工艺、材料选用、尺寸大小等要求，符合相关行业标准和质量要求。</w:t>
      </w:r>
    </w:p>
    <w:p w14:paraId="652561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3.4各类导视、标识及科室文化墙需要西区医院总体相协调，又要与周围环境和室内装饰风格箱融合，既彰显个性化特点，又能反映医院标识文化元素，也能展示医院和科室文化面貌。</w:t>
      </w:r>
    </w:p>
    <w:p w14:paraId="1F0D3552">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3.5导视、标识及文化墙布局应以公共建筑空间功能布局及流线为依据并宜分层级设计设置，分布密度合理规范，⼒求与建筑空间相协调，体现动静合理布局。</w:t>
      </w:r>
    </w:p>
    <w:p w14:paraId="3D7F1D74">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3.6视觉导视标识设置应符合现行国家标准《公共信息导视系统设置原则与要求第一部分：总则》GB/15566.1的规定。</w:t>
      </w:r>
    </w:p>
    <w:p w14:paraId="67E785A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3.7导视标识系统各类标识中信息的传递应优先使用图形符号标识，图形标识应符合现行国家标准《标志用公共信息图形符号》GB/铜10001.2-6、9的规定，并应符合现行国家标准《公共信息导视系统导视要素的设计原则与要求》GB/T20501.1、2的规定。</w:t>
      </w:r>
    </w:p>
    <w:p w14:paraId="33F9BB75">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3.8导视标识系统中各类标识所使用的文字必须同时使用中文和英文二种文字，且中文和英文字使用规范、准确，字体清晰明朗。</w:t>
      </w:r>
    </w:p>
    <w:p w14:paraId="32C7607A">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3.9同一系统的导视标识设计要素的形式、位置、大小、色彩应保持一致，并且与区域的风格环境相协调，既彰显个性化特点，又能反映医院标识文化元素，也能展示医院和科室文化面貌。</w:t>
      </w:r>
    </w:p>
    <w:p w14:paraId="0656EEB1">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导视标识及文化墙设计数量</w:t>
      </w:r>
    </w:p>
    <w:p w14:paraId="59E0D67D">
      <w:pPr>
        <w:numPr>
          <w:ilvl w:val="0"/>
          <w:numId w:val="0"/>
        </w:numPr>
        <w:spacing w:line="440" w:lineRule="exact"/>
        <w:ind w:leftChars="413" w:right="124" w:rightChars="59"/>
        <w:contextualSpacing/>
        <w:jc w:val="center"/>
        <w:rPr>
          <w:rFonts w:hint="default"/>
          <w:sz w:val="24"/>
          <w:szCs w:val="24"/>
          <w:lang w:val="en-US" w:eastAsia="zh-CN"/>
        </w:rPr>
      </w:pPr>
      <w:r>
        <w:rPr>
          <w:rFonts w:hint="eastAsia" w:cs="Times New Roman"/>
          <w:b/>
          <w:sz w:val="28"/>
          <w:szCs w:val="28"/>
        </w:rPr>
        <w:t>京沪高级医学中心导视标识及文化墙标识清单</w:t>
      </w:r>
    </w:p>
    <w:tbl>
      <w:tblPr>
        <w:tblStyle w:val="26"/>
        <w:tblW w:w="10471" w:type="dxa"/>
        <w:tblInd w:w="-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1"/>
        <w:gridCol w:w="1155"/>
        <w:gridCol w:w="1185"/>
        <w:gridCol w:w="2370"/>
        <w:gridCol w:w="1665"/>
        <w:gridCol w:w="2115"/>
        <w:gridCol w:w="585"/>
        <w:gridCol w:w="555"/>
      </w:tblGrid>
      <w:tr w14:paraId="7BC1D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6D4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FC3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4AB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F2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形  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E8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  格</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（根据现场情况调整尺寸）</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B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材料及工艺</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5D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FB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14:paraId="75B8D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F2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73A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FB0DB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护士站门楣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7F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CE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0</wp:posOffset>
                  </wp:positionV>
                  <wp:extent cx="1317625" cy="996950"/>
                  <wp:effectExtent l="0" t="0" r="15875" b="12700"/>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7"/>
                          <a:stretch>
                            <a:fillRect/>
                          </a:stretch>
                        </pic:blipFill>
                        <pic:spPr>
                          <a:xfrm>
                            <a:off x="0" y="0"/>
                            <a:ext cx="1317625" cy="9969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0F62">
            <w:pPr>
              <w:keepNext w:val="0"/>
              <w:keepLines w:val="0"/>
              <w:widowControl/>
              <w:suppressLineNumbers w:val="0"/>
              <w:jc w:val="left"/>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8E22">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1.白色亚克力侧边烤漆发光字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C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38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53A88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690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52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9D34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护士站吧台字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26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38100</wp:posOffset>
                  </wp:positionV>
                  <wp:extent cx="1304925" cy="1109980"/>
                  <wp:effectExtent l="0" t="0" r="9525" b="13970"/>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8"/>
                          <a:stretch>
                            <a:fillRect/>
                          </a:stretch>
                        </pic:blipFill>
                        <pic:spPr>
                          <a:xfrm>
                            <a:off x="0" y="0"/>
                            <a:ext cx="1304925" cy="11099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7269">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CDF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1.拉丝银不锈钢激光雕刻精工字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p w14:paraId="193A696F">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C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D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FD04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54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E8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51D9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疏覆盖全区域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C6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散指示图（总）</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8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44450</wp:posOffset>
                  </wp:positionV>
                  <wp:extent cx="1096645" cy="1029335"/>
                  <wp:effectExtent l="0" t="0" r="8255" b="18415"/>
                  <wp:wrapNone/>
                  <wp:docPr id="16" name="图片_2"/>
                  <wp:cNvGraphicFramePr/>
                  <a:graphic xmlns:a="http://schemas.openxmlformats.org/drawingml/2006/main">
                    <a:graphicData uri="http://schemas.openxmlformats.org/drawingml/2006/picture">
                      <pic:pic xmlns:pic="http://schemas.openxmlformats.org/drawingml/2006/picture">
                        <pic:nvPicPr>
                          <pic:cNvPr id="16" name="图片_2"/>
                          <pic:cNvPicPr/>
                        </pic:nvPicPr>
                        <pic:blipFill>
                          <a:blip r:embed="rId9"/>
                          <a:stretch>
                            <a:fillRect/>
                          </a:stretch>
                        </pic:blipFill>
                        <pic:spPr>
                          <a:xfrm>
                            <a:off x="0" y="0"/>
                            <a:ext cx="1096645" cy="10293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0F7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≥400*340*8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8543">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2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CD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72560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CBE8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8B9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3E51ED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卫生间</w:t>
            </w:r>
          </w:p>
          <w:p w14:paraId="55D95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温馨提示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4DA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B3BF">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1.当心地滑2.保持清洁3.垃圾入篓4.如厕后冲洗5.请节约用水6.小心台阶7.坐便器8.蹲坑9.如厕后冲洗10.请节约用水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461B5">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≥100*100*5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48C8D">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1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E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2B360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0EE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6CE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543B9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软膜灯箱</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17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40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14605</wp:posOffset>
                  </wp:positionH>
                  <wp:positionV relativeFrom="paragraph">
                    <wp:posOffset>-38100</wp:posOffset>
                  </wp:positionV>
                  <wp:extent cx="1303020" cy="1190625"/>
                  <wp:effectExtent l="0" t="0" r="11430" b="9525"/>
                  <wp:wrapNone/>
                  <wp:docPr id="17" name="图片_14"/>
                  <wp:cNvGraphicFramePr/>
                  <a:graphic xmlns:a="http://schemas.openxmlformats.org/drawingml/2006/main">
                    <a:graphicData uri="http://schemas.openxmlformats.org/drawingml/2006/picture">
                      <pic:pic xmlns:pic="http://schemas.openxmlformats.org/drawingml/2006/picture">
                        <pic:nvPicPr>
                          <pic:cNvPr id="17" name="图片_14"/>
                          <pic:cNvPicPr/>
                        </pic:nvPicPr>
                        <pic:blipFill>
                          <a:blip r:embed="rId10"/>
                          <a:stretch>
                            <a:fillRect/>
                          </a:stretch>
                        </pic:blipFill>
                        <pic:spPr>
                          <a:xfrm>
                            <a:off x="0" y="0"/>
                            <a:ext cx="1303020" cy="119062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AFF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2556*1000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73C5">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1.铝合金型材围边固定</w:t>
            </w:r>
          </w:p>
          <w:p w14:paraId="574A43D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2.内置6500K品牌透镜光源</w:t>
            </w:r>
          </w:p>
          <w:p w14:paraId="35B11D7E">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3.画面高精度UV打印软膜封边、四周不锈钢包边收口</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A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7D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08C45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7A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DCB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3DB22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大厅入口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45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十二病区</w:t>
            </w:r>
            <w:r>
              <w:rPr>
                <w:rFonts w:hint="eastAsia" w:ascii="宋体" w:hAnsi="宋体" w:eastAsia="宋体" w:cs="宋体"/>
                <w:i w:val="0"/>
                <w:iCs w:val="0"/>
                <w:color w:val="000000"/>
                <w:kern w:val="0"/>
                <w:sz w:val="21"/>
                <w:szCs w:val="21"/>
                <w:u w:val="none"/>
                <w:lang w:val="en-US" w:eastAsia="zh-CN" w:bidi="ar"/>
              </w:rPr>
              <w:br w:type="textWrapping"/>
            </w:r>
          </w:p>
          <w:p w14:paraId="6720EE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2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285750</wp:posOffset>
                  </wp:positionV>
                  <wp:extent cx="1298575" cy="1223645"/>
                  <wp:effectExtent l="0" t="0" r="15875" b="14605"/>
                  <wp:wrapNone/>
                  <wp:docPr id="4" name="图片_19"/>
                  <wp:cNvGraphicFramePr/>
                  <a:graphic xmlns:a="http://schemas.openxmlformats.org/drawingml/2006/main">
                    <a:graphicData uri="http://schemas.openxmlformats.org/drawingml/2006/picture">
                      <pic:pic xmlns:pic="http://schemas.openxmlformats.org/drawingml/2006/picture">
                        <pic:nvPicPr>
                          <pic:cNvPr id="4" name="图片_19"/>
                          <pic:cNvPicPr/>
                        </pic:nvPicPr>
                        <pic:blipFill>
                          <a:blip r:embed="rId11"/>
                          <a:stretch>
                            <a:fillRect/>
                          </a:stretch>
                        </pic:blipFill>
                        <pic:spPr>
                          <a:xfrm>
                            <a:off x="0" y="0"/>
                            <a:ext cx="1298575" cy="12236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-166370</wp:posOffset>
                  </wp:positionV>
                  <wp:extent cx="1342390" cy="340360"/>
                  <wp:effectExtent l="0" t="0" r="10160" b="2540"/>
                  <wp:wrapNone/>
                  <wp:docPr id="2" name="图片_23"/>
                  <wp:cNvGraphicFramePr/>
                  <a:graphic xmlns:a="http://schemas.openxmlformats.org/drawingml/2006/main">
                    <a:graphicData uri="http://schemas.openxmlformats.org/drawingml/2006/picture">
                      <pic:pic xmlns:pic="http://schemas.openxmlformats.org/drawingml/2006/picture">
                        <pic:nvPicPr>
                          <pic:cNvPr id="2" name="图片_23"/>
                          <pic:cNvPicPr/>
                        </pic:nvPicPr>
                        <pic:blipFill>
                          <a:blip r:embed="rId12"/>
                          <a:stretch>
                            <a:fillRect/>
                          </a:stretch>
                        </pic:blipFill>
                        <pic:spPr>
                          <a:xfrm>
                            <a:off x="0" y="0"/>
                            <a:ext cx="1342390" cy="34036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5E90">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8678C">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p w14:paraId="7FE6710F">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r>
              <w:rPr>
                <w:rFonts w:hint="eastAsia" w:ascii="微软雅黑" w:hAnsi="微软雅黑" w:eastAsia="微软雅黑" w:cs="微软雅黑"/>
                <w:i w:val="0"/>
                <w:iCs w:val="0"/>
                <w:color w:val="000000"/>
                <w:kern w:val="0"/>
                <w:sz w:val="21"/>
                <w:szCs w:val="21"/>
                <w:highlight w:val="yellow"/>
                <w:u w:val="none"/>
                <w:lang w:val="en-US" w:eastAsia="zh-CN" w:bidi="ar"/>
              </w:rPr>
              <w:t>提供小样，可通电发光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9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4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45618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65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AD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w:t>
            </w:r>
            <w:r>
              <w:rPr>
                <w:rFonts w:hint="eastAsia" w:ascii="宋体" w:hAnsi="宋体" w:cs="宋体"/>
                <w:i w:val="0"/>
                <w:iCs w:val="0"/>
                <w:color w:val="000000"/>
                <w:kern w:val="0"/>
                <w:sz w:val="21"/>
                <w:szCs w:val="21"/>
                <w:u w:val="none"/>
                <w:lang w:val="en-US" w:eastAsia="zh-CN" w:bidi="ar"/>
              </w:rPr>
              <w:t>病房</w:t>
            </w: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479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V01—V19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61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93345</wp:posOffset>
                  </wp:positionH>
                  <wp:positionV relativeFrom="paragraph">
                    <wp:posOffset>83820</wp:posOffset>
                  </wp:positionV>
                  <wp:extent cx="1159510" cy="1198880"/>
                  <wp:effectExtent l="0" t="0" r="2540" b="1270"/>
                  <wp:wrapNone/>
                  <wp:docPr id="5" name="图片_20"/>
                  <wp:cNvGraphicFramePr/>
                  <a:graphic xmlns:a="http://schemas.openxmlformats.org/drawingml/2006/main">
                    <a:graphicData uri="http://schemas.openxmlformats.org/drawingml/2006/picture">
                      <pic:pic xmlns:pic="http://schemas.openxmlformats.org/drawingml/2006/picture">
                        <pic:nvPicPr>
                          <pic:cNvPr id="5" name="图片_20"/>
                          <pic:cNvPicPr/>
                        </pic:nvPicPr>
                        <pic:blipFill>
                          <a:blip r:embed="rId13"/>
                          <a:stretch>
                            <a:fillRect/>
                          </a:stretch>
                        </pic:blipFill>
                        <pic:spPr>
                          <a:xfrm>
                            <a:off x="0" y="0"/>
                            <a:ext cx="1159510" cy="11988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C92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≥150*150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3ED9">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p>
          <w:p w14:paraId="7C59639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4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8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F4B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223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7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F2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治疗室、处置、值班室、更衣室、示教室医生办、主任办、新风机房、弱电机房等</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4C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57150</wp:posOffset>
                  </wp:positionV>
                  <wp:extent cx="1196340" cy="1232535"/>
                  <wp:effectExtent l="0" t="0" r="3810" b="5715"/>
                  <wp:wrapNone/>
                  <wp:docPr id="6" name="图片_21"/>
                  <wp:cNvGraphicFramePr/>
                  <a:graphic xmlns:a="http://schemas.openxmlformats.org/drawingml/2006/main">
                    <a:graphicData uri="http://schemas.openxmlformats.org/drawingml/2006/picture">
                      <pic:pic xmlns:pic="http://schemas.openxmlformats.org/drawingml/2006/picture">
                        <pic:nvPicPr>
                          <pic:cNvPr id="6" name="图片_21"/>
                          <pic:cNvPicPr/>
                        </pic:nvPicPr>
                        <pic:blipFill>
                          <a:blip r:embed="rId14"/>
                          <a:stretch>
                            <a:fillRect/>
                          </a:stretch>
                        </pic:blipFill>
                        <pic:spPr>
                          <a:xfrm>
                            <a:off x="0" y="0"/>
                            <a:ext cx="1196340" cy="12325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DC0D">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≥300*190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8698">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1.15mm磨砂亚克力面板，表面UV打印内容（中英文）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43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1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3E152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1A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DC4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50488C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设备简介</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设备介绍膜</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3E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93980</wp:posOffset>
                  </wp:positionH>
                  <wp:positionV relativeFrom="paragraph">
                    <wp:posOffset>52070</wp:posOffset>
                  </wp:positionV>
                  <wp:extent cx="1270635" cy="1225550"/>
                  <wp:effectExtent l="0" t="0" r="5715" b="12700"/>
                  <wp:wrapNone/>
                  <wp:docPr id="12" name="图片_18"/>
                  <wp:cNvGraphicFramePr/>
                  <a:graphic xmlns:a="http://schemas.openxmlformats.org/drawingml/2006/main">
                    <a:graphicData uri="http://schemas.openxmlformats.org/drawingml/2006/picture">
                      <pic:pic xmlns:pic="http://schemas.openxmlformats.org/drawingml/2006/picture">
                        <pic:nvPicPr>
                          <pic:cNvPr id="12" name="图片_18"/>
                          <pic:cNvPicPr/>
                        </pic:nvPicPr>
                        <pic:blipFill>
                          <a:blip r:embed="rId15"/>
                          <a:stretch>
                            <a:fillRect/>
                          </a:stretch>
                        </pic:blipFill>
                        <pic:spPr>
                          <a:xfrm>
                            <a:off x="0" y="0"/>
                            <a:ext cx="127063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2C0F8">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≥2800*1350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F690">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1.高透玻璃膜表面UV打印内容</w:t>
            </w:r>
            <w:r>
              <w:rPr>
                <w:rFonts w:hint="eastAsia" w:ascii="微软雅黑" w:hAnsi="微软雅黑" w:eastAsia="微软雅黑" w:cs="微软雅黑"/>
                <w:i w:val="0"/>
                <w:iCs w:val="0"/>
                <w:color w:val="000000"/>
                <w:kern w:val="0"/>
                <w:sz w:val="21"/>
                <w:szCs w:val="21"/>
                <w:u w:val="none"/>
                <w:lang w:val="en-US" w:eastAsia="zh-CN" w:bidi="ar"/>
              </w:rPr>
              <w:br w:type="textWrapping"/>
            </w:r>
            <w:r>
              <w:rPr>
                <w:rStyle w:val="80"/>
                <w:sz w:val="21"/>
                <w:szCs w:val="21"/>
                <w:lang w:val="en-US" w:eastAsia="zh-CN" w:bidi="ar"/>
              </w:rPr>
              <w:t>2.每块之间设计有连续性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DF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8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256B1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29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D2E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r>
              <w:rPr>
                <w:rFonts w:hint="eastAsia" w:ascii="宋体" w:hAnsi="宋体" w:cs="宋体"/>
                <w:i w:val="0"/>
                <w:iCs w:val="0"/>
                <w:color w:val="000000"/>
                <w:kern w:val="0"/>
                <w:sz w:val="21"/>
                <w:szCs w:val="21"/>
                <w:u w:val="none"/>
                <w:lang w:val="en-US" w:eastAsia="zh-CN" w:bidi="ar"/>
              </w:rPr>
              <w:t>入口</w:t>
            </w:r>
          </w:p>
          <w:p w14:paraId="556D3B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6DA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F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1294765</wp:posOffset>
                  </wp:positionV>
                  <wp:extent cx="1287145" cy="604520"/>
                  <wp:effectExtent l="0" t="0" r="8255" b="5080"/>
                  <wp:wrapNone/>
                  <wp:docPr id="10" name="图片_24"/>
                  <wp:cNvGraphicFramePr/>
                  <a:graphic xmlns:a="http://schemas.openxmlformats.org/drawingml/2006/main">
                    <a:graphicData uri="http://schemas.openxmlformats.org/drawingml/2006/picture">
                      <pic:pic xmlns:pic="http://schemas.openxmlformats.org/drawingml/2006/picture">
                        <pic:nvPicPr>
                          <pic:cNvPr id="10" name="图片_24"/>
                          <pic:cNvPicPr/>
                        </pic:nvPicPr>
                        <pic:blipFill>
                          <a:blip r:embed="rId16"/>
                          <a:stretch>
                            <a:fillRect/>
                          </a:stretch>
                        </pic:blipFill>
                        <pic:spPr>
                          <a:xfrm>
                            <a:off x="0" y="0"/>
                            <a:ext cx="1287145" cy="6045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wp:posOffset>
                  </wp:positionH>
                  <wp:positionV relativeFrom="paragraph">
                    <wp:posOffset>52070</wp:posOffset>
                  </wp:positionV>
                  <wp:extent cx="1218565" cy="1113155"/>
                  <wp:effectExtent l="0" t="0" r="635" b="10795"/>
                  <wp:wrapNone/>
                  <wp:docPr id="13" name="图片_22"/>
                  <wp:cNvGraphicFramePr/>
                  <a:graphic xmlns:a="http://schemas.openxmlformats.org/drawingml/2006/main">
                    <a:graphicData uri="http://schemas.openxmlformats.org/drawingml/2006/picture">
                      <pic:pic xmlns:pic="http://schemas.openxmlformats.org/drawingml/2006/picture">
                        <pic:nvPicPr>
                          <pic:cNvPr id="13" name="图片_22"/>
                          <pic:cNvPicPr/>
                        </pic:nvPicPr>
                        <pic:blipFill>
                          <a:blip r:embed="rId17"/>
                          <a:stretch>
                            <a:fillRect/>
                          </a:stretch>
                        </pic:blipFill>
                        <pic:spPr>
                          <a:xfrm>
                            <a:off x="0" y="0"/>
                            <a:ext cx="1218565" cy="111315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547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中文≥宽300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英文≥宽100，厚度≥40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0DC0">
            <w:pPr>
              <w:keepNext w:val="0"/>
              <w:keepLines w:val="0"/>
              <w:widowControl/>
              <w:suppressLineNumbers w:val="0"/>
              <w:jc w:val="left"/>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b/>
                <w:bCs/>
                <w:i w:val="0"/>
                <w:iCs w:val="0"/>
                <w:color w:val="000000"/>
                <w:kern w:val="0"/>
                <w:sz w:val="21"/>
                <w:szCs w:val="21"/>
                <w:u w:val="none"/>
                <w:lang w:val="en-US" w:eastAsia="zh-CN" w:bidi="ar"/>
              </w:rPr>
              <w:t>5.健康管理中心与京沪高级医学中心整体考虑协调性。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9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A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65BDE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236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B31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502E08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健康体检中心背景墙发光字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2A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B4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-362585</wp:posOffset>
                  </wp:positionV>
                  <wp:extent cx="1255395" cy="1225550"/>
                  <wp:effectExtent l="0" t="0" r="1905" b="1270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18"/>
                          <a:stretch>
                            <a:fillRect/>
                          </a:stretch>
                        </pic:blipFill>
                        <pic:spPr>
                          <a:xfrm>
                            <a:off x="0" y="0"/>
                            <a:ext cx="125539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EC0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C352">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5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0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1DDB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BB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38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2D4A9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BE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27D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193675</wp:posOffset>
                  </wp:positionV>
                  <wp:extent cx="1373505" cy="1211580"/>
                  <wp:effectExtent l="0" t="0" r="17145" b="762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19"/>
                          <a:stretch>
                            <a:fillRect/>
                          </a:stretch>
                        </pic:blipFill>
                        <pic:spPr>
                          <a:xfrm>
                            <a:off x="0" y="0"/>
                            <a:ext cx="1373505" cy="12115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6B53">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中文≥250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48AD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1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727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1DD1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967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C9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07EA21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墙面指示标识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98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4E75">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66040</wp:posOffset>
                  </wp:positionV>
                  <wp:extent cx="1289050" cy="1136015"/>
                  <wp:effectExtent l="0" t="0" r="6350" b="6985"/>
                  <wp:wrapNone/>
                  <wp:docPr id="14" name="图片_6"/>
                  <wp:cNvGraphicFramePr/>
                  <a:graphic xmlns:a="http://schemas.openxmlformats.org/drawingml/2006/main">
                    <a:graphicData uri="http://schemas.openxmlformats.org/drawingml/2006/picture">
                      <pic:pic xmlns:pic="http://schemas.openxmlformats.org/drawingml/2006/picture">
                        <pic:nvPicPr>
                          <pic:cNvPr id="14" name="图片_6"/>
                          <pic:cNvPicPr/>
                        </pic:nvPicPr>
                        <pic:blipFill>
                          <a:blip r:embed="rId20"/>
                          <a:stretch>
                            <a:fillRect/>
                          </a:stretch>
                        </pic:blipFill>
                        <pic:spPr>
                          <a:xfrm>
                            <a:off x="0" y="0"/>
                            <a:ext cx="1289050" cy="113601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939B">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1000*2400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A35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1.3mm铝板四周折弯，福莱姆汽车漆烤漆，文字内容丝网印刷</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73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D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r>
      <w:tr w14:paraId="43BC1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3C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74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2E9E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C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wp:posOffset>
                  </wp:positionH>
                  <wp:positionV relativeFrom="paragraph">
                    <wp:posOffset>-103505</wp:posOffset>
                  </wp:positionV>
                  <wp:extent cx="1224280" cy="1493520"/>
                  <wp:effectExtent l="0" t="0" r="13970"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1"/>
                          <a:stretch>
                            <a:fillRect/>
                          </a:stretch>
                        </pic:blipFill>
                        <pic:spPr>
                          <a:xfrm>
                            <a:off x="0" y="0"/>
                            <a:ext cx="1224280" cy="149352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809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≥130*280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B653">
            <w:pPr>
              <w:keepNext w:val="0"/>
              <w:keepLines w:val="0"/>
              <w:widowControl/>
              <w:numPr>
                <w:ilvl w:val="0"/>
                <w:numId w:val="3"/>
              </w:numPr>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铝合金型材边框，表面金属色烤漆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2.上部铝合金型材面板，表面烤漆，文字丝印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3.下部亚克力面板正面烤漆，文字丝；</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w:t>
            </w:r>
            <w:r>
              <w:rPr>
                <w:rStyle w:val="80"/>
                <w:sz w:val="21"/>
                <w:szCs w:val="21"/>
                <w:lang w:val="en-US" w:eastAsia="zh-CN" w:bidi="ar"/>
              </w:rPr>
              <w:t>可更换可拆卸</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5.中英文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BD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5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4E31B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707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EA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FBC03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94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41BB53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DE5E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-66675</wp:posOffset>
                  </wp:positionV>
                  <wp:extent cx="1054100" cy="1168400"/>
                  <wp:effectExtent l="0" t="0" r="12700" b="12700"/>
                  <wp:wrapNone/>
                  <wp:docPr id="18" name="图片_1"/>
                  <wp:cNvGraphicFramePr/>
                  <a:graphic xmlns:a="http://schemas.openxmlformats.org/drawingml/2006/main">
                    <a:graphicData uri="http://schemas.openxmlformats.org/drawingml/2006/picture">
                      <pic:pic xmlns:pic="http://schemas.openxmlformats.org/drawingml/2006/picture">
                        <pic:nvPicPr>
                          <pic:cNvPr id="18" name="图片_1"/>
                          <pic:cNvPicPr/>
                        </pic:nvPicPr>
                        <pic:blipFill>
                          <a:blip r:embed="rId22"/>
                          <a:stretch>
                            <a:fillRect/>
                          </a:stretch>
                        </pic:blipFill>
                        <pic:spPr>
                          <a:xfrm>
                            <a:off x="0" y="0"/>
                            <a:ext cx="1054100" cy="116840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0F7C">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≥2700*700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B349">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1.3M灰胶车贴，表面UV喷印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2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A5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14:paraId="62113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0E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c>
          <w:tcPr>
            <w:tcW w:w="96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D350F6B">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1.所有报价费用包含一切设计制作安装及税费</w:t>
            </w:r>
          </w:p>
          <w:p w14:paraId="200F20E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2.需送样品确认，未经认可不得制作</w:t>
            </w:r>
          </w:p>
          <w:p w14:paraId="3FED91C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3.最终按实际数量来结算</w:t>
            </w:r>
          </w:p>
        </w:tc>
      </w:tr>
    </w:tbl>
    <w:p w14:paraId="3B6EB5DB">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施工安装要求</w:t>
      </w:r>
    </w:p>
    <w:p w14:paraId="02F6B26B">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5.1所有施工材料质量及施工质量必须严格按照国家规范及江苏省、扬州市相应地方规范、招标文件、材料厂家的技术规范的有关要求执行，如果在合同履行过程中有新的国家或行业（部）规范和标准出台的，则中标人应确保其合同产品达到并符合新的国家或行业（部）规范和标准，因此而增加的费用及风险由中标人自行承担。</w:t>
      </w:r>
    </w:p>
    <w:p w14:paraId="6E1A2D7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5.2标识的点位安装须考虑与空间环境及其他设施的关系，避免冲突、遮蔽。</w:t>
      </w:r>
    </w:p>
    <w:p w14:paraId="0D2ACB56">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5.3项目实施期间应无条件的接受采购人的监督管理，提出的质量问题要及时整改，整改完毕后通知采购人检查验收，合格后书面报送采购人备案。</w:t>
      </w:r>
    </w:p>
    <w:p w14:paraId="1CF18387">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5.4按照设计要求和技术标准施工安装，不得擅自修改设计，不得偷工减料。</w:t>
      </w:r>
    </w:p>
    <w:p w14:paraId="34D9B580">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5.5施工时应根据设计效果图和制作工程量清单要求施工，安装辅材必须采用优质产品</w:t>
      </w:r>
    </w:p>
    <w:p w14:paraId="28397F29">
      <w:pPr>
        <w:numPr>
          <w:ilvl w:val="0"/>
          <w:numId w:val="2"/>
        </w:num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履约保证金</w:t>
      </w:r>
    </w:p>
    <w:p w14:paraId="5F3C679B">
      <w:pPr>
        <w:spacing w:line="440" w:lineRule="exact"/>
        <w:ind w:left="372" w:leftChars="177" w:right="124" w:rightChars="59" w:firstLine="566" w:firstLineChars="236"/>
        <w:contextualSpacing/>
        <w:rPr>
          <w:rFonts w:hint="eastAsia"/>
          <w:sz w:val="24"/>
          <w:szCs w:val="24"/>
          <w:lang w:val="en-US" w:eastAsia="zh-CN"/>
        </w:rPr>
      </w:pPr>
      <w:bookmarkStart w:id="3" w:name="_Toc497145843"/>
      <w:r>
        <w:rPr>
          <w:rFonts w:hint="eastAsia"/>
          <w:sz w:val="24"/>
          <w:szCs w:val="24"/>
          <w:lang w:val="en-US" w:eastAsia="zh-CN"/>
        </w:rPr>
        <w:t>6.1中标人在收到中标通知书后，须在签订合同前应向甲方缴纳合同金额10%的履约保证金。</w:t>
      </w:r>
    </w:p>
    <w:p w14:paraId="01001A1E">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6.2履约保证金用以约束投标人在合同履行中的行为，弥补合同执行中由于自身行为可能给采购人带来的各种损失。如果中标投标人不同意按照规定去做，采购人有权取消本次采购中标决定。</w:t>
      </w:r>
    </w:p>
    <w:p w14:paraId="25F49693">
      <w:pPr>
        <w:spacing w:line="440" w:lineRule="exact"/>
        <w:ind w:left="372" w:leftChars="177" w:right="124" w:rightChars="59" w:firstLine="566" w:firstLineChars="236"/>
        <w:contextualSpacing/>
        <w:rPr>
          <w:rFonts w:hint="eastAsia"/>
          <w:sz w:val="24"/>
          <w:szCs w:val="24"/>
          <w:lang w:val="en-US" w:eastAsia="zh-CN"/>
        </w:rPr>
      </w:pPr>
      <w:r>
        <w:rPr>
          <w:rFonts w:hint="eastAsia"/>
          <w:sz w:val="24"/>
          <w:szCs w:val="24"/>
          <w:lang w:val="en-US" w:eastAsia="zh-CN"/>
        </w:rPr>
        <w:t>6.3履约保证金的退还：合同履行完毕无遗留问题退还履约保证金。</w:t>
      </w:r>
    </w:p>
    <w:p w14:paraId="5AA8019D">
      <w:pPr>
        <w:rPr>
          <w:rFonts w:ascii="宋体" w:hAnsi="宋体"/>
          <w:b/>
          <w:bCs/>
          <w:sz w:val="36"/>
        </w:rPr>
      </w:pPr>
    </w:p>
    <w:p w14:paraId="7CE323FC">
      <w:pPr>
        <w:rPr>
          <w:rFonts w:ascii="宋体" w:hAnsi="宋体"/>
          <w:b/>
          <w:bCs/>
          <w:sz w:val="36"/>
        </w:rPr>
      </w:pPr>
      <w:r>
        <w:rPr>
          <w:rFonts w:hint="eastAsia" w:ascii="宋体" w:hAnsi="宋体"/>
          <w:b/>
          <w:bCs/>
          <w:sz w:val="36"/>
        </w:rPr>
        <w:br w:type="page"/>
      </w:r>
    </w:p>
    <w:p w14:paraId="379FA010">
      <w:pPr>
        <w:jc w:val="center"/>
        <w:rPr>
          <w:b/>
          <w:sz w:val="32"/>
          <w:szCs w:val="32"/>
        </w:rPr>
      </w:pPr>
      <w:r>
        <w:rPr>
          <w:rFonts w:hint="eastAsia"/>
          <w:b/>
          <w:sz w:val="32"/>
          <w:szCs w:val="32"/>
        </w:rPr>
        <w:t>三 评审方法</w:t>
      </w:r>
      <w:bookmarkEnd w:id="3"/>
    </w:p>
    <w:p w14:paraId="6C825EA4">
      <w:pPr>
        <w:pStyle w:val="63"/>
        <w:ind w:firstLine="482" w:firstLineChars="200"/>
        <w:rPr>
          <w:rFonts w:ascii="宋体" w:hAnsi="宋体"/>
          <w:b/>
          <w:kern w:val="2"/>
        </w:rPr>
      </w:pPr>
      <w:r>
        <w:rPr>
          <w:rFonts w:hint="eastAsia" w:ascii="宋体" w:hAnsi="宋体"/>
          <w:b/>
          <w:kern w:val="2"/>
        </w:rPr>
        <w:t>一、评审方法</w:t>
      </w:r>
    </w:p>
    <w:p w14:paraId="0DA921CF">
      <w:pPr>
        <w:spacing w:line="360" w:lineRule="auto"/>
        <w:ind w:firstLine="480" w:firstLineChars="200"/>
        <w:rPr>
          <w:sz w:val="24"/>
        </w:rPr>
      </w:pPr>
      <w:r>
        <w:rPr>
          <w:rFonts w:hint="eastAsia"/>
          <w:sz w:val="24"/>
        </w:rPr>
        <w:t>本项目采用综合评分法，评委会将对确定为实质性响应磋商文件要求的响应文件进行评价和比较。评审结果按评审后得分由高到低顺序排列。得分相同的，按最终报价单价由高到低顺序排列，得分且最终报价相同的并列。响应文件满足磋商文件全部实质性要求，且按照评审因素的量化指标评审得分最高的供应商为排名第一的成交候选人。</w:t>
      </w:r>
    </w:p>
    <w:p w14:paraId="6D77BE39">
      <w:pPr>
        <w:numPr>
          <w:ilvl w:val="0"/>
          <w:numId w:val="4"/>
        </w:numPr>
        <w:spacing w:line="360" w:lineRule="auto"/>
        <w:ind w:firstLine="482" w:firstLineChars="200"/>
        <w:rPr>
          <w:rFonts w:ascii="宋体" w:hAnsi="宋体"/>
          <w:b/>
          <w:sz w:val="24"/>
        </w:rPr>
      </w:pPr>
      <w:bookmarkStart w:id="4" w:name="_Toc449016388"/>
      <w:bookmarkStart w:id="5" w:name="_Toc449017024"/>
      <w:r>
        <w:rPr>
          <w:rFonts w:hint="eastAsia" w:ascii="宋体" w:hAnsi="宋体"/>
          <w:b/>
          <w:sz w:val="24"/>
        </w:rPr>
        <w:t>落实政府采购政策</w:t>
      </w:r>
      <w:r>
        <w:rPr>
          <w:rFonts w:ascii="宋体" w:hAnsi="宋体"/>
          <w:b/>
          <w:sz w:val="24"/>
        </w:rPr>
        <w:t>及政府采购不诚信记录扣分评审</w:t>
      </w:r>
      <w:bookmarkEnd w:id="4"/>
      <w:bookmarkEnd w:id="5"/>
    </w:p>
    <w:p w14:paraId="6BFC7CEB">
      <w:pPr>
        <w:numPr>
          <w:ilvl w:val="0"/>
          <w:numId w:val="5"/>
        </w:numPr>
        <w:spacing w:line="360" w:lineRule="auto"/>
        <w:ind w:firstLine="482" w:firstLineChars="200"/>
        <w:rPr>
          <w:rFonts w:ascii="宋体" w:hAnsi="宋体"/>
          <w:b/>
          <w:sz w:val="24"/>
        </w:rPr>
      </w:pPr>
      <w:r>
        <w:rPr>
          <w:rFonts w:hint="eastAsia"/>
          <w:b/>
          <w:sz w:val="24"/>
        </w:rPr>
        <w:t>评分标准</w:t>
      </w:r>
    </w:p>
    <w:tbl>
      <w:tblPr>
        <w:tblStyle w:val="26"/>
        <w:tblpPr w:leftFromText="180" w:rightFromText="180" w:vertAnchor="text" w:horzAnchor="page" w:tblpX="1091" w:tblpY="940"/>
        <w:tblOverlap w:val="never"/>
        <w:tblW w:w="10350" w:type="dxa"/>
        <w:tblInd w:w="0" w:type="dxa"/>
        <w:tblLayout w:type="fixed"/>
        <w:tblCellMar>
          <w:top w:w="0" w:type="dxa"/>
          <w:left w:w="108" w:type="dxa"/>
          <w:bottom w:w="0" w:type="dxa"/>
          <w:right w:w="108" w:type="dxa"/>
        </w:tblCellMar>
      </w:tblPr>
      <w:tblGrid>
        <w:gridCol w:w="2204"/>
        <w:gridCol w:w="900"/>
        <w:gridCol w:w="7246"/>
      </w:tblGrid>
      <w:tr w14:paraId="349488C6">
        <w:tblPrEx>
          <w:tblCellMar>
            <w:top w:w="0" w:type="dxa"/>
            <w:left w:w="108" w:type="dxa"/>
            <w:bottom w:w="0" w:type="dxa"/>
            <w:right w:w="108" w:type="dxa"/>
          </w:tblCellMar>
        </w:tblPrEx>
        <w:trPr>
          <w:trHeight w:val="601"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A94B0">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内容</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DB52E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分值</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F93F537">
            <w:pPr>
              <w:widowControl/>
              <w:jc w:val="center"/>
              <w:textAlignment w:val="center"/>
              <w:rPr>
                <w:rFonts w:hAnsi="仿宋" w:cs="宋体"/>
                <w:b/>
                <w:bCs/>
                <w:color w:val="000000" w:themeColor="text1"/>
                <w:sz w:val="24"/>
                <w14:textFill>
                  <w14:solidFill>
                    <w14:schemeClr w14:val="tx1"/>
                  </w14:solidFill>
                </w14:textFill>
              </w:rPr>
            </w:pPr>
            <w:r>
              <w:rPr>
                <w:rFonts w:hint="eastAsia" w:hAnsi="仿宋" w:cs="宋体"/>
                <w:b/>
                <w:bCs/>
                <w:color w:val="000000" w:themeColor="text1"/>
                <w:kern w:val="0"/>
                <w:sz w:val="24"/>
                <w:lang w:bidi="ar"/>
                <w14:textFill>
                  <w14:solidFill>
                    <w14:schemeClr w14:val="tx1"/>
                  </w14:solidFill>
                </w14:textFill>
              </w:rPr>
              <w:t>评分方法</w:t>
            </w:r>
          </w:p>
        </w:tc>
      </w:tr>
      <w:tr w14:paraId="0E50EDCE">
        <w:tblPrEx>
          <w:tblCellMar>
            <w:top w:w="0" w:type="dxa"/>
            <w:left w:w="108" w:type="dxa"/>
            <w:bottom w:w="0" w:type="dxa"/>
            <w:right w:w="108" w:type="dxa"/>
          </w:tblCellMar>
        </w:tblPrEx>
        <w:trPr>
          <w:trHeight w:val="27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078B4E">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价格</w:t>
            </w:r>
          </w:p>
          <w:p w14:paraId="4DD78944">
            <w:pPr>
              <w:jc w:val="center"/>
              <w:rPr>
                <w:rFonts w:hAnsi="仿宋" w:cs="宋体"/>
                <w:color w:val="000000" w:themeColor="text1"/>
                <w:sz w:val="24"/>
                <w:szCs w:val="24"/>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30</w:t>
            </w:r>
            <w:r>
              <w:rPr>
                <w:rFonts w:hint="eastAsia" w:hAnsi="仿宋" w:cs="宋体"/>
                <w:color w:val="000000" w:themeColor="text1"/>
                <w:kern w:val="0"/>
                <w:sz w:val="24"/>
                <w:szCs w:val="24"/>
                <w:lang w:bidi="ar"/>
                <w14:textFill>
                  <w14:solidFill>
                    <w14:schemeClr w14:val="tx1"/>
                  </w14:solidFill>
                </w14:textFill>
              </w:rPr>
              <w:t>分）</w:t>
            </w: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4ECCE1">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30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1EBA0630">
            <w:pPr>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以满足磋商文件要求且最终报价最低的供应商的价格为</w:t>
            </w:r>
            <w:r>
              <w:rPr>
                <w:rFonts w:hint="eastAsia" w:ascii="宋体" w:hAnsi="宋体" w:cs="宋体"/>
                <w:color w:val="000000" w:themeColor="text1"/>
                <w:sz w:val="24"/>
                <w:szCs w:val="24"/>
                <w:lang w:val="en-US" w:eastAsia="zh-CN"/>
                <w14:textFill>
                  <w14:solidFill>
                    <w14:schemeClr w14:val="tx1"/>
                  </w14:solidFill>
                </w14:textFill>
              </w:rPr>
              <w:t>谈判</w:t>
            </w:r>
            <w:r>
              <w:rPr>
                <w:rFonts w:hint="eastAsia" w:ascii="宋体" w:hAnsi="宋体" w:cs="宋体"/>
                <w:color w:val="000000" w:themeColor="text1"/>
                <w:sz w:val="24"/>
                <w:szCs w:val="24"/>
                <w14:textFill>
                  <w14:solidFill>
                    <w14:schemeClr w14:val="tx1"/>
                  </w14:solidFill>
                </w14:textFill>
              </w:rPr>
              <w:t>基准价，其价格分得满分</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分。其他供应商价格得分统一按下列公式计算：报价得分=（基准价/其他最后报价）×</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cs="宋体"/>
                <w:color w:val="000000" w:themeColor="text1"/>
                <w:sz w:val="24"/>
                <w:szCs w:val="24"/>
                <w14:textFill>
                  <w14:solidFill>
                    <w14:schemeClr w14:val="tx1"/>
                  </w14:solidFill>
                </w14:textFill>
              </w:rPr>
              <w:t>×100%（保留两位有效小数）</w:t>
            </w:r>
          </w:p>
          <w:p w14:paraId="4722EAD0">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注：</w:t>
            </w:r>
            <w:r>
              <w:rPr>
                <w:rFonts w:hint="eastAsia" w:ascii="宋体" w:hAnsi="宋体" w:cs="宋体"/>
                <w:b/>
                <w:bCs/>
                <w:color w:val="000000" w:themeColor="text1"/>
                <w:sz w:val="24"/>
                <w:szCs w:val="24"/>
                <w:lang w:val="en-US" w:eastAsia="zh-CN"/>
                <w14:textFill>
                  <w14:solidFill>
                    <w14:schemeClr w14:val="tx1"/>
                  </w14:solidFill>
                </w14:textFill>
              </w:rPr>
              <w:t>谈判</w:t>
            </w:r>
            <w:r>
              <w:rPr>
                <w:rFonts w:hint="eastAsia" w:ascii="宋体" w:hAnsi="宋体" w:cs="宋体"/>
                <w:b/>
                <w:bCs/>
                <w:color w:val="000000" w:themeColor="text1"/>
                <w:sz w:val="24"/>
                <w:szCs w:val="24"/>
                <w14:textFill>
                  <w14:solidFill>
                    <w14:schemeClr w14:val="tx1"/>
                  </w14:solidFill>
                </w14:textFill>
              </w:rPr>
              <w:t>小组认为供应商的报价明显低于其他通过符合性审查供应商的报价，有可能影响工程质量或者不能诚信履约的，且供应商不能在评审合理的时间内证明其报价合理性的，</w:t>
            </w:r>
            <w:r>
              <w:rPr>
                <w:rFonts w:hint="eastAsia" w:ascii="宋体" w:hAnsi="宋体" w:cs="宋体"/>
                <w:b/>
                <w:bCs/>
                <w:color w:val="000000" w:themeColor="text1"/>
                <w:sz w:val="24"/>
                <w:szCs w:val="24"/>
                <w:lang w:val="en-US" w:eastAsia="zh-CN"/>
                <w14:textFill>
                  <w14:solidFill>
                    <w14:schemeClr w14:val="tx1"/>
                  </w14:solidFill>
                </w14:textFill>
              </w:rPr>
              <w:t>谈判</w:t>
            </w:r>
            <w:r>
              <w:rPr>
                <w:rFonts w:hint="eastAsia" w:ascii="宋体" w:hAnsi="宋体" w:cs="宋体"/>
                <w:b/>
                <w:bCs/>
                <w:color w:val="000000" w:themeColor="text1"/>
                <w:sz w:val="24"/>
                <w:szCs w:val="24"/>
                <w14:textFill>
                  <w14:solidFill>
                    <w14:schemeClr w14:val="tx1"/>
                  </w14:solidFill>
                </w14:textFill>
              </w:rPr>
              <w:t>小组有权将其作为无效响应处理。</w:t>
            </w:r>
          </w:p>
        </w:tc>
      </w:tr>
      <w:tr w14:paraId="0DF2E98C">
        <w:tblPrEx>
          <w:tblCellMar>
            <w:top w:w="0" w:type="dxa"/>
            <w:left w:w="108" w:type="dxa"/>
            <w:bottom w:w="0" w:type="dxa"/>
            <w:right w:w="108" w:type="dxa"/>
          </w:tblCellMar>
        </w:tblPrEx>
        <w:trPr>
          <w:trHeight w:val="81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58FB0C">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val="en-US" w:eastAsia="zh-CN" w:bidi="ar"/>
                <w14:textFill>
                  <w14:solidFill>
                    <w14:schemeClr w14:val="tx1"/>
                  </w14:solidFill>
                </w14:textFill>
              </w:rPr>
              <w:t>设</w:t>
            </w:r>
            <w:r>
              <w:rPr>
                <w:rFonts w:hint="eastAsia" w:hAnsi="仿宋" w:cs="宋体"/>
                <w:color w:val="000000" w:themeColor="text1"/>
                <w:kern w:val="0"/>
                <w:sz w:val="24"/>
                <w:szCs w:val="24"/>
                <w:lang w:bidi="ar"/>
                <w14:textFill>
                  <w14:solidFill>
                    <w14:schemeClr w14:val="tx1"/>
                  </w14:solidFill>
                </w14:textFill>
              </w:rPr>
              <w:t>计方案</w:t>
            </w:r>
          </w:p>
          <w:p w14:paraId="5E2B5857">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40</w:t>
            </w:r>
            <w:r>
              <w:rPr>
                <w:rFonts w:hint="eastAsia" w:hAnsi="仿宋" w:cs="宋体"/>
                <w:color w:val="000000" w:themeColor="text1"/>
                <w:kern w:val="0"/>
                <w:sz w:val="24"/>
                <w:szCs w:val="24"/>
                <w:lang w:bidi="ar"/>
                <w14:textFill>
                  <w14:solidFill>
                    <w14:schemeClr w14:val="tx1"/>
                  </w14:solidFill>
                </w14:textFill>
              </w:rPr>
              <w:t>分）</w:t>
            </w:r>
          </w:p>
          <w:p w14:paraId="18BAB77B">
            <w:pPr>
              <w:widowControl/>
              <w:jc w:val="center"/>
              <w:textAlignment w:val="center"/>
              <w:rPr>
                <w:rFonts w:hint="eastAsia" w:hAnsi="仿宋" w:eastAsia="宋体" w:cs="宋体"/>
                <w:color w:val="000000" w:themeColor="text1"/>
                <w:kern w:val="0"/>
                <w:sz w:val="24"/>
                <w:szCs w:val="24"/>
                <w:lang w:val="en-US" w:eastAsia="zh-CN"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8B01A">
            <w:pPr>
              <w:widowControl/>
              <w:jc w:val="center"/>
              <w:textAlignment w:val="center"/>
              <w:rPr>
                <w:rFonts w:hint="default" w:hAnsi="仿宋" w:eastAsia="宋体" w:cs="宋体"/>
                <w:color w:val="000000" w:themeColor="text1"/>
                <w:sz w:val="24"/>
                <w:szCs w:val="24"/>
                <w:lang w:val="en-US" w:eastAsia="zh-CN"/>
                <w14:textFill>
                  <w14:solidFill>
                    <w14:schemeClr w14:val="tx1"/>
                  </w14:solidFill>
                </w14:textFill>
              </w:rPr>
            </w:pPr>
            <w:r>
              <w:rPr>
                <w:rFonts w:hint="eastAsia" w:hAnsi="仿宋" w:cs="宋体"/>
                <w:color w:val="000000" w:themeColor="text1"/>
                <w:sz w:val="24"/>
                <w:szCs w:val="24"/>
                <w:lang w:val="en-US" w:eastAsia="zh-CN"/>
                <w14:textFill>
                  <w14:solidFill>
                    <w14:schemeClr w14:val="tx1"/>
                  </w14:solidFill>
                </w14:textFill>
              </w:rPr>
              <w:t>40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1EFA800">
            <w:pPr>
              <w:pStyle w:val="8"/>
              <w:adjustRightInd w:val="0"/>
              <w:spacing w:line="320" w:lineRule="exact"/>
              <w:ind w:firstLine="480" w:firstLineChars="200"/>
              <w:contextualSpacing/>
              <w:rPr>
                <w:rFonts w:hint="eastAsia" w:ascii="宋体" w:hAnsi="宋体" w:eastAsia="宋体" w:cs="微软雅黑"/>
                <w:color w:val="1F1F1F"/>
                <w:sz w:val="24"/>
                <w:szCs w:val="24"/>
                <w:highlight w:val="none"/>
                <w:shd w:val="clear" w:color="auto" w:fill="FFFFFF"/>
              </w:rPr>
            </w:pPr>
            <w:r>
              <w:rPr>
                <w:rFonts w:hint="eastAsia" w:ascii="宋体" w:hAnsi="宋体" w:eastAsia="宋体" w:cs="微软雅黑"/>
                <w:color w:val="1F1F1F"/>
                <w:sz w:val="24"/>
                <w:szCs w:val="24"/>
                <w:highlight w:val="none"/>
                <w:shd w:val="clear" w:color="auto" w:fill="FFFFFF"/>
                <w:lang w:val="en-US" w:eastAsia="zh-CN"/>
              </w:rPr>
              <w:t>1</w:t>
            </w:r>
            <w:r>
              <w:rPr>
                <w:rFonts w:ascii="宋体" w:hAnsi="宋体" w:eastAsia="宋体" w:cs="微软雅黑"/>
                <w:color w:val="1F1F1F"/>
                <w:sz w:val="24"/>
                <w:szCs w:val="24"/>
                <w:highlight w:val="none"/>
                <w:shd w:val="clear" w:color="auto" w:fill="FFFFFF"/>
              </w:rPr>
              <w:t>.</w:t>
            </w:r>
            <w:r>
              <w:rPr>
                <w:rFonts w:hint="eastAsia" w:ascii="宋体" w:hAnsi="宋体" w:eastAsia="宋体" w:cs="微软雅黑"/>
                <w:color w:val="1F1F1F"/>
                <w:sz w:val="24"/>
                <w:szCs w:val="24"/>
                <w:highlight w:val="none"/>
                <w:shd w:val="clear" w:color="auto" w:fill="FFFFFF"/>
              </w:rPr>
              <w:t>设计效果</w:t>
            </w:r>
            <w:r>
              <w:rPr>
                <w:rFonts w:hint="eastAsia" w:ascii="宋体" w:hAnsi="宋体" w:eastAsia="宋体" w:cs="微软雅黑"/>
                <w:b/>
                <w:color w:val="1F1F1F"/>
                <w:sz w:val="24"/>
                <w:szCs w:val="24"/>
                <w:highlight w:val="none"/>
                <w:shd w:val="clear" w:color="auto" w:fill="FFFFFF"/>
              </w:rPr>
              <w:t>（满分</w:t>
            </w:r>
            <w:r>
              <w:rPr>
                <w:rFonts w:hint="eastAsia" w:ascii="宋体" w:hAnsi="宋体" w:eastAsia="宋体" w:cs="微软雅黑"/>
                <w:b/>
                <w:color w:val="1F1F1F"/>
                <w:sz w:val="24"/>
                <w:szCs w:val="24"/>
                <w:highlight w:val="none"/>
                <w:shd w:val="clear" w:color="auto" w:fill="FFFFFF"/>
                <w:lang w:val="en-US" w:eastAsia="zh-CN"/>
              </w:rPr>
              <w:t>2</w:t>
            </w:r>
            <w:r>
              <w:rPr>
                <w:rFonts w:ascii="宋体" w:hAnsi="宋体" w:eastAsia="宋体" w:cs="微软雅黑"/>
                <w:b/>
                <w:color w:val="1F1F1F"/>
                <w:sz w:val="24"/>
                <w:szCs w:val="24"/>
                <w:highlight w:val="none"/>
                <w:shd w:val="clear" w:color="auto" w:fill="FFFFFF"/>
              </w:rPr>
              <w:t>0</w:t>
            </w:r>
            <w:r>
              <w:rPr>
                <w:rFonts w:hint="eastAsia" w:ascii="宋体" w:hAnsi="宋体" w:eastAsia="宋体" w:cs="微软雅黑"/>
                <w:b/>
                <w:color w:val="1F1F1F"/>
                <w:sz w:val="24"/>
                <w:szCs w:val="24"/>
                <w:highlight w:val="none"/>
                <w:shd w:val="clear" w:color="auto" w:fill="FFFFFF"/>
              </w:rPr>
              <w:t>分）</w:t>
            </w:r>
            <w:r>
              <w:rPr>
                <w:rFonts w:hint="eastAsia" w:ascii="宋体" w:hAnsi="宋体" w:eastAsia="宋体" w:cs="微软雅黑"/>
                <w:b/>
                <w:color w:val="1F1F1F"/>
                <w:sz w:val="24"/>
                <w:szCs w:val="24"/>
                <w:highlight w:val="none"/>
                <w:shd w:val="clear" w:color="auto" w:fill="FFFFFF"/>
                <w:lang w:eastAsia="zh-CN"/>
              </w:rPr>
              <w:t>：</w:t>
            </w:r>
            <w:r>
              <w:rPr>
                <w:rFonts w:hint="eastAsia" w:ascii="宋体" w:hAnsi="宋体" w:eastAsia="宋体" w:cs="微软雅黑"/>
                <w:color w:val="1F1F1F"/>
                <w:sz w:val="24"/>
                <w:szCs w:val="24"/>
                <w:highlight w:val="none"/>
                <w:shd w:val="clear" w:color="auto" w:fill="FFFFFF"/>
              </w:rPr>
              <w:t>投标人提供的设计效果符合项目需求，与建设场景的融合度，合理划分功能区域，各区域设计的完整度、表现力，形式、色调、内容相统一，颜色、字体大小、安装高度等方面合理规范，符合国家及行业规范标准要求、外观与环境协调性高的得16-20分；投标人提供的设计效果基本符合项目需求，与建设场景的融合度，合理划分功能区域，各区域设计的完整度、表现力，形式、色调、内容基本相统一，颜色、字体大小、安装高度等方面基本合理规范，基本符合国家及行业规范标准要求、外观与环境协调性较高的得8-1</w:t>
            </w:r>
            <w:r>
              <w:rPr>
                <w:rFonts w:hint="eastAsia" w:ascii="宋体" w:hAnsi="宋体" w:eastAsia="宋体" w:cs="微软雅黑"/>
                <w:color w:val="1F1F1F"/>
                <w:sz w:val="24"/>
                <w:szCs w:val="24"/>
                <w:highlight w:val="none"/>
                <w:shd w:val="clear" w:color="auto" w:fill="FFFFFF"/>
                <w:lang w:val="en-US" w:eastAsia="zh-CN"/>
              </w:rPr>
              <w:t>5</w:t>
            </w:r>
            <w:r>
              <w:rPr>
                <w:rFonts w:hint="eastAsia" w:ascii="宋体" w:hAnsi="宋体" w:eastAsia="宋体" w:cs="微软雅黑"/>
                <w:color w:val="1F1F1F"/>
                <w:sz w:val="24"/>
                <w:szCs w:val="24"/>
                <w:highlight w:val="none"/>
                <w:shd w:val="clear" w:color="auto" w:fill="FFFFFF"/>
              </w:rPr>
              <w:t>分；投标人提供的设计效果一般，与建设场景的融合度，合理划分功能区域，各区域设计的完整度、表现力，形式、色调、内容相统一性一般，颜色、字体大小、安装高度等方面合理规范一般，符合国家及行业规范标准要求、外观与环境协调性一般的得</w:t>
            </w:r>
            <w:r>
              <w:rPr>
                <w:rFonts w:hint="eastAsia" w:ascii="宋体" w:hAnsi="宋体" w:eastAsia="宋体" w:cs="微软雅黑"/>
                <w:color w:val="1F1F1F"/>
                <w:sz w:val="24"/>
                <w:szCs w:val="24"/>
                <w:highlight w:val="none"/>
                <w:shd w:val="clear" w:color="auto" w:fill="FFFFFF"/>
                <w:lang w:val="en-US" w:eastAsia="zh-CN"/>
              </w:rPr>
              <w:t>2</w:t>
            </w:r>
            <w:r>
              <w:rPr>
                <w:rFonts w:hint="eastAsia" w:ascii="宋体" w:hAnsi="宋体" w:eastAsia="宋体" w:cs="微软雅黑"/>
                <w:color w:val="1F1F1F"/>
                <w:sz w:val="24"/>
                <w:szCs w:val="24"/>
                <w:highlight w:val="none"/>
                <w:shd w:val="clear" w:color="auto" w:fill="FFFFFF"/>
              </w:rPr>
              <w:t>-</w:t>
            </w:r>
            <w:r>
              <w:rPr>
                <w:rFonts w:hint="eastAsia" w:ascii="宋体" w:hAnsi="宋体" w:eastAsia="宋体" w:cs="微软雅黑"/>
                <w:color w:val="1F1F1F"/>
                <w:sz w:val="24"/>
                <w:szCs w:val="24"/>
                <w:highlight w:val="none"/>
                <w:shd w:val="clear" w:color="auto" w:fill="FFFFFF"/>
                <w:lang w:val="en-US" w:eastAsia="zh-CN"/>
              </w:rPr>
              <w:t>7</w:t>
            </w:r>
            <w:r>
              <w:rPr>
                <w:rFonts w:hint="eastAsia" w:ascii="宋体" w:hAnsi="宋体" w:eastAsia="宋体" w:cs="微软雅黑"/>
                <w:color w:val="1F1F1F"/>
                <w:sz w:val="24"/>
                <w:szCs w:val="24"/>
                <w:highlight w:val="none"/>
                <w:shd w:val="clear" w:color="auto" w:fill="FFFFFF"/>
              </w:rPr>
              <w:t>分；投标人提供的设计效果不符合项目需求，与建设场景的融合度，合理划分功能区域，各区域设计的完整度、表现力，形式、色调、内容不相统一，颜色、字体大小、安装高度等方面不合理规范，不符合国家及行业规范标准要求、外观与环境不协调得</w:t>
            </w:r>
            <w:r>
              <w:rPr>
                <w:rFonts w:ascii="宋体" w:hAnsi="宋体" w:eastAsia="宋体" w:cs="微软雅黑"/>
                <w:color w:val="1F1F1F"/>
                <w:sz w:val="24"/>
                <w:szCs w:val="24"/>
                <w:highlight w:val="none"/>
                <w:shd w:val="clear" w:color="auto" w:fill="FFFFFF"/>
              </w:rPr>
              <w:t>1</w:t>
            </w:r>
            <w:r>
              <w:rPr>
                <w:rFonts w:hint="eastAsia" w:ascii="宋体" w:hAnsi="宋体" w:eastAsia="宋体" w:cs="微软雅黑"/>
                <w:color w:val="1F1F1F"/>
                <w:sz w:val="24"/>
                <w:szCs w:val="24"/>
                <w:highlight w:val="none"/>
                <w:shd w:val="clear" w:color="auto" w:fill="FFFFFF"/>
              </w:rPr>
              <w:t>分；未提供效果图不得分；</w:t>
            </w:r>
          </w:p>
          <w:p w14:paraId="36F34E09">
            <w:pPr>
              <w:pStyle w:val="81"/>
              <w:adjustRightInd w:val="0"/>
              <w:snapToGrid w:val="0"/>
              <w:spacing w:line="320" w:lineRule="exact"/>
              <w:ind w:firstLine="480" w:firstLineChars="200"/>
              <w:contextualSpacing/>
              <w:rPr>
                <w:rFonts w:hint="eastAsia" w:ascii="宋体" w:hAnsi="宋体" w:cs="宋体"/>
                <w:color w:val="000000" w:themeColor="text1"/>
                <w:sz w:val="24"/>
                <w:szCs w:val="24"/>
                <w14:textFill>
                  <w14:solidFill>
                    <w14:schemeClr w14:val="tx1"/>
                  </w14:solidFill>
                </w14:textFill>
              </w:rPr>
            </w:pPr>
            <w:r>
              <w:rPr>
                <w:rFonts w:hint="eastAsia" w:ascii="宋体" w:hAnsi="宋体" w:cs="宋体"/>
                <w:bCs/>
                <w:sz w:val="24"/>
                <w:szCs w:val="24"/>
                <w:highlight w:val="none"/>
              </w:rPr>
              <w:t>3</w:t>
            </w:r>
            <w:r>
              <w:rPr>
                <w:rFonts w:ascii="宋体" w:hAnsi="宋体" w:cs="宋体"/>
                <w:bCs/>
                <w:sz w:val="24"/>
                <w:szCs w:val="24"/>
                <w:highlight w:val="none"/>
              </w:rPr>
              <w:t>.</w:t>
            </w:r>
            <w:r>
              <w:rPr>
                <w:rFonts w:hint="eastAsia" w:ascii="宋体" w:hAnsi="宋体" w:cs="宋体"/>
                <w:bCs/>
                <w:sz w:val="24"/>
                <w:szCs w:val="24"/>
                <w:highlight w:val="none"/>
              </w:rPr>
              <w:t>工艺方案</w:t>
            </w:r>
            <w:r>
              <w:rPr>
                <w:rFonts w:hint="eastAsia" w:ascii="宋体" w:hAnsi="宋体" w:cs="宋体"/>
                <w:b/>
                <w:bCs/>
                <w:sz w:val="24"/>
                <w:szCs w:val="24"/>
                <w:highlight w:val="none"/>
              </w:rPr>
              <w:t>（满分</w:t>
            </w:r>
            <w:r>
              <w:rPr>
                <w:rFonts w:hint="eastAsia" w:ascii="宋体" w:hAnsi="宋体" w:cs="宋体"/>
                <w:b/>
                <w:bCs/>
                <w:sz w:val="24"/>
                <w:szCs w:val="24"/>
                <w:highlight w:val="none"/>
                <w:lang w:val="en-US" w:eastAsia="zh-CN"/>
              </w:rPr>
              <w:t>20</w:t>
            </w:r>
            <w:r>
              <w:rPr>
                <w:rFonts w:ascii="宋体" w:hAnsi="宋体" w:cs="宋体"/>
                <w:b/>
                <w:bCs/>
                <w:sz w:val="24"/>
                <w:szCs w:val="24"/>
                <w:highlight w:val="none"/>
              </w:rPr>
              <w:t>分）：</w:t>
            </w:r>
            <w:r>
              <w:rPr>
                <w:rFonts w:hint="eastAsia" w:ascii="宋体" w:hAnsi="宋体" w:cs="宋体"/>
                <w:b/>
                <w:bCs/>
                <w:sz w:val="24"/>
                <w:szCs w:val="24"/>
                <w:highlight w:val="none"/>
              </w:rPr>
              <w:t>根据样品对</w:t>
            </w:r>
            <w:r>
              <w:rPr>
                <w:rFonts w:hint="eastAsia" w:ascii="宋体" w:hAnsi="宋体" w:cs="微软雅黑"/>
                <w:color w:val="1F1F1F"/>
                <w:sz w:val="24"/>
                <w:szCs w:val="24"/>
                <w:highlight w:val="none"/>
                <w:shd w:val="clear" w:color="auto" w:fill="FFFFFF"/>
              </w:rPr>
              <w:t>投标人提供的工艺方案打分，投标人提供的工艺方案</w:t>
            </w:r>
            <w:r>
              <w:rPr>
                <w:rFonts w:hint="eastAsia" w:ascii="宋体" w:hAnsi="宋体" w:cs="宋体"/>
                <w:bCs/>
                <w:sz w:val="24"/>
                <w:szCs w:val="24"/>
                <w:highlight w:val="none"/>
              </w:rPr>
              <w:t>材质优良</w:t>
            </w:r>
            <w:r>
              <w:rPr>
                <w:rFonts w:hint="eastAsia" w:ascii="宋体" w:hAnsi="宋体" w:cs="宋体"/>
                <w:b/>
                <w:bCs/>
                <w:sz w:val="24"/>
                <w:szCs w:val="24"/>
                <w:highlight w:val="none"/>
              </w:rPr>
              <w:t>（说明材质的型号、规格及设计制作导视、标识的尺寸）</w:t>
            </w:r>
            <w:r>
              <w:rPr>
                <w:rFonts w:hint="eastAsia" w:ascii="宋体" w:hAnsi="宋体" w:cs="宋体"/>
                <w:bCs/>
                <w:sz w:val="24"/>
                <w:szCs w:val="24"/>
                <w:highlight w:val="none"/>
              </w:rPr>
              <w:t>、主题明确、制作工艺水平先进精美、涂层精致考究、采用现代导视标识制作技术智能高效，合理规范安全实用，完全</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rPr>
              <w:t>16-20</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材质较优良</w:t>
            </w:r>
            <w:r>
              <w:rPr>
                <w:rFonts w:hint="eastAsia" w:ascii="宋体" w:hAnsi="宋体" w:cs="宋体"/>
                <w:b/>
                <w:bCs/>
                <w:sz w:val="24"/>
                <w:szCs w:val="24"/>
                <w:highlight w:val="none"/>
              </w:rPr>
              <w:t>（说明材质的型号、规格及设计制作导视、标识的尺寸）</w:t>
            </w:r>
            <w:r>
              <w:rPr>
                <w:rFonts w:hint="eastAsia" w:ascii="宋体" w:hAnsi="宋体" w:cs="宋体"/>
                <w:bCs/>
                <w:sz w:val="24"/>
                <w:szCs w:val="24"/>
                <w:highlight w:val="none"/>
              </w:rPr>
              <w:t>、主题较明确、制作工艺水平较先进精美、涂层较精致考究、采用现代导视标识制作技术较智能高效，较合理规范安全实用，较好</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rPr>
              <w:t>8-1</w:t>
            </w:r>
            <w:r>
              <w:rPr>
                <w:rFonts w:hint="eastAsia" w:ascii="宋体" w:hAnsi="宋体" w:cs="微软雅黑"/>
                <w:color w:val="1F1F1F"/>
                <w:sz w:val="24"/>
                <w:szCs w:val="24"/>
                <w:highlight w:val="none"/>
                <w:shd w:val="clear" w:color="auto" w:fill="FFFFFF"/>
                <w:lang w:val="en-US" w:eastAsia="zh-CN"/>
              </w:rPr>
              <w:t>5</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材质一般</w:t>
            </w:r>
            <w:r>
              <w:rPr>
                <w:rFonts w:hint="eastAsia" w:ascii="宋体" w:hAnsi="宋体" w:cs="宋体"/>
                <w:b/>
                <w:bCs/>
                <w:sz w:val="24"/>
                <w:szCs w:val="24"/>
                <w:highlight w:val="none"/>
              </w:rPr>
              <w:t>（基本说明材质的型号、规格及设计制作导视、标识的尺寸）</w:t>
            </w:r>
            <w:r>
              <w:rPr>
                <w:rFonts w:hint="eastAsia" w:ascii="宋体" w:hAnsi="宋体" w:cs="宋体"/>
                <w:bCs/>
                <w:sz w:val="24"/>
                <w:szCs w:val="24"/>
                <w:highlight w:val="none"/>
              </w:rPr>
              <w:t>、主题明确、制作工艺水平一般、涂层精致程度</w:t>
            </w:r>
            <w:r>
              <w:rPr>
                <w:rFonts w:ascii="宋体" w:hAnsi="宋体" w:cs="宋体"/>
                <w:bCs/>
                <w:sz w:val="24"/>
                <w:szCs w:val="24"/>
                <w:highlight w:val="none"/>
              </w:rPr>
              <w:t>一般</w:t>
            </w:r>
            <w:r>
              <w:rPr>
                <w:rFonts w:hint="eastAsia" w:ascii="宋体" w:hAnsi="宋体" w:cs="宋体"/>
                <w:bCs/>
                <w:sz w:val="24"/>
                <w:szCs w:val="24"/>
                <w:highlight w:val="none"/>
              </w:rPr>
              <w:t>、采用现代导视标识制作技术智能性一般，合理规范安全实用一般，基本</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hint="eastAsia" w:ascii="宋体" w:hAnsi="宋体" w:eastAsia="宋体" w:cs="微软雅黑"/>
                <w:color w:val="1F1F1F"/>
                <w:sz w:val="24"/>
                <w:szCs w:val="24"/>
                <w:highlight w:val="none"/>
                <w:shd w:val="clear" w:color="auto" w:fill="FFFFFF"/>
                <w:lang w:val="en-US" w:eastAsia="zh-CN"/>
              </w:rPr>
              <w:t>2</w:t>
            </w:r>
            <w:r>
              <w:rPr>
                <w:rFonts w:hint="eastAsia" w:ascii="宋体" w:hAnsi="宋体" w:eastAsia="宋体" w:cs="微软雅黑"/>
                <w:color w:val="1F1F1F"/>
                <w:sz w:val="24"/>
                <w:szCs w:val="24"/>
                <w:highlight w:val="none"/>
                <w:shd w:val="clear" w:color="auto" w:fill="FFFFFF"/>
              </w:rPr>
              <w:t>-</w:t>
            </w:r>
            <w:r>
              <w:rPr>
                <w:rFonts w:hint="eastAsia" w:ascii="宋体" w:hAnsi="宋体" w:cs="微软雅黑"/>
                <w:color w:val="1F1F1F"/>
                <w:sz w:val="24"/>
                <w:szCs w:val="24"/>
                <w:highlight w:val="none"/>
                <w:shd w:val="clear" w:color="auto" w:fill="FFFFFF"/>
                <w:lang w:val="en-US" w:eastAsia="zh-CN"/>
              </w:rPr>
              <w:t>7</w:t>
            </w:r>
            <w:r>
              <w:rPr>
                <w:rFonts w:ascii="宋体" w:hAnsi="宋体" w:cs="宋体"/>
                <w:bCs/>
                <w:sz w:val="24"/>
                <w:szCs w:val="24"/>
                <w:highlight w:val="none"/>
              </w:rPr>
              <w:t>分</w:t>
            </w:r>
            <w:r>
              <w:rPr>
                <w:rFonts w:hint="eastAsia" w:ascii="宋体" w:hAnsi="宋体" w:cs="宋体"/>
                <w:bCs/>
                <w:sz w:val="24"/>
                <w:szCs w:val="24"/>
                <w:highlight w:val="none"/>
              </w:rPr>
              <w:t>；</w:t>
            </w:r>
            <w:r>
              <w:rPr>
                <w:rFonts w:hint="eastAsia" w:ascii="宋体" w:hAnsi="宋体" w:cs="微软雅黑"/>
                <w:color w:val="1F1F1F"/>
                <w:sz w:val="24"/>
                <w:szCs w:val="24"/>
                <w:highlight w:val="none"/>
                <w:shd w:val="clear" w:color="auto" w:fill="FFFFFF"/>
              </w:rPr>
              <w:t>投标人提供的工艺方案</w:t>
            </w:r>
            <w:r>
              <w:rPr>
                <w:rFonts w:hint="eastAsia" w:ascii="宋体" w:hAnsi="宋体" w:cs="宋体"/>
                <w:bCs/>
                <w:sz w:val="24"/>
                <w:szCs w:val="24"/>
                <w:highlight w:val="none"/>
              </w:rPr>
              <w:t>材质差</w:t>
            </w:r>
            <w:r>
              <w:rPr>
                <w:rFonts w:hint="eastAsia" w:ascii="宋体" w:hAnsi="宋体" w:cs="宋体"/>
                <w:b/>
                <w:bCs/>
                <w:sz w:val="24"/>
                <w:szCs w:val="24"/>
                <w:highlight w:val="none"/>
              </w:rPr>
              <w:t>（不说明材质的型号、规格及设计制作导视、标识的尺寸）</w:t>
            </w:r>
            <w:r>
              <w:rPr>
                <w:rFonts w:hint="eastAsia" w:ascii="宋体" w:hAnsi="宋体" w:cs="宋体"/>
                <w:bCs/>
                <w:sz w:val="24"/>
                <w:szCs w:val="24"/>
                <w:highlight w:val="none"/>
              </w:rPr>
              <w:t>、主题明确、制作工艺水平先进差、涂层工艺差、采用现代导视标识制作技术差，不合理规范安全实用，不</w:t>
            </w:r>
            <w:r>
              <w:rPr>
                <w:rFonts w:hint="eastAsia" w:ascii="宋体" w:hAnsi="宋体" w:cs="微软雅黑"/>
                <w:color w:val="1F1F1F"/>
                <w:sz w:val="24"/>
                <w:szCs w:val="24"/>
                <w:highlight w:val="none"/>
                <w:shd w:val="clear" w:color="auto" w:fill="FFFFFF"/>
              </w:rPr>
              <w:t>满足采购项目需求</w:t>
            </w:r>
            <w:r>
              <w:rPr>
                <w:rFonts w:hint="eastAsia" w:ascii="宋体" w:hAnsi="宋体" w:cs="宋体"/>
                <w:bCs/>
                <w:sz w:val="24"/>
                <w:szCs w:val="24"/>
                <w:highlight w:val="none"/>
              </w:rPr>
              <w:t>得</w:t>
            </w:r>
            <w:r>
              <w:rPr>
                <w:rFonts w:ascii="宋体" w:hAnsi="宋体" w:cs="宋体"/>
                <w:bCs/>
                <w:sz w:val="24"/>
                <w:szCs w:val="24"/>
                <w:highlight w:val="none"/>
              </w:rPr>
              <w:t>1分</w:t>
            </w:r>
            <w:r>
              <w:rPr>
                <w:rFonts w:hint="eastAsia" w:ascii="宋体" w:hAnsi="宋体" w:cs="宋体"/>
                <w:bCs/>
                <w:sz w:val="24"/>
                <w:szCs w:val="24"/>
                <w:highlight w:val="none"/>
              </w:rPr>
              <w:t>；不提供工艺方案不得分。</w:t>
            </w:r>
          </w:p>
        </w:tc>
      </w:tr>
      <w:tr w14:paraId="2E22F890">
        <w:tblPrEx>
          <w:tblCellMar>
            <w:top w:w="0" w:type="dxa"/>
            <w:left w:w="108" w:type="dxa"/>
            <w:bottom w:w="0" w:type="dxa"/>
            <w:right w:w="108" w:type="dxa"/>
          </w:tblCellMar>
        </w:tblPrEx>
        <w:trPr>
          <w:trHeight w:val="2750" w:hRule="atLeast"/>
        </w:trPr>
        <w:tc>
          <w:tcPr>
            <w:tcW w:w="2204" w:type="dxa"/>
            <w:tcBorders>
              <w:top w:val="single" w:color="auto" w:sz="4" w:space="0"/>
              <w:left w:val="single" w:color="auto" w:sz="4" w:space="0"/>
              <w:right w:val="single" w:color="auto" w:sz="4" w:space="0"/>
            </w:tcBorders>
            <w:shd w:val="clear" w:color="auto" w:fill="auto"/>
            <w:noWrap/>
            <w:vAlign w:val="center"/>
          </w:tcPr>
          <w:p w14:paraId="24AA94CB">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样品</w:t>
            </w:r>
          </w:p>
          <w:p w14:paraId="35A8B3A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20</w:t>
            </w:r>
            <w:r>
              <w:rPr>
                <w:rFonts w:hint="eastAsia" w:hAnsi="仿宋" w:cs="宋体"/>
                <w:color w:val="000000" w:themeColor="text1"/>
                <w:kern w:val="0"/>
                <w:sz w:val="24"/>
                <w:szCs w:val="24"/>
                <w:lang w:bidi="ar"/>
                <w14:textFill>
                  <w14:solidFill>
                    <w14:schemeClr w14:val="tx1"/>
                  </w14:solidFill>
                </w14:textFill>
              </w:rPr>
              <w:t>分）</w:t>
            </w:r>
          </w:p>
          <w:p w14:paraId="5F9435F3">
            <w:pPr>
              <w:widowControl/>
              <w:jc w:val="center"/>
              <w:textAlignment w:val="center"/>
              <w:rPr>
                <w:rFonts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CBE80">
            <w:pPr>
              <w:widowControl/>
              <w:jc w:val="center"/>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20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791A4ECF">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供应商提供样品的整体功能结构</w:t>
            </w:r>
            <w:r>
              <w:rPr>
                <w:rFonts w:hint="eastAsia" w:hAnsi="仿宋" w:cs="宋体"/>
                <w:b/>
                <w:bCs/>
                <w:color w:val="000000" w:themeColor="text1"/>
                <w:kern w:val="0"/>
                <w:sz w:val="24"/>
                <w:szCs w:val="24"/>
                <w:lang w:bidi="ar"/>
                <w14:textFill>
                  <w14:solidFill>
                    <w14:schemeClr w14:val="tx1"/>
                  </w14:solidFill>
                </w14:textFill>
              </w:rPr>
              <w:t>优于</w:t>
            </w:r>
            <w:r>
              <w:rPr>
                <w:rFonts w:hint="eastAsia" w:hAnsi="仿宋" w:cs="宋体"/>
                <w:color w:val="000000" w:themeColor="text1"/>
                <w:kern w:val="0"/>
                <w:sz w:val="24"/>
                <w:szCs w:val="24"/>
                <w:lang w:bidi="ar"/>
                <w14:textFill>
                  <w14:solidFill>
                    <w14:schemeClr w14:val="tx1"/>
                  </w14:solidFill>
                </w14:textFill>
              </w:rPr>
              <w:t>采购项目需求，款式、色调、材料、内容相统一，舒适感和视觉效果好，得16-20分；</w:t>
            </w:r>
          </w:p>
          <w:p w14:paraId="79A0AB81">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完全符合</w:t>
            </w:r>
            <w:r>
              <w:rPr>
                <w:rFonts w:hint="eastAsia" w:hAnsi="仿宋" w:cs="宋体"/>
                <w:color w:val="000000" w:themeColor="text1"/>
                <w:kern w:val="0"/>
                <w:sz w:val="24"/>
                <w:szCs w:val="24"/>
                <w:lang w:bidi="ar"/>
                <w14:textFill>
                  <w14:solidFill>
                    <w14:schemeClr w14:val="tx1"/>
                  </w14:solidFill>
                </w14:textFill>
              </w:rPr>
              <w:t>项目需求，款式、色调、材料、内容较统一，舒适感和视觉效果较好，得8-1</w:t>
            </w:r>
            <w:r>
              <w:rPr>
                <w:rFonts w:hint="eastAsia" w:hAnsi="仿宋" w:cs="宋体"/>
                <w:color w:val="000000" w:themeColor="text1"/>
                <w:kern w:val="0"/>
                <w:sz w:val="24"/>
                <w:szCs w:val="24"/>
                <w:lang w:val="en-US" w:eastAsia="zh-CN" w:bidi="ar"/>
                <w14:textFill>
                  <w14:solidFill>
                    <w14:schemeClr w14:val="tx1"/>
                  </w14:solidFill>
                </w14:textFill>
              </w:rPr>
              <w:t>5</w:t>
            </w:r>
            <w:r>
              <w:rPr>
                <w:rFonts w:hint="eastAsia" w:hAnsi="仿宋" w:cs="宋体"/>
                <w:color w:val="000000" w:themeColor="text1"/>
                <w:kern w:val="0"/>
                <w:sz w:val="24"/>
                <w:szCs w:val="24"/>
                <w:lang w:bidi="ar"/>
                <w14:textFill>
                  <w14:solidFill>
                    <w14:schemeClr w14:val="tx1"/>
                  </w14:solidFill>
                </w14:textFill>
              </w:rPr>
              <w:t>分；</w:t>
            </w:r>
          </w:p>
          <w:p w14:paraId="75F921DE">
            <w:pPr>
              <w:widowControl/>
              <w:jc w:val="left"/>
              <w:textAlignment w:val="center"/>
              <w:rPr>
                <w:rFonts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基本符合</w:t>
            </w:r>
            <w:r>
              <w:rPr>
                <w:rFonts w:hint="eastAsia" w:hAnsi="仿宋" w:cs="宋体"/>
                <w:color w:val="000000" w:themeColor="text1"/>
                <w:kern w:val="0"/>
                <w:sz w:val="24"/>
                <w:szCs w:val="24"/>
                <w:lang w:bidi="ar"/>
                <w14:textFill>
                  <w14:solidFill>
                    <w14:schemeClr w14:val="tx1"/>
                  </w14:solidFill>
                </w14:textFill>
              </w:rPr>
              <w:t>项目需求，款式、色调、材料、内容基本统一，舒适感和视觉效果一般，得1-</w:t>
            </w:r>
            <w:r>
              <w:rPr>
                <w:rFonts w:hint="eastAsia" w:hAnsi="仿宋" w:cs="宋体"/>
                <w:color w:val="000000" w:themeColor="text1"/>
                <w:kern w:val="0"/>
                <w:sz w:val="24"/>
                <w:szCs w:val="24"/>
                <w:lang w:val="en-US" w:eastAsia="zh-CN" w:bidi="ar"/>
                <w14:textFill>
                  <w14:solidFill>
                    <w14:schemeClr w14:val="tx1"/>
                  </w14:solidFill>
                </w14:textFill>
              </w:rPr>
              <w:t>7</w:t>
            </w:r>
            <w:r>
              <w:rPr>
                <w:rFonts w:hint="eastAsia" w:hAnsi="仿宋" w:cs="宋体"/>
                <w:color w:val="000000" w:themeColor="text1"/>
                <w:kern w:val="0"/>
                <w:sz w:val="24"/>
                <w:szCs w:val="24"/>
                <w:lang w:bidi="ar"/>
                <w14:textFill>
                  <w14:solidFill>
                    <w14:schemeClr w14:val="tx1"/>
                  </w14:solidFill>
                </w14:textFill>
              </w:rPr>
              <w:t>分；</w:t>
            </w:r>
          </w:p>
          <w:p w14:paraId="059A9814">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整体功能结构</w:t>
            </w:r>
            <w:r>
              <w:rPr>
                <w:rFonts w:hint="eastAsia" w:hAnsi="仿宋" w:cs="宋体"/>
                <w:b/>
                <w:bCs/>
                <w:color w:val="000000" w:themeColor="text1"/>
                <w:kern w:val="0"/>
                <w:sz w:val="24"/>
                <w:szCs w:val="24"/>
                <w:lang w:bidi="ar"/>
                <w14:textFill>
                  <w14:solidFill>
                    <w14:schemeClr w14:val="tx1"/>
                  </w14:solidFill>
                </w14:textFill>
              </w:rPr>
              <w:t>不符合</w:t>
            </w:r>
            <w:r>
              <w:rPr>
                <w:rFonts w:hint="eastAsia" w:hAnsi="仿宋" w:cs="宋体"/>
                <w:color w:val="000000" w:themeColor="text1"/>
                <w:kern w:val="0"/>
                <w:sz w:val="24"/>
                <w:szCs w:val="24"/>
                <w:lang w:bidi="ar"/>
                <w14:textFill>
                  <w14:solidFill>
                    <w14:schemeClr w14:val="tx1"/>
                  </w14:solidFill>
                </w14:textFill>
              </w:rPr>
              <w:t>项目需求，款式、色调、材料、内容不统一，舒适感和视觉效果不好，不得分；</w:t>
            </w:r>
          </w:p>
          <w:p w14:paraId="11B2DAEA">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b/>
                <w:bCs/>
                <w:color w:val="000000" w:themeColor="text1"/>
                <w:kern w:val="0"/>
                <w:sz w:val="24"/>
                <w:szCs w:val="24"/>
                <w:highlight w:val="none"/>
                <w:lang w:val="en-US" w:eastAsia="zh-CN" w:bidi="ar"/>
                <w14:textFill>
                  <w14:solidFill>
                    <w14:schemeClr w14:val="tx1"/>
                  </w14:solidFill>
                </w14:textFill>
              </w:rPr>
              <w:t>备注：</w:t>
            </w:r>
            <w:r>
              <w:rPr>
                <w:rFonts w:hint="eastAsia" w:hAnsi="仿宋" w:cs="宋体"/>
                <w:b/>
                <w:bCs/>
                <w:color w:val="000000" w:themeColor="text1"/>
                <w:kern w:val="0"/>
                <w:sz w:val="24"/>
                <w:szCs w:val="24"/>
                <w:highlight w:val="none"/>
                <w:lang w:bidi="ar"/>
                <w14:textFill>
                  <w14:solidFill>
                    <w14:schemeClr w14:val="tx1"/>
                  </w14:solidFill>
                </w14:textFill>
              </w:rPr>
              <w:t>投标时须提供</w:t>
            </w:r>
            <w:r>
              <w:rPr>
                <w:rFonts w:hint="eastAsia" w:hAnsi="仿宋" w:cs="宋体"/>
                <w:b/>
                <w:bCs/>
                <w:color w:val="000000" w:themeColor="text1"/>
                <w:kern w:val="0"/>
                <w:sz w:val="24"/>
                <w:szCs w:val="24"/>
                <w:highlight w:val="none"/>
                <w:lang w:val="en-US" w:eastAsia="zh-CN" w:bidi="ar"/>
                <w14:textFill>
                  <w14:solidFill>
                    <w14:schemeClr w14:val="tx1"/>
                  </w14:solidFill>
                </w14:textFill>
              </w:rPr>
              <w:t>护士站精工字</w:t>
            </w:r>
            <w:r>
              <w:rPr>
                <w:rFonts w:hint="eastAsia" w:hAnsi="仿宋" w:cs="宋体"/>
                <w:b/>
                <w:bCs/>
                <w:color w:val="000000" w:themeColor="text1"/>
                <w:kern w:val="0"/>
                <w:sz w:val="24"/>
                <w:szCs w:val="24"/>
                <w:highlight w:val="none"/>
                <w:lang w:bidi="ar"/>
                <w14:textFill>
                  <w14:solidFill>
                    <w14:schemeClr w14:val="tx1"/>
                  </w14:solidFill>
                </w14:textFill>
              </w:rPr>
              <w:t>、</w:t>
            </w:r>
            <w:r>
              <w:rPr>
                <w:rFonts w:hint="eastAsia" w:hAnsi="仿宋" w:cs="宋体"/>
                <w:b/>
                <w:bCs/>
                <w:color w:val="000000" w:themeColor="text1"/>
                <w:kern w:val="0"/>
                <w:sz w:val="24"/>
                <w:szCs w:val="24"/>
                <w:highlight w:val="none"/>
                <w:lang w:val="en-US" w:eastAsia="zh-CN" w:bidi="ar"/>
                <w14:textFill>
                  <w14:solidFill>
                    <w14:schemeClr w14:val="tx1"/>
                  </w14:solidFill>
                </w14:textFill>
              </w:rPr>
              <w:t>发光字</w:t>
            </w:r>
            <w:r>
              <w:rPr>
                <w:rFonts w:hint="eastAsia" w:hAnsi="仿宋" w:cs="宋体"/>
                <w:b/>
                <w:bCs/>
                <w:color w:val="000000" w:themeColor="text1"/>
                <w:kern w:val="0"/>
                <w:sz w:val="24"/>
                <w:szCs w:val="24"/>
                <w:highlight w:val="none"/>
                <w:lang w:bidi="ar"/>
                <w14:textFill>
                  <w14:solidFill>
                    <w14:schemeClr w14:val="tx1"/>
                  </w14:solidFill>
                </w14:textFill>
              </w:rPr>
              <w:t>和</w:t>
            </w:r>
            <w:r>
              <w:rPr>
                <w:rFonts w:hint="eastAsia" w:hAnsi="仿宋" w:cs="宋体"/>
                <w:b/>
                <w:bCs/>
                <w:color w:val="000000" w:themeColor="text1"/>
                <w:kern w:val="0"/>
                <w:sz w:val="24"/>
                <w:szCs w:val="24"/>
                <w:highlight w:val="none"/>
                <w:lang w:val="en-US" w:eastAsia="zh-CN" w:bidi="ar"/>
                <w14:textFill>
                  <w14:solidFill>
                    <w14:schemeClr w14:val="tx1"/>
                  </w14:solidFill>
                </w14:textFill>
              </w:rPr>
              <w:t>病房牌</w:t>
            </w:r>
            <w:r>
              <w:rPr>
                <w:rFonts w:hint="eastAsia" w:hAnsi="仿宋" w:cs="宋体"/>
                <w:b/>
                <w:bCs/>
                <w:color w:val="000000" w:themeColor="text1"/>
                <w:kern w:val="0"/>
                <w:sz w:val="24"/>
                <w:szCs w:val="24"/>
                <w:highlight w:val="none"/>
                <w:lang w:bidi="ar"/>
                <w14:textFill>
                  <w14:solidFill>
                    <w14:schemeClr w14:val="tx1"/>
                  </w14:solidFill>
                </w14:textFill>
              </w:rPr>
              <w:t>三种小样,样品应与设计效果图一致。样品的费用由各投标人自行承担，中标单位的样品交由采购人封存</w:t>
            </w:r>
          </w:p>
        </w:tc>
      </w:tr>
      <w:tr w14:paraId="73B931AF">
        <w:tblPrEx>
          <w:tblCellMar>
            <w:top w:w="0" w:type="dxa"/>
            <w:left w:w="108" w:type="dxa"/>
            <w:bottom w:w="0" w:type="dxa"/>
            <w:right w:w="108" w:type="dxa"/>
          </w:tblCellMar>
        </w:tblPrEx>
        <w:trPr>
          <w:trHeight w:val="540" w:hRule="atLeast"/>
        </w:trPr>
        <w:tc>
          <w:tcPr>
            <w:tcW w:w="22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536AD">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售后服务</w:t>
            </w:r>
          </w:p>
          <w:p w14:paraId="23EDF2E5">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p w14:paraId="69846F02">
            <w:pPr>
              <w:widowControl/>
              <w:jc w:val="center"/>
              <w:textAlignment w:val="center"/>
              <w:rPr>
                <w:rFonts w:hint="eastAsia" w:hAnsi="仿宋" w:cs="宋体"/>
                <w:color w:val="000000" w:themeColor="text1"/>
                <w:kern w:val="0"/>
                <w:sz w:val="24"/>
                <w:szCs w:val="24"/>
                <w:lang w:bidi="ar"/>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ED6BD5">
            <w:pPr>
              <w:widowControl/>
              <w:jc w:val="center"/>
              <w:textAlignment w:val="center"/>
              <w:rPr>
                <w:rFonts w:hAnsi="仿宋" w:cs="宋体"/>
                <w:color w:val="000000" w:themeColor="text1"/>
                <w:sz w:val="24"/>
                <w:szCs w:val="24"/>
                <w14:textFill>
                  <w14:solidFill>
                    <w14:schemeClr w14:val="tx1"/>
                  </w14:solidFill>
                </w14:textFill>
              </w:rPr>
            </w:pPr>
            <w:r>
              <w:rPr>
                <w:rFonts w:hint="eastAsia" w:hAnsi="仿宋" w:cs="宋体"/>
                <w:color w:val="000000" w:themeColor="text1"/>
                <w:sz w:val="24"/>
                <w:szCs w:val="24"/>
                <w14:textFill>
                  <w14:solidFill>
                    <w14:schemeClr w14:val="tx1"/>
                  </w14:solidFill>
                </w14:textFill>
              </w:rPr>
              <w:t>10</w:t>
            </w:r>
          </w:p>
        </w:tc>
        <w:tc>
          <w:tcPr>
            <w:tcW w:w="7246" w:type="dxa"/>
            <w:tcBorders>
              <w:top w:val="single" w:color="auto" w:sz="4" w:space="0"/>
              <w:left w:val="single" w:color="auto" w:sz="4" w:space="0"/>
              <w:bottom w:val="single" w:color="auto" w:sz="4" w:space="0"/>
              <w:right w:val="single" w:color="auto" w:sz="4" w:space="0"/>
            </w:tcBorders>
            <w:shd w:val="clear" w:color="auto" w:fill="auto"/>
            <w:vAlign w:val="center"/>
          </w:tcPr>
          <w:p w14:paraId="3A37EC27">
            <w:pPr>
              <w:widowControl/>
              <w:jc w:val="left"/>
              <w:textAlignment w:val="center"/>
              <w:rPr>
                <w:rFonts w:hint="eastAsia" w:hAnsi="仿宋" w:cs="宋体"/>
                <w:color w:val="000000" w:themeColor="text1"/>
                <w:kern w:val="0"/>
                <w:sz w:val="24"/>
                <w:szCs w:val="24"/>
                <w:lang w:bidi="ar"/>
                <w14:textFill>
                  <w14:solidFill>
                    <w14:schemeClr w14:val="tx1"/>
                  </w14:solidFill>
                </w14:textFill>
              </w:rPr>
            </w:pPr>
            <w:r>
              <w:rPr>
                <w:rFonts w:hint="eastAsia" w:hAnsi="仿宋" w:cs="宋体"/>
                <w:color w:val="000000" w:themeColor="text1"/>
                <w:kern w:val="0"/>
                <w:sz w:val="24"/>
                <w:szCs w:val="24"/>
                <w:lang w:bidi="ar"/>
                <w14:textFill>
                  <w14:solidFill>
                    <w14:schemeClr w14:val="tx1"/>
                  </w14:solidFill>
                </w14:textFill>
              </w:rPr>
              <w:t>有导视标识设计、制作和安装的流程、服务体系和质量保障措施、困点难点的解决方案、售后服务保障方案、响应时间以及对后续服务方面的优惠承诺等服务方案，有一项服务方案内容且内容完整、详细、合理规范、可操作性强得</w:t>
            </w:r>
            <w:r>
              <w:rPr>
                <w:rFonts w:hint="eastAsia" w:hAnsi="仿宋" w:cs="宋体"/>
                <w:color w:val="000000" w:themeColor="text1"/>
                <w:kern w:val="0"/>
                <w:sz w:val="24"/>
                <w:szCs w:val="24"/>
                <w:lang w:val="en-US" w:eastAsia="zh-CN" w:bidi="ar"/>
                <w14:textFill>
                  <w14:solidFill>
                    <w14:schemeClr w14:val="tx1"/>
                  </w14:solidFill>
                </w14:textFill>
              </w:rPr>
              <w:t>2</w:t>
            </w:r>
            <w:r>
              <w:rPr>
                <w:rFonts w:hint="eastAsia" w:hAnsi="仿宋" w:cs="宋体"/>
                <w:color w:val="000000" w:themeColor="text1"/>
                <w:kern w:val="0"/>
                <w:sz w:val="24"/>
                <w:szCs w:val="24"/>
                <w:lang w:bidi="ar"/>
                <w14:textFill>
                  <w14:solidFill>
                    <w14:schemeClr w14:val="tx1"/>
                  </w14:solidFill>
                </w14:textFill>
              </w:rPr>
              <w:t>分，有一项服务方案且较完整、较详细、较合理规范、有一定的针对性、可操作性得</w:t>
            </w:r>
            <w:r>
              <w:rPr>
                <w:rFonts w:hint="eastAsia" w:hAnsi="仿宋" w:cs="宋体"/>
                <w:color w:val="000000" w:themeColor="text1"/>
                <w:kern w:val="0"/>
                <w:sz w:val="24"/>
                <w:szCs w:val="24"/>
                <w:lang w:val="en-US" w:eastAsia="zh-CN" w:bidi="ar"/>
                <w14:textFill>
                  <w14:solidFill>
                    <w14:schemeClr w14:val="tx1"/>
                  </w14:solidFill>
                </w14:textFill>
              </w:rPr>
              <w:t>1</w:t>
            </w:r>
            <w:r>
              <w:rPr>
                <w:rFonts w:hint="eastAsia" w:hAnsi="仿宋" w:cs="宋体"/>
                <w:color w:val="000000" w:themeColor="text1"/>
                <w:kern w:val="0"/>
                <w:sz w:val="24"/>
                <w:szCs w:val="24"/>
                <w:lang w:bidi="ar"/>
                <w14:textFill>
                  <w14:solidFill>
                    <w14:schemeClr w14:val="tx1"/>
                  </w14:solidFill>
                </w14:textFill>
              </w:rPr>
              <w:t>分；有一项服务方案且完整性一般、合理性和规范性一般、针对性和可操作性不强、差或未提供服务方案不得分，最多得</w:t>
            </w:r>
            <w:r>
              <w:rPr>
                <w:rFonts w:hint="eastAsia" w:hAnsi="仿宋" w:cs="宋体"/>
                <w:color w:val="000000" w:themeColor="text1"/>
                <w:kern w:val="0"/>
                <w:sz w:val="24"/>
                <w:szCs w:val="24"/>
                <w:lang w:val="en-US" w:eastAsia="zh-CN" w:bidi="ar"/>
                <w14:textFill>
                  <w14:solidFill>
                    <w14:schemeClr w14:val="tx1"/>
                  </w14:solidFill>
                </w14:textFill>
              </w:rPr>
              <w:t>10</w:t>
            </w:r>
            <w:r>
              <w:rPr>
                <w:rFonts w:hint="eastAsia" w:hAnsi="仿宋" w:cs="宋体"/>
                <w:color w:val="000000" w:themeColor="text1"/>
                <w:kern w:val="0"/>
                <w:sz w:val="24"/>
                <w:szCs w:val="24"/>
                <w:lang w:bidi="ar"/>
                <w14:textFill>
                  <w14:solidFill>
                    <w14:schemeClr w14:val="tx1"/>
                  </w14:solidFill>
                </w14:textFill>
              </w:rPr>
              <w:t>分。</w:t>
            </w:r>
          </w:p>
        </w:tc>
      </w:tr>
    </w:tbl>
    <w:p w14:paraId="3A780817">
      <w:pPr>
        <w:jc w:val="center"/>
        <w:rPr>
          <w:b/>
          <w:sz w:val="32"/>
          <w:szCs w:val="32"/>
        </w:rPr>
      </w:pPr>
    </w:p>
    <w:p w14:paraId="65BECCDA">
      <w:pPr>
        <w:rPr>
          <w:rFonts w:hint="eastAsia"/>
          <w:b/>
          <w:sz w:val="32"/>
          <w:szCs w:val="32"/>
        </w:rPr>
      </w:pPr>
      <w:r>
        <w:rPr>
          <w:rFonts w:hint="eastAsia"/>
          <w:b/>
          <w:sz w:val="32"/>
          <w:szCs w:val="32"/>
        </w:rPr>
        <w:br w:type="page"/>
      </w:r>
    </w:p>
    <w:p w14:paraId="64356324">
      <w:pPr>
        <w:jc w:val="center"/>
        <w:rPr>
          <w:b/>
          <w:sz w:val="32"/>
          <w:szCs w:val="32"/>
        </w:rPr>
      </w:pPr>
      <w:r>
        <w:rPr>
          <w:rFonts w:hint="eastAsia"/>
          <w:b/>
          <w:sz w:val="32"/>
          <w:szCs w:val="32"/>
        </w:rPr>
        <w:t>四、投标人须知</w:t>
      </w:r>
      <w:bookmarkEnd w:id="2"/>
    </w:p>
    <w:p w14:paraId="58E500C2">
      <w:pPr>
        <w:ind w:firstLine="562" w:firstLineChars="200"/>
        <w:rPr>
          <w:b/>
          <w:sz w:val="28"/>
          <w:szCs w:val="28"/>
        </w:rPr>
      </w:pPr>
      <w:r>
        <w:rPr>
          <w:rFonts w:hint="eastAsia"/>
          <w:b/>
          <w:sz w:val="28"/>
          <w:szCs w:val="28"/>
        </w:rPr>
        <w:t>（一）编制要求</w:t>
      </w:r>
    </w:p>
    <w:p w14:paraId="4576E43B">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14:paraId="4D127D6D">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2、投标人在收到谈判文件后，若有疑问应以书面形式（包括书面文字、传真、电子邮件等）在规定时间前向招标人提出。招标人将所有问题集中后在统一答复所有投标人。</w:t>
      </w:r>
    </w:p>
    <w:p w14:paraId="32228340">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3、明确标明“正本”或“副本”字样，一旦正本和副本有差异，以正本为准。所有投标资料均需A4纸打印，按照谈判文件规定的顺序装订。</w:t>
      </w:r>
    </w:p>
    <w:p w14:paraId="0F5E4E29">
      <w:pPr>
        <w:ind w:firstLine="562" w:firstLineChars="200"/>
        <w:rPr>
          <w:b/>
          <w:sz w:val="28"/>
          <w:szCs w:val="28"/>
        </w:rPr>
      </w:pPr>
      <w:bookmarkStart w:id="6" w:name="_Toc39744254"/>
      <w:r>
        <w:rPr>
          <w:rFonts w:hint="eastAsia"/>
          <w:b/>
          <w:sz w:val="28"/>
          <w:szCs w:val="28"/>
        </w:rPr>
        <w:t>（二）资格审查要求</w:t>
      </w:r>
      <w:bookmarkEnd w:id="6"/>
    </w:p>
    <w:p w14:paraId="62D3239F">
      <w:pPr>
        <w:autoSpaceDE w:val="0"/>
        <w:autoSpaceDN w:val="0"/>
        <w:adjustRightInd w:val="0"/>
        <w:snapToGrid w:val="0"/>
        <w:spacing w:line="440" w:lineRule="exact"/>
        <w:ind w:left="424" w:leftChars="202" w:right="531" w:rightChars="253" w:firstLine="371" w:firstLineChars="176"/>
        <w:contextualSpacing/>
        <w:rPr>
          <w:rFonts w:ascii="宋体" w:hAnsi="宋体"/>
          <w:b/>
          <w:szCs w:val="21"/>
        </w:rPr>
      </w:pPr>
      <w:r>
        <w:rPr>
          <w:rFonts w:hint="eastAsia" w:ascii="宋体" w:hAnsi="宋体"/>
          <w:b/>
          <w:color w:val="FF0000"/>
          <w:szCs w:val="21"/>
        </w:rPr>
        <w:t>2025年</w:t>
      </w:r>
      <w:r>
        <w:rPr>
          <w:rFonts w:hint="eastAsia" w:ascii="宋体" w:hAnsi="宋体"/>
          <w:b/>
          <w:color w:val="FF0000"/>
          <w:szCs w:val="21"/>
          <w:lang w:val="en-US" w:eastAsia="zh-CN"/>
        </w:rPr>
        <w:t>4</w:t>
      </w:r>
      <w:r>
        <w:rPr>
          <w:rFonts w:hint="eastAsia" w:ascii="宋体" w:hAnsi="宋体"/>
          <w:b/>
          <w:color w:val="FF0000"/>
          <w:szCs w:val="21"/>
        </w:rPr>
        <w:t>月</w:t>
      </w:r>
      <w:r>
        <w:rPr>
          <w:rFonts w:hint="eastAsia" w:ascii="宋体" w:hAnsi="宋体"/>
          <w:b/>
          <w:color w:val="FF0000"/>
          <w:szCs w:val="21"/>
          <w:lang w:val="en-US" w:eastAsia="zh-CN"/>
        </w:rPr>
        <w:t>20</w:t>
      </w:r>
      <w:r>
        <w:rPr>
          <w:rFonts w:hint="eastAsia" w:ascii="宋体" w:hAnsi="宋体"/>
          <w:b/>
          <w:color w:val="FF0000"/>
          <w:szCs w:val="21"/>
        </w:rPr>
        <w:t>日17：00</w:t>
      </w:r>
      <w:r>
        <w:rPr>
          <w:rFonts w:hint="eastAsia" w:ascii="宋体" w:hAnsi="宋体"/>
          <w:b/>
          <w:szCs w:val="21"/>
        </w:rPr>
        <w:t>前须向招标人提供法人授权委托书、供应商参加招标确认函、营业执照复印件扫描件发送电子邮箱</w:t>
      </w:r>
      <w:r>
        <w:rPr>
          <w:rFonts w:hint="eastAsia" w:ascii="宋体" w:hAnsi="宋体"/>
          <w:b/>
          <w:szCs w:val="21"/>
          <w:lang w:val="en-US" w:eastAsia="zh-CN"/>
        </w:rPr>
        <w:t>50891671@qq.com</w:t>
      </w:r>
      <w:r>
        <w:rPr>
          <w:rFonts w:hint="eastAsia" w:ascii="宋体" w:hAnsi="宋体"/>
          <w:b/>
          <w:szCs w:val="21"/>
        </w:rPr>
        <w:t>，该授权委托代理为项目指定联系人。</w:t>
      </w:r>
    </w:p>
    <w:p w14:paraId="704A8A51">
      <w:pPr>
        <w:tabs>
          <w:tab w:val="left" w:pos="9214"/>
        </w:tabs>
        <w:adjustRightInd w:val="0"/>
        <w:snapToGrid w:val="0"/>
        <w:spacing w:line="440" w:lineRule="exact"/>
        <w:ind w:left="424" w:leftChars="202" w:right="531" w:rightChars="253" w:firstLine="371" w:firstLineChars="177"/>
        <w:contextualSpacing/>
        <w:rPr>
          <w:rFonts w:ascii="宋体" w:hAnsi="宋体"/>
          <w:szCs w:val="21"/>
        </w:rPr>
      </w:pPr>
      <w:r>
        <w:rPr>
          <w:rFonts w:ascii="宋体" w:hAnsi="宋体"/>
          <w:szCs w:val="21"/>
        </w:rPr>
        <w:t>投标人资质要求</w:t>
      </w:r>
    </w:p>
    <w:p w14:paraId="47FD066E">
      <w:pPr>
        <w:adjustRightInd w:val="0"/>
        <w:spacing w:line="440" w:lineRule="exact"/>
        <w:ind w:left="496" w:leftChars="236" w:right="248" w:rightChars="118" w:firstLine="369" w:firstLineChars="176"/>
        <w:contextualSpacing/>
      </w:pPr>
      <w:r>
        <w:t>证明投标人合格和资格的文件</w:t>
      </w:r>
      <w:r>
        <w:rPr>
          <w:rFonts w:hint="eastAsia"/>
        </w:rPr>
        <w:t>：</w:t>
      </w:r>
      <w:r>
        <w:t>投标人应提交证明其有资格参加投标和中标后有能力履行合同的文件，并作为其投标文件的一部分。</w:t>
      </w:r>
    </w:p>
    <w:p w14:paraId="3EFD3C1E">
      <w:pPr>
        <w:snapToGrid w:val="0"/>
        <w:spacing w:line="440" w:lineRule="exact"/>
        <w:ind w:firstLine="723" w:firstLineChars="300"/>
        <w:rPr>
          <w:rStyle w:val="62"/>
          <w:rFonts w:ascii="宋体" w:hAnsi="宋体" w:cs="宋体"/>
          <w:b/>
          <w:bCs/>
          <w:sz w:val="24"/>
        </w:rPr>
      </w:pPr>
      <w:r>
        <w:rPr>
          <w:rStyle w:val="62"/>
          <w:rFonts w:ascii="宋体" w:hAnsi="宋体"/>
          <w:b/>
          <w:sz w:val="24"/>
        </w:rPr>
        <w:t>1．</w:t>
      </w:r>
      <w:r>
        <w:rPr>
          <w:rStyle w:val="62"/>
          <w:rFonts w:ascii="宋体" w:hAnsi="宋体" w:cs="宋体"/>
          <w:b/>
          <w:bCs/>
          <w:sz w:val="24"/>
        </w:rPr>
        <w:t>符合本次采购法律法规规定的条件目录</w:t>
      </w:r>
    </w:p>
    <w:p w14:paraId="508B32A1">
      <w:pPr>
        <w:adjustRightInd w:val="0"/>
        <w:spacing w:line="440" w:lineRule="exact"/>
        <w:ind w:left="496" w:leftChars="236" w:right="248" w:rightChars="118" w:firstLine="369" w:firstLineChars="176"/>
        <w:contextualSpacing/>
        <w:rPr>
          <w:u w:val="single"/>
        </w:rPr>
      </w:pPr>
      <w:r>
        <w:rPr>
          <w:u w:val="single"/>
        </w:rPr>
        <w:t>1.1</w:t>
      </w:r>
      <w:r>
        <w:rPr>
          <w:rFonts w:hint="eastAsia" w:ascii="宋体" w:hAnsi="宋体" w:cs="宋体"/>
          <w:u w:val="single"/>
        </w:rPr>
        <w:t>★</w:t>
      </w:r>
      <w:r>
        <w:rPr>
          <w:u w:val="single"/>
        </w:rPr>
        <w:t>投标函(原件)；</w:t>
      </w:r>
    </w:p>
    <w:p w14:paraId="78020589">
      <w:pPr>
        <w:adjustRightInd w:val="0"/>
        <w:spacing w:line="440" w:lineRule="exact"/>
        <w:ind w:left="496" w:leftChars="236" w:right="248" w:rightChars="118" w:firstLine="369" w:firstLineChars="176"/>
        <w:contextualSpacing/>
        <w:rPr>
          <w:u w:val="single"/>
        </w:rPr>
      </w:pPr>
      <w:r>
        <w:rPr>
          <w:u w:val="single"/>
        </w:rPr>
        <w:t>1.2</w:t>
      </w:r>
      <w:r>
        <w:rPr>
          <w:rFonts w:hint="eastAsia" w:ascii="宋体" w:hAnsi="宋体" w:cs="宋体"/>
          <w:u w:val="single"/>
        </w:rPr>
        <w:t>★</w:t>
      </w:r>
      <w:r>
        <w:rPr>
          <w:u w:val="single"/>
        </w:rPr>
        <w:t>资格声明(原件)；</w:t>
      </w:r>
    </w:p>
    <w:p w14:paraId="6B77047D">
      <w:pPr>
        <w:adjustRightInd w:val="0"/>
        <w:spacing w:line="440" w:lineRule="exact"/>
        <w:ind w:left="496" w:leftChars="236" w:right="248" w:rightChars="118" w:firstLine="369" w:firstLineChars="176"/>
        <w:contextualSpacing/>
        <w:rPr>
          <w:u w:val="single"/>
        </w:rPr>
      </w:pPr>
      <w:r>
        <w:rPr>
          <w:u w:val="single"/>
        </w:rPr>
        <w:t>1.3</w:t>
      </w:r>
      <w:r>
        <w:rPr>
          <w:rFonts w:hint="eastAsia" w:ascii="宋体" w:hAnsi="宋体" w:cs="宋体"/>
          <w:u w:val="single"/>
        </w:rPr>
        <w:t>★</w:t>
      </w:r>
      <w:r>
        <w:rPr>
          <w:u w:val="single"/>
        </w:rPr>
        <w:t>若法定代表人参加投标的，须提供本人身份证复印件(原件备查)；若授权代表参加的，须提供《法人授权书》原件和授权代表身份证复印件（原件备查）；</w:t>
      </w:r>
    </w:p>
    <w:p w14:paraId="678F62AE">
      <w:pPr>
        <w:adjustRightInd w:val="0"/>
        <w:spacing w:line="440" w:lineRule="exact"/>
        <w:ind w:left="496" w:leftChars="236" w:right="248" w:rightChars="118" w:firstLine="369" w:firstLineChars="176"/>
        <w:contextualSpacing/>
        <w:rPr>
          <w:u w:val="single"/>
        </w:rPr>
      </w:pPr>
      <w:r>
        <w:rPr>
          <w:u w:val="single"/>
        </w:rPr>
        <w:t>1.4</w:t>
      </w:r>
      <w:r>
        <w:rPr>
          <w:rFonts w:hint="eastAsia" w:ascii="宋体" w:hAnsi="宋体" w:cs="宋体"/>
          <w:u w:val="single"/>
        </w:rPr>
        <w:t>★</w:t>
      </w:r>
      <w:r>
        <w:rPr>
          <w:u w:val="single"/>
        </w:rPr>
        <w:t>营业执照副本(复印件加盖供应商公章)；</w:t>
      </w:r>
    </w:p>
    <w:p w14:paraId="2F9F5927">
      <w:pPr>
        <w:adjustRightInd w:val="0"/>
        <w:spacing w:line="440" w:lineRule="exact"/>
        <w:ind w:left="496" w:leftChars="236" w:right="248" w:rightChars="118" w:firstLine="369" w:firstLineChars="176"/>
        <w:contextualSpacing/>
        <w:rPr>
          <w:u w:val="single"/>
        </w:rPr>
      </w:pPr>
      <w:r>
        <w:rPr>
          <w:u w:val="single"/>
        </w:rPr>
        <w:t>1.5</w:t>
      </w:r>
      <w:r>
        <w:rPr>
          <w:rFonts w:hint="eastAsia" w:ascii="宋体" w:hAnsi="宋体" w:cs="宋体"/>
          <w:u w:val="single"/>
        </w:rPr>
        <w:t>★</w:t>
      </w:r>
      <w:r>
        <w:rPr>
          <w:u w:val="single"/>
        </w:rPr>
        <w:t>依法缴纳职工社会保障资金的证明材料(复印件加盖供应商公章)(税务、银行或社会保险基金管理部门出具的</w:t>
      </w:r>
      <w:r>
        <w:rPr>
          <w:rFonts w:hint="eastAsia"/>
          <w:u w:val="single"/>
        </w:rPr>
        <w:t>近</w:t>
      </w:r>
      <w:r>
        <w:rPr>
          <w:u w:val="single"/>
        </w:rPr>
        <w:t>三个月内任意一份缴纳职工社会保障资金的缴款凭证或缴款证明)；</w:t>
      </w:r>
    </w:p>
    <w:p w14:paraId="7DA1B69D">
      <w:pPr>
        <w:adjustRightInd w:val="0"/>
        <w:spacing w:line="440" w:lineRule="exact"/>
        <w:ind w:left="496" w:leftChars="236" w:right="248" w:rightChars="118" w:firstLine="369" w:firstLineChars="176"/>
        <w:contextualSpacing/>
        <w:rPr>
          <w:u w:val="single"/>
        </w:rPr>
      </w:pPr>
      <w:r>
        <w:rPr>
          <w:u w:val="single"/>
        </w:rPr>
        <w:t>1.6</w:t>
      </w:r>
      <w:r>
        <w:rPr>
          <w:rFonts w:hint="eastAsia" w:ascii="宋体" w:hAnsi="宋体" w:cs="宋体"/>
          <w:u w:val="single"/>
        </w:rPr>
        <w:t>★</w:t>
      </w:r>
      <w:r>
        <w:rPr>
          <w:u w:val="single"/>
        </w:rPr>
        <w:t>供应商近三个月内任意一份依法纳税的缴款凭证(复印件加盖供应商公章)；</w:t>
      </w:r>
    </w:p>
    <w:p w14:paraId="37582984">
      <w:pPr>
        <w:adjustRightInd w:val="0"/>
        <w:spacing w:line="440" w:lineRule="exact"/>
        <w:ind w:left="496" w:leftChars="236" w:right="248" w:rightChars="118" w:firstLine="369" w:firstLineChars="176"/>
        <w:contextualSpacing/>
        <w:rPr>
          <w:u w:val="single"/>
        </w:rPr>
      </w:pPr>
      <w:r>
        <w:rPr>
          <w:u w:val="single"/>
        </w:rPr>
        <w:t>1.7</w:t>
      </w:r>
      <w:r>
        <w:rPr>
          <w:rFonts w:hint="eastAsia" w:ascii="宋体" w:hAnsi="宋体" w:cs="宋体"/>
          <w:u w:val="single"/>
        </w:rPr>
        <w:t>★</w:t>
      </w:r>
      <w:r>
        <w:rPr>
          <w:u w:val="single"/>
        </w:rPr>
        <w:t>与第1.6条相对应的纳税申报表或经会计师事务所审计的</w:t>
      </w:r>
      <w:r>
        <w:rPr>
          <w:rFonts w:hint="eastAsia"/>
          <w:u w:val="single"/>
          <w:lang w:val="en-US" w:eastAsia="zh-CN"/>
        </w:rPr>
        <w:t>上一</w:t>
      </w:r>
      <w:r>
        <w:rPr>
          <w:u w:val="single"/>
        </w:rPr>
        <w:t>年度财务报告(复印件加盖供应商公章)；</w:t>
      </w:r>
    </w:p>
    <w:p w14:paraId="150787B4">
      <w:pPr>
        <w:adjustRightInd w:val="0"/>
        <w:spacing w:line="440" w:lineRule="exact"/>
        <w:ind w:left="496" w:leftChars="236" w:right="248" w:rightChars="118" w:firstLine="369" w:firstLineChars="176"/>
        <w:contextualSpacing/>
        <w:rPr>
          <w:u w:val="single"/>
        </w:rPr>
      </w:pPr>
      <w:r>
        <w:rPr>
          <w:u w:val="single"/>
        </w:rPr>
        <w:t>1.8</w:t>
      </w:r>
      <w:r>
        <w:rPr>
          <w:rFonts w:hint="eastAsia" w:ascii="宋体" w:hAnsi="宋体" w:cs="宋体"/>
          <w:u w:val="single"/>
        </w:rPr>
        <w:t>★</w:t>
      </w:r>
      <w:r>
        <w:rPr>
          <w:u w:val="single"/>
        </w:rPr>
        <w:t>供应商参加本次政府采购活动前3年内在经营活动中没有重大违法记录、没有被司法部门或行业主管部门处罚的书面声明（原件）。</w:t>
      </w:r>
    </w:p>
    <w:p w14:paraId="7F61DD3F">
      <w:pPr>
        <w:snapToGrid w:val="0"/>
        <w:spacing w:line="440" w:lineRule="exact"/>
        <w:ind w:firstLine="840" w:firstLineChars="400"/>
        <w:rPr>
          <w:rFonts w:ascii="宋体" w:hAnsi="宋体"/>
          <w:sz w:val="21"/>
          <w:szCs w:val="21"/>
        </w:rPr>
      </w:pPr>
      <w:r>
        <w:rPr>
          <w:rStyle w:val="62"/>
          <w:rFonts w:hint="eastAsia" w:ascii="宋体" w:hAnsi="宋体"/>
          <w:sz w:val="21"/>
          <w:szCs w:val="21"/>
          <w:lang w:val="en-US" w:eastAsia="zh-CN"/>
        </w:rPr>
        <w:t>1.9</w:t>
      </w:r>
      <w:r>
        <w:rPr>
          <w:rStyle w:val="62"/>
          <w:rFonts w:ascii="宋体" w:hAnsi="宋体"/>
          <w:sz w:val="21"/>
          <w:szCs w:val="21"/>
        </w:rPr>
        <w:t>投标人认为需要提供的其他商务资料</w:t>
      </w:r>
      <w:r>
        <w:rPr>
          <w:rStyle w:val="79"/>
          <w:rFonts w:ascii="宋体" w:hAnsi="宋体"/>
          <w:sz w:val="21"/>
          <w:szCs w:val="21"/>
        </w:rPr>
        <w:t>。</w:t>
      </w:r>
    </w:p>
    <w:p w14:paraId="0D55FF75">
      <w:pPr>
        <w:adjustRightInd w:val="0"/>
        <w:snapToGrid w:val="0"/>
        <w:spacing w:line="440" w:lineRule="exact"/>
        <w:ind w:left="424" w:leftChars="202" w:right="531" w:rightChars="253" w:firstLine="332" w:firstLineChars="118"/>
        <w:contextualSpacing/>
        <w:rPr>
          <w:b/>
          <w:sz w:val="28"/>
          <w:szCs w:val="28"/>
        </w:rPr>
      </w:pPr>
      <w:bookmarkStart w:id="7" w:name="_Toc39744256"/>
      <w:r>
        <w:rPr>
          <w:rFonts w:hint="eastAsia"/>
          <w:b/>
          <w:sz w:val="28"/>
          <w:szCs w:val="28"/>
        </w:rPr>
        <w:t>（三）投标文件要求</w:t>
      </w:r>
      <w:bookmarkEnd w:id="7"/>
    </w:p>
    <w:p w14:paraId="6EB63C0E">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w:t>
      </w:r>
      <w:r>
        <w:rPr>
          <w:rFonts w:hint="eastAsia" w:ascii="宋体" w:hAnsi="宋体"/>
          <w:b/>
          <w:szCs w:val="21"/>
        </w:rPr>
        <w:t>投标文件的组成</w:t>
      </w:r>
      <w:r>
        <w:rPr>
          <w:rFonts w:hint="eastAsia" w:ascii="宋体" w:hAnsi="宋体"/>
          <w:szCs w:val="21"/>
        </w:rPr>
        <w:t>：</w:t>
      </w:r>
    </w:p>
    <w:p w14:paraId="6EA75D9A">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1.1资格审查文件，所有复印件需加盖公章：</w:t>
      </w:r>
    </w:p>
    <w:p w14:paraId="79AD44E0">
      <w:p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（1）针对本项目谈判的授权委托书；</w:t>
      </w:r>
    </w:p>
    <w:p w14:paraId="16514C90">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企业法人营业执照；</w:t>
      </w:r>
    </w:p>
    <w:p w14:paraId="471ECBFE">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企业资质证书</w:t>
      </w:r>
      <w:r>
        <w:rPr>
          <w:rFonts w:hint="eastAsia" w:ascii="宋体"/>
          <w:szCs w:val="21"/>
        </w:rPr>
        <w:t>；</w:t>
      </w:r>
    </w:p>
    <w:p w14:paraId="58D08424">
      <w:pPr>
        <w:numPr>
          <w:ilvl w:val="0"/>
          <w:numId w:val="6"/>
        </w:numPr>
        <w:autoSpaceDE w:val="0"/>
        <w:autoSpaceDN w:val="0"/>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由社保部门出具的投标人为授权委托人及谈判经办人缴纳的</w:t>
      </w:r>
      <w:r>
        <w:rPr>
          <w:rFonts w:hint="eastAsia" w:ascii="宋体" w:hAnsi="宋体"/>
          <w:b/>
          <w:szCs w:val="21"/>
        </w:rPr>
        <w:t>近三个月中任意一个月的</w:t>
      </w:r>
      <w:r>
        <w:rPr>
          <w:rFonts w:hint="eastAsia" w:ascii="宋体" w:hAnsi="宋体"/>
          <w:szCs w:val="21"/>
        </w:rPr>
        <w:t>养老保险费用的证明材料；</w:t>
      </w:r>
    </w:p>
    <w:p w14:paraId="38736509">
      <w:pPr>
        <w:adjustRightInd w:val="0"/>
        <w:snapToGrid w:val="0"/>
        <w:spacing w:line="440" w:lineRule="exact"/>
        <w:ind w:left="422" w:leftChars="201" w:right="531" w:rightChars="253" w:firstLine="373" w:firstLineChars="177"/>
        <w:contextualSpacing/>
        <w:rPr>
          <w:rFonts w:ascii="宋体" w:hAnsi="宋体"/>
          <w:szCs w:val="21"/>
        </w:rPr>
      </w:pPr>
      <w:r>
        <w:rPr>
          <w:rFonts w:hint="eastAsia" w:ascii="宋体" w:hAnsi="宋体"/>
          <w:b/>
          <w:szCs w:val="21"/>
        </w:rPr>
        <w:t>1.2报价文件</w:t>
      </w:r>
    </w:p>
    <w:p w14:paraId="324CE5F6">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（1）投标函</w:t>
      </w:r>
    </w:p>
    <w:p w14:paraId="0C2CC96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（2）授权委托书</w:t>
      </w:r>
    </w:p>
    <w:p w14:paraId="6465EB55">
      <w:pPr>
        <w:adjustRightInd w:val="0"/>
        <w:snapToGrid w:val="0"/>
        <w:spacing w:line="440" w:lineRule="exact"/>
        <w:ind w:left="422" w:leftChars="201" w:right="531" w:rightChars="253" w:firstLine="249" w:firstLineChars="119"/>
        <w:contextualSpacing/>
        <w:rPr>
          <w:rFonts w:ascii="宋体" w:hAnsi="宋体"/>
          <w:szCs w:val="21"/>
        </w:rPr>
      </w:pPr>
      <w:r>
        <w:rPr>
          <w:rFonts w:hint="eastAsia" w:ascii="宋体" w:hAnsi="宋体"/>
          <w:bCs/>
          <w:szCs w:val="21"/>
        </w:rPr>
        <w:t>（3）</w:t>
      </w:r>
      <w:r>
        <w:rPr>
          <w:rFonts w:hint="eastAsia" w:ascii="宋体" w:hAnsi="宋体"/>
          <w:szCs w:val="21"/>
        </w:rPr>
        <w:t>投标报价</w:t>
      </w:r>
    </w:p>
    <w:p w14:paraId="2E9706C9">
      <w:pPr>
        <w:adjustRightInd w:val="0"/>
        <w:snapToGrid w:val="0"/>
        <w:spacing w:line="440" w:lineRule="exact"/>
        <w:ind w:left="422" w:leftChars="201" w:right="531" w:rightChars="253" w:firstLine="249" w:firstLineChars="119"/>
        <w:contextualSpacing/>
        <w:rPr>
          <w:rFonts w:ascii="宋体" w:hAnsi="宋体"/>
          <w:bCs/>
          <w:szCs w:val="21"/>
        </w:rPr>
      </w:pPr>
      <w:r>
        <w:rPr>
          <w:rFonts w:hint="eastAsia" w:ascii="宋体" w:hAnsi="宋体"/>
          <w:bCs/>
          <w:szCs w:val="21"/>
        </w:rPr>
        <w:t>（4）分项报价</w:t>
      </w:r>
    </w:p>
    <w:p w14:paraId="0B8496A4">
      <w:pPr>
        <w:ind w:firstLine="562" w:firstLineChars="200"/>
        <w:rPr>
          <w:b/>
          <w:sz w:val="28"/>
          <w:szCs w:val="28"/>
        </w:rPr>
      </w:pPr>
      <w:bookmarkStart w:id="8" w:name="_Toc39744257"/>
      <w:r>
        <w:rPr>
          <w:rFonts w:hint="eastAsia"/>
          <w:b/>
          <w:sz w:val="28"/>
          <w:szCs w:val="28"/>
        </w:rPr>
        <w:t>（四）开标、</w:t>
      </w:r>
      <w:bookmarkEnd w:id="8"/>
      <w:r>
        <w:rPr>
          <w:rFonts w:hint="eastAsia"/>
          <w:b/>
          <w:sz w:val="28"/>
          <w:szCs w:val="28"/>
        </w:rPr>
        <w:t>评标</w:t>
      </w:r>
    </w:p>
    <w:p w14:paraId="1A15CC75">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1、开标时，招标方代表或监管部门或投标单位检查投标文件的密封情况，在确认无误后拆封读标。投标文件一经开封不得进行改动。</w:t>
      </w:r>
    </w:p>
    <w:p w14:paraId="2CD6A637">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2、初步评审要求：开标后，招标方将组织审查投标文件是否完整；是否有计算错误。投标文件出现下列情形之一的，将作为无效投标文件：</w:t>
      </w:r>
    </w:p>
    <w:p w14:paraId="210BC77C">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（1）投标文件不响应磋商文件要求的；</w:t>
      </w:r>
    </w:p>
    <w:p w14:paraId="6FB527B5">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（2）投标函未盖投标人的企业及企业法定代表人印章或签字的，或者企业法定代表人委托代理人没有合法、有效的委托书（原件）及委托代理人印章或签字的；</w:t>
      </w:r>
    </w:p>
    <w:p w14:paraId="04ABD786">
      <w:pPr>
        <w:adjustRightInd w:val="0"/>
        <w:snapToGrid w:val="0"/>
        <w:spacing w:line="440" w:lineRule="exact"/>
        <w:ind w:left="424" w:leftChars="202" w:right="531" w:rightChars="253" w:firstLine="247" w:firstLineChars="118"/>
        <w:contextualSpacing/>
        <w:rPr>
          <w:rFonts w:ascii="宋体" w:hAnsi="宋体"/>
          <w:szCs w:val="21"/>
        </w:rPr>
      </w:pPr>
      <w:r>
        <w:rPr>
          <w:rFonts w:hint="eastAsia" w:ascii="宋体" w:hAnsi="宋体"/>
          <w:szCs w:val="21"/>
        </w:rPr>
        <w:t>（3）投标文件的关键内容模糊、无法辨认的；</w:t>
      </w:r>
    </w:p>
    <w:p w14:paraId="48075419">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3、评标小组先评审技术文件，后评审报价文件。</w:t>
      </w:r>
    </w:p>
    <w:p w14:paraId="648A113E">
      <w:pPr>
        <w:adjustRightInd w:val="0"/>
        <w:snapToGrid w:val="0"/>
        <w:spacing w:line="440" w:lineRule="exact"/>
        <w:ind w:left="424" w:leftChars="202" w:right="531" w:rightChars="253" w:firstLine="371" w:firstLineChars="177"/>
        <w:contextualSpacing/>
        <w:rPr>
          <w:rFonts w:ascii="宋体" w:hAnsi="宋体"/>
          <w:szCs w:val="21"/>
        </w:rPr>
      </w:pPr>
      <w:r>
        <w:rPr>
          <w:rFonts w:hint="eastAsia" w:ascii="宋体" w:hAnsi="宋体"/>
          <w:szCs w:val="21"/>
        </w:rPr>
        <w:t>4、严格按照扬州大学附属医院采购管理暂行办法，组成项目评标小组。严格按招标文件，公平、公正、科学、严谨地对投标文件进行综合评定。二次公告，满足两家并形成充分竞争，则正常开标。</w:t>
      </w:r>
    </w:p>
    <w:p w14:paraId="71C8E4A5">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5、谈判程序：</w:t>
      </w:r>
    </w:p>
    <w:p w14:paraId="34258A0B">
      <w:pPr>
        <w:adjustRightInd w:val="0"/>
        <w:snapToGrid w:val="0"/>
        <w:spacing w:line="440" w:lineRule="exact"/>
        <w:ind w:left="422" w:leftChars="201" w:right="531" w:rightChars="253" w:firstLine="373" w:firstLineChars="177"/>
        <w:contextualSpacing/>
        <w:rPr>
          <w:rFonts w:ascii="宋体" w:hAnsi="宋体"/>
          <w:b/>
          <w:szCs w:val="21"/>
        </w:rPr>
      </w:pPr>
      <w:r>
        <w:rPr>
          <w:rFonts w:hint="eastAsia" w:ascii="宋体" w:hAnsi="宋体"/>
          <w:b/>
          <w:szCs w:val="21"/>
        </w:rPr>
        <w:t>（1）资格审查；（2）投标单位自我介绍及产品介绍；（3）谈判及二次报价。</w:t>
      </w:r>
    </w:p>
    <w:p w14:paraId="7AC02A68">
      <w:pPr>
        <w:adjustRightInd w:val="0"/>
        <w:snapToGrid w:val="0"/>
        <w:spacing w:line="440" w:lineRule="exact"/>
        <w:ind w:left="422" w:leftChars="201" w:right="531" w:rightChars="253" w:firstLine="371" w:firstLineChars="177"/>
        <w:contextualSpacing/>
        <w:rPr>
          <w:rFonts w:ascii="宋体" w:hAnsi="宋体"/>
          <w:szCs w:val="21"/>
        </w:rPr>
      </w:pPr>
      <w:r>
        <w:rPr>
          <w:rFonts w:hint="eastAsia" w:ascii="宋体" w:hAnsi="宋体"/>
          <w:szCs w:val="21"/>
        </w:rPr>
        <w:t>6、定标</w:t>
      </w:r>
    </w:p>
    <w:p w14:paraId="1A0AA682">
      <w:pPr>
        <w:wordWrap w:val="0"/>
        <w:spacing w:line="440" w:lineRule="exact"/>
        <w:ind w:left="424" w:leftChars="202" w:right="531" w:rightChars="253" w:firstLine="361" w:firstLineChars="172"/>
        <w:contextualSpacing/>
        <w:jc w:val="left"/>
        <w:rPr>
          <w:rFonts w:asciiTheme="minorEastAsia" w:hAnsiTheme="minorEastAsia" w:eastAsiaTheme="minorEastAsia"/>
          <w:szCs w:val="21"/>
        </w:rPr>
      </w:pPr>
      <w:r>
        <w:rPr>
          <w:rFonts w:hint="eastAsia" w:asciiTheme="minorEastAsia" w:hAnsiTheme="minorEastAsia" w:eastAsiaTheme="minorEastAsia"/>
          <w:szCs w:val="21"/>
        </w:rPr>
        <w:t>综合评分第一名为中标单位。</w:t>
      </w:r>
    </w:p>
    <w:p w14:paraId="070A5C18">
      <w:pPr>
        <w:pStyle w:val="32"/>
      </w:pPr>
      <w:bookmarkStart w:id="9" w:name="_Toc39744258"/>
    </w:p>
    <w:p w14:paraId="0458E7DB">
      <w:r>
        <w:rPr>
          <w:rFonts w:hint="eastAsia"/>
        </w:rPr>
        <w:br w:type="page"/>
      </w:r>
    </w:p>
    <w:p w14:paraId="12C3ED4F">
      <w:pPr>
        <w:wordWrap w:val="0"/>
        <w:spacing w:line="440" w:lineRule="exact"/>
        <w:ind w:left="424" w:leftChars="202" w:right="531" w:rightChars="253" w:firstLine="553" w:firstLineChars="172"/>
        <w:contextualSpacing/>
        <w:jc w:val="center"/>
        <w:rPr>
          <w:rFonts w:asciiTheme="minorEastAsia" w:hAnsiTheme="minorEastAsia" w:eastAsiaTheme="minorEastAsia"/>
          <w:b/>
          <w:sz w:val="32"/>
          <w:szCs w:val="32"/>
        </w:rPr>
      </w:pPr>
      <w:r>
        <w:rPr>
          <w:rFonts w:hint="eastAsia"/>
          <w:b/>
          <w:sz w:val="32"/>
          <w:szCs w:val="32"/>
        </w:rPr>
        <w:t>五、投标文件格式及附件要求</w:t>
      </w:r>
      <w:bookmarkEnd w:id="9"/>
    </w:p>
    <w:p w14:paraId="032A424B">
      <w:pPr>
        <w:jc w:val="center"/>
        <w:rPr>
          <w:b/>
          <w:sz w:val="36"/>
          <w:szCs w:val="36"/>
        </w:rPr>
      </w:pPr>
    </w:p>
    <w:p w14:paraId="17CE00F1">
      <w:pPr>
        <w:jc w:val="center"/>
        <w:rPr>
          <w:rFonts w:ascii="宋体" w:hAnsi="宋体"/>
          <w:b/>
          <w:sz w:val="36"/>
          <w:szCs w:val="36"/>
          <w:u w:val="single"/>
        </w:rPr>
      </w:pPr>
      <w:r>
        <w:rPr>
          <w:rFonts w:hint="eastAsia"/>
          <w:b/>
          <w:sz w:val="36"/>
          <w:szCs w:val="36"/>
        </w:rPr>
        <w:t>目录</w:t>
      </w:r>
    </w:p>
    <w:p w14:paraId="37921BB0">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（一）资格审查</w:t>
      </w:r>
    </w:p>
    <w:p w14:paraId="630DBC40">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1、针对本项目的授权委托书原件；</w:t>
      </w:r>
    </w:p>
    <w:p w14:paraId="00C7A4D7">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2、企业法人营业执照；</w:t>
      </w:r>
    </w:p>
    <w:p w14:paraId="5CA8547F">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3、企业资质证书；</w:t>
      </w:r>
    </w:p>
    <w:p w14:paraId="57182BAE">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4、由社保部门出具的投标人为经办人及投标报名项目负责人缴纳的近三个月任意一个月养老保险费用的证明材料；</w:t>
      </w:r>
    </w:p>
    <w:p w14:paraId="7C35E963">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5、投标单位不在供应商被“信用中国”网站（www.creditchina.gov.cn）、“中国政府采购网"(www.ccgp.gov.cn)列入失信被执行人、重大税收违法案件当事人名单、政府采购严重违法失信行为记录名单的截图，并盖章；</w:t>
      </w:r>
    </w:p>
    <w:p w14:paraId="5794D505">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ascii="宋体" w:hAnsi="宋体"/>
          <w:snapToGrid w:val="0"/>
          <w:sz w:val="24"/>
        </w:rPr>
        <w:t>6、</w:t>
      </w:r>
      <w:r>
        <w:rPr>
          <w:rFonts w:hint="eastAsia" w:ascii="宋体" w:hAnsi="宋体"/>
          <w:snapToGrid w:val="0"/>
          <w:sz w:val="24"/>
        </w:rPr>
        <w:t>需求响应表（格式自拟）；</w:t>
      </w:r>
    </w:p>
    <w:p w14:paraId="6093DB2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7、投标人认为需要提供的其他材料。</w:t>
      </w:r>
    </w:p>
    <w:p w14:paraId="045FE6C5">
      <w:pPr>
        <w:adjustRightInd w:val="0"/>
        <w:snapToGrid w:val="0"/>
        <w:spacing w:line="440" w:lineRule="exact"/>
        <w:ind w:left="846" w:leftChars="403" w:firstLine="2" w:firstLineChars="1"/>
        <w:contextualSpacing/>
        <w:rPr>
          <w:rFonts w:ascii="宋体" w:hAnsi="宋体"/>
          <w:snapToGrid w:val="0"/>
          <w:sz w:val="24"/>
        </w:rPr>
      </w:pPr>
      <w:r>
        <w:rPr>
          <w:rFonts w:hint="eastAsia" w:ascii="宋体" w:hAnsi="宋体"/>
          <w:snapToGrid w:val="0"/>
          <w:sz w:val="24"/>
        </w:rPr>
        <w:t>（二）报价文件</w:t>
      </w:r>
    </w:p>
    <w:p w14:paraId="28E2A569">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1、投标函</w:t>
      </w:r>
    </w:p>
    <w:p w14:paraId="47CC7626">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2、授权委托书</w:t>
      </w:r>
    </w:p>
    <w:p w14:paraId="77EBC7DD">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3、投标报价</w:t>
      </w:r>
    </w:p>
    <w:p w14:paraId="68B45C8A">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4、分项报价</w:t>
      </w:r>
    </w:p>
    <w:p w14:paraId="5423928C">
      <w:pPr>
        <w:tabs>
          <w:tab w:val="left" w:pos="1300"/>
          <w:tab w:val="left" w:pos="1600"/>
        </w:tabs>
        <w:adjustRightInd w:val="0"/>
        <w:snapToGrid w:val="0"/>
        <w:spacing w:line="440" w:lineRule="exact"/>
        <w:ind w:left="846" w:leftChars="403" w:firstLine="240" w:firstLineChars="100"/>
        <w:contextualSpacing/>
        <w:rPr>
          <w:rFonts w:ascii="宋体" w:hAnsi="宋体"/>
          <w:snapToGrid w:val="0"/>
          <w:sz w:val="24"/>
        </w:rPr>
      </w:pPr>
      <w:r>
        <w:rPr>
          <w:rFonts w:hint="eastAsia" w:ascii="宋体" w:hAnsi="宋体"/>
          <w:snapToGrid w:val="0"/>
          <w:sz w:val="24"/>
        </w:rPr>
        <w:t>5、供应商廉洁自律承诺书</w:t>
      </w:r>
    </w:p>
    <w:p w14:paraId="4A54066A">
      <w:pPr>
        <w:pStyle w:val="32"/>
      </w:pPr>
    </w:p>
    <w:p w14:paraId="5F1FF2F5">
      <w:pPr>
        <w:pStyle w:val="32"/>
      </w:pPr>
    </w:p>
    <w:p w14:paraId="71F78654">
      <w:pPr>
        <w:adjustRightInd w:val="0"/>
        <w:snapToGrid w:val="0"/>
        <w:spacing w:line="440" w:lineRule="exact"/>
        <w:ind w:left="424" w:leftChars="202" w:firstLine="371" w:firstLineChars="177"/>
        <w:contextualSpacing/>
        <w:rPr>
          <w:rFonts w:ascii="宋体" w:hAnsi="宋体"/>
          <w:bCs/>
          <w:szCs w:val="21"/>
        </w:rPr>
      </w:pPr>
    </w:p>
    <w:p w14:paraId="49A8762E">
      <w:pPr>
        <w:tabs>
          <w:tab w:val="left" w:pos="1300"/>
          <w:tab w:val="left" w:pos="1600"/>
        </w:tabs>
        <w:spacing w:line="560" w:lineRule="exact"/>
        <w:ind w:firstLine="420" w:firstLineChars="200"/>
        <w:rPr>
          <w:rFonts w:ascii="宋体" w:hAnsi="宋体"/>
          <w:bCs/>
          <w:szCs w:val="21"/>
        </w:rPr>
      </w:pPr>
    </w:p>
    <w:p w14:paraId="2A3F476A">
      <w:pPr>
        <w:tabs>
          <w:tab w:val="left" w:pos="1300"/>
          <w:tab w:val="left" w:pos="1600"/>
        </w:tabs>
        <w:spacing w:line="560" w:lineRule="exact"/>
        <w:ind w:firstLine="420" w:firstLineChars="200"/>
        <w:rPr>
          <w:rFonts w:ascii="宋体" w:hAnsi="宋体"/>
          <w:bCs/>
          <w:szCs w:val="21"/>
        </w:rPr>
      </w:pPr>
    </w:p>
    <w:p w14:paraId="4B77A0CA">
      <w:pPr>
        <w:tabs>
          <w:tab w:val="left" w:pos="1300"/>
          <w:tab w:val="left" w:pos="1600"/>
        </w:tabs>
        <w:spacing w:line="560" w:lineRule="exact"/>
        <w:ind w:firstLine="480" w:firstLineChars="200"/>
        <w:rPr>
          <w:rFonts w:ascii="宋体" w:hAnsi="宋体"/>
          <w:snapToGrid w:val="0"/>
          <w:sz w:val="24"/>
        </w:rPr>
      </w:pPr>
    </w:p>
    <w:p w14:paraId="1D2D9D00">
      <w:pPr>
        <w:pStyle w:val="13"/>
        <w:rPr>
          <w:rFonts w:ascii="黑体" w:hAnsi="Times New Roman" w:eastAsia="黑体"/>
          <w:b/>
          <w:sz w:val="36"/>
        </w:rPr>
      </w:pPr>
    </w:p>
    <w:p w14:paraId="4A9C0CFD">
      <w:pPr>
        <w:pStyle w:val="13"/>
        <w:rPr>
          <w:rFonts w:ascii="黑体" w:hAnsi="Times New Roman" w:eastAsia="黑体"/>
          <w:b/>
          <w:sz w:val="36"/>
        </w:rPr>
      </w:pPr>
    </w:p>
    <w:p w14:paraId="4C7B3DBD">
      <w:pPr>
        <w:pStyle w:val="13"/>
        <w:rPr>
          <w:rFonts w:ascii="黑体" w:hAnsi="Times New Roman" w:eastAsia="黑体"/>
          <w:b/>
          <w:sz w:val="36"/>
        </w:rPr>
      </w:pPr>
    </w:p>
    <w:p w14:paraId="3D141811">
      <w:pPr>
        <w:pStyle w:val="13"/>
        <w:rPr>
          <w:rFonts w:ascii="黑体" w:hAnsi="Times New Roman" w:eastAsia="黑体"/>
          <w:b/>
          <w:sz w:val="36"/>
        </w:rPr>
      </w:pPr>
    </w:p>
    <w:p w14:paraId="18329048">
      <w:pPr>
        <w:pStyle w:val="13"/>
        <w:jc w:val="center"/>
        <w:rPr>
          <w:rFonts w:asciiTheme="minorEastAsia" w:hAnsiTheme="minorEastAsia" w:eastAsiaTheme="minorEastAsia"/>
          <w:b/>
          <w:sz w:val="36"/>
        </w:rPr>
      </w:pPr>
      <w:r>
        <w:rPr>
          <w:rFonts w:hint="eastAsia" w:asciiTheme="minorEastAsia" w:hAnsiTheme="minorEastAsia" w:eastAsiaTheme="minorEastAsia"/>
          <w:b/>
          <w:sz w:val="36"/>
        </w:rPr>
        <w:t xml:space="preserve">  授权委书</w:t>
      </w:r>
    </w:p>
    <w:p w14:paraId="0333A3F3">
      <w:pPr>
        <w:pStyle w:val="13"/>
        <w:jc w:val="center"/>
        <w:rPr>
          <w:rFonts w:asciiTheme="minorEastAsia" w:hAnsiTheme="minorEastAsia" w:eastAsiaTheme="minorEastAsia"/>
          <w:b/>
          <w:sz w:val="24"/>
          <w:szCs w:val="24"/>
        </w:rPr>
      </w:pPr>
    </w:p>
    <w:p w14:paraId="1E51BD9F">
      <w:pPr>
        <w:pStyle w:val="13"/>
        <w:spacing w:line="480" w:lineRule="auto"/>
        <w:ind w:firstLine="42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本授权委托书声明：我</w:t>
      </w:r>
      <w:r>
        <w:rPr>
          <w:rFonts w:asciiTheme="minorEastAsia" w:hAnsiTheme="minorEastAsia" w:eastAsiaTheme="minorEastAsia"/>
          <w:sz w:val="24"/>
          <w:szCs w:val="24"/>
        </w:rPr>
        <w:t>(</w:t>
      </w:r>
      <w:r>
        <w:rPr>
          <w:rFonts w:hint="eastAsia" w:asciiTheme="minorEastAsia" w:hAnsiTheme="minorEastAsia" w:eastAsiaTheme="minorEastAsia"/>
          <w:sz w:val="24"/>
          <w:szCs w:val="24"/>
        </w:rPr>
        <w:t>姓名</w:t>
      </w:r>
      <w:r>
        <w:rPr>
          <w:rFonts w:asciiTheme="minorEastAsia" w:hAnsiTheme="minorEastAsia" w:eastAsiaTheme="minorEastAsia"/>
          <w:sz w:val="24"/>
          <w:szCs w:val="24"/>
        </w:rPr>
        <w:t>)</w:t>
      </w:r>
      <w:r>
        <w:rPr>
          <w:rFonts w:hint="eastAsia" w:asciiTheme="minorEastAsia" w:hAnsiTheme="minorEastAsia" w:eastAsiaTheme="minorEastAsia"/>
          <w:sz w:val="24"/>
          <w:szCs w:val="24"/>
        </w:rPr>
        <w:t>系</w:t>
      </w:r>
      <w:r>
        <w:rPr>
          <w:rFonts w:asciiTheme="minorEastAsia" w:hAnsiTheme="minorEastAsia" w:eastAsiaTheme="minorEastAsia"/>
          <w:sz w:val="24"/>
          <w:szCs w:val="24"/>
        </w:rPr>
        <w:t>(</w:t>
      </w:r>
      <w:r>
        <w:rPr>
          <w:rFonts w:hint="eastAsia" w:asciiTheme="minorEastAsia" w:hAnsiTheme="minorEastAsia" w:eastAsiaTheme="minorEastAsia"/>
          <w:sz w:val="24"/>
          <w:szCs w:val="24"/>
        </w:rPr>
        <w:t>投标人名称</w:t>
      </w:r>
      <w:r>
        <w:rPr>
          <w:rFonts w:asciiTheme="minorEastAsia" w:hAnsiTheme="minorEastAsia" w:eastAsiaTheme="minorEastAsia"/>
          <w:sz w:val="24"/>
          <w:szCs w:val="24"/>
        </w:rPr>
        <w:t>)</w:t>
      </w:r>
      <w:r>
        <w:rPr>
          <w:rFonts w:hint="eastAsia" w:asciiTheme="minorEastAsia" w:hAnsiTheme="minorEastAsia" w:eastAsiaTheme="minorEastAsia"/>
          <w:sz w:val="24"/>
          <w:szCs w:val="24"/>
        </w:rPr>
        <w:t>的法定代表人，现授权委托我单位的(姓名)为我公司代理人。代理人在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项目院内公开谈判签署的一切文件和处理与之有关的一切事务，我均予以承认。</w:t>
      </w:r>
    </w:p>
    <w:p w14:paraId="55FE48D5">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14:paraId="7CF4E891">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投标人：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w:t>
      </w:r>
    </w:p>
    <w:p w14:paraId="139144B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签字</w:t>
      </w:r>
      <w:r>
        <w:rPr>
          <w:rFonts w:asciiTheme="minorEastAsia" w:hAnsiTheme="minorEastAsia" w:eastAsiaTheme="minorEastAsia"/>
          <w:sz w:val="24"/>
          <w:szCs w:val="24"/>
        </w:rPr>
        <w:t>)</w:t>
      </w:r>
    </w:p>
    <w:p w14:paraId="3278DB88">
      <w:pPr>
        <w:pStyle w:val="13"/>
        <w:spacing w:line="480" w:lineRule="auto"/>
        <w:ind w:firstLine="360" w:firstLineChars="150"/>
        <w:rPr>
          <w:rFonts w:asciiTheme="minorEastAsia" w:hAnsiTheme="minorEastAsia" w:eastAsiaTheme="minorEastAsia"/>
          <w:sz w:val="24"/>
          <w:szCs w:val="24"/>
        </w:rPr>
      </w:pPr>
    </w:p>
    <w:p w14:paraId="140C33ED">
      <w:pPr>
        <w:pStyle w:val="13"/>
        <w:spacing w:line="480" w:lineRule="auto"/>
        <w:ind w:firstLine="6600" w:firstLineChars="2750"/>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21A0DB88">
      <w:pPr>
        <w:pStyle w:val="13"/>
        <w:spacing w:line="480" w:lineRule="auto"/>
        <w:ind w:firstLine="420"/>
        <w:rPr>
          <w:rFonts w:asciiTheme="minorEastAsia" w:hAnsiTheme="minorEastAsia" w:eastAsiaTheme="minorEastAsia"/>
          <w:sz w:val="24"/>
          <w:szCs w:val="24"/>
        </w:rPr>
      </w:pPr>
    </w:p>
    <w:p w14:paraId="3479FDB3">
      <w:pPr>
        <w:pStyle w:val="13"/>
        <w:spacing w:line="480" w:lineRule="auto"/>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代理人姓名：签字：</w:t>
      </w:r>
    </w:p>
    <w:p w14:paraId="69B45863">
      <w:pPr>
        <w:pStyle w:val="13"/>
        <w:spacing w:line="480" w:lineRule="auto"/>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身份证复印件：</w:t>
      </w:r>
    </w:p>
    <w:p w14:paraId="3495A1B2">
      <w:pPr>
        <w:spacing w:line="400" w:lineRule="exact"/>
        <w:ind w:firstLine="480" w:firstLineChars="200"/>
        <w:rPr>
          <w:rFonts w:ascii="宋体" w:hAnsi="宋体"/>
          <w:sz w:val="24"/>
        </w:rPr>
      </w:pPr>
    </w:p>
    <w:p w14:paraId="211BEE84">
      <w:pPr>
        <w:spacing w:line="400" w:lineRule="exact"/>
        <w:rPr>
          <w:rFonts w:ascii="宋体" w:hAnsi="宋体"/>
          <w:sz w:val="28"/>
        </w:rPr>
      </w:pPr>
    </w:p>
    <w:p w14:paraId="1CEC8BD3">
      <w:pPr>
        <w:spacing w:line="400" w:lineRule="exact"/>
        <w:rPr>
          <w:rFonts w:ascii="宋体" w:hAnsi="宋体"/>
          <w:sz w:val="28"/>
        </w:rPr>
      </w:pPr>
    </w:p>
    <w:p w14:paraId="6A311AFC">
      <w:pPr>
        <w:spacing w:line="500" w:lineRule="exact"/>
        <w:jc w:val="center"/>
        <w:rPr>
          <w:rFonts w:ascii="黑体" w:eastAsia="黑体"/>
          <w:b/>
          <w:bCs/>
          <w:sz w:val="36"/>
          <w:szCs w:val="36"/>
        </w:rPr>
      </w:pPr>
    </w:p>
    <w:p w14:paraId="014C364E">
      <w:pPr>
        <w:pStyle w:val="13"/>
        <w:jc w:val="center"/>
        <w:rPr>
          <w:rFonts w:ascii="黑体" w:hAnsi="Times New Roman" w:eastAsia="黑体"/>
          <w:b/>
          <w:sz w:val="36"/>
        </w:rPr>
      </w:pPr>
    </w:p>
    <w:p w14:paraId="1C62407C">
      <w:pPr>
        <w:pStyle w:val="13"/>
        <w:jc w:val="center"/>
        <w:rPr>
          <w:rFonts w:ascii="黑体" w:hAnsi="Times New Roman" w:eastAsia="黑体"/>
          <w:b/>
          <w:sz w:val="36"/>
        </w:rPr>
      </w:pPr>
    </w:p>
    <w:p w14:paraId="29C3F8F8">
      <w:pPr>
        <w:pStyle w:val="13"/>
        <w:jc w:val="center"/>
        <w:rPr>
          <w:rFonts w:ascii="黑体" w:hAnsi="Times New Roman" w:eastAsia="黑体"/>
          <w:b/>
          <w:sz w:val="36"/>
        </w:rPr>
      </w:pPr>
    </w:p>
    <w:p w14:paraId="750D039B">
      <w:pPr>
        <w:pStyle w:val="13"/>
        <w:rPr>
          <w:rFonts w:ascii="黑体" w:eastAsia="黑体"/>
          <w:b/>
          <w:bCs/>
          <w:sz w:val="36"/>
          <w:szCs w:val="36"/>
        </w:rPr>
      </w:pPr>
    </w:p>
    <w:p w14:paraId="3DD1EC92">
      <w:pPr>
        <w:pStyle w:val="14"/>
        <w:widowControl/>
        <w:spacing w:line="540" w:lineRule="exact"/>
        <w:ind w:left="0" w:leftChars="0"/>
        <w:jc w:val="center"/>
        <w:rPr>
          <w:rFonts w:ascii="宋体" w:hAnsi="宋体" w:eastAsia="宋体"/>
          <w:sz w:val="36"/>
          <w:szCs w:val="36"/>
        </w:rPr>
      </w:pPr>
      <w:r>
        <w:rPr>
          <w:rFonts w:hint="eastAsia" w:ascii="宋体" w:hAnsi="宋体"/>
          <w:b w:val="0"/>
          <w:bCs w:val="0"/>
          <w:szCs w:val="32"/>
        </w:rPr>
        <w:br w:type="page"/>
      </w:r>
      <w:r>
        <w:rPr>
          <w:rFonts w:hint="eastAsia" w:ascii="宋体" w:hAnsi="宋体" w:eastAsia="宋体"/>
          <w:sz w:val="36"/>
          <w:szCs w:val="36"/>
        </w:rPr>
        <w:t>承诺书(一)</w:t>
      </w:r>
    </w:p>
    <w:p w14:paraId="1E644E1E">
      <w:pPr>
        <w:spacing w:line="540" w:lineRule="exact"/>
      </w:pPr>
    </w:p>
    <w:p w14:paraId="53912EC5">
      <w:pPr>
        <w:adjustRightInd w:val="0"/>
        <w:snapToGrid w:val="0"/>
        <w:spacing w:line="440" w:lineRule="exact"/>
        <w:ind w:left="424" w:leftChars="202" w:right="531" w:rightChars="253" w:firstLine="424" w:firstLineChars="177"/>
        <w:contextualSpacing/>
        <w:rPr>
          <w:sz w:val="24"/>
        </w:rPr>
      </w:pPr>
      <w:r>
        <w:rPr>
          <w:rFonts w:hint="eastAsia"/>
          <w:sz w:val="24"/>
        </w:rPr>
        <w:t>致：</w:t>
      </w:r>
      <w:r>
        <w:rPr>
          <w:rFonts w:hint="eastAsia"/>
          <w:sz w:val="24"/>
          <w:u w:val="single"/>
        </w:rPr>
        <w:t>扬州大学附属医院</w:t>
      </w:r>
      <w:r>
        <w:rPr>
          <w:rFonts w:hint="eastAsia"/>
          <w:sz w:val="24"/>
        </w:rPr>
        <w:t>（招标人名称）</w:t>
      </w:r>
    </w:p>
    <w:p w14:paraId="21258A32">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我公司自愿参加贵单位</w:t>
      </w:r>
      <w:r>
        <w:rPr>
          <w:rFonts w:hint="eastAsia" w:ascii="宋体" w:hAnsi="宋体"/>
          <w:b/>
          <w:sz w:val="24"/>
        </w:rPr>
        <w:t xml:space="preserve">                                项目</w:t>
      </w:r>
      <w:r>
        <w:rPr>
          <w:rFonts w:hint="eastAsia" w:ascii="宋体" w:hAnsi="宋体"/>
          <w:sz w:val="24"/>
        </w:rPr>
        <w:t>的院内公开谈判，接受对我公司的资格审查，我公司承诺：根据贵单位提出的资格审查合格条件标准和要求，本公司没有因骗取中标或者严重违约以及发生重大工程质量、安全生产事故等问题，被有关部门暂停投标资格并在暂停期内。</w:t>
      </w:r>
    </w:p>
    <w:p w14:paraId="2EB6CB4B">
      <w:pPr>
        <w:adjustRightInd w:val="0"/>
        <w:snapToGrid w:val="0"/>
        <w:spacing w:line="440" w:lineRule="exact"/>
        <w:ind w:left="424" w:leftChars="202" w:right="531" w:rightChars="253" w:firstLine="424" w:firstLineChars="177"/>
        <w:contextualSpacing/>
        <w:rPr>
          <w:sz w:val="24"/>
        </w:rPr>
      </w:pPr>
      <w:r>
        <w:rPr>
          <w:rFonts w:hint="eastAsia" w:ascii="宋体" w:hAnsi="宋体"/>
          <w:sz w:val="24"/>
        </w:rPr>
        <w:t>拟任现场负责人为。本公司递交的资格审查申请书中的内容没有隐瞒、虚假、伪造等弄虚作假行为。</w:t>
      </w:r>
    </w:p>
    <w:p w14:paraId="24EACC41">
      <w:pPr>
        <w:pStyle w:val="14"/>
        <w:widowControl/>
        <w:adjustRightInd w:val="0"/>
        <w:snapToGrid w:val="0"/>
        <w:spacing w:line="440" w:lineRule="exact"/>
        <w:ind w:left="424" w:leftChars="202" w:right="531" w:rightChars="253" w:firstLine="426" w:firstLineChars="177"/>
        <w:contextualSpacing/>
        <w:jc w:val="left"/>
        <w:rPr>
          <w:rFonts w:ascii="宋体" w:hAnsi="宋体" w:eastAsia="宋体"/>
          <w:sz w:val="24"/>
        </w:rPr>
      </w:pPr>
    </w:p>
    <w:p w14:paraId="2328410B">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单位：（公章）</w:t>
      </w:r>
    </w:p>
    <w:p w14:paraId="4DF4F7BF">
      <w:pPr>
        <w:pStyle w:val="14"/>
        <w:widowControl/>
        <w:adjustRightInd w:val="0"/>
        <w:snapToGrid w:val="0"/>
        <w:spacing w:line="700" w:lineRule="exact"/>
        <w:ind w:left="424" w:leftChars="202" w:right="531" w:rightChars="253" w:firstLine="424" w:firstLineChars="177"/>
        <w:contextualSpacing/>
        <w:jc w:val="left"/>
        <w:rPr>
          <w:rFonts w:ascii="宋体" w:hAnsi="宋体" w:eastAsia="宋体" w:cs="宋体"/>
          <w:b w:val="0"/>
          <w:sz w:val="24"/>
        </w:rPr>
      </w:pPr>
      <w:r>
        <w:rPr>
          <w:rFonts w:hint="eastAsia" w:ascii="宋体" w:hAnsi="宋体" w:eastAsia="宋体" w:cs="宋体"/>
          <w:b w:val="0"/>
          <w:sz w:val="24"/>
        </w:rPr>
        <w:t>法定代表人签字：</w:t>
      </w:r>
    </w:p>
    <w:p w14:paraId="10CA439D">
      <w:pPr>
        <w:adjustRightInd w:val="0"/>
        <w:snapToGrid w:val="0"/>
        <w:spacing w:line="700" w:lineRule="exact"/>
        <w:ind w:left="424" w:leftChars="202" w:right="531" w:rightChars="253" w:firstLine="424" w:firstLineChars="177"/>
        <w:contextualSpacing/>
        <w:jc w:val="left"/>
        <w:rPr>
          <w:rFonts w:ascii="宋体" w:hAnsi="宋体" w:cs="宋体"/>
          <w:bCs/>
          <w:sz w:val="24"/>
        </w:rPr>
      </w:pPr>
      <w:r>
        <w:rPr>
          <w:rFonts w:hint="eastAsia" w:ascii="宋体" w:hAnsi="宋体" w:cs="宋体"/>
          <w:bCs/>
          <w:sz w:val="24"/>
        </w:rPr>
        <w:t>项目负责人签名：</w:t>
      </w:r>
    </w:p>
    <w:p w14:paraId="3F315CFC">
      <w:pPr>
        <w:adjustRightInd w:val="0"/>
        <w:snapToGrid w:val="0"/>
        <w:spacing w:line="700" w:lineRule="exact"/>
        <w:ind w:left="424" w:leftChars="202" w:right="531" w:rightChars="253" w:firstLine="424" w:firstLineChars="177"/>
        <w:contextualSpacing/>
        <w:rPr>
          <w:rFonts w:ascii="宋体" w:hAnsi="宋体"/>
          <w:sz w:val="24"/>
        </w:rPr>
      </w:pPr>
    </w:p>
    <w:p w14:paraId="095E0E6F">
      <w:pPr>
        <w:adjustRightInd w:val="0"/>
        <w:snapToGrid w:val="0"/>
        <w:spacing w:line="440" w:lineRule="exact"/>
        <w:ind w:left="424" w:leftChars="202" w:right="531" w:rightChars="253" w:firstLine="424" w:firstLineChars="177"/>
        <w:contextualSpacing/>
        <w:rPr>
          <w:rFonts w:ascii="宋体" w:hAnsi="宋体"/>
          <w:sz w:val="24"/>
        </w:rPr>
      </w:pPr>
      <w:r>
        <w:rPr>
          <w:rFonts w:hint="eastAsia" w:ascii="宋体" w:hAnsi="宋体"/>
          <w:sz w:val="24"/>
        </w:rPr>
        <w:t xml:space="preserve">                                         年   月   日</w:t>
      </w:r>
    </w:p>
    <w:p w14:paraId="72882809">
      <w:pPr>
        <w:pStyle w:val="14"/>
        <w:widowControl/>
        <w:spacing w:line="540" w:lineRule="exact"/>
        <w:ind w:left="5250" w:leftChars="0"/>
        <w:jc w:val="center"/>
        <w:rPr>
          <w:rFonts w:hAnsi="宋体"/>
          <w:szCs w:val="32"/>
        </w:rPr>
      </w:pPr>
    </w:p>
    <w:p w14:paraId="23804954">
      <w:pPr>
        <w:pStyle w:val="14"/>
        <w:widowControl/>
        <w:spacing w:line="540" w:lineRule="exact"/>
        <w:ind w:left="5250" w:leftChars="0"/>
        <w:jc w:val="center"/>
        <w:rPr>
          <w:rFonts w:ascii="宋体" w:hAnsi="宋体" w:eastAsia="宋体"/>
          <w:szCs w:val="32"/>
        </w:rPr>
      </w:pPr>
    </w:p>
    <w:p w14:paraId="5C03C0B2">
      <w:pPr>
        <w:pStyle w:val="14"/>
        <w:widowControl/>
        <w:spacing w:line="540" w:lineRule="exact"/>
        <w:ind w:left="5250" w:leftChars="0"/>
        <w:jc w:val="center"/>
        <w:rPr>
          <w:rFonts w:ascii="宋体" w:hAnsi="宋体" w:eastAsia="宋体"/>
          <w:szCs w:val="32"/>
        </w:rPr>
      </w:pPr>
    </w:p>
    <w:p w14:paraId="1CB96A93">
      <w:pPr>
        <w:pStyle w:val="14"/>
        <w:widowControl/>
        <w:spacing w:line="540" w:lineRule="exact"/>
        <w:ind w:left="5250" w:leftChars="0"/>
        <w:jc w:val="center"/>
        <w:rPr>
          <w:rFonts w:ascii="宋体" w:hAnsi="宋体" w:eastAsia="宋体"/>
          <w:szCs w:val="32"/>
        </w:rPr>
      </w:pPr>
    </w:p>
    <w:p w14:paraId="733FA56E">
      <w:pPr>
        <w:pStyle w:val="14"/>
        <w:widowControl/>
        <w:spacing w:line="540" w:lineRule="exact"/>
        <w:ind w:left="5250" w:leftChars="0"/>
        <w:jc w:val="center"/>
        <w:rPr>
          <w:rFonts w:ascii="宋体" w:hAnsi="宋体" w:eastAsia="宋体"/>
          <w:szCs w:val="32"/>
        </w:rPr>
      </w:pPr>
    </w:p>
    <w:p w14:paraId="605E748E">
      <w:pPr>
        <w:pStyle w:val="14"/>
        <w:widowControl/>
        <w:spacing w:line="540" w:lineRule="exact"/>
        <w:ind w:left="5250" w:leftChars="0"/>
        <w:jc w:val="center"/>
        <w:rPr>
          <w:rFonts w:ascii="宋体" w:hAnsi="宋体" w:eastAsia="宋体"/>
          <w:szCs w:val="32"/>
        </w:rPr>
      </w:pPr>
    </w:p>
    <w:p w14:paraId="1A4A3CAE">
      <w:pPr>
        <w:rPr>
          <w:rFonts w:ascii="宋体" w:hAnsi="宋体"/>
          <w:szCs w:val="32"/>
        </w:rPr>
      </w:pPr>
      <w:r>
        <w:rPr>
          <w:rFonts w:hint="eastAsia" w:ascii="宋体" w:hAnsi="宋体"/>
          <w:szCs w:val="32"/>
        </w:rPr>
        <w:br w:type="page"/>
      </w:r>
    </w:p>
    <w:p w14:paraId="29DE491E">
      <w:pPr>
        <w:spacing w:line="360" w:lineRule="auto"/>
        <w:ind w:firstLine="3975" w:firstLineChars="1100"/>
        <w:rPr>
          <w:rFonts w:ascii="宋体" w:hAnsi="宋体"/>
          <w:b/>
          <w:sz w:val="36"/>
          <w:szCs w:val="36"/>
        </w:rPr>
      </w:pPr>
      <w:r>
        <w:rPr>
          <w:rFonts w:hint="eastAsia" w:ascii="宋体" w:hAnsi="宋体"/>
          <w:b/>
          <w:sz w:val="36"/>
          <w:szCs w:val="36"/>
        </w:rPr>
        <w:t>投标函</w:t>
      </w:r>
    </w:p>
    <w:p w14:paraId="7F8EBFAC">
      <w:pPr>
        <w:adjustRightInd w:val="0"/>
        <w:snapToGrid w:val="0"/>
        <w:spacing w:line="440" w:lineRule="exact"/>
        <w:ind w:left="424" w:leftChars="202" w:right="531" w:rightChars="253"/>
        <w:contextualSpacing/>
        <w:rPr>
          <w:rFonts w:ascii="宋体" w:hAnsi="宋体"/>
          <w:sz w:val="24"/>
        </w:rPr>
      </w:pPr>
      <w:r>
        <w:rPr>
          <w:rFonts w:hint="eastAsia" w:ascii="宋体" w:hAnsi="宋体"/>
          <w:sz w:val="24"/>
        </w:rPr>
        <w:t>招标人：</w:t>
      </w:r>
      <w:r>
        <w:rPr>
          <w:rFonts w:hint="eastAsia" w:ascii="宋体" w:hAnsi="宋体"/>
          <w:sz w:val="24"/>
          <w:u w:val="single"/>
        </w:rPr>
        <w:t xml:space="preserve"> 扬州大学附属医院 </w:t>
      </w:r>
    </w:p>
    <w:p w14:paraId="4B7F8466">
      <w:pPr>
        <w:adjustRightInd w:val="0"/>
        <w:snapToGrid w:val="0"/>
        <w:spacing w:line="440" w:lineRule="exact"/>
        <w:ind w:left="424" w:leftChars="202" w:right="531" w:rightChars="253" w:firstLine="480" w:firstLineChars="200"/>
        <w:contextualSpacing/>
        <w:rPr>
          <w:rFonts w:ascii="宋体" w:hAnsi="宋体"/>
          <w:bCs/>
          <w:sz w:val="24"/>
        </w:rPr>
      </w:pPr>
      <w:r>
        <w:rPr>
          <w:rFonts w:hint="eastAsia" w:ascii="宋体" w:hAnsi="宋体"/>
          <w:bCs/>
          <w:sz w:val="24"/>
        </w:rPr>
        <w:t>根据已收到贵方的</w:t>
      </w:r>
      <w:r>
        <w:rPr>
          <w:rFonts w:hint="eastAsia" w:ascii="宋体" w:hAnsi="宋体"/>
          <w:b/>
          <w:bCs/>
          <w:sz w:val="24"/>
          <w:u w:val="single"/>
        </w:rPr>
        <w:t xml:space="preserve">                             </w:t>
      </w:r>
      <w:r>
        <w:rPr>
          <w:rFonts w:hint="eastAsia" w:ascii="宋体" w:hAnsi="宋体"/>
          <w:bCs/>
          <w:sz w:val="24"/>
        </w:rPr>
        <w:t>项目的院内公开谈谈判文件，遵照扬州大学附属医院采购管理办法，我单位经研究上述磋商的投标须知、合同条件、技术规范、和其他有关文件后，我方投标报价为</w:t>
      </w:r>
      <w:r>
        <w:rPr>
          <w:rFonts w:hint="eastAsia" w:ascii="宋体" w:hAnsi="宋体"/>
          <w:bCs/>
          <w:sz w:val="24"/>
          <w:u w:val="single"/>
        </w:rPr>
        <w:t xml:space="preserve">              万元</w:t>
      </w:r>
      <w:r>
        <w:rPr>
          <w:rFonts w:hint="eastAsia" w:ascii="宋体" w:hAnsi="宋体"/>
          <w:bCs/>
          <w:sz w:val="24"/>
        </w:rPr>
        <w:t>。</w:t>
      </w:r>
      <w:r>
        <w:rPr>
          <w:rFonts w:hint="eastAsia" w:ascii="宋体" w:hAnsi="宋体"/>
          <w:b/>
          <w:sz w:val="24"/>
        </w:rPr>
        <w:t>包含所有相关费用，如</w:t>
      </w:r>
      <w:r>
        <w:rPr>
          <w:rFonts w:hint="eastAsia" w:ascii="宋体" w:hAnsi="宋体"/>
          <w:b/>
          <w:sz w:val="24"/>
          <w:lang w:val="en-US" w:eastAsia="zh-CN"/>
        </w:rPr>
        <w:t>开孔等</w:t>
      </w:r>
      <w:r>
        <w:rPr>
          <w:rFonts w:hint="eastAsia" w:ascii="宋体" w:hAnsi="宋体"/>
          <w:b/>
          <w:sz w:val="24"/>
        </w:rPr>
        <w:t>，不得收取</w:t>
      </w:r>
      <w:r>
        <w:rPr>
          <w:rFonts w:hint="eastAsia" w:ascii="宋体" w:hAnsi="宋体"/>
          <w:b/>
          <w:sz w:val="24"/>
          <w:lang w:val="en-US" w:eastAsia="zh-CN"/>
        </w:rPr>
        <w:t>其他任何</w:t>
      </w:r>
      <w:r>
        <w:rPr>
          <w:rFonts w:hint="eastAsia" w:ascii="宋体" w:hAnsi="宋体"/>
          <w:b/>
          <w:sz w:val="24"/>
        </w:rPr>
        <w:t>费</w:t>
      </w:r>
      <w:r>
        <w:rPr>
          <w:rFonts w:hint="eastAsia" w:ascii="宋体" w:hAnsi="宋体"/>
          <w:b/>
          <w:sz w:val="24"/>
          <w:lang w:val="en-US" w:eastAsia="zh-CN"/>
        </w:rPr>
        <w:t>用</w:t>
      </w:r>
      <w:r>
        <w:rPr>
          <w:rFonts w:hint="eastAsia" w:ascii="宋体" w:hAnsi="宋体"/>
          <w:b/>
          <w:sz w:val="24"/>
        </w:rPr>
        <w:t>。</w:t>
      </w:r>
    </w:p>
    <w:p w14:paraId="600E32DD">
      <w:pPr>
        <w:spacing w:line="360" w:lineRule="auto"/>
        <w:rPr>
          <w:rFonts w:ascii="宋体" w:hAnsi="宋体"/>
          <w:bCs/>
          <w:sz w:val="24"/>
        </w:rPr>
      </w:pPr>
    </w:p>
    <w:p w14:paraId="0EE3BC54">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投标人（盖章）：</w:t>
      </w:r>
    </w:p>
    <w:p w14:paraId="2D5692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法定代表人或授权委托人（签字）：</w:t>
      </w:r>
    </w:p>
    <w:p w14:paraId="0339E037">
      <w:pPr>
        <w:adjustRightInd w:val="0"/>
        <w:snapToGrid w:val="0"/>
        <w:spacing w:line="700" w:lineRule="exact"/>
        <w:ind w:firstLine="849" w:firstLineChars="354"/>
        <w:contextualSpacing/>
        <w:rPr>
          <w:rFonts w:ascii="宋体" w:hAnsi="宋体"/>
          <w:bCs/>
          <w:sz w:val="24"/>
        </w:rPr>
      </w:pPr>
      <w:r>
        <w:rPr>
          <w:rFonts w:hint="eastAsia" w:ascii="宋体" w:hAnsi="宋体"/>
          <w:bCs/>
          <w:sz w:val="24"/>
        </w:rPr>
        <w:t>日  期：</w:t>
      </w:r>
    </w:p>
    <w:p w14:paraId="25300DD3">
      <w:pPr>
        <w:jc w:val="center"/>
        <w:rPr>
          <w:rFonts w:ascii="宋体" w:hAnsi="宋体"/>
          <w:b/>
          <w:sz w:val="24"/>
        </w:rPr>
      </w:pPr>
      <w:r>
        <w:rPr>
          <w:rFonts w:hint="eastAsia" w:ascii="宋体" w:hAnsi="宋体"/>
          <w:sz w:val="24"/>
        </w:rPr>
        <w:br w:type="page"/>
      </w:r>
    </w:p>
    <w:p w14:paraId="35598C71">
      <w:pPr>
        <w:spacing w:line="360" w:lineRule="auto"/>
        <w:jc w:val="center"/>
        <w:rPr>
          <w:rFonts w:ascii="宋体" w:hAnsi="宋体"/>
          <w:b/>
          <w:sz w:val="36"/>
          <w:szCs w:val="36"/>
        </w:rPr>
      </w:pPr>
      <w:r>
        <w:rPr>
          <w:rFonts w:hint="eastAsia" w:ascii="宋体" w:hAnsi="宋体"/>
          <w:b/>
          <w:sz w:val="36"/>
          <w:szCs w:val="36"/>
        </w:rPr>
        <w:t>响应报价表</w:t>
      </w:r>
    </w:p>
    <w:p w14:paraId="1D22D86F">
      <w:pPr>
        <w:pStyle w:val="14"/>
        <w:spacing w:line="360" w:lineRule="auto"/>
        <w:ind w:left="0" w:leftChars="0"/>
        <w:rPr>
          <w:rFonts w:ascii="宋体" w:hAnsi="宋体" w:eastAsia="宋体" w:cs="宋体"/>
          <w:b w:val="0"/>
          <w:bCs w:val="0"/>
          <w:sz w:val="24"/>
        </w:rPr>
      </w:pPr>
      <w:r>
        <w:rPr>
          <w:rFonts w:hint="eastAsia" w:ascii="宋体" w:hAnsi="宋体" w:eastAsia="宋体" w:cs="宋体"/>
          <w:b w:val="0"/>
          <w:bCs w:val="0"/>
          <w:sz w:val="24"/>
        </w:rPr>
        <w:t xml:space="preserve">项目名称： </w:t>
      </w:r>
    </w:p>
    <w:p w14:paraId="5CBE4125">
      <w:pPr>
        <w:spacing w:line="360" w:lineRule="auto"/>
        <w:rPr>
          <w:rFonts w:ascii="宋体" w:hAnsi="宋体"/>
          <w:sz w:val="24"/>
        </w:rPr>
      </w:pPr>
      <w:r>
        <w:rPr>
          <w:rFonts w:hint="eastAsia" w:ascii="宋体" w:hAnsi="宋体"/>
          <w:sz w:val="24"/>
        </w:rPr>
        <w:t xml:space="preserve">       </w:t>
      </w:r>
    </w:p>
    <w:p w14:paraId="513C171F">
      <w:pPr>
        <w:spacing w:line="360" w:lineRule="auto"/>
        <w:rPr>
          <w:rFonts w:ascii="宋体" w:hAnsi="宋体"/>
          <w:sz w:val="24"/>
        </w:rPr>
      </w:pPr>
      <w:r>
        <w:rPr>
          <w:rFonts w:hint="eastAsia" w:ascii="宋体" w:hAnsi="宋体"/>
          <w:sz w:val="24"/>
        </w:rPr>
        <w:t xml:space="preserve">       </w:t>
      </w:r>
    </w:p>
    <w:tbl>
      <w:tblPr>
        <w:tblStyle w:val="26"/>
        <w:tblW w:w="45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36"/>
      </w:tblGrid>
      <w:tr w14:paraId="6377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08492DB3">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服务名称</w:t>
            </w:r>
          </w:p>
        </w:tc>
        <w:tc>
          <w:tcPr>
            <w:tcW w:w="4053" w:type="pct"/>
            <w:tcBorders>
              <w:top w:val="single" w:color="auto" w:sz="4" w:space="0"/>
              <w:left w:val="single" w:color="auto" w:sz="4" w:space="0"/>
              <w:bottom w:val="single" w:color="auto" w:sz="4" w:space="0"/>
              <w:right w:val="single" w:color="auto" w:sz="4" w:space="0"/>
            </w:tcBorders>
            <w:vAlign w:val="center"/>
          </w:tcPr>
          <w:p w14:paraId="36C0CA57">
            <w:pPr>
              <w:adjustRightInd w:val="0"/>
              <w:snapToGrid w:val="0"/>
              <w:spacing w:after="200" w:line="220" w:lineRule="atLeast"/>
              <w:jc w:val="center"/>
              <w:rPr>
                <w:rFonts w:ascii="宋体" w:hAnsi="宋体"/>
                <w:sz w:val="24"/>
              </w:rPr>
            </w:pPr>
            <w:r>
              <w:rPr>
                <w:rFonts w:hint="eastAsia" w:ascii="宋体" w:hAnsi="宋体"/>
                <w:sz w:val="24"/>
              </w:rPr>
              <w:t>第一轮报价</w:t>
            </w:r>
          </w:p>
        </w:tc>
      </w:tr>
      <w:tr w14:paraId="190A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19D35D07">
            <w:pPr>
              <w:pStyle w:val="8"/>
              <w:adjustRightInd w:val="0"/>
              <w:snapToGrid w:val="0"/>
              <w:spacing w:line="300" w:lineRule="auto"/>
              <w:rPr>
                <w:rFonts w:ascii="宋体" w:hAnsi="宋体" w:eastAsia="宋体" w:cs="宋体"/>
                <w:sz w:val="24"/>
                <w:szCs w:val="24"/>
              </w:rPr>
            </w:pPr>
          </w:p>
        </w:tc>
        <w:tc>
          <w:tcPr>
            <w:tcW w:w="4053" w:type="pct"/>
            <w:tcBorders>
              <w:top w:val="single" w:color="auto" w:sz="4" w:space="0"/>
              <w:left w:val="single" w:color="auto" w:sz="4" w:space="0"/>
              <w:bottom w:val="single" w:color="auto" w:sz="4" w:space="0"/>
              <w:right w:val="single" w:color="auto" w:sz="4" w:space="0"/>
            </w:tcBorders>
            <w:vAlign w:val="center"/>
          </w:tcPr>
          <w:p w14:paraId="5C99584F">
            <w:pPr>
              <w:pStyle w:val="8"/>
              <w:adjustRightInd w:val="0"/>
              <w:snapToGrid w:val="0"/>
              <w:spacing w:line="300" w:lineRule="auto"/>
              <w:rPr>
                <w:rFonts w:ascii="宋体" w:hAnsi="宋体" w:eastAsia="宋体" w:cs="宋体"/>
                <w:sz w:val="24"/>
                <w:szCs w:val="24"/>
              </w:rPr>
            </w:pPr>
            <w:r>
              <w:rPr>
                <w:rFonts w:hint="eastAsia" w:ascii="宋体" w:hAnsi="宋体" w:eastAsia="宋体" w:cs="宋体"/>
                <w:sz w:val="24"/>
                <w:szCs w:val="24"/>
              </w:rPr>
              <w:t>大写：</w:t>
            </w:r>
          </w:p>
          <w:p w14:paraId="4AB3ED7D">
            <w:pPr>
              <w:pStyle w:val="63"/>
              <w:spacing w:before="0" w:after="0" w:line="500" w:lineRule="exact"/>
              <w:ind w:firstLine="0"/>
              <w:rPr>
                <w:rFonts w:ascii="宋体" w:hAnsi="宋体" w:cs="宋体"/>
              </w:rPr>
            </w:pPr>
            <w:r>
              <w:rPr>
                <w:rFonts w:hint="eastAsia" w:ascii="宋体" w:hAnsi="宋体" w:cs="宋体"/>
              </w:rPr>
              <w:t>小写：                             （人民币）</w:t>
            </w:r>
          </w:p>
        </w:tc>
      </w:tr>
      <w:tr w14:paraId="1934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7" w:hRule="atLeast"/>
          <w:jc w:val="center"/>
        </w:trPr>
        <w:tc>
          <w:tcPr>
            <w:tcW w:w="946" w:type="pct"/>
            <w:tcBorders>
              <w:top w:val="single" w:color="auto" w:sz="4" w:space="0"/>
              <w:left w:val="single" w:color="auto" w:sz="4" w:space="0"/>
              <w:bottom w:val="single" w:color="auto" w:sz="4" w:space="0"/>
              <w:right w:val="single" w:color="auto" w:sz="4" w:space="0"/>
            </w:tcBorders>
            <w:vAlign w:val="center"/>
          </w:tcPr>
          <w:p w14:paraId="737E9D7C">
            <w:pPr>
              <w:pStyle w:val="8"/>
              <w:adjustRightInd w:val="0"/>
              <w:snapToGrid w:val="0"/>
              <w:spacing w:line="300" w:lineRule="auto"/>
              <w:jc w:val="center"/>
              <w:rPr>
                <w:rFonts w:ascii="宋体" w:hAnsi="宋体" w:eastAsia="宋体" w:cs="宋体"/>
                <w:sz w:val="24"/>
                <w:szCs w:val="24"/>
              </w:rPr>
            </w:pPr>
            <w:r>
              <w:rPr>
                <w:rFonts w:hint="eastAsia" w:ascii="宋体" w:hAnsi="宋体" w:eastAsia="宋体" w:cs="宋体"/>
                <w:sz w:val="24"/>
                <w:szCs w:val="24"/>
              </w:rPr>
              <w:t>备注</w:t>
            </w:r>
          </w:p>
        </w:tc>
        <w:tc>
          <w:tcPr>
            <w:tcW w:w="4053" w:type="pct"/>
            <w:tcBorders>
              <w:top w:val="single" w:color="auto" w:sz="4" w:space="0"/>
              <w:left w:val="single" w:color="auto" w:sz="4" w:space="0"/>
              <w:bottom w:val="single" w:color="auto" w:sz="4" w:space="0"/>
              <w:right w:val="single" w:color="auto" w:sz="4" w:space="0"/>
            </w:tcBorders>
            <w:vAlign w:val="center"/>
          </w:tcPr>
          <w:p w14:paraId="601C1FE6">
            <w:pPr>
              <w:pStyle w:val="8"/>
              <w:adjustRightInd w:val="0"/>
              <w:snapToGrid w:val="0"/>
              <w:spacing w:line="300" w:lineRule="auto"/>
              <w:rPr>
                <w:rFonts w:ascii="宋体" w:hAnsi="宋体" w:cs="宋体"/>
                <w:sz w:val="24"/>
                <w:szCs w:val="24"/>
              </w:rPr>
            </w:pPr>
          </w:p>
        </w:tc>
      </w:tr>
    </w:tbl>
    <w:p w14:paraId="47FC64AC">
      <w:pPr>
        <w:spacing w:line="360" w:lineRule="auto"/>
        <w:rPr>
          <w:rFonts w:ascii="宋体" w:hAnsi="宋体"/>
          <w:sz w:val="24"/>
        </w:rPr>
      </w:pPr>
    </w:p>
    <w:p w14:paraId="2C150CAC">
      <w:pPr>
        <w:spacing w:line="360" w:lineRule="auto"/>
        <w:rPr>
          <w:rFonts w:ascii="宋体" w:hAnsi="宋体"/>
          <w:sz w:val="24"/>
        </w:rPr>
      </w:pPr>
      <w:r>
        <w:rPr>
          <w:rFonts w:hint="eastAsia" w:ascii="宋体" w:hAnsi="宋体"/>
          <w:sz w:val="24"/>
        </w:rPr>
        <w:t xml:space="preserve">                                 </w:t>
      </w:r>
    </w:p>
    <w:p w14:paraId="089EFB7E">
      <w:pPr>
        <w:spacing w:line="360" w:lineRule="auto"/>
        <w:rPr>
          <w:rFonts w:ascii="宋体" w:hAnsi="宋体"/>
          <w:sz w:val="24"/>
        </w:rPr>
      </w:pPr>
      <w:r>
        <w:rPr>
          <w:rFonts w:hint="eastAsia" w:ascii="宋体" w:hAnsi="宋体"/>
          <w:sz w:val="24"/>
        </w:rPr>
        <w:t xml:space="preserve">法定代表人或者授权代表（签字或盖章）：                    </w:t>
      </w:r>
    </w:p>
    <w:p w14:paraId="16A36FBF">
      <w:pPr>
        <w:spacing w:line="360" w:lineRule="auto"/>
        <w:rPr>
          <w:rFonts w:ascii="宋体" w:hAnsi="宋体"/>
          <w:sz w:val="24"/>
          <w:u w:val="single"/>
        </w:rPr>
      </w:pPr>
      <w:r>
        <w:rPr>
          <w:rFonts w:hint="eastAsia" w:ascii="宋体" w:hAnsi="宋体"/>
          <w:sz w:val="24"/>
        </w:rPr>
        <w:t>供应商全称（盖章）：</w:t>
      </w:r>
      <w:r>
        <w:rPr>
          <w:rFonts w:hint="eastAsia" w:ascii="宋体" w:hAnsi="宋体"/>
          <w:sz w:val="24"/>
          <w:u w:val="single"/>
        </w:rPr>
        <w:t xml:space="preserve">                         </w:t>
      </w:r>
    </w:p>
    <w:p w14:paraId="6193DABF">
      <w:pPr>
        <w:spacing w:line="360" w:lineRule="auto"/>
        <w:rPr>
          <w:rFonts w:ascii="宋体" w:hAnsi="宋体"/>
          <w:sz w:val="24"/>
        </w:rPr>
      </w:pPr>
      <w:r>
        <w:rPr>
          <w:rFonts w:hint="eastAsia" w:ascii="宋体" w:hAnsi="宋体"/>
          <w:sz w:val="24"/>
        </w:rPr>
        <w:t xml:space="preserve">                                               日期：    年   月    日</w:t>
      </w:r>
    </w:p>
    <w:p w14:paraId="5097CB50">
      <w:pPr>
        <w:spacing w:line="460" w:lineRule="exact"/>
        <w:rPr>
          <w:rFonts w:ascii="宋体" w:hAnsi="宋体"/>
          <w:bCs/>
          <w:sz w:val="24"/>
        </w:rPr>
      </w:pPr>
    </w:p>
    <w:p w14:paraId="07A3D8E9">
      <w:pPr>
        <w:spacing w:line="460" w:lineRule="exact"/>
        <w:rPr>
          <w:rFonts w:ascii="宋体" w:hAnsi="宋体"/>
          <w:bCs/>
          <w:sz w:val="24"/>
        </w:rPr>
        <w:sectPr>
          <w:footerReference r:id="rId3" w:type="default"/>
          <w:pgSz w:w="11906" w:h="16838"/>
          <w:pgMar w:top="1440" w:right="1797" w:bottom="1440" w:left="1797" w:header="851" w:footer="992" w:gutter="0"/>
          <w:cols w:space="720" w:num="1"/>
          <w:docGrid w:linePitch="312" w:charSpace="0"/>
        </w:sectPr>
      </w:pPr>
    </w:p>
    <w:p w14:paraId="540051F0">
      <w:pPr>
        <w:spacing w:line="360" w:lineRule="auto"/>
        <w:jc w:val="center"/>
        <w:rPr>
          <w:rFonts w:ascii="宋体" w:hAnsi="宋体"/>
          <w:b/>
          <w:sz w:val="36"/>
          <w:szCs w:val="36"/>
        </w:rPr>
      </w:pPr>
      <w:r>
        <w:rPr>
          <w:rFonts w:hint="eastAsia" w:ascii="宋体" w:hAnsi="宋体"/>
          <w:b/>
          <w:sz w:val="36"/>
          <w:szCs w:val="36"/>
        </w:rPr>
        <w:t>分项报价表</w:t>
      </w:r>
    </w:p>
    <w:p w14:paraId="5D6213BA">
      <w:pPr>
        <w:pStyle w:val="6"/>
        <w:spacing w:line="360" w:lineRule="auto"/>
        <w:rPr>
          <w:rFonts w:ascii="宋体" w:hAnsi="宋体"/>
        </w:rPr>
      </w:pPr>
      <w:r>
        <w:rPr>
          <w:rFonts w:hint="eastAsia" w:ascii="宋体" w:hAnsi="宋体"/>
        </w:rPr>
        <w:t xml:space="preserve">供应商全称（加盖公章）：            </w:t>
      </w:r>
    </w:p>
    <w:tbl>
      <w:tblPr>
        <w:tblStyle w:val="26"/>
        <w:tblW w:w="11322" w:type="dxa"/>
        <w:tblInd w:w="-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1"/>
        <w:gridCol w:w="1155"/>
        <w:gridCol w:w="1185"/>
        <w:gridCol w:w="2370"/>
        <w:gridCol w:w="1665"/>
        <w:gridCol w:w="2115"/>
        <w:gridCol w:w="585"/>
        <w:gridCol w:w="555"/>
        <w:gridCol w:w="851"/>
      </w:tblGrid>
      <w:tr w14:paraId="0DED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7A99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A14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6D1D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B2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形  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00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  格</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（根据现场情况调整尺寸）</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1E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材料及工艺</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807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ED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4B28">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价格（元）</w:t>
            </w:r>
          </w:p>
        </w:tc>
      </w:tr>
      <w:tr w14:paraId="33AA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BC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3B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D7787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护士站门楣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C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4B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0</wp:posOffset>
                  </wp:positionV>
                  <wp:extent cx="1317625" cy="996950"/>
                  <wp:effectExtent l="0" t="0" r="15875" b="12700"/>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7"/>
                          <a:stretch>
                            <a:fillRect/>
                          </a:stretch>
                        </pic:blipFill>
                        <pic:spPr>
                          <a:xfrm>
                            <a:off x="0" y="0"/>
                            <a:ext cx="1317625" cy="9969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0478">
            <w:pPr>
              <w:keepNext w:val="0"/>
              <w:keepLines w:val="0"/>
              <w:widowControl/>
              <w:suppressLineNumbers w:val="0"/>
              <w:jc w:val="left"/>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B9E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1.白色亚克力侧边烤漆发光字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F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0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81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1BED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F3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67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46D9A2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护士站吧台字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D2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护士站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689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-29210</wp:posOffset>
                  </wp:positionH>
                  <wp:positionV relativeFrom="paragraph">
                    <wp:posOffset>38100</wp:posOffset>
                  </wp:positionV>
                  <wp:extent cx="1304925" cy="1109980"/>
                  <wp:effectExtent l="0" t="0" r="9525" b="1397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8"/>
                          <a:stretch>
                            <a:fillRect/>
                          </a:stretch>
                        </pic:blipFill>
                        <pic:spPr>
                          <a:xfrm>
                            <a:off x="0" y="0"/>
                            <a:ext cx="1304925" cy="11099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0AF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658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1.拉丝银不锈钢激光雕刻精工字</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p w14:paraId="53F2D47C">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AB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8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5F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674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548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5AE6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BE57B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疏覆盖全区域</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0D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散指示图（总）</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35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5080</wp:posOffset>
                  </wp:positionH>
                  <wp:positionV relativeFrom="paragraph">
                    <wp:posOffset>44450</wp:posOffset>
                  </wp:positionV>
                  <wp:extent cx="1096645" cy="1029335"/>
                  <wp:effectExtent l="0" t="0" r="8255" b="18415"/>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9"/>
                          <a:stretch>
                            <a:fillRect/>
                          </a:stretch>
                        </pic:blipFill>
                        <pic:spPr>
                          <a:xfrm>
                            <a:off x="0" y="0"/>
                            <a:ext cx="1096645" cy="10293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8AC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≥400*340*8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2E21">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5F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7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31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588D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48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145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35067A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卫生间</w:t>
            </w:r>
          </w:p>
          <w:p w14:paraId="264FB4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温馨提示</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A6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7D88">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1.当心地滑2.保持清洁3.垃圾入篓4.如厕后冲洗5.请节约用水6.小心台阶7.坐便器8.蹲坑9.如厕后冲洗10.请节约用水</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46C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≥100*100*5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8678">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1.5mm亚克力激光雕刻</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2.表面烤漆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3.图文信息丝网印刷                                   </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A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9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15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FD7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89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AC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0E13B3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软膜灯箱</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65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文化墙</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FE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14605</wp:posOffset>
                  </wp:positionH>
                  <wp:positionV relativeFrom="paragraph">
                    <wp:posOffset>-38100</wp:posOffset>
                  </wp:positionV>
                  <wp:extent cx="1303020" cy="1190625"/>
                  <wp:effectExtent l="0" t="0" r="11430" b="952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10"/>
                          <a:stretch>
                            <a:fillRect/>
                          </a:stretch>
                        </pic:blipFill>
                        <pic:spPr>
                          <a:xfrm>
                            <a:off x="0" y="0"/>
                            <a:ext cx="1303020" cy="119062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C237">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2556*1000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5CBE">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1.铝合金型材围边固定</w:t>
            </w:r>
          </w:p>
          <w:p w14:paraId="2B28C5E9">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2.内置6500K品牌透镜光源</w:t>
            </w:r>
          </w:p>
          <w:p w14:paraId="6D024036">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3.画面高精度UV打印软膜封边、四周不锈钢包边收口</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F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4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3E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FF6E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29B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82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12病区</w:t>
            </w:r>
          </w:p>
          <w:p w14:paraId="7BCDEED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大厅入口</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4D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十二病区</w:t>
            </w:r>
            <w:r>
              <w:rPr>
                <w:rFonts w:hint="eastAsia" w:ascii="宋体" w:hAnsi="宋体" w:eastAsia="宋体" w:cs="宋体"/>
                <w:i w:val="0"/>
                <w:iCs w:val="0"/>
                <w:color w:val="000000"/>
                <w:kern w:val="0"/>
                <w:sz w:val="21"/>
                <w:szCs w:val="21"/>
                <w:u w:val="none"/>
                <w:lang w:val="en-US" w:eastAsia="zh-CN" w:bidi="ar"/>
              </w:rPr>
              <w:br w:type="textWrapping"/>
            </w:r>
          </w:p>
          <w:p w14:paraId="1C9FA8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6E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wp:posOffset>
                  </wp:positionH>
                  <wp:positionV relativeFrom="paragraph">
                    <wp:posOffset>285750</wp:posOffset>
                  </wp:positionV>
                  <wp:extent cx="1298575" cy="1223645"/>
                  <wp:effectExtent l="0" t="0" r="15875" b="14605"/>
                  <wp:wrapNone/>
                  <wp:docPr id="23" name="图片_19"/>
                  <wp:cNvGraphicFramePr/>
                  <a:graphic xmlns:a="http://schemas.openxmlformats.org/drawingml/2006/main">
                    <a:graphicData uri="http://schemas.openxmlformats.org/drawingml/2006/picture">
                      <pic:pic xmlns:pic="http://schemas.openxmlformats.org/drawingml/2006/picture">
                        <pic:nvPicPr>
                          <pic:cNvPr id="23" name="图片_19"/>
                          <pic:cNvPicPr/>
                        </pic:nvPicPr>
                        <pic:blipFill>
                          <a:blip r:embed="rId11"/>
                          <a:stretch>
                            <a:fillRect/>
                          </a:stretch>
                        </pic:blipFill>
                        <pic:spPr>
                          <a:xfrm>
                            <a:off x="0" y="0"/>
                            <a:ext cx="1298575" cy="122364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-166370</wp:posOffset>
                  </wp:positionV>
                  <wp:extent cx="1342390" cy="340360"/>
                  <wp:effectExtent l="0" t="0" r="10160" b="2540"/>
                  <wp:wrapNone/>
                  <wp:docPr id="24" name="图片_23"/>
                  <wp:cNvGraphicFramePr/>
                  <a:graphic xmlns:a="http://schemas.openxmlformats.org/drawingml/2006/main">
                    <a:graphicData uri="http://schemas.openxmlformats.org/drawingml/2006/picture">
                      <pic:pic xmlns:pic="http://schemas.openxmlformats.org/drawingml/2006/picture">
                        <pic:nvPicPr>
                          <pic:cNvPr id="24" name="图片_23"/>
                          <pic:cNvPicPr/>
                        </pic:nvPicPr>
                        <pic:blipFill>
                          <a:blip r:embed="rId12"/>
                          <a:stretch>
                            <a:fillRect/>
                          </a:stretch>
                        </pic:blipFill>
                        <pic:spPr>
                          <a:xfrm>
                            <a:off x="0" y="0"/>
                            <a:ext cx="1342390" cy="34036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B0D4">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BC93">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p w14:paraId="5A6CCDAE">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w:t>
            </w:r>
            <w:r>
              <w:rPr>
                <w:rFonts w:hint="eastAsia" w:ascii="微软雅黑" w:hAnsi="微软雅黑" w:eastAsia="微软雅黑" w:cs="微软雅黑"/>
                <w:i w:val="0"/>
                <w:iCs w:val="0"/>
                <w:color w:val="000000"/>
                <w:kern w:val="0"/>
                <w:sz w:val="21"/>
                <w:szCs w:val="21"/>
                <w:highlight w:val="yellow"/>
                <w:u w:val="none"/>
                <w:lang w:val="en-US" w:eastAsia="zh-CN" w:bidi="ar"/>
              </w:rPr>
              <w:t>提供小样，可通电发光</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2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E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10E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8B56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2F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85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w:t>
            </w:r>
            <w:r>
              <w:rPr>
                <w:rFonts w:hint="eastAsia" w:ascii="宋体" w:hAnsi="宋体" w:cs="宋体"/>
                <w:i w:val="0"/>
                <w:iCs w:val="0"/>
                <w:color w:val="000000"/>
                <w:kern w:val="0"/>
                <w:sz w:val="21"/>
                <w:szCs w:val="21"/>
                <w:u w:val="none"/>
                <w:lang w:val="en-US" w:eastAsia="zh-CN" w:bidi="ar"/>
              </w:rPr>
              <w:t>病房</w:t>
            </w: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160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V01—V19</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51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93345</wp:posOffset>
                  </wp:positionH>
                  <wp:positionV relativeFrom="paragraph">
                    <wp:posOffset>83820</wp:posOffset>
                  </wp:positionV>
                  <wp:extent cx="1159510" cy="1198880"/>
                  <wp:effectExtent l="0" t="0" r="2540" b="1270"/>
                  <wp:wrapNone/>
                  <wp:docPr id="25" name="图片_20"/>
                  <wp:cNvGraphicFramePr/>
                  <a:graphic xmlns:a="http://schemas.openxmlformats.org/drawingml/2006/main">
                    <a:graphicData uri="http://schemas.openxmlformats.org/drawingml/2006/picture">
                      <pic:pic xmlns:pic="http://schemas.openxmlformats.org/drawingml/2006/picture">
                        <pic:nvPicPr>
                          <pic:cNvPr id="25" name="图片_20"/>
                          <pic:cNvPicPr/>
                        </pic:nvPicPr>
                        <pic:blipFill>
                          <a:blip r:embed="rId13"/>
                          <a:stretch>
                            <a:fillRect/>
                          </a:stretch>
                        </pic:blipFill>
                        <pic:spPr>
                          <a:xfrm>
                            <a:off x="0" y="0"/>
                            <a:ext cx="1159510" cy="11988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38D2">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≥150*150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A2814">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p>
          <w:p w14:paraId="791F6CC7">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highlight w:val="yellow"/>
                <w:u w:val="none"/>
                <w:lang w:val="en-US" w:eastAsia="zh-CN" w:bidi="ar"/>
              </w:rPr>
              <w:t>3.提供小样</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0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BE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8B8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EE82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2C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D0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12病区门牌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90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治疗室、处置、值班室、更衣室、示教室医生办、主任办、新风机房、弱电机房等</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B7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99695</wp:posOffset>
                  </wp:positionH>
                  <wp:positionV relativeFrom="paragraph">
                    <wp:posOffset>57150</wp:posOffset>
                  </wp:positionV>
                  <wp:extent cx="1196340" cy="1232535"/>
                  <wp:effectExtent l="0" t="0" r="3810" b="5715"/>
                  <wp:wrapNone/>
                  <wp:docPr id="26" name="图片_21"/>
                  <wp:cNvGraphicFramePr/>
                  <a:graphic xmlns:a="http://schemas.openxmlformats.org/drawingml/2006/main">
                    <a:graphicData uri="http://schemas.openxmlformats.org/drawingml/2006/picture">
                      <pic:pic xmlns:pic="http://schemas.openxmlformats.org/drawingml/2006/picture">
                        <pic:nvPicPr>
                          <pic:cNvPr id="26" name="图片_21"/>
                          <pic:cNvPicPr/>
                        </pic:nvPicPr>
                        <pic:blipFill>
                          <a:blip r:embed="rId14"/>
                          <a:stretch>
                            <a:fillRect/>
                          </a:stretch>
                        </pic:blipFill>
                        <pic:spPr>
                          <a:xfrm>
                            <a:off x="0" y="0"/>
                            <a:ext cx="1196340" cy="123253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59A5">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≥300*190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88E2">
            <w:pPr>
              <w:keepNext w:val="0"/>
              <w:keepLines w:val="0"/>
              <w:widowControl/>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1.15mm磨砂亚克力面板，表面UV打印内容（中英文）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A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D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27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AAFD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57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9 </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5C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3F8D9F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设备简介</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8A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设备介绍膜</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5F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93980</wp:posOffset>
                  </wp:positionH>
                  <wp:positionV relativeFrom="paragraph">
                    <wp:posOffset>52070</wp:posOffset>
                  </wp:positionV>
                  <wp:extent cx="1270635" cy="1225550"/>
                  <wp:effectExtent l="0" t="0" r="5715" b="12700"/>
                  <wp:wrapNone/>
                  <wp:docPr id="27" name="图片_18"/>
                  <wp:cNvGraphicFramePr/>
                  <a:graphic xmlns:a="http://schemas.openxmlformats.org/drawingml/2006/main">
                    <a:graphicData uri="http://schemas.openxmlformats.org/drawingml/2006/picture">
                      <pic:pic xmlns:pic="http://schemas.openxmlformats.org/drawingml/2006/picture">
                        <pic:nvPicPr>
                          <pic:cNvPr id="27" name="图片_18"/>
                          <pic:cNvPicPr/>
                        </pic:nvPicPr>
                        <pic:blipFill>
                          <a:blip r:embed="rId15"/>
                          <a:stretch>
                            <a:fillRect/>
                          </a:stretch>
                        </pic:blipFill>
                        <pic:spPr>
                          <a:xfrm>
                            <a:off x="0" y="0"/>
                            <a:ext cx="127063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B2AB">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≥2800*1350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F337">
            <w:pPr>
              <w:keepNext w:val="0"/>
              <w:keepLines w:val="0"/>
              <w:widowControl/>
              <w:numPr>
                <w:ilvl w:val="0"/>
                <w:numId w:val="0"/>
              </w:numPr>
              <w:suppressLineNumbers w:val="0"/>
              <w:jc w:val="left"/>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1.高透玻璃膜表面UV打印内容</w:t>
            </w:r>
            <w:r>
              <w:rPr>
                <w:rFonts w:hint="eastAsia" w:ascii="微软雅黑" w:hAnsi="微软雅黑" w:eastAsia="微软雅黑" w:cs="微软雅黑"/>
                <w:i w:val="0"/>
                <w:iCs w:val="0"/>
                <w:color w:val="000000"/>
                <w:kern w:val="0"/>
                <w:sz w:val="21"/>
                <w:szCs w:val="21"/>
                <w:u w:val="none"/>
                <w:lang w:val="en-US" w:eastAsia="zh-CN" w:bidi="ar"/>
              </w:rPr>
              <w:br w:type="textWrapping"/>
            </w:r>
            <w:r>
              <w:rPr>
                <w:rStyle w:val="80"/>
                <w:sz w:val="21"/>
                <w:szCs w:val="21"/>
                <w:lang w:val="en-US" w:eastAsia="zh-CN" w:bidi="ar"/>
              </w:rPr>
              <w:t>2.每块之间设计有连续性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4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F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C1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CE93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125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DDF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r>
              <w:rPr>
                <w:rFonts w:hint="eastAsia" w:ascii="宋体" w:hAnsi="宋体" w:cs="宋体"/>
                <w:i w:val="0"/>
                <w:iCs w:val="0"/>
                <w:color w:val="000000"/>
                <w:kern w:val="0"/>
                <w:sz w:val="21"/>
                <w:szCs w:val="21"/>
                <w:u w:val="none"/>
                <w:lang w:val="en-US" w:eastAsia="zh-CN" w:bidi="ar"/>
              </w:rPr>
              <w:t>入口</w:t>
            </w:r>
          </w:p>
          <w:p w14:paraId="288CD9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18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健康管理中心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AE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1294765</wp:posOffset>
                  </wp:positionV>
                  <wp:extent cx="1287145" cy="604520"/>
                  <wp:effectExtent l="0" t="0" r="8255" b="5080"/>
                  <wp:wrapNone/>
                  <wp:docPr id="28" name="图片_24"/>
                  <wp:cNvGraphicFramePr/>
                  <a:graphic xmlns:a="http://schemas.openxmlformats.org/drawingml/2006/main">
                    <a:graphicData uri="http://schemas.openxmlformats.org/drawingml/2006/picture">
                      <pic:pic xmlns:pic="http://schemas.openxmlformats.org/drawingml/2006/picture">
                        <pic:nvPicPr>
                          <pic:cNvPr id="28" name="图片_24"/>
                          <pic:cNvPicPr/>
                        </pic:nvPicPr>
                        <pic:blipFill>
                          <a:blip r:embed="rId16"/>
                          <a:stretch>
                            <a:fillRect/>
                          </a:stretch>
                        </pic:blipFill>
                        <pic:spPr>
                          <a:xfrm>
                            <a:off x="0" y="0"/>
                            <a:ext cx="1287145" cy="60452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22225</wp:posOffset>
                  </wp:positionH>
                  <wp:positionV relativeFrom="paragraph">
                    <wp:posOffset>52070</wp:posOffset>
                  </wp:positionV>
                  <wp:extent cx="1218565" cy="1113155"/>
                  <wp:effectExtent l="0" t="0" r="635" b="10795"/>
                  <wp:wrapNone/>
                  <wp:docPr id="29" name="图片_22"/>
                  <wp:cNvGraphicFramePr/>
                  <a:graphic xmlns:a="http://schemas.openxmlformats.org/drawingml/2006/main">
                    <a:graphicData uri="http://schemas.openxmlformats.org/drawingml/2006/picture">
                      <pic:pic xmlns:pic="http://schemas.openxmlformats.org/drawingml/2006/picture">
                        <pic:nvPicPr>
                          <pic:cNvPr id="29" name="图片_22"/>
                          <pic:cNvPicPr/>
                        </pic:nvPicPr>
                        <pic:blipFill>
                          <a:blip r:embed="rId17"/>
                          <a:stretch>
                            <a:fillRect/>
                          </a:stretch>
                        </pic:blipFill>
                        <pic:spPr>
                          <a:xfrm>
                            <a:off x="0" y="0"/>
                            <a:ext cx="1218565" cy="111315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A5F25">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中文≥宽300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英文≥宽100，厚度≥40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2213">
            <w:pPr>
              <w:keepNext w:val="0"/>
              <w:keepLines w:val="0"/>
              <w:widowControl/>
              <w:suppressLineNumbers w:val="0"/>
              <w:jc w:val="left"/>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3.内置暖白色LED光源，色温4000K</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b/>
                <w:bCs/>
                <w:i w:val="0"/>
                <w:iCs w:val="0"/>
                <w:color w:val="000000"/>
                <w:kern w:val="0"/>
                <w:sz w:val="21"/>
                <w:szCs w:val="21"/>
                <w:u w:val="none"/>
                <w:lang w:val="en-US" w:eastAsia="zh-CN" w:bidi="ar"/>
              </w:rPr>
              <w:t>5.健康管理中心与京沪高级医学中心整体考虑协调性。</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F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6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07A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704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B15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11</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DC6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66032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健康体检中心背景墙发光字</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8B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京沪高级医学中心</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53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60960</wp:posOffset>
                  </wp:positionH>
                  <wp:positionV relativeFrom="paragraph">
                    <wp:posOffset>-362585</wp:posOffset>
                  </wp:positionV>
                  <wp:extent cx="1255395" cy="1225550"/>
                  <wp:effectExtent l="0" t="0" r="1905" b="12700"/>
                  <wp:wrapNone/>
                  <wp:docPr id="30" name="图片_7"/>
                  <wp:cNvGraphicFramePr/>
                  <a:graphic xmlns:a="http://schemas.openxmlformats.org/drawingml/2006/main">
                    <a:graphicData uri="http://schemas.openxmlformats.org/drawingml/2006/picture">
                      <pic:pic xmlns:pic="http://schemas.openxmlformats.org/drawingml/2006/picture">
                        <pic:nvPicPr>
                          <pic:cNvPr id="30" name="图片_7"/>
                          <pic:cNvPicPr/>
                        </pic:nvPicPr>
                        <pic:blipFill>
                          <a:blip r:embed="rId18"/>
                          <a:stretch>
                            <a:fillRect/>
                          </a:stretch>
                        </pic:blipFill>
                        <pic:spPr>
                          <a:xfrm>
                            <a:off x="0" y="0"/>
                            <a:ext cx="1255395" cy="122555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B53C">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中文≥宽230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6D7A">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1.1.5mm304不锈钢激光雕刻围边，表面电镀玫瑰金，精品无边发光效果</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2.正面乳白磨砂亚克力面板</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A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7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C9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3BEC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5"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A0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52C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346836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8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采血处</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6D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wp:posOffset>
                  </wp:positionH>
                  <wp:positionV relativeFrom="paragraph">
                    <wp:posOffset>193675</wp:posOffset>
                  </wp:positionV>
                  <wp:extent cx="1373505" cy="1211580"/>
                  <wp:effectExtent l="0" t="0" r="17145" b="762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19"/>
                          <a:stretch>
                            <a:fillRect/>
                          </a:stretch>
                        </pic:blipFill>
                        <pic:spPr>
                          <a:xfrm>
                            <a:off x="0" y="0"/>
                            <a:ext cx="1373505" cy="121158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457E">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中文≥250</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英文≥宽80，厚度≥40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1270">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1.1.5mm304不锈钢激光雕刻焊接，表面电镀玫瑰金</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2.背衬10mm乳白亚克力</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 xml:space="preserve">3.内置暖白色LED光源，色温4000K </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D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D4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9EB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06E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FB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0EB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24DFBA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墙面指示标识</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FE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过道</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83C">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wp:posOffset>
                  </wp:positionH>
                  <wp:positionV relativeFrom="paragraph">
                    <wp:posOffset>66040</wp:posOffset>
                  </wp:positionV>
                  <wp:extent cx="1289050" cy="1136015"/>
                  <wp:effectExtent l="0" t="0" r="6350" b="6985"/>
                  <wp:wrapNone/>
                  <wp:docPr id="32" name="图片_6"/>
                  <wp:cNvGraphicFramePr/>
                  <a:graphic xmlns:a="http://schemas.openxmlformats.org/drawingml/2006/main">
                    <a:graphicData uri="http://schemas.openxmlformats.org/drawingml/2006/picture">
                      <pic:pic xmlns:pic="http://schemas.openxmlformats.org/drawingml/2006/picture">
                        <pic:nvPicPr>
                          <pic:cNvPr id="32" name="图片_6"/>
                          <pic:cNvPicPr/>
                        </pic:nvPicPr>
                        <pic:blipFill>
                          <a:blip r:embed="rId20"/>
                          <a:stretch>
                            <a:fillRect/>
                          </a:stretch>
                        </pic:blipFill>
                        <pic:spPr>
                          <a:xfrm>
                            <a:off x="0" y="0"/>
                            <a:ext cx="1289050" cy="1136015"/>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92A9">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1000*2400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0B177">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1.3mm铝板四周折弯，福莱姆汽车漆烤漆，文字内容丝网印刷</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E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3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78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08F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B0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CE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1B578E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8A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科室牌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E7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wp:posOffset>
                  </wp:positionH>
                  <wp:positionV relativeFrom="paragraph">
                    <wp:posOffset>-103505</wp:posOffset>
                  </wp:positionV>
                  <wp:extent cx="1224280" cy="1493520"/>
                  <wp:effectExtent l="0" t="0" r="13970" b="11430"/>
                  <wp:wrapNone/>
                  <wp:docPr id="33" name="图片_17"/>
                  <wp:cNvGraphicFramePr/>
                  <a:graphic xmlns:a="http://schemas.openxmlformats.org/drawingml/2006/main">
                    <a:graphicData uri="http://schemas.openxmlformats.org/drawingml/2006/picture">
                      <pic:pic xmlns:pic="http://schemas.openxmlformats.org/drawingml/2006/picture">
                        <pic:nvPicPr>
                          <pic:cNvPr id="33" name="图片_17"/>
                          <pic:cNvPicPr/>
                        </pic:nvPicPr>
                        <pic:blipFill>
                          <a:blip r:embed="rId21"/>
                          <a:stretch>
                            <a:fillRect/>
                          </a:stretch>
                        </pic:blipFill>
                        <pic:spPr>
                          <a:xfrm>
                            <a:off x="0" y="0"/>
                            <a:ext cx="1224280" cy="149352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92F4">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≥130*280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77BF">
            <w:pPr>
              <w:keepNext w:val="0"/>
              <w:keepLines w:val="0"/>
              <w:widowControl/>
              <w:numPr>
                <w:ilvl w:val="0"/>
                <w:numId w:val="3"/>
              </w:numPr>
              <w:suppressLineNumbers w:val="0"/>
              <w:jc w:val="left"/>
              <w:textAlignment w:val="center"/>
              <w:rPr>
                <w:rFonts w:hint="default"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铝合金型材边框，表面金属色烤漆</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2.上部铝合金型材面板，表面烤漆，文字丝印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3.下部亚克力面板正面烤漆，文字丝；</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4.</w:t>
            </w:r>
            <w:r>
              <w:rPr>
                <w:rStyle w:val="80"/>
                <w:sz w:val="21"/>
                <w:szCs w:val="21"/>
                <w:lang w:val="en-US" w:eastAsia="zh-CN" w:bidi="ar"/>
              </w:rPr>
              <w:t>可更换可拆卸</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5.中英文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1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2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83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CED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7B61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0C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6BAAEA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9B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2楼高级医学中心门诊</w:t>
            </w:r>
          </w:p>
          <w:p w14:paraId="7002CD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导视牌</w:t>
            </w:r>
          </w:p>
        </w:tc>
        <w:tc>
          <w:tcPr>
            <w:tcW w:w="23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E4C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66675</wp:posOffset>
                  </wp:positionH>
                  <wp:positionV relativeFrom="paragraph">
                    <wp:posOffset>-66675</wp:posOffset>
                  </wp:positionV>
                  <wp:extent cx="1054100" cy="1168400"/>
                  <wp:effectExtent l="0" t="0" r="12700" b="12700"/>
                  <wp:wrapNone/>
                  <wp:docPr id="34" name="图片_1"/>
                  <wp:cNvGraphicFramePr/>
                  <a:graphic xmlns:a="http://schemas.openxmlformats.org/drawingml/2006/main">
                    <a:graphicData uri="http://schemas.openxmlformats.org/drawingml/2006/picture">
                      <pic:pic xmlns:pic="http://schemas.openxmlformats.org/drawingml/2006/picture">
                        <pic:nvPicPr>
                          <pic:cNvPr id="34" name="图片_1"/>
                          <pic:cNvPicPr/>
                        </pic:nvPicPr>
                        <pic:blipFill>
                          <a:blip r:embed="rId22"/>
                          <a:stretch>
                            <a:fillRect/>
                          </a:stretch>
                        </pic:blipFill>
                        <pic:spPr>
                          <a:xfrm>
                            <a:off x="0" y="0"/>
                            <a:ext cx="1054100" cy="1168400"/>
                          </a:xfrm>
                          <a:prstGeom prst="rect">
                            <a:avLst/>
                          </a:prstGeom>
                          <a:noFill/>
                          <a:ln>
                            <a:noFill/>
                          </a:ln>
                        </pic:spPr>
                      </pic:pic>
                    </a:graphicData>
                  </a:graphic>
                </wp:anchor>
              </w:drawing>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D921">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≥2700*700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C50D">
            <w:pPr>
              <w:keepNext w:val="0"/>
              <w:keepLines w:val="0"/>
              <w:widowControl/>
              <w:suppressLineNumbers w:val="0"/>
              <w:jc w:val="left"/>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1.3M灰胶车贴，表面UV喷印</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2.中英文</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E71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4D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59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86D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5E8A">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合计</w:t>
            </w:r>
          </w:p>
        </w:tc>
        <w:tc>
          <w:tcPr>
            <w:tcW w:w="1048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970B7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AF8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89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c>
          <w:tcPr>
            <w:tcW w:w="96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657CE7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1.所有报价费用包含一切设计制作安装及税费</w:t>
            </w:r>
          </w:p>
          <w:p w14:paraId="3C482D8E">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2.需送样品确认，未经认可不得制作</w:t>
            </w:r>
          </w:p>
          <w:p w14:paraId="52DC0E72">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1"/>
                <w:szCs w:val="21"/>
                <w:u w:val="none"/>
                <w:lang w:val="en-US" w:eastAsia="zh-CN" w:bidi="ar"/>
              </w:rPr>
              <w:t>3.最终按实际数量来结算</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1255">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bl>
    <w:p w14:paraId="35C8FEB6">
      <w:pPr>
        <w:spacing w:line="360" w:lineRule="auto"/>
        <w:rPr>
          <w:rFonts w:ascii="宋体" w:hAnsi="宋体"/>
          <w:sz w:val="24"/>
        </w:rPr>
      </w:pPr>
      <w:r>
        <w:rPr>
          <w:rFonts w:hint="eastAsia" w:ascii="宋体" w:hAnsi="宋体"/>
          <w:sz w:val="24"/>
        </w:rPr>
        <w:t>法定代表人或授权代表（签字或盖章）</w:t>
      </w:r>
    </w:p>
    <w:p w14:paraId="08E81E26">
      <w:pPr>
        <w:spacing w:line="360" w:lineRule="auto"/>
        <w:rPr>
          <w:rFonts w:ascii="宋体" w:hAnsi="宋体"/>
          <w:sz w:val="24"/>
        </w:rPr>
      </w:pPr>
    </w:p>
    <w:p w14:paraId="24B1490B">
      <w:pPr>
        <w:jc w:val="center"/>
        <w:rPr>
          <w:rFonts w:ascii="宋体" w:hAnsi="宋体"/>
          <w:sz w:val="24"/>
        </w:rPr>
      </w:pPr>
      <w:r>
        <w:rPr>
          <w:rFonts w:hint="eastAsia" w:ascii="宋体" w:hAnsi="宋体"/>
          <w:b/>
          <w:sz w:val="24"/>
        </w:rPr>
        <w:t xml:space="preserve">                                             </w:t>
      </w:r>
      <w:r>
        <w:rPr>
          <w:rFonts w:hint="eastAsia" w:ascii="宋体" w:hAnsi="宋体"/>
          <w:sz w:val="24"/>
        </w:rPr>
        <w:t xml:space="preserve">           年    月    日</w:t>
      </w:r>
    </w:p>
    <w:p w14:paraId="38A3FC9D">
      <w:pPr>
        <w:rPr>
          <w:rFonts w:ascii="宋体" w:hAnsi="宋体"/>
          <w:szCs w:val="21"/>
        </w:rPr>
      </w:pPr>
      <w:r>
        <w:rPr>
          <w:rFonts w:hint="eastAsia" w:ascii="宋体" w:hAnsi="宋体"/>
          <w:szCs w:val="21"/>
        </w:rPr>
        <w:br w:type="page"/>
      </w:r>
    </w:p>
    <w:p w14:paraId="0D047C97">
      <w:pPr>
        <w:jc w:val="center"/>
        <w:rPr>
          <w:rFonts w:asciiTheme="minorEastAsia" w:hAnsiTheme="minorEastAsia" w:eastAsiaTheme="minorEastAsia"/>
          <w:b/>
          <w:bCs/>
          <w:sz w:val="36"/>
          <w:szCs w:val="36"/>
        </w:rPr>
      </w:pPr>
      <w:r>
        <w:rPr>
          <w:rFonts w:hint="eastAsia" w:asciiTheme="minorEastAsia" w:hAnsiTheme="minorEastAsia" w:eastAsiaTheme="minorEastAsia"/>
          <w:b/>
          <w:bCs/>
          <w:sz w:val="36"/>
          <w:szCs w:val="36"/>
        </w:rPr>
        <w:t>供应商廉洁自律承诺书</w:t>
      </w:r>
    </w:p>
    <w:p w14:paraId="66984538">
      <w:pPr>
        <w:rPr>
          <w:rFonts w:ascii="楷体_GB2312" w:eastAsia="楷体_GB2312"/>
        </w:rPr>
      </w:pPr>
    </w:p>
    <w:p w14:paraId="0CDADE55">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bCs/>
          <w:sz w:val="24"/>
        </w:rPr>
      </w:pPr>
      <w:r>
        <w:rPr>
          <w:rFonts w:hint="eastAsia" w:asciiTheme="minorEastAsia" w:hAnsiTheme="minorEastAsia" w:eastAsiaTheme="minorEastAsia"/>
          <w:bCs/>
          <w:sz w:val="24"/>
        </w:rPr>
        <w:t>扬州大学附属医院京沪高级医学中心导视标识及文化墙设计制作安装项目院内公开谈判是实行公开、公平、公正的阳光工程，给予了每个供应商平等竞争的机会。作为参与此次谈判活动的承包商,我公司现郑重作出以下承诺：</w:t>
      </w:r>
    </w:p>
    <w:p w14:paraId="7A20A73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一、遵守《中华人民共和国政府采购法》及省、市有关政府采购的各项法律、法规和制度以及《扬州大学采购管理暂行办法》的规定。</w:t>
      </w:r>
    </w:p>
    <w:p w14:paraId="3FBAABB8">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二、客观真实反映自身情况，按规定接受采购供应商资格审查,不提供虚假材料，不夸大自身技术和提供服务的能力。</w:t>
      </w:r>
    </w:p>
    <w:p w14:paraId="6785A2D4">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三、以合法正当的手段参与采购的公平竞争。不与采购人、其他供应商或者采购代理机构恶意串通，不以不正当手段诋毁、排挤其他供应商，不向采购人、评审机构行贿或者提供其他不正当利益。</w:t>
      </w:r>
    </w:p>
    <w:p w14:paraId="53B625C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14:paraId="6D1165EF">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五、自觉接受采购监督管理部门及其他相关部门的监督检查。</w:t>
      </w:r>
    </w:p>
    <w:p w14:paraId="4C747DD9">
      <w:pPr>
        <w:pStyle w:val="15"/>
        <w:adjustRightInd w:val="0"/>
        <w:snapToGrid w:val="0"/>
        <w:spacing w:line="440" w:lineRule="exact"/>
        <w:ind w:left="424" w:leftChars="202" w:right="531" w:rightChars="253" w:firstLine="426" w:firstLineChars="177"/>
        <w:contextualSpacing/>
        <w:rPr>
          <w:rFonts w:asciiTheme="minorEastAsia" w:hAnsiTheme="minorEastAsia" w:eastAsiaTheme="minorEastAsia"/>
          <w:b/>
          <w:bCs/>
          <w:sz w:val="24"/>
        </w:rPr>
      </w:pPr>
      <w:r>
        <w:rPr>
          <w:rFonts w:hint="eastAsia" w:asciiTheme="minorEastAsia" w:hAnsiTheme="minorEastAsia" w:eastAsiaTheme="minorEastAsia"/>
          <w:b/>
          <w:bCs/>
          <w:sz w:val="24"/>
        </w:rPr>
        <w:t>如违反以上承诺，我公司愿承担一切法律责任，并接受采购监督管理部门及其他相关部门依法作出的处罚。</w:t>
      </w:r>
    </w:p>
    <w:p w14:paraId="65C4CA77">
      <w:pPr>
        <w:pStyle w:val="15"/>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7192FF2D">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p>
    <w:p w14:paraId="205C2A5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承诺单位（盖章）</w:t>
      </w:r>
    </w:p>
    <w:p w14:paraId="7C820BA6">
      <w:pPr>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法定代表人（授权代表签字）：</w:t>
      </w:r>
    </w:p>
    <w:p w14:paraId="3A0A2387">
      <w:pPr>
        <w:pStyle w:val="10"/>
        <w:adjustRightInd w:val="0"/>
        <w:snapToGrid w:val="0"/>
        <w:spacing w:line="440" w:lineRule="exact"/>
        <w:ind w:left="424" w:leftChars="202" w:right="531" w:rightChars="253" w:firstLine="424" w:firstLineChars="177"/>
        <w:contextualSpacing/>
        <w:rPr>
          <w:rFonts w:asciiTheme="minorEastAsia" w:hAnsiTheme="minorEastAsia" w:eastAsiaTheme="minorEastAsia"/>
          <w:sz w:val="24"/>
        </w:rPr>
      </w:pPr>
      <w:r>
        <w:rPr>
          <w:rFonts w:hint="eastAsia" w:asciiTheme="minorEastAsia" w:hAnsiTheme="minorEastAsia" w:eastAsiaTheme="minorEastAsia"/>
          <w:sz w:val="24"/>
        </w:rPr>
        <w:t>2025年   月   日</w:t>
      </w:r>
    </w:p>
    <w:p w14:paraId="7991BC09">
      <w:pPr>
        <w:jc w:val="center"/>
        <w:rPr>
          <w:rFonts w:ascii="宋体" w:hAnsi="宋体"/>
          <w:b/>
          <w:sz w:val="24"/>
        </w:rPr>
      </w:pPr>
    </w:p>
    <w:p w14:paraId="5F2135DC">
      <w:pPr>
        <w:rPr>
          <w:sz w:val="24"/>
        </w:rPr>
      </w:pPr>
      <w:r>
        <w:rPr>
          <w:sz w:val="24"/>
        </w:rPr>
        <w:br w:type="page"/>
      </w:r>
    </w:p>
    <w:p w14:paraId="768B4942">
      <w:pPr>
        <w:pStyle w:val="2"/>
      </w:pPr>
      <w:bookmarkStart w:id="10" w:name="_Toc497145841"/>
      <w:bookmarkStart w:id="11" w:name="_Toc12436"/>
      <w:r>
        <w:rPr>
          <w:rFonts w:hint="eastAsia"/>
        </w:rPr>
        <w:t>合同条款及格式</w:t>
      </w:r>
      <w:bookmarkEnd w:id="10"/>
      <w:bookmarkEnd w:id="11"/>
    </w:p>
    <w:p w14:paraId="35F8BD39">
      <w:pPr>
        <w:pStyle w:val="59"/>
        <w:jc w:val="center"/>
        <w:rPr>
          <w:rFonts w:ascii="宋体" w:hAnsi="宋体" w:cs="宋体"/>
          <w:b/>
          <w:kern w:val="2"/>
          <w:sz w:val="72"/>
          <w:szCs w:val="52"/>
        </w:rPr>
      </w:pPr>
    </w:p>
    <w:p w14:paraId="1629D819">
      <w:pPr>
        <w:pStyle w:val="59"/>
        <w:jc w:val="center"/>
        <w:rPr>
          <w:rFonts w:ascii="宋体" w:hAnsi="宋体" w:cs="宋体"/>
          <w:b/>
          <w:kern w:val="2"/>
          <w:sz w:val="52"/>
          <w:szCs w:val="52"/>
        </w:rPr>
      </w:pPr>
      <w:r>
        <w:rPr>
          <w:rFonts w:hint="eastAsia" w:ascii="宋体" w:hAnsi="宋体" w:cs="宋体"/>
          <w:b/>
          <w:kern w:val="2"/>
          <w:sz w:val="72"/>
          <w:szCs w:val="52"/>
        </w:rPr>
        <w:t>建设工程施工合同</w:t>
      </w:r>
    </w:p>
    <w:p w14:paraId="568CDD28">
      <w:pPr>
        <w:pStyle w:val="59"/>
        <w:rPr>
          <w:rFonts w:ascii="宋体" w:hAnsi="宋体" w:cs="宋体"/>
          <w:b/>
          <w:kern w:val="2"/>
          <w:sz w:val="52"/>
          <w:szCs w:val="52"/>
        </w:rPr>
      </w:pPr>
    </w:p>
    <w:p w14:paraId="51F07911">
      <w:pPr>
        <w:pStyle w:val="59"/>
        <w:rPr>
          <w:rFonts w:ascii="宋体" w:hAnsi="宋体" w:cs="宋体"/>
          <w:b/>
          <w:kern w:val="2"/>
          <w:sz w:val="72"/>
          <w:szCs w:val="72"/>
        </w:rPr>
      </w:pPr>
    </w:p>
    <w:p w14:paraId="403EDEA7">
      <w:pPr>
        <w:pStyle w:val="59"/>
        <w:rPr>
          <w:rFonts w:ascii="宋体" w:hAnsi="宋体" w:cs="宋体"/>
          <w:b/>
          <w:kern w:val="2"/>
          <w:sz w:val="28"/>
          <w:szCs w:val="28"/>
        </w:rPr>
      </w:pPr>
    </w:p>
    <w:p w14:paraId="6D702933">
      <w:pPr>
        <w:tabs>
          <w:tab w:val="left" w:pos="0"/>
          <w:tab w:val="left" w:pos="1002"/>
          <w:tab w:val="left" w:pos="1134"/>
        </w:tabs>
        <w:spacing w:line="440" w:lineRule="exact"/>
        <w:rPr>
          <w:rFonts w:ascii="宋体" w:hAnsi="宋体" w:cs="宋体"/>
          <w:b/>
          <w:snapToGrid w:val="0"/>
          <w:sz w:val="36"/>
          <w:szCs w:val="36"/>
        </w:rPr>
      </w:pPr>
    </w:p>
    <w:p w14:paraId="7F904D13">
      <w:pPr>
        <w:tabs>
          <w:tab w:val="left" w:pos="0"/>
          <w:tab w:val="left" w:pos="1134"/>
        </w:tabs>
        <w:spacing w:line="440" w:lineRule="exact"/>
        <w:rPr>
          <w:rFonts w:ascii="宋体" w:hAnsi="宋体" w:cs="宋体"/>
          <w:b/>
          <w:snapToGrid w:val="0"/>
          <w:sz w:val="28"/>
          <w:szCs w:val="28"/>
        </w:rPr>
      </w:pPr>
    </w:p>
    <w:p w14:paraId="4CAA2E6A">
      <w:pPr>
        <w:tabs>
          <w:tab w:val="left" w:pos="0"/>
          <w:tab w:val="left" w:pos="1134"/>
        </w:tabs>
        <w:spacing w:line="440" w:lineRule="exact"/>
        <w:rPr>
          <w:rFonts w:ascii="宋体" w:hAnsi="宋体" w:cs="宋体"/>
          <w:b/>
          <w:snapToGrid w:val="0"/>
          <w:sz w:val="28"/>
          <w:szCs w:val="28"/>
        </w:rPr>
      </w:pPr>
    </w:p>
    <w:p w14:paraId="6A8FFCD5">
      <w:pPr>
        <w:tabs>
          <w:tab w:val="left" w:pos="0"/>
          <w:tab w:val="left" w:pos="1134"/>
        </w:tabs>
        <w:spacing w:line="440" w:lineRule="exact"/>
        <w:rPr>
          <w:rFonts w:ascii="宋体" w:hAnsi="宋体" w:cs="宋体"/>
          <w:b/>
          <w:snapToGrid w:val="0"/>
          <w:sz w:val="28"/>
          <w:szCs w:val="28"/>
        </w:rPr>
      </w:pPr>
    </w:p>
    <w:p w14:paraId="3846484C">
      <w:pPr>
        <w:tabs>
          <w:tab w:val="left" w:pos="0"/>
          <w:tab w:val="left" w:pos="1134"/>
        </w:tabs>
        <w:spacing w:line="440" w:lineRule="exact"/>
        <w:jc w:val="center"/>
        <w:rPr>
          <w:rFonts w:ascii="宋体" w:hAnsi="宋体" w:cs="宋体"/>
          <w:b/>
          <w:snapToGrid w:val="0"/>
          <w:sz w:val="36"/>
          <w:szCs w:val="36"/>
        </w:rPr>
      </w:pPr>
    </w:p>
    <w:p w14:paraId="3F364450">
      <w:pPr>
        <w:tabs>
          <w:tab w:val="left" w:pos="0"/>
          <w:tab w:val="left" w:pos="1134"/>
        </w:tabs>
        <w:spacing w:line="440" w:lineRule="exact"/>
        <w:jc w:val="center"/>
        <w:rPr>
          <w:rFonts w:ascii="宋体" w:hAnsi="宋体" w:cs="宋体"/>
          <w:b/>
          <w:snapToGrid w:val="0"/>
          <w:sz w:val="36"/>
          <w:szCs w:val="36"/>
        </w:rPr>
      </w:pPr>
    </w:p>
    <w:p w14:paraId="2F6F7D05">
      <w:pPr>
        <w:tabs>
          <w:tab w:val="left" w:pos="0"/>
          <w:tab w:val="left" w:pos="1134"/>
        </w:tabs>
        <w:spacing w:line="440" w:lineRule="exact"/>
        <w:jc w:val="center"/>
        <w:rPr>
          <w:rFonts w:ascii="宋体" w:hAnsi="宋体" w:cs="宋体"/>
          <w:b/>
          <w:snapToGrid w:val="0"/>
          <w:sz w:val="36"/>
          <w:szCs w:val="36"/>
        </w:rPr>
      </w:pPr>
    </w:p>
    <w:p w14:paraId="0E9B6C36">
      <w:pPr>
        <w:tabs>
          <w:tab w:val="left" w:pos="0"/>
          <w:tab w:val="left" w:pos="1134"/>
        </w:tabs>
        <w:spacing w:line="440" w:lineRule="exact"/>
        <w:jc w:val="center"/>
        <w:rPr>
          <w:rFonts w:ascii="宋体" w:hAnsi="宋体" w:cs="宋体"/>
          <w:b/>
          <w:snapToGrid w:val="0"/>
          <w:sz w:val="36"/>
          <w:szCs w:val="36"/>
        </w:rPr>
      </w:pPr>
    </w:p>
    <w:p w14:paraId="24A6CAE4">
      <w:pPr>
        <w:tabs>
          <w:tab w:val="left" w:pos="0"/>
          <w:tab w:val="left" w:pos="1134"/>
        </w:tabs>
        <w:spacing w:line="360" w:lineRule="auto"/>
        <w:ind w:firstLine="723" w:firstLineChars="200"/>
        <w:jc w:val="center"/>
        <w:outlineLvl w:val="0"/>
        <w:rPr>
          <w:rFonts w:ascii="宋体" w:hAnsi="宋体" w:cs="宋体"/>
          <w:b/>
          <w:snapToGrid w:val="0"/>
          <w:sz w:val="28"/>
          <w:szCs w:val="28"/>
        </w:rPr>
      </w:pPr>
      <w:r>
        <w:rPr>
          <w:rFonts w:hint="eastAsia" w:ascii="宋体" w:hAnsi="宋体" w:cs="宋体"/>
          <w:b/>
          <w:snapToGrid w:val="0"/>
          <w:sz w:val="36"/>
          <w:szCs w:val="36"/>
        </w:rPr>
        <w:br w:type="page"/>
      </w:r>
      <w:r>
        <w:rPr>
          <w:rFonts w:hint="eastAsia" w:ascii="宋体" w:hAnsi="宋体" w:cs="宋体"/>
          <w:b/>
          <w:bCs/>
          <w:sz w:val="32"/>
          <w:szCs w:val="32"/>
        </w:rPr>
        <w:t>第一部分协议书</w:t>
      </w:r>
    </w:p>
    <w:p w14:paraId="736CB762">
      <w:pPr>
        <w:tabs>
          <w:tab w:val="left" w:pos="426"/>
          <w:tab w:val="left" w:pos="1134"/>
        </w:tabs>
        <w:spacing w:line="360" w:lineRule="auto"/>
        <w:ind w:firstLine="420" w:firstLineChars="200"/>
        <w:contextualSpacing/>
        <w:rPr>
          <w:rFonts w:ascii="宋体" w:hAnsi="宋体" w:cs="宋体"/>
          <w:szCs w:val="21"/>
        </w:rPr>
      </w:pPr>
      <w:r>
        <w:rPr>
          <w:rFonts w:hint="eastAsia" w:ascii="宋体" w:hAnsi="宋体" w:cs="宋体"/>
          <w:szCs w:val="21"/>
        </w:rPr>
        <w:t>合同编号:</w:t>
      </w:r>
    </w:p>
    <w:p w14:paraId="118A770C">
      <w:pPr>
        <w:tabs>
          <w:tab w:val="left" w:pos="426"/>
          <w:tab w:val="left" w:pos="1134"/>
        </w:tabs>
        <w:spacing w:line="360" w:lineRule="auto"/>
        <w:ind w:firstLine="420" w:firstLineChars="200"/>
        <w:contextualSpacing/>
        <w:rPr>
          <w:rFonts w:ascii="宋体" w:hAnsi="宋体" w:cs="宋体"/>
          <w:b/>
          <w:snapToGrid w:val="0"/>
          <w:szCs w:val="21"/>
        </w:rPr>
      </w:pPr>
      <w:r>
        <w:rPr>
          <w:rFonts w:hint="eastAsia" w:ascii="宋体" w:hAnsi="宋体" w:cs="宋体"/>
          <w:szCs w:val="21"/>
        </w:rPr>
        <w:t>发包人：</w:t>
      </w:r>
      <w:r>
        <w:rPr>
          <w:rFonts w:hint="eastAsia" w:ascii="宋体" w:hAnsi="宋体" w:cs="宋体"/>
          <w:b/>
          <w:bCs/>
          <w:szCs w:val="21"/>
        </w:rPr>
        <w:t>扬州大学附属医院</w:t>
      </w:r>
    </w:p>
    <w:p w14:paraId="5AC0204D">
      <w:pPr>
        <w:tabs>
          <w:tab w:val="left" w:pos="426"/>
        </w:tabs>
        <w:spacing w:line="360" w:lineRule="auto"/>
        <w:ind w:firstLine="420" w:firstLineChars="200"/>
        <w:contextualSpacing/>
        <w:rPr>
          <w:rFonts w:ascii="宋体" w:hAnsi="宋体" w:cs="宋体"/>
          <w:szCs w:val="21"/>
        </w:rPr>
      </w:pPr>
      <w:r>
        <w:rPr>
          <w:rFonts w:hint="eastAsia" w:ascii="宋体" w:hAnsi="宋体" w:cs="宋体"/>
          <w:szCs w:val="21"/>
        </w:rPr>
        <w:t>承包人：</w:t>
      </w:r>
    </w:p>
    <w:p w14:paraId="26DECF8B">
      <w:pPr>
        <w:tabs>
          <w:tab w:val="left" w:pos="426"/>
        </w:tabs>
        <w:spacing w:line="360" w:lineRule="auto"/>
        <w:ind w:firstLine="420" w:firstLineChars="200"/>
        <w:contextualSpacing/>
        <w:rPr>
          <w:rFonts w:ascii="宋体" w:hAnsi="宋体" w:cs="宋体"/>
          <w:bCs/>
          <w:snapToGrid w:val="0"/>
          <w:szCs w:val="21"/>
        </w:rPr>
      </w:pPr>
      <w:r>
        <w:rPr>
          <w:rFonts w:hint="eastAsia" w:ascii="宋体" w:hAnsi="宋体" w:cs="宋体"/>
          <w:szCs w:val="21"/>
        </w:rPr>
        <w:t>发包人承包人双方根据《中华人民共和国民法典》等相关法律法规，遵循平等、自愿、公平、诚实信用的原则，就</w:t>
      </w:r>
      <w:r>
        <w:rPr>
          <w:rFonts w:hint="eastAsia" w:ascii="宋体" w:hAnsi="宋体" w:cs="宋体"/>
          <w:b/>
          <w:bCs/>
          <w:szCs w:val="21"/>
          <w:u w:val="single"/>
        </w:rPr>
        <w:t xml:space="preserve">                        </w:t>
      </w:r>
      <w:r>
        <w:rPr>
          <w:rFonts w:hint="eastAsia" w:ascii="宋体" w:hAnsi="宋体" w:cs="宋体"/>
          <w:szCs w:val="21"/>
        </w:rPr>
        <w:t>，经发包人承包人双方友好协商签订以下合同：</w:t>
      </w:r>
    </w:p>
    <w:p w14:paraId="4AE10292">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一、工程概况</w:t>
      </w:r>
    </w:p>
    <w:p w14:paraId="119A8EB4">
      <w:pPr>
        <w:tabs>
          <w:tab w:val="left" w:pos="426"/>
        </w:tabs>
        <w:spacing w:line="360" w:lineRule="auto"/>
        <w:ind w:firstLine="420" w:firstLineChars="200"/>
        <w:contextualSpacing/>
        <w:rPr>
          <w:rFonts w:ascii="宋体" w:hAnsi="宋体" w:cs="宋体"/>
          <w:b/>
          <w:bCs/>
          <w:snapToGrid w:val="0"/>
          <w:szCs w:val="21"/>
        </w:rPr>
      </w:pPr>
      <w:r>
        <w:rPr>
          <w:rFonts w:hint="eastAsia" w:ascii="宋体" w:hAnsi="宋体" w:cs="宋体"/>
          <w:szCs w:val="21"/>
        </w:rPr>
        <w:t>1.1工程名称：</w:t>
      </w:r>
    </w:p>
    <w:p w14:paraId="0B2EB398">
      <w:pPr>
        <w:tabs>
          <w:tab w:val="left" w:pos="426"/>
        </w:tabs>
        <w:spacing w:line="360" w:lineRule="auto"/>
        <w:ind w:firstLine="420" w:firstLineChars="200"/>
        <w:contextualSpacing/>
        <w:rPr>
          <w:rFonts w:ascii="宋体" w:hAnsi="宋体" w:cs="宋体"/>
          <w:b/>
          <w:snapToGrid w:val="0"/>
          <w:szCs w:val="21"/>
          <w:u w:val="single"/>
        </w:rPr>
      </w:pPr>
      <w:r>
        <w:rPr>
          <w:rFonts w:hint="eastAsia" w:ascii="宋体" w:hAnsi="宋体" w:cs="宋体"/>
          <w:szCs w:val="21"/>
        </w:rPr>
        <w:t>1.2工程地点：</w:t>
      </w:r>
    </w:p>
    <w:p w14:paraId="3EF57BF3">
      <w:pPr>
        <w:tabs>
          <w:tab w:val="left" w:pos="426"/>
        </w:tabs>
        <w:spacing w:line="360" w:lineRule="auto"/>
        <w:ind w:firstLine="420" w:firstLineChars="200"/>
        <w:contextualSpacing/>
        <w:rPr>
          <w:rFonts w:ascii="宋体" w:hAnsi="宋体" w:cs="宋体"/>
          <w:snapToGrid w:val="0"/>
          <w:szCs w:val="21"/>
        </w:rPr>
      </w:pPr>
      <w:r>
        <w:rPr>
          <w:rFonts w:hint="eastAsia" w:ascii="宋体" w:hAnsi="宋体" w:cs="宋体"/>
          <w:szCs w:val="21"/>
        </w:rPr>
        <w:t>1.3主要工程项目和内容：</w:t>
      </w:r>
      <w:r>
        <w:rPr>
          <w:rFonts w:hint="eastAsia" w:ascii="宋体" w:hAnsi="宋体" w:cs="宋体"/>
          <w:snapToGrid w:val="0"/>
          <w:szCs w:val="21"/>
        </w:rPr>
        <w:t xml:space="preserve"> </w:t>
      </w:r>
    </w:p>
    <w:p w14:paraId="6F903DE6">
      <w:pPr>
        <w:tabs>
          <w:tab w:val="left" w:pos="426"/>
        </w:tabs>
        <w:spacing w:line="360" w:lineRule="auto"/>
        <w:ind w:firstLine="422" w:firstLineChars="200"/>
        <w:contextualSpacing/>
        <w:rPr>
          <w:rFonts w:ascii="宋体" w:hAnsi="宋体" w:cs="宋体"/>
          <w:szCs w:val="21"/>
        </w:rPr>
      </w:pPr>
      <w:r>
        <w:rPr>
          <w:rFonts w:hint="eastAsia" w:ascii="宋体" w:hAnsi="宋体" w:cs="宋体"/>
          <w:b/>
          <w:snapToGrid w:val="0"/>
          <w:szCs w:val="21"/>
        </w:rPr>
        <w:t>详见图纸及本施工要求。</w:t>
      </w:r>
      <w:r>
        <w:rPr>
          <w:rFonts w:hint="eastAsia" w:ascii="宋体" w:hAnsi="宋体" w:cs="宋体"/>
          <w:szCs w:val="21"/>
        </w:rPr>
        <w:t>按照图纸所示内容施工，若因发包人要求增加，增加部分的工程量按实际增加工作量签证另行计算。</w:t>
      </w:r>
    </w:p>
    <w:p w14:paraId="2A6C6FD1">
      <w:pPr>
        <w:pStyle w:val="46"/>
        <w:tabs>
          <w:tab w:val="left" w:pos="426"/>
        </w:tabs>
        <w:spacing w:line="360" w:lineRule="auto"/>
        <w:contextualSpacing/>
        <w:jc w:val="left"/>
        <w:rPr>
          <w:rFonts w:ascii="宋体" w:hAnsi="宋体" w:cs="宋体"/>
          <w:szCs w:val="21"/>
        </w:rPr>
      </w:pPr>
      <w:r>
        <w:rPr>
          <w:rFonts w:hint="eastAsia" w:ascii="宋体" w:hAnsi="宋体" w:cs="宋体"/>
          <w:szCs w:val="21"/>
        </w:rPr>
        <w:t>1.4资金来源：自筹。</w:t>
      </w:r>
    </w:p>
    <w:p w14:paraId="499276E7">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二、合同工期</w:t>
      </w:r>
    </w:p>
    <w:p w14:paraId="3EA42B83">
      <w:pPr>
        <w:pStyle w:val="46"/>
        <w:tabs>
          <w:tab w:val="left" w:pos="426"/>
        </w:tabs>
        <w:spacing w:line="360" w:lineRule="auto"/>
        <w:contextualSpacing/>
        <w:jc w:val="left"/>
        <w:rPr>
          <w:rFonts w:ascii="宋体" w:hAnsi="宋体" w:cs="宋体"/>
          <w:szCs w:val="21"/>
        </w:rPr>
      </w:pPr>
      <w:r>
        <w:rPr>
          <w:rFonts w:hint="eastAsia" w:ascii="宋体" w:hAnsi="宋体" w:cs="宋体"/>
          <w:szCs w:val="21"/>
        </w:rPr>
        <w:t>2.1</w:t>
      </w:r>
      <w:r>
        <w:rPr>
          <w:rFonts w:hint="eastAsia" w:ascii="宋体" w:hAnsi="宋体" w:cs="宋体"/>
          <w:b/>
          <w:bCs/>
          <w:snapToGrid w:val="0"/>
          <w:szCs w:val="21"/>
        </w:rPr>
        <w:t>总工期日历天。</w:t>
      </w:r>
    </w:p>
    <w:p w14:paraId="5C852BAE">
      <w:pPr>
        <w:pStyle w:val="46"/>
        <w:tabs>
          <w:tab w:val="left" w:pos="426"/>
        </w:tabs>
        <w:spacing w:line="360" w:lineRule="auto"/>
        <w:ind w:firstLine="452"/>
        <w:contextualSpacing/>
        <w:jc w:val="left"/>
        <w:rPr>
          <w:rFonts w:ascii="宋体" w:hAnsi="宋体" w:cs="宋体"/>
          <w:szCs w:val="21"/>
        </w:rPr>
      </w:pPr>
      <w:r>
        <w:rPr>
          <w:rFonts w:hint="eastAsia" w:ascii="宋体" w:hAnsi="宋体" w:cs="宋体"/>
          <w:spacing w:val="8"/>
          <w:szCs w:val="21"/>
        </w:rPr>
        <w:t>2.2开工日期为：   年   月   日（以发包人开工令为准）。</w:t>
      </w:r>
    </w:p>
    <w:p w14:paraId="26865ABE">
      <w:pPr>
        <w:tabs>
          <w:tab w:val="left" w:pos="426"/>
        </w:tabs>
        <w:spacing w:line="360" w:lineRule="auto"/>
        <w:ind w:firstLine="422" w:firstLineChars="200"/>
        <w:contextualSpacing/>
        <w:outlineLvl w:val="1"/>
        <w:rPr>
          <w:rFonts w:ascii="宋体" w:hAnsi="宋体" w:cs="宋体"/>
          <w:b/>
          <w:szCs w:val="21"/>
        </w:rPr>
      </w:pPr>
      <w:r>
        <w:rPr>
          <w:rFonts w:hint="eastAsia" w:ascii="宋体" w:hAnsi="宋体" w:cs="宋体"/>
          <w:b/>
          <w:szCs w:val="21"/>
        </w:rPr>
        <w:t>三、质量标准</w:t>
      </w:r>
    </w:p>
    <w:p w14:paraId="07A3CF5D">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2EB0B4DA">
      <w:pPr>
        <w:pStyle w:val="58"/>
        <w:tabs>
          <w:tab w:val="left" w:pos="426"/>
        </w:tabs>
        <w:adjustRightInd/>
        <w:spacing w:before="0" w:after="0" w:line="360" w:lineRule="auto"/>
        <w:ind w:left="0" w:right="0" w:firstLine="422" w:firstLineChars="200"/>
        <w:contextualSpacing/>
        <w:rPr>
          <w:rFonts w:ascii="宋体" w:hAnsi="宋体" w:cs="宋体"/>
          <w:b/>
          <w:sz w:val="21"/>
          <w:szCs w:val="21"/>
        </w:rPr>
      </w:pPr>
      <w:r>
        <w:rPr>
          <w:rFonts w:hint="eastAsia" w:ascii="宋体" w:hAnsi="宋体" w:cs="宋体"/>
          <w:b/>
          <w:sz w:val="21"/>
          <w:szCs w:val="21"/>
        </w:rPr>
        <w:t>四、合同价款</w:t>
      </w:r>
    </w:p>
    <w:p w14:paraId="28B43D81">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 xml:space="preserve">4.1合同价为：人民币（大写）: </w:t>
      </w:r>
    </w:p>
    <w:p w14:paraId="093A856D">
      <w:pPr>
        <w:tabs>
          <w:tab w:val="left" w:pos="426"/>
        </w:tabs>
        <w:spacing w:line="360" w:lineRule="auto"/>
        <w:ind w:firstLine="422" w:firstLineChars="200"/>
        <w:contextualSpacing/>
        <w:rPr>
          <w:rFonts w:ascii="宋体" w:hAnsi="宋体" w:cs="宋体"/>
          <w:b/>
          <w:szCs w:val="21"/>
          <w:u w:val="single"/>
        </w:rPr>
      </w:pPr>
      <w:r>
        <w:rPr>
          <w:rFonts w:hint="eastAsia" w:ascii="宋体" w:hAnsi="宋体" w:cs="宋体"/>
          <w:b/>
          <w:szCs w:val="21"/>
        </w:rPr>
        <w:t xml:space="preserve">                     (小写)：</w:t>
      </w:r>
      <w:r>
        <w:rPr>
          <w:rFonts w:hint="eastAsia" w:ascii="宋体" w:hAnsi="宋体" w:cs="宋体"/>
          <w:b/>
          <w:szCs w:val="21"/>
          <w:u w:val="single"/>
        </w:rPr>
        <w:t xml:space="preserve"> </w:t>
      </w:r>
    </w:p>
    <w:p w14:paraId="1C92904E">
      <w:p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（最终造价按审计部门审计造价进行结算。）</w:t>
      </w:r>
    </w:p>
    <w:p w14:paraId="4D3395E2">
      <w:pPr>
        <w:numPr>
          <w:ilvl w:val="0"/>
          <w:numId w:val="7"/>
        </w:numPr>
        <w:tabs>
          <w:tab w:val="left" w:pos="426"/>
        </w:tabs>
        <w:spacing w:line="360" w:lineRule="auto"/>
        <w:ind w:firstLine="422" w:firstLineChars="200"/>
        <w:contextualSpacing/>
        <w:rPr>
          <w:rFonts w:ascii="宋体" w:hAnsi="宋体" w:cs="宋体"/>
          <w:b/>
          <w:szCs w:val="21"/>
        </w:rPr>
      </w:pPr>
      <w:r>
        <w:rPr>
          <w:rFonts w:hint="eastAsia" w:ascii="宋体" w:hAnsi="宋体" w:cs="宋体"/>
          <w:b/>
          <w:szCs w:val="21"/>
        </w:rPr>
        <w:t>付款方式</w:t>
      </w:r>
      <w:r>
        <w:rPr>
          <w:rFonts w:hint="eastAsia" w:ascii="宋体" w:hAnsi="宋体" w:cs="宋体"/>
          <w:b/>
          <w:szCs w:val="21"/>
          <w:lang w:eastAsia="zh-CN"/>
        </w:rPr>
        <w:t>：</w:t>
      </w:r>
    </w:p>
    <w:p w14:paraId="78E4647A">
      <w:pPr>
        <w:tabs>
          <w:tab w:val="left" w:pos="426"/>
        </w:tabs>
        <w:spacing w:line="360" w:lineRule="auto"/>
        <w:ind w:firstLine="422" w:firstLineChars="200"/>
        <w:contextualSpacing/>
        <w:outlineLvl w:val="1"/>
        <w:rPr>
          <w:rFonts w:ascii="宋体" w:hAnsi="宋体" w:cs="宋体"/>
          <w:szCs w:val="21"/>
        </w:rPr>
      </w:pPr>
      <w:r>
        <w:rPr>
          <w:rFonts w:hint="eastAsia" w:ascii="宋体" w:hAnsi="宋体" w:cs="宋体"/>
          <w:b/>
          <w:szCs w:val="21"/>
        </w:rPr>
        <w:t>六、组成本合同的文件包括：</w:t>
      </w:r>
      <w:r>
        <w:rPr>
          <w:rFonts w:hint="eastAsia" w:ascii="宋体" w:hAnsi="宋体" w:cs="宋体"/>
          <w:szCs w:val="21"/>
        </w:rPr>
        <w:t>是合同不可分割的组成部分，与合同具有同样的法律效力。</w:t>
      </w:r>
    </w:p>
    <w:p w14:paraId="3752ACEA">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6.1合同协议书</w:t>
      </w:r>
      <w:r>
        <w:rPr>
          <w:rFonts w:hint="eastAsia" w:ascii="宋体" w:hAnsi="宋体" w:cs="宋体"/>
          <w:snapToGrid w:val="0"/>
          <w:szCs w:val="21"/>
        </w:rPr>
        <w:t>；</w:t>
      </w:r>
    </w:p>
    <w:p w14:paraId="3C87C0A8">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6.2合同专用条款</w:t>
      </w:r>
      <w:r>
        <w:rPr>
          <w:rFonts w:hint="eastAsia" w:ascii="宋体" w:hAnsi="宋体" w:cs="宋体"/>
          <w:snapToGrid w:val="0"/>
          <w:szCs w:val="21"/>
        </w:rPr>
        <w:t>；</w:t>
      </w:r>
    </w:p>
    <w:p w14:paraId="29A9F546">
      <w:pPr>
        <w:tabs>
          <w:tab w:val="left" w:pos="426"/>
          <w:tab w:val="left" w:pos="3420"/>
        </w:tabs>
        <w:spacing w:line="360" w:lineRule="auto"/>
        <w:ind w:firstLine="420" w:firstLineChars="200"/>
        <w:contextualSpacing/>
        <w:rPr>
          <w:rFonts w:ascii="宋体" w:hAnsi="宋体" w:cs="宋体"/>
          <w:szCs w:val="21"/>
        </w:rPr>
      </w:pPr>
      <w:r>
        <w:rPr>
          <w:rFonts w:hint="eastAsia" w:ascii="宋体" w:hAnsi="宋体" w:cs="宋体"/>
          <w:szCs w:val="21"/>
        </w:rPr>
        <w:t>6.3合同通用条款</w:t>
      </w:r>
      <w:r>
        <w:rPr>
          <w:rFonts w:hint="eastAsia" w:ascii="宋体" w:hAnsi="宋体" w:cs="宋体"/>
          <w:snapToGrid w:val="0"/>
          <w:szCs w:val="21"/>
        </w:rPr>
        <w:t>；</w:t>
      </w:r>
    </w:p>
    <w:p w14:paraId="54A7EABE">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6.4招标文件及补遗书及澄清答疑文件</w:t>
      </w:r>
      <w:r>
        <w:rPr>
          <w:rFonts w:hint="eastAsia" w:ascii="宋体" w:hAnsi="宋体" w:cs="宋体"/>
          <w:snapToGrid w:val="0"/>
          <w:szCs w:val="21"/>
        </w:rPr>
        <w:t>；</w:t>
      </w:r>
    </w:p>
    <w:p w14:paraId="33FDC366">
      <w:pPr>
        <w:spacing w:line="360" w:lineRule="auto"/>
        <w:ind w:firstLine="420" w:firstLineChars="200"/>
        <w:contextualSpacing/>
        <w:rPr>
          <w:rFonts w:ascii="宋体" w:hAnsi="宋体" w:cs="宋体"/>
          <w:szCs w:val="21"/>
        </w:rPr>
      </w:pPr>
      <w:r>
        <w:rPr>
          <w:rFonts w:hint="eastAsia" w:ascii="宋体" w:hAnsi="宋体" w:cs="宋体"/>
          <w:szCs w:val="21"/>
        </w:rPr>
        <w:t>6.5投标文件</w:t>
      </w:r>
      <w:r>
        <w:rPr>
          <w:rFonts w:hint="eastAsia" w:ascii="宋体" w:hAnsi="宋体" w:cs="宋体"/>
          <w:snapToGrid w:val="0"/>
          <w:szCs w:val="21"/>
        </w:rPr>
        <w:t>；</w:t>
      </w:r>
    </w:p>
    <w:p w14:paraId="2D5A69C6">
      <w:pPr>
        <w:spacing w:line="360" w:lineRule="auto"/>
        <w:ind w:firstLine="420" w:firstLineChars="200"/>
        <w:contextualSpacing/>
        <w:rPr>
          <w:rFonts w:ascii="宋体" w:hAnsi="宋体" w:cs="宋体"/>
          <w:szCs w:val="21"/>
        </w:rPr>
      </w:pPr>
      <w:r>
        <w:rPr>
          <w:rFonts w:hint="eastAsia" w:ascii="宋体" w:hAnsi="宋体" w:cs="宋体"/>
          <w:szCs w:val="21"/>
        </w:rPr>
        <w:t>6.6投标人投标时所作的申明、承诺、澄清及答复资料等</w:t>
      </w:r>
      <w:r>
        <w:rPr>
          <w:rFonts w:hint="eastAsia" w:ascii="宋体" w:hAnsi="宋体" w:cs="宋体"/>
          <w:snapToGrid w:val="0"/>
          <w:szCs w:val="21"/>
        </w:rPr>
        <w:t>；</w:t>
      </w:r>
    </w:p>
    <w:p w14:paraId="26198032">
      <w:pPr>
        <w:spacing w:line="360" w:lineRule="auto"/>
        <w:ind w:firstLine="420" w:firstLineChars="200"/>
        <w:contextualSpacing/>
        <w:rPr>
          <w:rFonts w:ascii="宋体" w:hAnsi="宋体" w:cs="宋体"/>
          <w:szCs w:val="21"/>
        </w:rPr>
      </w:pPr>
      <w:r>
        <w:rPr>
          <w:rFonts w:hint="eastAsia" w:ascii="宋体" w:hAnsi="宋体" w:cs="宋体"/>
          <w:szCs w:val="21"/>
        </w:rPr>
        <w:t>6.7国家及行业规范标准、</w:t>
      </w:r>
      <w:r>
        <w:rPr>
          <w:rFonts w:hint="eastAsia" w:ascii="宋体" w:hAnsi="宋体" w:cs="宋体"/>
          <w:snapToGrid w:val="0"/>
          <w:szCs w:val="21"/>
        </w:rPr>
        <w:t>有关技术文件；</w:t>
      </w:r>
    </w:p>
    <w:p w14:paraId="743A5C82">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6.8施工图纸</w:t>
      </w:r>
      <w:r>
        <w:rPr>
          <w:rFonts w:hint="eastAsia" w:ascii="宋体" w:hAnsi="宋体" w:cs="宋体"/>
          <w:snapToGrid w:val="0"/>
          <w:szCs w:val="21"/>
        </w:rPr>
        <w:t>；</w:t>
      </w:r>
    </w:p>
    <w:p w14:paraId="28752637">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6.9</w:t>
      </w:r>
      <w:r>
        <w:rPr>
          <w:rFonts w:hint="eastAsia" w:ascii="宋体" w:hAnsi="宋体" w:cs="宋体"/>
          <w:snapToGrid w:val="0"/>
          <w:szCs w:val="21"/>
        </w:rPr>
        <w:t>工程报价单及预算书；</w:t>
      </w:r>
    </w:p>
    <w:p w14:paraId="6C6F1496">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6.10经双方确认的工程量清单</w:t>
      </w:r>
      <w:r>
        <w:rPr>
          <w:rFonts w:hint="eastAsia" w:ascii="宋体" w:hAnsi="宋体" w:cs="宋体"/>
          <w:snapToGrid w:val="0"/>
          <w:szCs w:val="21"/>
        </w:rPr>
        <w:t>；</w:t>
      </w:r>
    </w:p>
    <w:p w14:paraId="3E37326D">
      <w:pPr>
        <w:tabs>
          <w:tab w:val="left" w:pos="3420"/>
        </w:tabs>
        <w:spacing w:line="360" w:lineRule="auto"/>
        <w:ind w:firstLine="420" w:firstLineChars="200"/>
        <w:contextualSpacing/>
        <w:rPr>
          <w:rFonts w:ascii="宋体" w:hAnsi="宋体" w:cs="宋体"/>
          <w:szCs w:val="21"/>
        </w:rPr>
      </w:pPr>
      <w:r>
        <w:rPr>
          <w:rFonts w:hint="eastAsia" w:ascii="宋体" w:hAnsi="宋体" w:cs="宋体"/>
          <w:szCs w:val="21"/>
        </w:rPr>
        <w:t>6.11投标报价</w:t>
      </w:r>
      <w:r>
        <w:rPr>
          <w:rFonts w:hint="eastAsia" w:ascii="宋体" w:hAnsi="宋体" w:cs="宋体"/>
          <w:snapToGrid w:val="0"/>
          <w:szCs w:val="21"/>
        </w:rPr>
        <w:t>；</w:t>
      </w:r>
    </w:p>
    <w:p w14:paraId="715D3722">
      <w:pPr>
        <w:spacing w:line="360" w:lineRule="auto"/>
        <w:ind w:firstLine="420" w:firstLineChars="200"/>
        <w:contextualSpacing/>
        <w:rPr>
          <w:rFonts w:ascii="宋体" w:hAnsi="宋体" w:cs="宋体"/>
          <w:szCs w:val="21"/>
        </w:rPr>
      </w:pPr>
      <w:r>
        <w:rPr>
          <w:rFonts w:hint="eastAsia" w:ascii="宋体" w:hAnsi="宋体" w:cs="宋体"/>
          <w:snapToGrid w:val="0"/>
          <w:szCs w:val="21"/>
        </w:rPr>
        <w:t>合同履行中，</w:t>
      </w:r>
      <w:r>
        <w:rPr>
          <w:rFonts w:hint="eastAsia" w:ascii="宋体" w:hAnsi="宋体" w:cs="宋体"/>
          <w:szCs w:val="21"/>
        </w:rPr>
        <w:t>双方有关工程的洽商、变更等书面协议或文件视为本合同的组成部分。</w:t>
      </w:r>
    </w:p>
    <w:p w14:paraId="0A1A522E">
      <w:pPr>
        <w:spacing w:line="360" w:lineRule="auto"/>
        <w:ind w:firstLine="422" w:firstLineChars="200"/>
        <w:contextualSpacing/>
        <w:outlineLvl w:val="1"/>
        <w:rPr>
          <w:rFonts w:ascii="宋体" w:hAnsi="宋体" w:cs="宋体"/>
          <w:b/>
          <w:szCs w:val="21"/>
        </w:rPr>
      </w:pPr>
      <w:r>
        <w:rPr>
          <w:rFonts w:hint="eastAsia" w:ascii="宋体" w:hAnsi="宋体" w:cs="宋体"/>
          <w:b/>
          <w:szCs w:val="21"/>
        </w:rPr>
        <w:t>七、本合同书中有关词语含义与本合同《通用条款》中分别赋予它们的定义相同。</w:t>
      </w:r>
    </w:p>
    <w:p w14:paraId="3DF2C267">
      <w:pPr>
        <w:spacing w:line="360" w:lineRule="auto"/>
        <w:ind w:firstLine="422" w:firstLineChars="200"/>
        <w:contextualSpacing/>
        <w:outlineLvl w:val="1"/>
        <w:rPr>
          <w:rFonts w:ascii="宋体" w:hAnsi="宋体" w:cs="宋体"/>
          <w:b/>
          <w:szCs w:val="21"/>
        </w:rPr>
      </w:pPr>
      <w:r>
        <w:rPr>
          <w:rFonts w:hint="eastAsia" w:ascii="宋体" w:hAnsi="宋体" w:cs="宋体"/>
          <w:b/>
          <w:szCs w:val="21"/>
        </w:rPr>
        <w:t>八、承包人向发包人承诺按照合同约定进行施工，并在质量保修期内承担工程质量的保修责任。</w:t>
      </w:r>
    </w:p>
    <w:p w14:paraId="162ACA0E">
      <w:pPr>
        <w:spacing w:line="360" w:lineRule="auto"/>
        <w:ind w:firstLine="422" w:firstLineChars="200"/>
        <w:contextualSpacing/>
        <w:outlineLvl w:val="1"/>
        <w:rPr>
          <w:rFonts w:ascii="宋体" w:hAnsi="宋体" w:cs="宋体"/>
          <w:b/>
          <w:szCs w:val="21"/>
        </w:rPr>
      </w:pPr>
      <w:r>
        <w:rPr>
          <w:rFonts w:hint="eastAsia" w:ascii="宋体" w:hAnsi="宋体" w:cs="宋体"/>
          <w:b/>
          <w:szCs w:val="21"/>
        </w:rPr>
        <w:t>九、发包人向承包人承诺按照合同约定的期限和方式支付合同价款及其他应当支付的款项。</w:t>
      </w:r>
    </w:p>
    <w:p w14:paraId="25100016">
      <w:pPr>
        <w:spacing w:line="360" w:lineRule="auto"/>
        <w:ind w:firstLine="422" w:firstLineChars="200"/>
        <w:contextualSpacing/>
        <w:outlineLvl w:val="1"/>
        <w:rPr>
          <w:rFonts w:ascii="宋体" w:hAnsi="宋体" w:cs="宋体"/>
          <w:b/>
          <w:szCs w:val="21"/>
        </w:rPr>
      </w:pPr>
      <w:r>
        <w:rPr>
          <w:rFonts w:hint="eastAsia" w:ascii="宋体" w:hAnsi="宋体" w:cs="宋体"/>
          <w:b/>
          <w:szCs w:val="21"/>
        </w:rPr>
        <w:t>十、合同生效</w:t>
      </w:r>
    </w:p>
    <w:p w14:paraId="661A9EAF">
      <w:pPr>
        <w:spacing w:line="360" w:lineRule="auto"/>
        <w:ind w:firstLine="420" w:firstLineChars="200"/>
        <w:contextualSpacing/>
        <w:rPr>
          <w:rFonts w:ascii="宋体" w:hAnsi="宋体" w:cs="宋体"/>
          <w:szCs w:val="21"/>
        </w:rPr>
      </w:pPr>
      <w:r>
        <w:rPr>
          <w:rFonts w:hint="eastAsia" w:ascii="宋体" w:hAnsi="宋体" w:cs="宋体"/>
          <w:szCs w:val="21"/>
        </w:rPr>
        <w:t>10.1合同订立时间：2025年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64940407">
      <w:pPr>
        <w:spacing w:line="360" w:lineRule="auto"/>
        <w:ind w:firstLine="420" w:firstLineChars="200"/>
        <w:contextualSpacing/>
        <w:rPr>
          <w:rFonts w:ascii="宋体" w:hAnsi="宋体" w:cs="宋体"/>
          <w:szCs w:val="21"/>
        </w:rPr>
      </w:pPr>
      <w:r>
        <w:rPr>
          <w:rFonts w:hint="eastAsia" w:ascii="宋体" w:hAnsi="宋体" w:cs="宋体"/>
          <w:szCs w:val="21"/>
        </w:rPr>
        <w:t>10.2合同订立地点：扬州大学附属医院。</w:t>
      </w:r>
    </w:p>
    <w:p w14:paraId="267A60A0">
      <w:pPr>
        <w:spacing w:line="360" w:lineRule="auto"/>
        <w:ind w:firstLine="420" w:firstLineChars="200"/>
        <w:contextualSpacing/>
        <w:rPr>
          <w:rFonts w:ascii="宋体" w:hAnsi="宋体" w:cs="宋体"/>
          <w:szCs w:val="21"/>
        </w:rPr>
      </w:pPr>
      <w:r>
        <w:rPr>
          <w:rFonts w:hint="eastAsia" w:ascii="宋体" w:hAnsi="宋体" w:cs="宋体"/>
          <w:szCs w:val="21"/>
        </w:rPr>
        <w:t>10.3本合同双方约定双方签字盖章后生效。</w:t>
      </w:r>
    </w:p>
    <w:p w14:paraId="48A65378">
      <w:pPr>
        <w:tabs>
          <w:tab w:val="left" w:pos="567"/>
        </w:tabs>
        <w:spacing w:line="360" w:lineRule="auto"/>
        <w:ind w:firstLine="420" w:firstLineChars="200"/>
        <w:contextualSpacing/>
        <w:rPr>
          <w:rFonts w:ascii="宋体" w:hAnsi="宋体" w:cs="宋体"/>
          <w:bCs/>
          <w:szCs w:val="21"/>
        </w:rPr>
      </w:pPr>
      <w:r>
        <w:rPr>
          <w:rFonts w:hint="eastAsia" w:ascii="宋体" w:hAnsi="宋体" w:cs="宋体"/>
          <w:bCs/>
          <w:szCs w:val="21"/>
        </w:rPr>
        <w:t>10.4</w:t>
      </w:r>
      <w:r>
        <w:rPr>
          <w:rFonts w:hint="eastAsia" w:ascii="宋体" w:hAnsi="宋体" w:cs="宋体"/>
          <w:szCs w:val="21"/>
        </w:rPr>
        <w:t>本合同一式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33D3E06A">
      <w:pPr>
        <w:tabs>
          <w:tab w:val="left" w:pos="567"/>
        </w:tabs>
        <w:spacing w:line="360" w:lineRule="auto"/>
        <w:ind w:firstLine="420" w:firstLineChars="200"/>
        <w:contextualSpacing/>
        <w:rPr>
          <w:rFonts w:ascii="宋体" w:hAnsi="宋体" w:cs="宋体"/>
          <w:bCs/>
          <w:szCs w:val="21"/>
        </w:rPr>
      </w:pPr>
    </w:p>
    <w:p w14:paraId="0962604D">
      <w:pPr>
        <w:tabs>
          <w:tab w:val="left" w:pos="567"/>
        </w:tabs>
        <w:spacing w:line="360" w:lineRule="auto"/>
        <w:ind w:firstLine="420" w:firstLineChars="200"/>
        <w:contextualSpacing/>
        <w:rPr>
          <w:rFonts w:ascii="宋体" w:hAnsi="宋体" w:cs="宋体"/>
          <w:b/>
          <w:szCs w:val="21"/>
        </w:rPr>
      </w:pPr>
      <w:r>
        <w:rPr>
          <w:rFonts w:hint="eastAsia" w:ascii="宋体" w:hAnsi="宋体" w:cs="宋体"/>
          <w:bCs/>
          <w:szCs w:val="21"/>
        </w:rPr>
        <w:t>发包人：</w:t>
      </w:r>
      <w:r>
        <w:rPr>
          <w:rFonts w:hint="eastAsia" w:ascii="宋体" w:hAnsi="宋体" w:cs="宋体"/>
          <w:b/>
          <w:bCs/>
          <w:szCs w:val="21"/>
        </w:rPr>
        <w:t xml:space="preserve">扬州大学附属医院                </w:t>
      </w:r>
      <w:r>
        <w:rPr>
          <w:rFonts w:hint="eastAsia" w:ascii="宋体" w:hAnsi="宋体" w:cs="宋体"/>
          <w:bCs/>
          <w:szCs w:val="21"/>
        </w:rPr>
        <w:t>承包人：</w:t>
      </w:r>
      <w:r>
        <w:rPr>
          <w:rFonts w:hint="eastAsia" w:ascii="宋体" w:hAnsi="宋体" w:cs="宋体"/>
          <w:b/>
          <w:szCs w:val="21"/>
        </w:rPr>
        <w:t xml:space="preserve"> </w:t>
      </w:r>
    </w:p>
    <w:p w14:paraId="00C2E4E2">
      <w:pPr>
        <w:tabs>
          <w:tab w:val="left" w:pos="-235"/>
        </w:tabs>
        <w:spacing w:line="360" w:lineRule="auto"/>
        <w:ind w:firstLine="420" w:firstLineChars="200"/>
        <w:rPr>
          <w:rFonts w:ascii="宋体" w:hAnsi="宋体" w:cs="宋体"/>
          <w:bCs/>
          <w:szCs w:val="21"/>
        </w:rPr>
      </w:pPr>
      <w:r>
        <w:rPr>
          <w:rFonts w:hint="eastAsia" w:ascii="宋体" w:hAnsi="宋体" w:cs="宋体"/>
          <w:bCs/>
          <w:szCs w:val="21"/>
        </w:rPr>
        <w:t xml:space="preserve">            （盖章）                                （盖章）</w:t>
      </w:r>
    </w:p>
    <w:p w14:paraId="1765045B">
      <w:pPr>
        <w:tabs>
          <w:tab w:val="left" w:pos="-235"/>
        </w:tabs>
        <w:spacing w:line="360" w:lineRule="auto"/>
        <w:ind w:firstLine="420" w:firstLineChars="200"/>
        <w:rPr>
          <w:rFonts w:ascii="宋体" w:hAnsi="宋体" w:cs="宋体"/>
          <w:bCs/>
          <w:szCs w:val="21"/>
        </w:rPr>
      </w:pPr>
      <w:r>
        <w:rPr>
          <w:rFonts w:hint="eastAsia" w:ascii="宋体" w:hAnsi="宋体" w:cs="宋体"/>
          <w:bCs/>
          <w:szCs w:val="21"/>
        </w:rPr>
        <w:t>法定代表人：                            法定代表人：</w:t>
      </w:r>
    </w:p>
    <w:p w14:paraId="3F2E8177">
      <w:pPr>
        <w:tabs>
          <w:tab w:val="left" w:pos="-235"/>
        </w:tabs>
        <w:spacing w:line="360" w:lineRule="auto"/>
        <w:ind w:firstLine="420" w:firstLineChars="200"/>
        <w:rPr>
          <w:rFonts w:ascii="宋体" w:hAnsi="宋体" w:cs="宋体"/>
          <w:bCs/>
          <w:szCs w:val="21"/>
        </w:rPr>
      </w:pPr>
      <w:r>
        <w:rPr>
          <w:rFonts w:hint="eastAsia" w:ascii="宋体" w:hAnsi="宋体" w:cs="宋体"/>
          <w:bCs/>
          <w:szCs w:val="21"/>
        </w:rPr>
        <w:t>（或授权签约人）：                      （或授权签约人）：</w:t>
      </w:r>
    </w:p>
    <w:p w14:paraId="36ABCC89">
      <w:pPr>
        <w:tabs>
          <w:tab w:val="left" w:pos="-235"/>
        </w:tabs>
        <w:spacing w:line="360" w:lineRule="auto"/>
        <w:ind w:firstLine="420" w:firstLineChars="200"/>
        <w:rPr>
          <w:rFonts w:ascii="宋体" w:hAnsi="宋体" w:cs="宋体"/>
          <w:bCs/>
          <w:szCs w:val="21"/>
        </w:rPr>
      </w:pPr>
      <w:r>
        <w:rPr>
          <w:rFonts w:hint="eastAsia" w:ascii="宋体" w:hAnsi="宋体" w:cs="宋体"/>
          <w:bCs/>
          <w:szCs w:val="21"/>
        </w:rPr>
        <w:t>电话：                                  电话：</w:t>
      </w:r>
    </w:p>
    <w:p w14:paraId="6E6E894E">
      <w:pPr>
        <w:tabs>
          <w:tab w:val="left" w:pos="-235"/>
        </w:tabs>
        <w:spacing w:line="360" w:lineRule="auto"/>
        <w:ind w:firstLine="420" w:firstLineChars="200"/>
        <w:rPr>
          <w:rFonts w:ascii="宋体" w:hAnsi="宋体" w:cs="宋体"/>
          <w:bCs/>
          <w:szCs w:val="21"/>
        </w:rPr>
      </w:pPr>
      <w:r>
        <w:rPr>
          <w:rFonts w:hint="eastAsia" w:ascii="宋体" w:hAnsi="宋体" w:cs="宋体"/>
          <w:bCs/>
          <w:szCs w:val="21"/>
        </w:rPr>
        <w:t>传真：                                  传真：</w:t>
      </w:r>
    </w:p>
    <w:p w14:paraId="6D6A519A">
      <w:pPr>
        <w:tabs>
          <w:tab w:val="left" w:pos="-235"/>
        </w:tabs>
        <w:spacing w:line="360" w:lineRule="auto"/>
        <w:ind w:firstLine="420" w:firstLineChars="200"/>
        <w:rPr>
          <w:rFonts w:ascii="宋体" w:hAnsi="宋体" w:cs="宋体"/>
          <w:bCs/>
          <w:szCs w:val="21"/>
        </w:rPr>
      </w:pPr>
      <w:r>
        <w:rPr>
          <w:rFonts w:hint="eastAsia" w:ascii="宋体" w:hAnsi="宋体" w:cs="宋体"/>
          <w:bCs/>
          <w:szCs w:val="21"/>
        </w:rPr>
        <w:t>地址：                                  地址：</w:t>
      </w:r>
    </w:p>
    <w:p w14:paraId="2015710C">
      <w:pPr>
        <w:tabs>
          <w:tab w:val="left" w:pos="-235"/>
        </w:tabs>
        <w:spacing w:line="360" w:lineRule="auto"/>
        <w:ind w:firstLine="420" w:firstLineChars="200"/>
        <w:rPr>
          <w:rFonts w:ascii="宋体" w:hAnsi="宋体" w:cs="宋体"/>
          <w:bCs/>
          <w:szCs w:val="21"/>
        </w:rPr>
      </w:pPr>
      <w:r>
        <w:rPr>
          <w:rFonts w:hint="eastAsia" w:ascii="宋体" w:hAnsi="宋体" w:cs="宋体"/>
          <w:bCs/>
          <w:szCs w:val="21"/>
        </w:rPr>
        <w:t>开户银行：                              开户银行：</w:t>
      </w:r>
    </w:p>
    <w:p w14:paraId="6C69361B">
      <w:pPr>
        <w:tabs>
          <w:tab w:val="left" w:pos="-235"/>
        </w:tabs>
        <w:spacing w:line="360" w:lineRule="auto"/>
        <w:ind w:firstLine="420" w:firstLineChars="200"/>
        <w:rPr>
          <w:rFonts w:ascii="宋体" w:hAnsi="宋体" w:cs="宋体"/>
          <w:bCs/>
          <w:szCs w:val="21"/>
        </w:rPr>
      </w:pPr>
      <w:r>
        <w:rPr>
          <w:rFonts w:hint="eastAsia" w:ascii="宋体" w:hAnsi="宋体" w:cs="宋体"/>
          <w:bCs/>
          <w:szCs w:val="21"/>
        </w:rPr>
        <w:t>账号：                                  账号：</w:t>
      </w:r>
    </w:p>
    <w:p w14:paraId="67B4CEF6">
      <w:pPr>
        <w:tabs>
          <w:tab w:val="left" w:pos="0"/>
          <w:tab w:val="left" w:pos="1134"/>
        </w:tabs>
        <w:spacing w:line="360" w:lineRule="auto"/>
        <w:ind w:firstLine="422" w:firstLineChars="200"/>
        <w:jc w:val="center"/>
        <w:outlineLvl w:val="0"/>
        <w:rPr>
          <w:rFonts w:ascii="宋体" w:hAnsi="宋体" w:cs="宋体"/>
          <w:b/>
          <w:bCs/>
          <w:sz w:val="32"/>
          <w:szCs w:val="32"/>
        </w:rPr>
      </w:pPr>
      <w:r>
        <w:rPr>
          <w:rFonts w:hint="eastAsia" w:ascii="宋体" w:hAnsi="宋体" w:cs="宋体"/>
          <w:b/>
          <w:snapToGrid w:val="0"/>
          <w:szCs w:val="21"/>
        </w:rPr>
        <w:br w:type="page"/>
      </w:r>
      <w:r>
        <w:rPr>
          <w:rFonts w:hint="eastAsia" w:ascii="宋体" w:hAnsi="宋体" w:cs="宋体"/>
          <w:b/>
          <w:bCs/>
          <w:sz w:val="32"/>
          <w:szCs w:val="32"/>
        </w:rPr>
        <w:t>第二部分  通用条款</w:t>
      </w:r>
    </w:p>
    <w:p w14:paraId="0E545101">
      <w:pPr>
        <w:pStyle w:val="58"/>
        <w:adjustRightInd/>
        <w:spacing w:before="0" w:after="0" w:line="360" w:lineRule="auto"/>
        <w:ind w:left="0" w:right="0" w:firstLine="643" w:firstLineChars="200"/>
        <w:jc w:val="center"/>
        <w:rPr>
          <w:rFonts w:ascii="宋体" w:hAnsi="宋体" w:cs="宋体"/>
          <w:b/>
          <w:bCs/>
          <w:kern w:val="2"/>
          <w:sz w:val="32"/>
          <w:szCs w:val="32"/>
        </w:rPr>
      </w:pPr>
      <w:r>
        <w:rPr>
          <w:rFonts w:hint="eastAsia" w:ascii="宋体" w:hAnsi="宋体" w:cs="宋体"/>
          <w:b/>
          <w:bCs/>
          <w:kern w:val="2"/>
          <w:sz w:val="32"/>
          <w:szCs w:val="32"/>
        </w:rPr>
        <w:t>【按照建设工程施工合同（GF-2017-0201）】</w:t>
      </w:r>
    </w:p>
    <w:p w14:paraId="1ED37374">
      <w:pPr>
        <w:pStyle w:val="58"/>
        <w:adjustRightInd/>
        <w:spacing w:before="0" w:after="0" w:line="360" w:lineRule="auto"/>
        <w:ind w:left="0" w:right="0" w:firstLine="723" w:firstLineChars="200"/>
        <w:jc w:val="center"/>
        <w:outlineLvl w:val="0"/>
        <w:rPr>
          <w:rFonts w:ascii="宋体" w:hAnsi="宋体" w:cs="宋体"/>
          <w:b/>
          <w:snapToGrid w:val="0"/>
          <w:sz w:val="36"/>
          <w:szCs w:val="36"/>
        </w:rPr>
      </w:pPr>
      <w:r>
        <w:rPr>
          <w:rFonts w:hint="eastAsia" w:ascii="宋体" w:hAnsi="宋体" w:cs="宋体"/>
          <w:b/>
          <w:snapToGrid w:val="0"/>
          <w:sz w:val="36"/>
          <w:szCs w:val="36"/>
        </w:rPr>
        <w:br w:type="page"/>
      </w:r>
      <w:r>
        <w:rPr>
          <w:rFonts w:hint="eastAsia" w:ascii="宋体" w:hAnsi="宋体" w:cs="宋体"/>
          <w:b/>
          <w:bCs/>
          <w:kern w:val="2"/>
          <w:sz w:val="32"/>
          <w:szCs w:val="32"/>
        </w:rPr>
        <w:t>第三部分专用条款</w:t>
      </w:r>
    </w:p>
    <w:p w14:paraId="419CAA74">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一、词语定义及合同文件</w:t>
      </w:r>
    </w:p>
    <w:p w14:paraId="1946BA0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1.合同文件及解释顺序</w:t>
      </w:r>
    </w:p>
    <w:p w14:paraId="2A881FA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498932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2.语言文字和适用法律、标准及规范</w:t>
      </w:r>
    </w:p>
    <w:p w14:paraId="14000A2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2.1本合同除使用汉语外，还使用</w:t>
      </w:r>
      <w:r>
        <w:rPr>
          <w:rFonts w:hint="eastAsia" w:ascii="宋体" w:hAnsi="宋体" w:cs="宋体"/>
          <w:snapToGrid w:val="0"/>
          <w:szCs w:val="21"/>
          <w:u w:val="single"/>
        </w:rPr>
        <w:t>∕</w:t>
      </w:r>
      <w:r>
        <w:rPr>
          <w:rFonts w:hint="eastAsia" w:ascii="宋体" w:hAnsi="宋体" w:cs="宋体"/>
          <w:snapToGrid w:val="0"/>
          <w:szCs w:val="21"/>
        </w:rPr>
        <w:t>语言文字。</w:t>
      </w:r>
    </w:p>
    <w:p w14:paraId="5AA5665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2.2适用法律和法规</w:t>
      </w:r>
    </w:p>
    <w:p w14:paraId="548516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需要明示的法律、行政法规：</w:t>
      </w:r>
      <w:r>
        <w:rPr>
          <w:rFonts w:hint="eastAsia" w:ascii="宋体" w:hAnsi="宋体" w:cs="宋体"/>
          <w:snapToGrid w:val="0"/>
          <w:szCs w:val="21"/>
          <w:u w:val="single"/>
        </w:rPr>
        <w:t>《中华人民共和国民法典》、《中华人民共和国建筑法》、《中华人民共和国政府采购法》、《中华人民共和国招标投标法》、《建设工程质量管理条例》、《建设工程价款结算暂行办法》等以及江苏省、扬州市现行相关法律法规</w:t>
      </w:r>
      <w:r>
        <w:rPr>
          <w:rFonts w:hint="eastAsia" w:ascii="宋体" w:hAnsi="宋体" w:cs="宋体"/>
          <w:snapToGrid w:val="0"/>
          <w:szCs w:val="21"/>
        </w:rPr>
        <w:t>。</w:t>
      </w:r>
    </w:p>
    <w:p w14:paraId="3B54FE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2.3适用标准、规范</w:t>
      </w:r>
    </w:p>
    <w:p w14:paraId="0B10983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适用标准、规范的名称：</w:t>
      </w:r>
      <w:r>
        <w:rPr>
          <w:rFonts w:hint="eastAsia" w:ascii="宋体" w:hAnsi="宋体" w:cs="宋体"/>
          <w:snapToGrid w:val="0"/>
          <w:szCs w:val="21"/>
          <w:u w:val="single"/>
        </w:rPr>
        <w:t>（1）与工程相关的现行图集、施工说明；（2）现行国家施工规范及验收标准</w:t>
      </w:r>
      <w:r>
        <w:rPr>
          <w:rFonts w:hint="eastAsia" w:ascii="宋体" w:hAnsi="宋体" w:cs="宋体"/>
          <w:snapToGrid w:val="0"/>
          <w:szCs w:val="21"/>
        </w:rPr>
        <w:t>。</w:t>
      </w:r>
    </w:p>
    <w:p w14:paraId="2625EDD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发包人提供标准、规范的时间：</w:t>
      </w:r>
      <w:r>
        <w:rPr>
          <w:rFonts w:hint="eastAsia" w:ascii="宋体" w:hAnsi="宋体" w:cs="宋体"/>
          <w:snapToGrid w:val="0"/>
          <w:szCs w:val="21"/>
          <w:u w:val="single"/>
        </w:rPr>
        <w:t>发包人不提供，凡涉及到的相关技术标准、规范均由承包人自备</w:t>
      </w:r>
      <w:r>
        <w:rPr>
          <w:rFonts w:hint="eastAsia" w:ascii="宋体" w:hAnsi="宋体" w:cs="宋体"/>
          <w:snapToGrid w:val="0"/>
          <w:szCs w:val="21"/>
        </w:rPr>
        <w:t>。</w:t>
      </w:r>
    </w:p>
    <w:p w14:paraId="5F52628D">
      <w:pPr>
        <w:pStyle w:val="10"/>
        <w:tabs>
          <w:tab w:val="left" w:pos="284"/>
          <w:tab w:val="left" w:pos="993"/>
          <w:tab w:val="left" w:pos="1134"/>
        </w:tabs>
        <w:spacing w:line="360" w:lineRule="auto"/>
        <w:ind w:left="0" w:leftChars="0" w:firstLine="420" w:firstLineChars="200"/>
        <w:jc w:val="left"/>
        <w:rPr>
          <w:rFonts w:ascii="宋体" w:hAnsi="宋体" w:cs="宋体"/>
          <w:b/>
          <w:snapToGrid w:val="0"/>
          <w:szCs w:val="21"/>
        </w:rPr>
      </w:pPr>
      <w:r>
        <w:rPr>
          <w:rFonts w:hint="eastAsia" w:ascii="宋体" w:hAnsi="宋体" w:cs="宋体"/>
          <w:snapToGrid w:val="0"/>
          <w:szCs w:val="21"/>
        </w:rPr>
        <w:t>3.图纸</w:t>
      </w:r>
    </w:p>
    <w:p w14:paraId="61BAEE9D">
      <w:pPr>
        <w:pStyle w:val="10"/>
        <w:tabs>
          <w:tab w:val="left" w:pos="284"/>
          <w:tab w:val="left" w:pos="993"/>
          <w:tab w:val="left" w:pos="1134"/>
        </w:tabs>
        <w:spacing w:line="360" w:lineRule="auto"/>
        <w:ind w:left="0" w:leftChars="0" w:firstLine="422" w:firstLineChars="200"/>
        <w:jc w:val="left"/>
        <w:rPr>
          <w:rFonts w:ascii="宋体" w:hAnsi="宋体" w:cs="宋体"/>
          <w:snapToGrid w:val="0"/>
          <w:szCs w:val="21"/>
        </w:rPr>
      </w:pPr>
      <w:r>
        <w:rPr>
          <w:rFonts w:hint="eastAsia" w:ascii="宋体" w:hAnsi="宋体" w:cs="宋体"/>
          <w:b/>
          <w:snapToGrid w:val="0"/>
          <w:szCs w:val="21"/>
        </w:rPr>
        <w:t>发包人向承包人</w:t>
      </w:r>
      <w:r>
        <w:rPr>
          <w:rFonts w:hint="eastAsia" w:ascii="宋体" w:hAnsi="宋体" w:cs="宋体"/>
          <w:snapToGrid w:val="0"/>
          <w:szCs w:val="21"/>
        </w:rPr>
        <w:t>提供图纸日期和套数：         ；</w:t>
      </w:r>
    </w:p>
    <w:p w14:paraId="5FF7FAB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发包人对图纸的保密要求: 施工图纸要求承包人保密，保密费用承包人自行承担。</w:t>
      </w:r>
    </w:p>
    <w:p w14:paraId="5076E5C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二、双方一般权利和义务</w:t>
      </w:r>
    </w:p>
    <w:p w14:paraId="0107704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4.工程师</w:t>
      </w:r>
    </w:p>
    <w:p w14:paraId="7E61811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4.1监理单位委派的工程师</w:t>
      </w:r>
    </w:p>
    <w:p w14:paraId="7F3990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                  职务:总监理工程师</w:t>
      </w:r>
    </w:p>
    <w:p w14:paraId="70D76F0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58000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4.2发包人派驻的工程师</w:t>
      </w:r>
    </w:p>
    <w:p w14:paraId="4277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姓名:                   职务:现场代表         </w:t>
      </w:r>
    </w:p>
    <w:p w14:paraId="63B2A67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职权:（1）监督检查承包人、监理执行合同情况，（2）协同监理做好工程质量控制、进度控制、安全生产等工作；（3）发出经发包人同意的工程指令；（4）对支付工程款进行审核等。</w:t>
      </w:r>
    </w:p>
    <w:p w14:paraId="1919C8C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5.项目经理</w:t>
      </w:r>
    </w:p>
    <w:p w14:paraId="3769C1FD">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姓名:</w:t>
      </w:r>
      <w:r>
        <w:rPr>
          <w:rFonts w:hint="eastAsia" w:ascii="宋体" w:hAnsi="宋体" w:cs="宋体"/>
          <w:szCs w:val="21"/>
        </w:rPr>
        <w:t xml:space="preserve">                   </w:t>
      </w:r>
      <w:r>
        <w:rPr>
          <w:rFonts w:hint="eastAsia" w:ascii="宋体" w:hAnsi="宋体" w:cs="宋体"/>
          <w:snapToGrid w:val="0"/>
          <w:szCs w:val="21"/>
        </w:rPr>
        <w:t>职务:项目经理</w:t>
      </w:r>
    </w:p>
    <w:p w14:paraId="4A3385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职权：按照国家相关规定和合同约定，作为承包方施工现场负责人，全面负责本工地施工现场进度、质量、安全工作，负责本合同的全面履行。</w:t>
      </w:r>
    </w:p>
    <w:p w14:paraId="7BAE19FA">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6.发包人工作</w:t>
      </w:r>
    </w:p>
    <w:p w14:paraId="42B0E9B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6.1发包人应按约定的时间和要求及完成以下工作:</w:t>
      </w:r>
    </w:p>
    <w:p w14:paraId="67CBD31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6E87AB2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（2）将施工所需的水、电、电讯线路接至施工场地的时间、地点和供应要求：水电接口已提供至施工现场，其位置承包人在踏勘现场时确认，水电在场内接线一切费用包含在总报价中，发包人不再另外支付。</w:t>
      </w:r>
    </w:p>
    <w:p w14:paraId="46DC497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（3）施工场地与公共道路的通道开通时间和要求：主要公共道路开通，施工区道路由承包人承担。</w:t>
      </w:r>
    </w:p>
    <w:p w14:paraId="5A6226A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（4）工程地质和地下管线资料的提供时间：</w:t>
      </w:r>
      <w:r>
        <w:rPr>
          <w:rFonts w:hint="eastAsia" w:ascii="宋体" w:hAnsi="宋体" w:cs="宋体"/>
          <w:snapToGrid w:val="0"/>
          <w:szCs w:val="21"/>
          <w:u w:val="single"/>
        </w:rPr>
        <w:t>开工前5天提供</w:t>
      </w:r>
      <w:r>
        <w:rPr>
          <w:rFonts w:hint="eastAsia" w:ascii="宋体" w:hAnsi="宋体" w:cs="宋体"/>
          <w:snapToGrid w:val="0"/>
          <w:szCs w:val="21"/>
        </w:rPr>
        <w:t>。</w:t>
      </w:r>
    </w:p>
    <w:p w14:paraId="744A84A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（5）由发包人办理的施工所需证件、批件的名称和完成时间：</w:t>
      </w:r>
      <w:r>
        <w:rPr>
          <w:rFonts w:hint="eastAsia" w:ascii="宋体" w:hAnsi="宋体" w:cs="宋体"/>
          <w:snapToGrid w:val="0"/>
          <w:szCs w:val="21"/>
          <w:u w:val="single"/>
        </w:rPr>
        <w:t>开工前由承包人协助发包人办理，不能影响开工</w:t>
      </w:r>
      <w:r>
        <w:rPr>
          <w:rFonts w:hint="eastAsia" w:ascii="宋体" w:hAnsi="宋体" w:cs="宋体"/>
          <w:snapToGrid w:val="0"/>
          <w:szCs w:val="21"/>
        </w:rPr>
        <w:t>。</w:t>
      </w:r>
    </w:p>
    <w:p w14:paraId="4E3049D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（6）水准点与坐标控制点交验要求：</w:t>
      </w:r>
      <w:r>
        <w:rPr>
          <w:rFonts w:hint="eastAsia" w:ascii="宋体" w:hAnsi="宋体" w:cs="宋体"/>
          <w:snapToGrid w:val="0"/>
          <w:szCs w:val="21"/>
          <w:u w:val="single"/>
        </w:rPr>
        <w:t>开工前现场交验，承包人负责做好保护工作。施工过程中若水准基点出现遗失或损坏，承包人应立即汇报工程师，重新布点的费用由承包人承担</w:t>
      </w:r>
      <w:r>
        <w:rPr>
          <w:rFonts w:hint="eastAsia" w:ascii="宋体" w:hAnsi="宋体" w:cs="宋体"/>
          <w:snapToGrid w:val="0"/>
          <w:szCs w:val="21"/>
        </w:rPr>
        <w:t>。</w:t>
      </w:r>
    </w:p>
    <w:p w14:paraId="6FC21D7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（7）图纸会审和设计交底时间：</w:t>
      </w:r>
      <w:r>
        <w:rPr>
          <w:rFonts w:hint="eastAsia" w:ascii="宋体" w:hAnsi="宋体" w:cs="宋体"/>
          <w:snapToGrid w:val="0"/>
          <w:szCs w:val="21"/>
          <w:u w:val="single"/>
        </w:rPr>
        <w:t>双方约定时间</w:t>
      </w:r>
      <w:r>
        <w:rPr>
          <w:rFonts w:hint="eastAsia" w:ascii="宋体" w:hAnsi="宋体" w:cs="宋体"/>
          <w:snapToGrid w:val="0"/>
          <w:szCs w:val="21"/>
        </w:rPr>
        <w:t>。</w:t>
      </w:r>
    </w:p>
    <w:p w14:paraId="5E71C10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（8）协调处理施工场地周围地下管线和邻近建筑、构筑物（含文物保护建筑）、古树名木的保护工作：</w:t>
      </w:r>
      <w:r>
        <w:rPr>
          <w:rFonts w:hint="eastAsia" w:ascii="宋体" w:hAnsi="宋体" w:cs="宋体"/>
          <w:snapToGrid w:val="0"/>
          <w:szCs w:val="21"/>
          <w:u w:val="single"/>
        </w:rPr>
        <w:t>执行通用条款</w:t>
      </w:r>
      <w:r>
        <w:rPr>
          <w:rFonts w:hint="eastAsia" w:ascii="宋体" w:hAnsi="宋体" w:cs="宋体"/>
          <w:snapToGrid w:val="0"/>
          <w:szCs w:val="21"/>
        </w:rPr>
        <w:t>。</w:t>
      </w:r>
    </w:p>
    <w:p w14:paraId="56FBAAC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（9）双方约定发包人做的其他工作：</w:t>
      </w:r>
      <w:r>
        <w:rPr>
          <w:rFonts w:hint="eastAsia" w:ascii="宋体" w:hAnsi="宋体" w:cs="宋体"/>
          <w:snapToGrid w:val="0"/>
          <w:szCs w:val="21"/>
          <w:u w:val="single"/>
        </w:rPr>
        <w:t xml:space="preserve">  /。 </w:t>
      </w:r>
    </w:p>
    <w:p w14:paraId="603330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（10）发包人委托承包人办理的工作：按发包人的布置要求，承包人有配合与该工程建设有关工作的义务，包括协助办理有关施工所需证件、批件等手续。</w:t>
      </w:r>
    </w:p>
    <w:p w14:paraId="1B88D5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7.承包人工作</w:t>
      </w:r>
    </w:p>
    <w:p w14:paraId="699480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7.1承包人应按约定时间和要求,完成以下工作:</w:t>
      </w:r>
    </w:p>
    <w:p w14:paraId="204460D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（1）需由设计资质等级和业务范围允许的承包人完成的设计文件提交时间:</w:t>
      </w:r>
      <w:r>
        <w:rPr>
          <w:rFonts w:hint="eastAsia" w:ascii="宋体" w:hAnsi="宋体" w:cs="宋体"/>
          <w:snapToGrid w:val="0"/>
          <w:szCs w:val="21"/>
          <w:u w:val="single"/>
        </w:rPr>
        <w:t>∕</w:t>
      </w:r>
      <w:r>
        <w:rPr>
          <w:rFonts w:hint="eastAsia" w:ascii="宋体" w:hAnsi="宋体" w:cs="宋体"/>
          <w:snapToGrid w:val="0"/>
          <w:szCs w:val="21"/>
        </w:rPr>
        <w:t>；</w:t>
      </w:r>
    </w:p>
    <w:p w14:paraId="57F457D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（2）应提供计划、报表的名称及完成时间：</w:t>
      </w:r>
      <w:r>
        <w:rPr>
          <w:rFonts w:hint="eastAsia" w:ascii="宋体" w:hAnsi="宋体" w:cs="宋体"/>
          <w:snapToGrid w:val="0"/>
          <w:szCs w:val="21"/>
          <w:u w:val="single"/>
        </w:rPr>
        <w:t>开工前5天内提供切实可行的进度表以及相对应的人机配置情况、材料供应情况</w:t>
      </w:r>
      <w:r>
        <w:rPr>
          <w:rFonts w:hint="eastAsia" w:ascii="宋体" w:hAnsi="宋体" w:cs="宋体"/>
          <w:snapToGrid w:val="0"/>
          <w:szCs w:val="21"/>
        </w:rPr>
        <w:t>；</w:t>
      </w:r>
    </w:p>
    <w:p w14:paraId="2375B80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（3）承担施工安全保卫工作及非夜间施工照明的责任和要求：</w:t>
      </w:r>
    </w:p>
    <w:p w14:paraId="66EF4DF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cs="宋体"/>
          <w:snapToGrid w:val="0"/>
          <w:szCs w:val="21"/>
        </w:rPr>
        <w:t>；</w:t>
      </w:r>
    </w:p>
    <w:p w14:paraId="6C6D3DD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（4）向发包人提供的办公和生活房屋及设施和要求：</w:t>
      </w:r>
      <w:r>
        <w:rPr>
          <w:rFonts w:hint="eastAsia" w:ascii="宋体" w:hAnsi="宋体" w:cs="宋体"/>
          <w:snapToGrid w:val="0"/>
          <w:szCs w:val="21"/>
          <w:u w:val="single"/>
        </w:rPr>
        <w:t>∕</w:t>
      </w:r>
      <w:r>
        <w:rPr>
          <w:rFonts w:hint="eastAsia" w:ascii="宋体" w:hAnsi="宋体" w:cs="宋体"/>
          <w:snapToGrid w:val="0"/>
          <w:szCs w:val="21"/>
        </w:rPr>
        <w:t>；</w:t>
      </w:r>
    </w:p>
    <w:p w14:paraId="35A2D2B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（5）需承包人办理的有关施工场地交通、环卫和施工噪音管理等手续：</w:t>
      </w:r>
    </w:p>
    <w:p w14:paraId="30FF0B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cs="宋体"/>
          <w:snapToGrid w:val="0"/>
          <w:szCs w:val="21"/>
        </w:rPr>
        <w:t>；</w:t>
      </w:r>
    </w:p>
    <w:p w14:paraId="39C8E56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（6）已完成工程成品保护的特殊要求及费用承担：</w:t>
      </w:r>
    </w:p>
    <w:p w14:paraId="0940517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工程交付使用前承包人自己发生的损坏或因承包人保护实施不当而产生的第三方对成品（半成品）的损坏均由承包人自己负责</w:t>
      </w:r>
      <w:r>
        <w:rPr>
          <w:rFonts w:hint="eastAsia" w:ascii="宋体" w:hAnsi="宋体" w:cs="宋体"/>
          <w:snapToGrid w:val="0"/>
          <w:szCs w:val="21"/>
        </w:rPr>
        <w:t>；</w:t>
      </w:r>
    </w:p>
    <w:p w14:paraId="3A20D5C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（7）施工场地周围地下管线和邻近建筑物、构筑物（含文物保护建筑）、古树名木的保护要求及费用承担：</w:t>
      </w:r>
      <w:r>
        <w:rPr>
          <w:rFonts w:hint="eastAsia" w:ascii="宋体" w:hAnsi="宋体" w:cs="宋体"/>
          <w:snapToGrid w:val="0"/>
          <w:szCs w:val="21"/>
          <w:u w:val="single"/>
        </w:rPr>
        <w:t>承包人自行负责承担施工场地周围地下管线和邻近建筑物、构筑物（含文物保护建筑）、古树名木的保护要求及费用</w:t>
      </w:r>
      <w:r>
        <w:rPr>
          <w:rFonts w:hint="eastAsia" w:ascii="宋体" w:hAnsi="宋体" w:cs="宋体"/>
          <w:snapToGrid w:val="0"/>
          <w:szCs w:val="21"/>
        </w:rPr>
        <w:t>；</w:t>
      </w:r>
    </w:p>
    <w:p w14:paraId="46CB503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（8）施工场地清洁卫生的要求：</w:t>
      </w:r>
      <w:r>
        <w:rPr>
          <w:rFonts w:hint="eastAsia" w:ascii="宋体" w:hAnsi="宋体" w:cs="宋体"/>
          <w:snapToGrid w:val="0"/>
          <w:szCs w:val="21"/>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cs="宋体"/>
          <w:snapToGrid w:val="0"/>
          <w:szCs w:val="21"/>
        </w:rPr>
        <w:t>；</w:t>
      </w:r>
    </w:p>
    <w:p w14:paraId="678C971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w:t>
      </w:r>
      <w:r>
        <w:rPr>
          <w:rFonts w:hint="eastAsia" w:ascii="宋体" w:hAnsi="宋体" w:cs="宋体"/>
          <w:snapToGrid w:val="0"/>
          <w:szCs w:val="21"/>
          <w:u w:val="single"/>
        </w:rPr>
        <w:t>施工过程中承包人应服从现场统一管理，做到安全、文明、有序施工，一切安全责任自行负责</w:t>
      </w:r>
      <w:r>
        <w:rPr>
          <w:rFonts w:hint="eastAsia" w:ascii="宋体" w:hAnsi="宋体" w:cs="宋体"/>
          <w:snapToGrid w:val="0"/>
          <w:szCs w:val="21"/>
        </w:rPr>
        <w:t>；</w:t>
      </w:r>
    </w:p>
    <w:p w14:paraId="5D7FB3E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（10）施工过程中，</w:t>
      </w:r>
      <w:r>
        <w:rPr>
          <w:rFonts w:hint="eastAsia" w:ascii="宋体" w:hAnsi="宋体" w:cs="宋体"/>
          <w:snapToGrid w:val="0"/>
          <w:szCs w:val="21"/>
          <w:u w:val="single"/>
        </w:rPr>
        <w:t>承包人应主动与上、下工序相关单位进行协调对接，避免产生矛盾，做到有序科学衔接，配合其他相关单位，费用已在投标报价中考虑发包人不再另行支付</w:t>
      </w:r>
      <w:r>
        <w:rPr>
          <w:rFonts w:hint="eastAsia" w:ascii="宋体" w:hAnsi="宋体" w:cs="宋体"/>
          <w:snapToGrid w:val="0"/>
          <w:szCs w:val="21"/>
        </w:rPr>
        <w:t>；</w:t>
      </w:r>
    </w:p>
    <w:p w14:paraId="5732FE75">
      <w:pPr>
        <w:pStyle w:val="10"/>
        <w:tabs>
          <w:tab w:val="left" w:pos="0"/>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（11）双方约定承包人应做的其他工作：</w:t>
      </w:r>
    </w:p>
    <w:p w14:paraId="1460CED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cs="宋体"/>
          <w:snapToGrid w:val="0"/>
          <w:szCs w:val="21"/>
        </w:rPr>
        <w:t>；</w:t>
      </w:r>
    </w:p>
    <w:p w14:paraId="36AF9B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三、施工组织设计和工期</w:t>
      </w:r>
    </w:p>
    <w:p w14:paraId="2848193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8.进度计划</w:t>
      </w:r>
    </w:p>
    <w:p w14:paraId="3C59726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8.1承包人提供施工组织设计(施工方案)和进度计划的时间:</w:t>
      </w:r>
    </w:p>
    <w:p w14:paraId="5D7DE53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cs="宋体"/>
          <w:snapToGrid w:val="0"/>
          <w:szCs w:val="21"/>
        </w:rPr>
        <w:t>；</w:t>
      </w:r>
    </w:p>
    <w:p w14:paraId="414E6E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工程师确认的时间:</w:t>
      </w:r>
      <w:r>
        <w:rPr>
          <w:rFonts w:hint="eastAsia" w:ascii="宋体" w:hAnsi="宋体" w:cs="宋体"/>
          <w:snapToGrid w:val="0"/>
          <w:szCs w:val="21"/>
          <w:u w:val="single"/>
        </w:rPr>
        <w:t>送达后7日历天内</w:t>
      </w:r>
      <w:r>
        <w:rPr>
          <w:rFonts w:hint="eastAsia" w:ascii="宋体" w:hAnsi="宋体" w:cs="宋体"/>
          <w:snapToGrid w:val="0"/>
          <w:szCs w:val="21"/>
        </w:rPr>
        <w:t>。</w:t>
      </w:r>
    </w:p>
    <w:p w14:paraId="115AD2C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9、工期延误</w:t>
      </w:r>
    </w:p>
    <w:p w14:paraId="378A657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9.1合同工期按承包人中标工期执行，如因承包人原因延误工期的，承包人应承担违约责任，详见第21.2条款。</w:t>
      </w:r>
    </w:p>
    <w:p w14:paraId="4E18A95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9.2双方约定工期顺延的其他情况:</w:t>
      </w:r>
    </w:p>
    <w:p w14:paraId="73CE353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若出现以下情况造成工期延误的发包人不承担费用，只认可工期顺延，顺延时间双方另行协商。</w:t>
      </w:r>
    </w:p>
    <w:p w14:paraId="6723B76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（1）不可抗力（战争以及地震、水灾、暴风雪等严重自然灾害）；</w:t>
      </w:r>
    </w:p>
    <w:p w14:paraId="2D30DDB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（2）因发包人设计变更在结构形式、设计标准作重大调整，增加的工程量使承包人工程进度无法按原计划实施进行的；</w:t>
      </w:r>
    </w:p>
    <w:p w14:paraId="0F1C261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（3）非因承包人原因停水、停电连续24小时以上的；</w:t>
      </w:r>
    </w:p>
    <w:p w14:paraId="04295C4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（4）政府行为：政府强制要求停工（非承包人原因引起，如全市性的安全整顿，要求建设工地停工等）。</w:t>
      </w:r>
    </w:p>
    <w:p w14:paraId="37F7DCE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9.3承包人不得以任何理由停工，包括由于变更引起价格改变，发生分歧等，如有争议应协商解决，如因停工造成工期延误，承包人承担违约责任。</w:t>
      </w:r>
    </w:p>
    <w:p w14:paraId="5363F513">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四、质量与验收</w:t>
      </w:r>
    </w:p>
    <w:p w14:paraId="630AAA6C">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质量要求：符合合格标准。</w:t>
      </w:r>
    </w:p>
    <w:p w14:paraId="5AF61138">
      <w:pPr>
        <w:pStyle w:val="58"/>
        <w:tabs>
          <w:tab w:val="left" w:pos="426"/>
        </w:tabs>
        <w:adjustRightInd/>
        <w:spacing w:before="0" w:after="0" w:line="360" w:lineRule="auto"/>
        <w:ind w:left="0" w:right="0" w:firstLine="420" w:firstLineChars="200"/>
        <w:contextualSpacing/>
        <w:rPr>
          <w:rFonts w:ascii="宋体" w:hAnsi="宋体" w:cs="宋体"/>
          <w:sz w:val="21"/>
          <w:szCs w:val="21"/>
        </w:rPr>
      </w:pPr>
      <w:r>
        <w:rPr>
          <w:rFonts w:hint="eastAsia" w:ascii="宋体" w:hAnsi="宋体" w:cs="宋体"/>
          <w:sz w:val="21"/>
          <w:szCs w:val="21"/>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7E44D30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10.隐蔽工程和中间验收</w:t>
      </w:r>
    </w:p>
    <w:p w14:paraId="0724649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10.1双方约定中间验收部位: 按规定及监理认为确有必要进行验收的分部。</w:t>
      </w:r>
    </w:p>
    <w:p w14:paraId="6B15330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472A42C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4D6EC4A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23BE41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10.5验收时间：除质检站、设计院等其他部门参加验收，承包人需提前72小时书面报告以便及时联系和安排外，其余均提前24小时即可。</w:t>
      </w:r>
    </w:p>
    <w:p w14:paraId="221A00F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11工程试车</w:t>
      </w:r>
    </w:p>
    <w:p w14:paraId="06B1D48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11.1试车费用的承担:安排相关的技术人员无条件配合联合试车工作。</w:t>
      </w:r>
    </w:p>
    <w:p w14:paraId="1653FD96">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五、安全文明施工要求</w:t>
      </w:r>
    </w:p>
    <w:p w14:paraId="436DD1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（1）承包人对现场作业和现有施工方法的安全承担全部责任，执行通用条款第20条规定，并赔偿因承包人责任给发包人造成的一切损失；</w:t>
      </w:r>
    </w:p>
    <w:p w14:paraId="0E69682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（2）承包人应采取控制措施使施工现场达到市环保和政府其它部门对建筑工地的要求，避免伤害或妨碍公众及周围环境。如因妨碍或伤害造成的行政处罚等其它赔偿均由承包人承担；</w:t>
      </w:r>
    </w:p>
    <w:p w14:paraId="4F74E0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（3）承包人负责现场保卫和管理；</w:t>
      </w:r>
    </w:p>
    <w:p w14:paraId="2988048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6BC080D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2ABF4C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（6）严格遵守施工现场总平面的规划，服从监理与发包人统一指挥，发包人与监理将组织定期检查，对于出现的问题，发包人及监理有权要求总包单位进行整改，否则视承包人为违约；</w:t>
      </w:r>
    </w:p>
    <w:p w14:paraId="6EB91C5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（7）若发生安全事故，承包人承担全部责任，与发包人无关。承包人应按规定立即报告建设主管部门并通知发包人和监理。如因此造成发包人承担责任的，发包人有权向承包人索赔；</w:t>
      </w:r>
    </w:p>
    <w:p w14:paraId="2B43FB38">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六、合同价款与支付</w:t>
      </w:r>
    </w:p>
    <w:p w14:paraId="5F6D90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12.合同价款及调整</w:t>
      </w:r>
    </w:p>
    <w:p w14:paraId="148B04F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12.1本合同价款采用</w:t>
      </w:r>
      <w:r>
        <w:rPr>
          <w:rFonts w:hint="eastAsia" w:ascii="宋体" w:hAnsi="宋体" w:cs="宋体"/>
          <w:snapToGrid w:val="0"/>
          <w:szCs w:val="21"/>
          <w:u w:val="single"/>
        </w:rPr>
        <w:t>固定单价</w:t>
      </w:r>
      <w:r>
        <w:rPr>
          <w:rFonts w:hint="eastAsia" w:ascii="宋体" w:hAnsi="宋体" w:cs="宋体"/>
          <w:snapToGrid w:val="0"/>
          <w:szCs w:val="21"/>
        </w:rPr>
        <w:t>方式确定。</w:t>
      </w:r>
    </w:p>
    <w:p w14:paraId="3BD500A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（1）采用固定单价合同，合同价款中包括的风险范围：全部风险已包含在投标报价中，承包人投标时已充分考虑风险范围，并计算风险系数。</w:t>
      </w:r>
    </w:p>
    <w:p w14:paraId="6BE0B2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（2）风险范围以外合同价款调整方法：</w:t>
      </w:r>
    </w:p>
    <w:p w14:paraId="00FC00E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00C9D9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51C58B3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12.3如清单项目中工作内容，实际施工中并未发生，应在“综合单价分析表”中相应的扣减该部分工作内容所含综合单价后形成的新的综合单价作为结算综合单价。</w:t>
      </w:r>
    </w:p>
    <w:p w14:paraId="7AE271D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C11A70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 xml:space="preserve">13.工程预付款、发包人向承包人预付工程款的时间和金额或占合同价款总额的比例: </w:t>
      </w:r>
      <w:r>
        <w:rPr>
          <w:rFonts w:hint="eastAsia" w:ascii="宋体" w:hAnsi="宋体" w:cs="宋体"/>
          <w:snapToGrid w:val="0"/>
          <w:szCs w:val="21"/>
          <w:u w:val="single"/>
        </w:rPr>
        <w:t xml:space="preserve"> / </w:t>
      </w:r>
    </w:p>
    <w:p w14:paraId="278E72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14.工程量确认</w:t>
      </w:r>
    </w:p>
    <w:p w14:paraId="7232FA3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14.1承包人向工程师提交已完成工程量报告的时间:承包人应在每周监理例会前向现场工程师及发包人提供本月完成工程量情况。</w:t>
      </w:r>
    </w:p>
    <w:p w14:paraId="31CC210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15.工程款(进度款)支付：</w:t>
      </w:r>
    </w:p>
    <w:p w14:paraId="7EC17DC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七、材料设备供应</w:t>
      </w:r>
    </w:p>
    <w:p w14:paraId="6F564E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16.发包人供应材料设备：</w:t>
      </w:r>
    </w:p>
    <w:p w14:paraId="0C8DEDB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16.1发包人供应的材料设备与一览表不符时,双方约定发包人承担责任如下:</w:t>
      </w:r>
    </w:p>
    <w:p w14:paraId="0D83142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（1）材料设备单价与一览表不符:</w:t>
      </w:r>
      <w:r>
        <w:rPr>
          <w:rFonts w:hint="eastAsia" w:ascii="宋体" w:hAnsi="宋体" w:cs="宋体"/>
          <w:snapToGrid w:val="0"/>
          <w:szCs w:val="21"/>
          <w:u w:val="single"/>
        </w:rPr>
        <w:t xml:space="preserve">   /  </w:t>
      </w:r>
    </w:p>
    <w:p w14:paraId="4A713F9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（2）材料设备的品种、规格、型号、质量等级与一览表不符：承包人有权拒收，发包人负责调换，承包人可代为调剂串换的材料：设计院批准，监理认可，并报发包人同意后方可串换；</w:t>
      </w:r>
    </w:p>
    <w:p w14:paraId="4EDAE9CC">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（3）到货地点与一览表不符：发包人运至规定的供货地点，承包人应予积极配合；</w:t>
      </w:r>
    </w:p>
    <w:p w14:paraId="0C9622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（4）供货数量与一览表不符：发包人补足；</w:t>
      </w:r>
    </w:p>
    <w:p w14:paraId="750F549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（5）到货时间与一览表不符；</w:t>
      </w:r>
    </w:p>
    <w:p w14:paraId="45F0DF6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开工前承包人须书面通知发包人，因发包人原因延迟供货的，可以延期；如承包人未在开工前书面通知的，发包人不承担相应责任。</w:t>
      </w:r>
    </w:p>
    <w:p w14:paraId="72D71BC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16.2发包人供应材料设备的结算方法:/</w:t>
      </w:r>
    </w:p>
    <w:p w14:paraId="6C57B5B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17．承包人采购材料设备</w:t>
      </w:r>
    </w:p>
    <w:p w14:paraId="44B92634">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17.1购材料设备的约定：</w:t>
      </w:r>
    </w:p>
    <w:p w14:paraId="7BEA804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7D27218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（2）设备与设计标准不符时，承包人应按工程师要求的时间运出施工场地，重新采购符合要求的产品，承担由此产生的费用，由此延误的工期不予顺延。</w:t>
      </w:r>
    </w:p>
    <w:p w14:paraId="0DE18657">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7DE8B329">
      <w:pPr>
        <w:pStyle w:val="10"/>
        <w:tabs>
          <w:tab w:val="left" w:pos="284"/>
          <w:tab w:val="left" w:pos="993"/>
          <w:tab w:val="left" w:pos="1134"/>
        </w:tabs>
        <w:spacing w:line="360" w:lineRule="auto"/>
        <w:ind w:left="0" w:leftChars="0" w:firstLine="422" w:firstLineChars="200"/>
        <w:contextualSpacing/>
        <w:jc w:val="left"/>
        <w:rPr>
          <w:rFonts w:ascii="宋体" w:hAnsi="宋体" w:cs="宋体"/>
          <w:b/>
          <w:bCs/>
          <w:snapToGrid w:val="0"/>
          <w:szCs w:val="21"/>
        </w:rPr>
      </w:pPr>
      <w:r>
        <w:rPr>
          <w:rFonts w:hint="eastAsia" w:ascii="宋体" w:hAnsi="宋体" w:cs="宋体"/>
          <w:b/>
          <w:bCs/>
          <w:snapToGrid w:val="0"/>
          <w:szCs w:val="21"/>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6EFF412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658BE5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335E80E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09FEE4E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090236D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cs="宋体"/>
          <w:snapToGrid w:val="0"/>
          <w:szCs w:val="21"/>
        </w:rPr>
        <w:fldChar w:fldCharType="begin"/>
      </w:r>
      <w:r>
        <w:rPr>
          <w:rFonts w:hint="eastAsia" w:ascii="宋体" w:hAnsi="宋体" w:cs="宋体"/>
          <w:snapToGrid w:val="0"/>
          <w:szCs w:val="21"/>
        </w:rPr>
        <w:instrText xml:space="preserve"> eq \o\ac(○,1)</w:instrText>
      </w:r>
      <w:r>
        <w:rPr>
          <w:rFonts w:hint="eastAsia" w:ascii="宋体" w:hAnsi="宋体" w:cs="宋体"/>
          <w:snapToGrid w:val="0"/>
          <w:szCs w:val="21"/>
        </w:rPr>
        <w:fldChar w:fldCharType="end"/>
      </w:r>
      <w:r>
        <w:rPr>
          <w:rFonts w:hint="eastAsia" w:ascii="宋体" w:hAnsi="宋体" w:cs="宋体"/>
          <w:snapToGrid w:val="0"/>
          <w:szCs w:val="21"/>
        </w:rPr>
        <w:t xml:space="preserve">承包人采取新工艺或特殊施工措施造成的检验、试验费用 </w:t>
      </w:r>
      <w:r>
        <w:rPr>
          <w:rFonts w:hint="eastAsia" w:ascii="宋体" w:hAnsi="宋体" w:cs="宋体"/>
          <w:snapToGrid w:val="0"/>
          <w:szCs w:val="21"/>
        </w:rPr>
        <w:fldChar w:fldCharType="begin"/>
      </w:r>
      <w:r>
        <w:rPr>
          <w:rFonts w:hint="eastAsia" w:ascii="宋体" w:hAnsi="宋体" w:cs="宋体"/>
          <w:snapToGrid w:val="0"/>
          <w:szCs w:val="21"/>
        </w:rPr>
        <w:instrText xml:space="preserve"> eq \o\ac(○,2)</w:instrText>
      </w:r>
      <w:r>
        <w:rPr>
          <w:rFonts w:hint="eastAsia" w:ascii="宋体" w:hAnsi="宋体" w:cs="宋体"/>
          <w:snapToGrid w:val="0"/>
          <w:szCs w:val="21"/>
        </w:rPr>
        <w:fldChar w:fldCharType="end"/>
      </w:r>
      <w:r>
        <w:rPr>
          <w:rFonts w:hint="eastAsia" w:ascii="宋体" w:hAnsi="宋体" w:cs="宋体"/>
          <w:snapToGrid w:val="0"/>
          <w:szCs w:val="21"/>
        </w:rPr>
        <w:t>不在“由发包人承担检验试验费用”之列的其它检验试验费。</w:t>
      </w:r>
    </w:p>
    <w:p w14:paraId="20F769F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（10）需送检的材料必须检验合格后方能投入使用。</w:t>
      </w:r>
    </w:p>
    <w:p w14:paraId="43DC9B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（11）承包人供应的材料设备必须保证质量，使用中如发现有质量问题、有毒、污染等不符合环保、安全、卫生要求的，承包人承担返工的全部损失并赔偿由此给发包人带来的损失。</w:t>
      </w:r>
    </w:p>
    <w:p w14:paraId="66B10D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（12）如需发包人认定质价后购买的材料，或者必须代换材料时，承包人必须提前10天书面报告，经发包人批准后实施，否则一切后果均由承包人自己负责。</w:t>
      </w:r>
    </w:p>
    <w:p w14:paraId="4DD9E7AE">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八、工程变更</w:t>
      </w:r>
    </w:p>
    <w:p w14:paraId="48A1F23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（1）工程变更通知是合同及施工设计图纸的补充和完善，承包人不得拒绝，不能因变更延误工期。</w:t>
      </w:r>
    </w:p>
    <w:p w14:paraId="1F8E67F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（2）由于工程设计变更导致本合同工程量增减变化时，是对合同价款增减调整的依据，承包人不能因变更提出不合理的造价要求，造价变化按上述约定执行，结算审核时按实调整。</w:t>
      </w:r>
    </w:p>
    <w:p w14:paraId="3B9F7DA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（3）承包人不得以设计变更或工程量的变化为理由，解除或修改合同对其规定的责任和义务。</w:t>
      </w:r>
    </w:p>
    <w:p w14:paraId="3CEA38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（4）施工中承包人不得对原工程设计进行变更，因承包人擅自变更设计发生的费用和由此导致发包人的直接损失由承包人承担，延误的工期不予顺延。</w:t>
      </w:r>
    </w:p>
    <w:p w14:paraId="639E435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18.竣工验收</w:t>
      </w:r>
    </w:p>
    <w:p w14:paraId="00ADE27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18.1.承包人负责工程验收，并有义务参加配合相关单位验收工作。</w:t>
      </w:r>
    </w:p>
    <w:p w14:paraId="597FFDB5">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18.2.工程具备竣工验收条件，承包人按国家工程竣工验收有关规定，向发包人提供竣工验收报告。</w:t>
      </w:r>
    </w:p>
    <w:p w14:paraId="41DCFDC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35510E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2983A99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19.竣工结算</w:t>
      </w:r>
    </w:p>
    <w:p w14:paraId="4A7F0A6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19.1工程竣工验收合格后60天内承包人向发包人提供完整的工程结算资料。由发包人接收（一式两份）。结算资料提交应按时完成，否则每迟一天，除每日向发包人支付违约金500元，工程款相应延期支付。</w:t>
      </w:r>
    </w:p>
    <w:p w14:paraId="12F3857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19.2发包人收到竣工结算资料后，由发包人和监理方分别进行审查确认后送给有关造价咨询部门进行工程价款的审核。</w:t>
      </w:r>
    </w:p>
    <w:p w14:paraId="743EC94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20、工程保修</w:t>
      </w:r>
    </w:p>
    <w:p w14:paraId="35F03C2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cs="宋体"/>
          <w:snapToGrid w:val="0"/>
          <w:szCs w:val="21"/>
          <w:lang w:val="en-US" w:eastAsia="zh-CN"/>
        </w:rPr>
        <w:t xml:space="preserve">    </w:t>
      </w:r>
      <w:r>
        <w:rPr>
          <w:rFonts w:hint="eastAsia" w:ascii="宋体" w:hAnsi="宋体" w:cs="宋体"/>
          <w:snapToGrid w:val="0"/>
          <w:szCs w:val="21"/>
        </w:rPr>
        <w:t>%。</w:t>
      </w:r>
    </w:p>
    <w:p w14:paraId="27152BA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20.2工程保修期在工程竣工验收合格之日起计算。</w:t>
      </w:r>
    </w:p>
    <w:p w14:paraId="7032055F">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20.3在承包人对质量保证期内出现的质量问题进行维修时，承包人应相应延长维修或更换部分的质量保证期。维修或更换部分的质保期从维修或更换合格之日起重新计算。</w:t>
      </w:r>
    </w:p>
    <w:p w14:paraId="7B60C077">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15E2A661">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九、违约、索赔和争议</w:t>
      </w:r>
    </w:p>
    <w:p w14:paraId="4631E31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21.违约</w:t>
      </w:r>
    </w:p>
    <w:p w14:paraId="740BDE6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21.1本合同中关于发包人违约的具体责任如下:</w:t>
      </w:r>
    </w:p>
    <w:p w14:paraId="4BA1ED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本合同通用条款第24条约定发包人违约应承担的违约责任:</w:t>
      </w:r>
      <w:r>
        <w:rPr>
          <w:rFonts w:hint="eastAsia" w:ascii="宋体" w:hAnsi="宋体" w:cs="宋体"/>
          <w:snapToGrid w:val="0"/>
          <w:szCs w:val="21"/>
          <w:u w:val="single"/>
        </w:rPr>
        <w:t xml:space="preserve">    /    </w:t>
      </w:r>
    </w:p>
    <w:p w14:paraId="02719D8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本合同通用条款第26.4款约定发包人违约应承担的违约责任:</w:t>
      </w:r>
      <w:r>
        <w:rPr>
          <w:rFonts w:hint="eastAsia" w:ascii="宋体" w:hAnsi="宋体" w:cs="宋体"/>
          <w:snapToGrid w:val="0"/>
          <w:szCs w:val="21"/>
          <w:u w:val="single"/>
        </w:rPr>
        <w:t xml:space="preserve">    /    </w:t>
      </w:r>
    </w:p>
    <w:p w14:paraId="37E5499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u w:val="single"/>
        </w:rPr>
      </w:pPr>
      <w:r>
        <w:rPr>
          <w:rFonts w:hint="eastAsia" w:ascii="宋体" w:hAnsi="宋体" w:cs="宋体"/>
          <w:snapToGrid w:val="0"/>
          <w:szCs w:val="21"/>
        </w:rPr>
        <w:t>本合同通用条款第33.3款约定发包人违约应承担的违约责任:</w:t>
      </w:r>
      <w:r>
        <w:rPr>
          <w:rFonts w:hint="eastAsia" w:ascii="宋体" w:hAnsi="宋体" w:cs="宋体"/>
          <w:snapToGrid w:val="0"/>
          <w:szCs w:val="21"/>
          <w:u w:val="single"/>
        </w:rPr>
        <w:t xml:space="preserve">   /   </w:t>
      </w:r>
    </w:p>
    <w:p w14:paraId="7D9ACEC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双方约定的发包人其他违约责任:执行合同约定、招标文件</w:t>
      </w:r>
    </w:p>
    <w:p w14:paraId="510F734E">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21.2本合同中关于承包人违约的具体责任如下:</w:t>
      </w:r>
    </w:p>
    <w:p w14:paraId="30A1467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本合同通用条款第14.2款约定承包人违约应承担的违约责任:</w:t>
      </w:r>
    </w:p>
    <w:p w14:paraId="4459B0E0">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1）延误工期。在十天内（含十天）的承包人按10000元/天赔偿，逾期在20天内（含20天）的承包人按20000元/天赔偿，逾期在30天（含30天）的承包人按50000元/天赔偿，如竣工时间超过合同工期一个月以上，发包人有权终止合同，承包人除按本工程结算价的5%支付违约金外，还应赔偿因工期违约给发包人造成的损失。</w:t>
      </w:r>
    </w:p>
    <w:p w14:paraId="495A9DB2">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21.3本合同通用条款第15.1款约定承包人违约应承担的违约责任:</w:t>
      </w:r>
    </w:p>
    <w:p w14:paraId="245B9929">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3610EFD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21.4双方约定的承包人其他违约责任:</w:t>
      </w:r>
    </w:p>
    <w:p w14:paraId="08627298">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21.4.1.遵守政府和发包人对施工现场的一切规定和要求，承担因自身原因违反有关规定造成的损失和罚款。</w:t>
      </w:r>
    </w:p>
    <w:p w14:paraId="11474B4D">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4B050CF2">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21.4.3承包人应服从发包人的制度、会议、通知等形式的管理，以整个项目全局为重，除履行合同义务外应积极配合发包人及其他参建单位完成项目目标。</w:t>
      </w:r>
    </w:p>
    <w:p w14:paraId="09192D6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21.4.4由于承包人原因无故连续停工一周，且又未向监理及发包人书面说明原因并取得发包人书面认可，发包人有权终止合同，承包人将承担一切损失。</w:t>
      </w:r>
    </w:p>
    <w:p w14:paraId="23EF2580">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21.4.5承包人擅自将工程全部或其中的一部分转包或违法分包给其它单位，发包人有权终止合同，并没收履约保证金，由此造成的一切损失由承包人承担。</w:t>
      </w:r>
    </w:p>
    <w:p w14:paraId="548C8E1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21.4.6施工期间由于承包人原因出现重大质量问题，且又无法弥补，给发包人造成重大损失，发包人有权终止合同，承包人负责赔偿发包人由此造成的一切损失。</w:t>
      </w:r>
    </w:p>
    <w:p w14:paraId="58BB16B5">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21.4.7承包人使用劣质材料，无论使用量多少，一经发现，发包人有权终止合同，承包人除承担责任和赔偿损失外，并无条件退出施工现场。</w:t>
      </w:r>
    </w:p>
    <w:p w14:paraId="3E2EB4E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22.争议</w:t>
      </w:r>
    </w:p>
    <w:p w14:paraId="35015B7C">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22.1双方约定,在履行合同过程中产生争议时:</w:t>
      </w:r>
    </w:p>
    <w:p w14:paraId="369F3403">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(1)请有关</w:t>
      </w:r>
      <w:r>
        <w:rPr>
          <w:rFonts w:hint="eastAsia" w:ascii="宋体" w:hAnsi="宋体" w:cs="宋体"/>
          <w:snapToGrid w:val="0"/>
          <w:szCs w:val="21"/>
          <w:u w:val="single"/>
        </w:rPr>
        <w:t>建设行政主管部门</w:t>
      </w:r>
      <w:r>
        <w:rPr>
          <w:rFonts w:hint="eastAsia" w:ascii="宋体" w:hAnsi="宋体" w:cs="宋体"/>
          <w:snapToGrid w:val="0"/>
          <w:szCs w:val="21"/>
        </w:rPr>
        <w:t>调解;</w:t>
      </w:r>
    </w:p>
    <w:p w14:paraId="5C1DEB99">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(2)调解不成，双方约定向</w:t>
      </w:r>
      <w:r>
        <w:rPr>
          <w:rFonts w:hint="eastAsia" w:ascii="宋体" w:hAnsi="宋体" w:cs="宋体"/>
          <w:snapToGrid w:val="0"/>
          <w:szCs w:val="21"/>
          <w:u w:val="single"/>
        </w:rPr>
        <w:t>发包人所在地人民法院</w:t>
      </w:r>
      <w:r>
        <w:rPr>
          <w:rFonts w:hint="eastAsia" w:ascii="宋体" w:hAnsi="宋体" w:cs="宋体"/>
          <w:snapToGrid w:val="0"/>
          <w:szCs w:val="21"/>
        </w:rPr>
        <w:t>提起诉讼。</w:t>
      </w:r>
    </w:p>
    <w:p w14:paraId="620EBC5B">
      <w:pPr>
        <w:pStyle w:val="10"/>
        <w:tabs>
          <w:tab w:val="left" w:pos="284"/>
          <w:tab w:val="left" w:pos="993"/>
          <w:tab w:val="left" w:pos="1134"/>
        </w:tabs>
        <w:spacing w:line="360" w:lineRule="auto"/>
        <w:ind w:left="0" w:leftChars="0" w:firstLine="420" w:firstLineChars="200"/>
        <w:jc w:val="left"/>
        <w:outlineLvl w:val="1"/>
        <w:rPr>
          <w:rFonts w:ascii="宋体" w:hAnsi="宋体" w:cs="宋体"/>
          <w:snapToGrid w:val="0"/>
          <w:szCs w:val="21"/>
        </w:rPr>
      </w:pPr>
      <w:r>
        <w:rPr>
          <w:rFonts w:hint="eastAsia" w:ascii="宋体" w:hAnsi="宋体" w:cs="宋体"/>
          <w:snapToGrid w:val="0"/>
          <w:szCs w:val="21"/>
        </w:rPr>
        <w:t>十、其他</w:t>
      </w:r>
    </w:p>
    <w:p w14:paraId="00E89C3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23.工程分包</w:t>
      </w:r>
    </w:p>
    <w:p w14:paraId="179BA258">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本工程除渣土外运工程外，其他项目不允许转包和违法分包。渣土外运必须发包给具备《渣土运输车辆许可证》、《渣土运输车辆交通安全证》和《渣土运输车辆通行证》的渣土运输企业作业。</w:t>
      </w:r>
    </w:p>
    <w:p w14:paraId="084A68E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24.不可抗力</w:t>
      </w:r>
    </w:p>
    <w:p w14:paraId="29C2844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24.1双方关于不可抗力的约定:</w:t>
      </w:r>
      <w:r>
        <w:rPr>
          <w:rFonts w:hint="eastAsia" w:ascii="宋体" w:hAnsi="宋体" w:cs="宋体"/>
          <w:snapToGrid w:val="0"/>
          <w:szCs w:val="21"/>
          <w:u w:val="single"/>
        </w:rPr>
        <w:t>执行通用条款</w:t>
      </w:r>
    </w:p>
    <w:p w14:paraId="1251CB2B">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25.担保</w:t>
      </w:r>
    </w:p>
    <w:p w14:paraId="578B83D7">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25.1本工程双方约定担保事项如下:</w:t>
      </w:r>
    </w:p>
    <w:p w14:paraId="1FE06624">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 xml:space="preserve">25.2发包人向承包人提供履约担保,担保方式为: </w:t>
      </w:r>
      <w:r>
        <w:rPr>
          <w:rFonts w:hint="eastAsia" w:ascii="宋体" w:hAnsi="宋体" w:cs="宋体"/>
          <w:snapToGrid w:val="0"/>
          <w:szCs w:val="21"/>
          <w:u w:val="single"/>
        </w:rPr>
        <w:t xml:space="preserve">  / </w:t>
      </w:r>
    </w:p>
    <w:p w14:paraId="325BF68F">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25.3承包人向发包人提供履约担保,担保方式为:</w:t>
      </w:r>
      <w:r>
        <w:rPr>
          <w:rFonts w:hint="eastAsia" w:ascii="宋体" w:hAnsi="宋体" w:cs="宋体"/>
          <w:snapToGrid w:val="0"/>
          <w:szCs w:val="21"/>
          <w:u w:val="single"/>
        </w:rPr>
        <w:t>合同签订前承包人向发包人提交合同价的10%履约保证金，合同履行完毕无遗留问题退还履约保证金。如果承包人</w:t>
      </w:r>
      <w:r>
        <w:rPr>
          <w:rFonts w:hint="eastAsia" w:ascii="宋体" w:hAnsi="宋体" w:cs="宋体"/>
          <w:b/>
          <w:snapToGrid w:val="0"/>
          <w:szCs w:val="21"/>
          <w:u w:val="single"/>
        </w:rPr>
        <w:t>在规定时间内</w:t>
      </w:r>
      <w:r>
        <w:rPr>
          <w:rFonts w:hint="eastAsia" w:ascii="宋体" w:hAnsi="宋体" w:cs="宋体"/>
          <w:snapToGrid w:val="0"/>
          <w:szCs w:val="21"/>
          <w:u w:val="single"/>
        </w:rPr>
        <w:t>未能提交履约保证金，将被视为放弃中标资格，由此给发包人造成的损失，应予以赔偿</w:t>
      </w:r>
      <w:r>
        <w:rPr>
          <w:rFonts w:hint="eastAsia" w:ascii="宋体" w:hAnsi="宋体" w:cs="宋体"/>
          <w:snapToGrid w:val="0"/>
          <w:szCs w:val="21"/>
        </w:rPr>
        <w:t>。（以上均不计息）</w:t>
      </w:r>
    </w:p>
    <w:p w14:paraId="434FA681">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26.合同份数</w:t>
      </w:r>
    </w:p>
    <w:p w14:paraId="2E8B0DE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26.1双方约定在合同份数：</w:t>
      </w:r>
    </w:p>
    <w:p w14:paraId="596AD696">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本合同</w:t>
      </w:r>
      <w:r>
        <w:rPr>
          <w:rFonts w:hint="eastAsia" w:ascii="宋体" w:hAnsi="宋体" w:cs="宋体"/>
          <w:b/>
          <w:snapToGrid w:val="0"/>
          <w:szCs w:val="21"/>
          <w:u w:val="single"/>
        </w:rPr>
        <w:t>伍</w:t>
      </w:r>
      <w:r>
        <w:rPr>
          <w:rFonts w:hint="eastAsia" w:ascii="宋体" w:hAnsi="宋体" w:cs="宋体"/>
          <w:snapToGrid w:val="0"/>
          <w:szCs w:val="21"/>
        </w:rPr>
        <w:t>份，其中正本</w:t>
      </w:r>
      <w:r>
        <w:rPr>
          <w:rFonts w:hint="eastAsia" w:ascii="宋体" w:hAnsi="宋体" w:cs="宋体"/>
          <w:b/>
          <w:snapToGrid w:val="0"/>
          <w:szCs w:val="21"/>
          <w:u w:val="single"/>
        </w:rPr>
        <w:t>叁</w:t>
      </w:r>
      <w:r>
        <w:rPr>
          <w:rFonts w:hint="eastAsia" w:ascii="宋体" w:hAnsi="宋体" w:cs="宋体"/>
          <w:snapToGrid w:val="0"/>
          <w:szCs w:val="21"/>
        </w:rPr>
        <w:t>份，副本</w:t>
      </w:r>
      <w:r>
        <w:rPr>
          <w:rFonts w:hint="eastAsia" w:ascii="宋体" w:hAnsi="宋体" w:cs="宋体"/>
          <w:b/>
          <w:snapToGrid w:val="0"/>
          <w:szCs w:val="21"/>
          <w:u w:val="single"/>
        </w:rPr>
        <w:t>贰</w:t>
      </w:r>
      <w:r>
        <w:rPr>
          <w:rFonts w:hint="eastAsia" w:ascii="宋体" w:hAnsi="宋体" w:cs="宋体"/>
          <w:snapToGrid w:val="0"/>
          <w:szCs w:val="21"/>
        </w:rPr>
        <w:t>份。</w:t>
      </w:r>
      <w:r>
        <w:rPr>
          <w:rFonts w:hint="eastAsia" w:ascii="宋体" w:hAnsi="宋体" w:cs="宋体"/>
          <w:szCs w:val="21"/>
        </w:rPr>
        <w:t>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w:t>
      </w:r>
    </w:p>
    <w:p w14:paraId="4C3DA7FE">
      <w:pPr>
        <w:pStyle w:val="10"/>
        <w:tabs>
          <w:tab w:val="left" w:pos="284"/>
          <w:tab w:val="left" w:pos="993"/>
          <w:tab w:val="left" w:pos="1134"/>
        </w:tabs>
        <w:spacing w:line="360" w:lineRule="auto"/>
        <w:ind w:left="0" w:leftChars="0" w:firstLine="420" w:firstLineChars="200"/>
        <w:jc w:val="left"/>
        <w:rPr>
          <w:rFonts w:ascii="宋体" w:hAnsi="宋体" w:cs="宋体"/>
          <w:snapToGrid w:val="0"/>
          <w:szCs w:val="21"/>
        </w:rPr>
      </w:pPr>
      <w:r>
        <w:rPr>
          <w:rFonts w:hint="eastAsia" w:ascii="宋体" w:hAnsi="宋体" w:cs="宋体"/>
          <w:snapToGrid w:val="0"/>
          <w:szCs w:val="21"/>
        </w:rPr>
        <w:t>27.其他</w:t>
      </w:r>
    </w:p>
    <w:p w14:paraId="22F8CFA7">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2）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p>
    <w:p w14:paraId="0A3CCB6A">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(3）施工过程中发生的变更签证，承包人必须在变更发生后5日内申报，逾期对增加费用的签证申报，发包人有权不予承认，但发包人保留对减少费用的签证追溯权；</w:t>
      </w:r>
    </w:p>
    <w:p w14:paraId="553C46AB">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706C0743">
      <w:pPr>
        <w:pStyle w:val="10"/>
        <w:tabs>
          <w:tab w:val="left" w:pos="284"/>
          <w:tab w:val="left" w:pos="993"/>
          <w:tab w:val="left" w:pos="1134"/>
        </w:tabs>
        <w:spacing w:line="360" w:lineRule="auto"/>
        <w:ind w:left="0" w:leftChars="0" w:firstLine="420" w:firstLineChars="200"/>
        <w:contextualSpacing/>
        <w:jc w:val="left"/>
        <w:rPr>
          <w:rFonts w:ascii="宋体" w:hAnsi="宋体" w:cs="宋体"/>
          <w:szCs w:val="21"/>
        </w:rPr>
      </w:pPr>
      <w:r>
        <w:rPr>
          <w:rFonts w:hint="eastAsia" w:ascii="宋体" w:hAnsi="宋体" w:cs="宋体"/>
          <w:snapToGrid w:val="0"/>
          <w:szCs w:val="21"/>
        </w:rPr>
        <w:t>（5）</w:t>
      </w:r>
      <w:r>
        <w:rPr>
          <w:rFonts w:hint="eastAsia" w:ascii="宋体" w:hAnsi="宋体" w:cs="宋体"/>
          <w:szCs w:val="21"/>
        </w:rPr>
        <w:t>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5AAF87B6">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（6）在工程竣工后在进行竣工验收前，对施工范围内进行打扫和清理，达到发包人提出的清洁要求，如达不到上述要求发包人将委托其他单位进行清理，其费用由承包人承担；</w:t>
      </w:r>
    </w:p>
    <w:p w14:paraId="5B91E1D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（7）在工程未交付前，承包人负责做好成品保护，如有损坏应负责维修，直至合格，其维修看护费用由承包人承担。</w:t>
      </w:r>
    </w:p>
    <w:p w14:paraId="3C30E281">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（8）在施工期间医院正常运行，承包人在施工中应做好环境保护及环境安全的防护，部分区域需封闭施工，相关费用视为包含在投标报价中，不再另行支付；</w:t>
      </w:r>
    </w:p>
    <w:p w14:paraId="36FA8783">
      <w:pPr>
        <w:pStyle w:val="10"/>
        <w:tabs>
          <w:tab w:val="left" w:pos="284"/>
          <w:tab w:val="left" w:pos="993"/>
          <w:tab w:val="left" w:pos="1134"/>
        </w:tabs>
        <w:spacing w:line="360" w:lineRule="auto"/>
        <w:ind w:left="0" w:leftChars="0" w:firstLine="420" w:firstLineChars="200"/>
        <w:contextualSpacing/>
        <w:jc w:val="left"/>
        <w:rPr>
          <w:rFonts w:ascii="宋体" w:hAnsi="宋体" w:cs="宋体"/>
          <w:snapToGrid w:val="0"/>
          <w:szCs w:val="21"/>
        </w:rPr>
      </w:pPr>
      <w:r>
        <w:rPr>
          <w:rFonts w:hint="eastAsia" w:ascii="宋体" w:hAnsi="宋体" w:cs="宋体"/>
          <w:snapToGrid w:val="0"/>
          <w:szCs w:val="21"/>
        </w:rPr>
        <w:t>（9）各个施工环节，需发包人施工质量管理员现场验收确认后方可进行下一环节施工；</w:t>
      </w:r>
    </w:p>
    <w:p w14:paraId="4766C41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napToGrid w:val="0"/>
          <w:kern w:val="0"/>
          <w:szCs w:val="21"/>
        </w:rPr>
        <w:t>（</w:t>
      </w:r>
      <w:r>
        <w:rPr>
          <w:rFonts w:hint="eastAsia" w:ascii="宋体" w:hAnsi="宋体" w:cs="宋体"/>
          <w:szCs w:val="21"/>
        </w:rPr>
        <w:t>10</w:t>
      </w:r>
      <w:r>
        <w:rPr>
          <w:rFonts w:hint="eastAsia" w:ascii="宋体" w:hAnsi="宋体" w:cs="宋体"/>
          <w:snapToGrid w:val="0"/>
          <w:kern w:val="0"/>
          <w:szCs w:val="21"/>
        </w:rPr>
        <w:t>）</w:t>
      </w:r>
      <w:r>
        <w:rPr>
          <w:rFonts w:hint="eastAsia" w:ascii="宋体" w:hAnsi="宋体" w:cs="宋体"/>
          <w:szCs w:val="21"/>
        </w:rPr>
        <w:t>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208B4B8A">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（11）承包人在中标公示结束后30天内与发包人签订施工合同并交纳履约保证金；</w:t>
      </w:r>
    </w:p>
    <w:p w14:paraId="32F30AA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7471490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（13）承包人擅自将工程全部或其中的一部分转包或违法分包给其他单位，发包人有权终止合同，并没收履约保证金，由此造成的一切损失由承包人承担；</w:t>
      </w:r>
    </w:p>
    <w:p w14:paraId="7B2524C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（14）施工方对施工材料运送要统筹考虑,不得影响院区内的道路交通,对施工场地周边的道路、树木、建筑等设施做好保护；</w:t>
      </w:r>
    </w:p>
    <w:p w14:paraId="248F2606">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28、施工期间相关要求：（以下规定与政府部门有冲突的部分依照政府文件规定执行）</w:t>
      </w:r>
    </w:p>
    <w:p w14:paraId="72462FD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（1）严格按国家强制性标准、施工组织设计或拆除方案实施相关部位拆除施工作业；</w:t>
      </w:r>
    </w:p>
    <w:p w14:paraId="60F2FDB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（2）做好拆除工程施工现场的防护。在现场醒目位置设置施工标志牌、安全警示牌，人员通道设置防护通道，非施工人员不得进入施工区；</w:t>
      </w:r>
    </w:p>
    <w:p w14:paraId="0E63FC9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（3）制定安全事故应急救援预案，做好防火、防盗工作；</w:t>
      </w:r>
    </w:p>
    <w:p w14:paraId="264CBC3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（4）对拆除施工人员进行安全技术交底，施工作业人员必须穿戴安全帽等劳动保护用品，高处作业应系好安全带，不得冒险作业；</w:t>
      </w:r>
    </w:p>
    <w:p w14:paraId="0A969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（5）由施工方、监理、承包人方共同对拆除的部位进行标记，由施工方检查建筑内各类管线情况，确认必须切断的应全部切断后方可施工；</w:t>
      </w:r>
    </w:p>
    <w:p w14:paraId="45164707">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（6）拆除施工时应有防止扬尘和降低噪声的措施，拆除前洒水，过程中喷水，采用轻型风镐，严禁超负荷或带故障运转；</w:t>
      </w:r>
    </w:p>
    <w:p w14:paraId="41AC336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5BC3C4F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（8）楼层内的施工垃圾应采用垃圾袋运下，不得向下抛掷；</w:t>
      </w:r>
    </w:p>
    <w:p w14:paraId="44A7C81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（9）对原有梁、柱、楼板面等建筑结构要进行有效防护，拆除部位的地面必须用模板铺垫；</w:t>
      </w:r>
    </w:p>
    <w:p w14:paraId="177D417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（10）室内墙体在拆除时，顶部应拆除至梁体或楼板混凝土结构面，将砂浆连接层彻底清理干净，便于下道工序直接施工包含柱面；</w:t>
      </w:r>
    </w:p>
    <w:p w14:paraId="3B37648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(11)现场用电应符合施工现场临时用电安全技术规范要求；</w:t>
      </w:r>
    </w:p>
    <w:p w14:paraId="3181E87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(12)根据拆除现场作业环境，制定相应的消防安全措施；</w:t>
      </w:r>
    </w:p>
    <w:p w14:paraId="2B41BDC9">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(13)拆除后形成的临边洞口及时维护完成；</w:t>
      </w:r>
    </w:p>
    <w:p w14:paraId="2C64AC3B">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(14)清运渣土的车辆应封闭或覆盖，出入现场应有专人指挥，作业时间、作业方式应遵守扬州市有关管理规定。要求拆除的垃圾袋装化处理，并及时拆及时清运；</w:t>
      </w:r>
    </w:p>
    <w:p w14:paraId="4A7B5124">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(15)使用建设单位提供运输等设备、设施要服从管理安排，爱护设备，损坏赔偿；</w:t>
      </w:r>
    </w:p>
    <w:p w14:paraId="0190E455">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(16)编制切实可行的施工准备计划，科学、合理安排组织施工工序，对准备工作建立严格的责任制和检查制度，做到有计划、有分工、有布置、有检查，各分部分项工程必须按计划完成；</w:t>
      </w:r>
    </w:p>
    <w:p w14:paraId="265861A0">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23F93DA1">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(18)若有后续工作跟进施工应与配合，及时提供工作面，确保后续工作顺利实施；</w:t>
      </w:r>
    </w:p>
    <w:p w14:paraId="304FB7DE">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(19)本工程不包含任何可回收材料，可回收材料均属发包人所有；</w:t>
      </w:r>
    </w:p>
    <w:p w14:paraId="07848F42">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（20）保险</w:t>
      </w:r>
    </w:p>
    <w:p w14:paraId="6783AB9C">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工程保险：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38B5A7ED">
      <w:pPr>
        <w:pStyle w:val="60"/>
        <w:tabs>
          <w:tab w:val="left" w:pos="284"/>
        </w:tabs>
        <w:spacing w:line="360" w:lineRule="auto"/>
        <w:ind w:firstLine="420" w:firstLineChars="200"/>
        <w:contextualSpacing/>
        <w:jc w:val="left"/>
        <w:rPr>
          <w:rFonts w:ascii="宋体" w:hAnsi="宋体" w:cs="宋体"/>
          <w:szCs w:val="21"/>
        </w:rPr>
      </w:pPr>
      <w:r>
        <w:rPr>
          <w:rFonts w:hint="eastAsia" w:ascii="宋体" w:hAnsi="宋体" w:cs="宋体"/>
          <w:szCs w:val="21"/>
        </w:rPr>
        <w:t>其他保险：</w:t>
      </w:r>
      <w:r>
        <w:rPr>
          <w:rFonts w:hint="eastAsia" w:ascii="宋体" w:hAnsi="宋体" w:cs="宋体"/>
          <w:szCs w:val="21"/>
          <w:u w:val="single"/>
        </w:rPr>
        <w:t>按相关规定，应由承包人缴纳的保险必须按时依法办理</w:t>
      </w:r>
      <w:r>
        <w:rPr>
          <w:rFonts w:hint="eastAsia" w:ascii="宋体" w:hAnsi="宋体" w:cs="宋体"/>
          <w:szCs w:val="21"/>
        </w:rPr>
        <w:t>。</w:t>
      </w:r>
    </w:p>
    <w:p w14:paraId="707D90C4">
      <w:pPr>
        <w:pStyle w:val="60"/>
        <w:tabs>
          <w:tab w:val="left" w:pos="284"/>
        </w:tabs>
        <w:spacing w:line="360" w:lineRule="auto"/>
        <w:ind w:firstLine="420" w:firstLineChars="200"/>
        <w:contextualSpacing/>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应该办理</w:t>
      </w:r>
    </w:p>
    <w:p w14:paraId="7D359D35">
      <w:pPr>
        <w:pStyle w:val="60"/>
        <w:tabs>
          <w:tab w:val="left" w:pos="284"/>
        </w:tabs>
        <w:spacing w:line="360" w:lineRule="auto"/>
        <w:ind w:firstLine="420" w:firstLineChars="200"/>
        <w:contextualSpacing/>
        <w:jc w:val="left"/>
        <w:rPr>
          <w:rFonts w:ascii="宋体" w:hAnsi="宋体" w:cs="宋体"/>
          <w:sz w:val="24"/>
          <w:szCs w:val="24"/>
        </w:rPr>
      </w:pPr>
      <w:r>
        <w:rPr>
          <w:rFonts w:hint="eastAsia" w:ascii="宋体" w:hAnsi="宋体" w:cs="宋体"/>
          <w:szCs w:val="21"/>
        </w:rPr>
        <w:t>关于变更保险合同时的通知义务的约定：</w:t>
      </w:r>
      <w:r>
        <w:rPr>
          <w:rFonts w:hint="eastAsia" w:ascii="宋体" w:hAnsi="宋体" w:cs="宋体"/>
          <w:szCs w:val="21"/>
          <w:u w:val="single"/>
        </w:rPr>
        <w:t>执行通用条款</w:t>
      </w:r>
    </w:p>
    <w:p w14:paraId="36104FEF">
      <w:pPr>
        <w:spacing w:line="360" w:lineRule="auto"/>
        <w:ind w:firstLine="562" w:firstLineChars="200"/>
        <w:contextualSpacing/>
        <w:outlineLvl w:val="1"/>
        <w:rPr>
          <w:rFonts w:ascii="宋体" w:hAnsi="宋体" w:cs="宋体"/>
          <w:b/>
          <w:sz w:val="28"/>
          <w:szCs w:val="28"/>
        </w:rPr>
      </w:pPr>
      <w:r>
        <w:rPr>
          <w:rFonts w:hint="eastAsia" w:ascii="宋体" w:hAnsi="宋体" w:cs="宋体"/>
          <w:b/>
          <w:sz w:val="28"/>
          <w:szCs w:val="28"/>
        </w:rPr>
        <w:br w:type="page"/>
      </w:r>
      <w:r>
        <w:rPr>
          <w:rFonts w:hint="eastAsia" w:ascii="宋体" w:hAnsi="宋体" w:cs="宋体"/>
          <w:b/>
          <w:sz w:val="28"/>
          <w:szCs w:val="28"/>
        </w:rPr>
        <w:t>附件1</w:t>
      </w:r>
    </w:p>
    <w:p w14:paraId="35C0B926">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建设工程施工场地管理规定</w:t>
      </w:r>
    </w:p>
    <w:p w14:paraId="06EAA19D">
      <w:pPr>
        <w:spacing w:line="360" w:lineRule="auto"/>
        <w:ind w:firstLine="420" w:firstLineChars="200"/>
        <w:contextualSpacing/>
        <w:rPr>
          <w:rFonts w:ascii="宋体" w:hAnsi="宋体" w:cs="宋体"/>
          <w:szCs w:val="21"/>
        </w:rPr>
      </w:pPr>
      <w:r>
        <w:rPr>
          <w:rFonts w:hint="eastAsia" w:ascii="宋体" w:hAnsi="宋体" w:cs="宋体"/>
          <w:szCs w:val="21"/>
        </w:rPr>
        <w:t>为了保证建设工程质量、进度达到预定目标,确保在施工中不出现质量、安全责任事故,同时能给各施工单位创造良好的文明施工环境、合作条件,经研究特制订本工程施工场地管理规定。</w:t>
      </w:r>
    </w:p>
    <w:p w14:paraId="63A940E9">
      <w:pPr>
        <w:spacing w:line="360" w:lineRule="auto"/>
        <w:ind w:firstLine="420" w:firstLineChars="200"/>
        <w:contextualSpacing/>
        <w:rPr>
          <w:rFonts w:ascii="宋体" w:hAnsi="宋体" w:cs="宋体"/>
          <w:szCs w:val="21"/>
        </w:rPr>
      </w:pPr>
      <w:r>
        <w:rPr>
          <w:rFonts w:hint="eastAsia" w:ascii="宋体" w:hAnsi="宋体" w:cs="宋体"/>
          <w:szCs w:val="21"/>
        </w:rPr>
        <w:t>一、施工场地管理要求:</w:t>
      </w:r>
    </w:p>
    <w:p w14:paraId="7E3C85FE">
      <w:pPr>
        <w:spacing w:line="360" w:lineRule="auto"/>
        <w:ind w:firstLine="420" w:firstLineChars="200"/>
        <w:contextualSpacing/>
        <w:rPr>
          <w:rFonts w:ascii="宋体" w:hAnsi="宋体" w:cs="宋体"/>
          <w:szCs w:val="21"/>
        </w:rPr>
      </w:pPr>
      <w:r>
        <w:rPr>
          <w:rFonts w:hint="eastAsia" w:ascii="宋体" w:hAnsi="宋体" w:cs="宋体"/>
          <w:szCs w:val="21"/>
        </w:rPr>
        <w:t>1、所有进场的施工单位必须建立健全项目管理机构,项目部全体人员一览表应公布上墙。</w:t>
      </w:r>
    </w:p>
    <w:p w14:paraId="5D30691E">
      <w:pPr>
        <w:spacing w:line="360" w:lineRule="auto"/>
        <w:ind w:firstLine="420" w:firstLineChars="200"/>
        <w:contextualSpacing/>
        <w:rPr>
          <w:rFonts w:ascii="宋体" w:hAnsi="宋体" w:cs="宋体"/>
          <w:szCs w:val="21"/>
        </w:rPr>
      </w:pPr>
      <w:r>
        <w:rPr>
          <w:rFonts w:hint="eastAsia" w:ascii="宋体" w:hAnsi="宋体" w:cs="宋体"/>
          <w:szCs w:val="21"/>
        </w:rPr>
        <w:t>2、各项目部应根据国家和省、市有关法律、法规、标准、规范,按照项目部的工作要求建立如下规章制度。</w:t>
      </w:r>
    </w:p>
    <w:p w14:paraId="089CE40D">
      <w:pPr>
        <w:spacing w:line="360" w:lineRule="auto"/>
        <w:ind w:firstLine="420" w:firstLineChars="200"/>
        <w:contextualSpacing/>
        <w:rPr>
          <w:rFonts w:ascii="宋体" w:hAnsi="宋体" w:cs="宋体"/>
          <w:szCs w:val="21"/>
        </w:rPr>
      </w:pPr>
      <w:r>
        <w:rPr>
          <w:rFonts w:hint="eastAsia" w:ascii="宋体" w:hAnsi="宋体" w:cs="宋体"/>
          <w:szCs w:val="21"/>
        </w:rPr>
        <w:t>(1)安全生产责任制度、安全教育制度</w:t>
      </w:r>
    </w:p>
    <w:p w14:paraId="0BCE8833">
      <w:pPr>
        <w:spacing w:line="360" w:lineRule="auto"/>
        <w:ind w:firstLine="420" w:firstLineChars="200"/>
        <w:contextualSpacing/>
        <w:rPr>
          <w:rFonts w:ascii="宋体" w:hAnsi="宋体" w:cs="宋体"/>
          <w:szCs w:val="21"/>
        </w:rPr>
      </w:pPr>
      <w:r>
        <w:rPr>
          <w:rFonts w:hint="eastAsia" w:ascii="宋体" w:hAnsi="宋体" w:cs="宋体"/>
          <w:szCs w:val="21"/>
        </w:rPr>
        <w:t>(2)质量、进度目标管理制度</w:t>
      </w:r>
    </w:p>
    <w:p w14:paraId="35C49F31">
      <w:pPr>
        <w:spacing w:line="360" w:lineRule="auto"/>
        <w:ind w:firstLine="420" w:firstLineChars="200"/>
        <w:contextualSpacing/>
        <w:rPr>
          <w:rFonts w:ascii="宋体" w:hAnsi="宋体" w:cs="宋体"/>
          <w:szCs w:val="21"/>
        </w:rPr>
      </w:pPr>
      <w:r>
        <w:rPr>
          <w:rFonts w:hint="eastAsia" w:ascii="宋体" w:hAnsi="宋体" w:cs="宋体"/>
          <w:szCs w:val="21"/>
        </w:rPr>
        <w:t>(3)文明施工及场地清洁卫生管理制度</w:t>
      </w:r>
    </w:p>
    <w:p w14:paraId="1C4B8F5F">
      <w:pPr>
        <w:spacing w:line="360" w:lineRule="auto"/>
        <w:ind w:firstLine="420" w:firstLineChars="200"/>
        <w:contextualSpacing/>
        <w:rPr>
          <w:rFonts w:ascii="宋体" w:hAnsi="宋体" w:cs="宋体"/>
          <w:szCs w:val="21"/>
        </w:rPr>
      </w:pPr>
      <w:r>
        <w:rPr>
          <w:rFonts w:hint="eastAsia" w:ascii="宋体" w:hAnsi="宋体" w:cs="宋体"/>
          <w:szCs w:val="21"/>
        </w:rPr>
        <w:t>(4)施工用电管理制度</w:t>
      </w:r>
    </w:p>
    <w:p w14:paraId="547BA52F">
      <w:pPr>
        <w:spacing w:line="360" w:lineRule="auto"/>
        <w:ind w:firstLine="420" w:firstLineChars="200"/>
        <w:contextualSpacing/>
        <w:rPr>
          <w:rFonts w:ascii="宋体" w:hAnsi="宋体" w:cs="宋体"/>
          <w:szCs w:val="21"/>
        </w:rPr>
      </w:pPr>
      <w:r>
        <w:rPr>
          <w:rFonts w:hint="eastAsia" w:ascii="宋体" w:hAnsi="宋体" w:cs="宋体"/>
          <w:szCs w:val="21"/>
        </w:rPr>
        <w:t>(5)“三宝”、“四口”“五临边”防护制度</w:t>
      </w:r>
    </w:p>
    <w:p w14:paraId="681646F3">
      <w:pPr>
        <w:spacing w:line="360" w:lineRule="auto"/>
        <w:ind w:firstLine="420" w:firstLineChars="200"/>
        <w:contextualSpacing/>
        <w:rPr>
          <w:rFonts w:ascii="宋体" w:hAnsi="宋体" w:cs="宋体"/>
          <w:szCs w:val="21"/>
        </w:rPr>
      </w:pPr>
      <w:r>
        <w:rPr>
          <w:rFonts w:hint="eastAsia" w:ascii="宋体" w:hAnsi="宋体" w:cs="宋体"/>
          <w:szCs w:val="21"/>
        </w:rPr>
        <w:t>(6)成品保护制度</w:t>
      </w:r>
    </w:p>
    <w:p w14:paraId="62F9F369">
      <w:pPr>
        <w:spacing w:line="360" w:lineRule="auto"/>
        <w:ind w:firstLine="420" w:firstLineChars="200"/>
        <w:contextualSpacing/>
        <w:rPr>
          <w:rFonts w:ascii="宋体" w:hAnsi="宋体" w:cs="宋体"/>
          <w:szCs w:val="21"/>
        </w:rPr>
      </w:pPr>
      <w:r>
        <w:rPr>
          <w:rFonts w:hint="eastAsia" w:ascii="宋体" w:hAnsi="宋体" w:cs="宋体"/>
          <w:szCs w:val="21"/>
        </w:rPr>
        <w:t>(7)动火管理制度</w:t>
      </w:r>
    </w:p>
    <w:p w14:paraId="11439D7F">
      <w:pPr>
        <w:spacing w:line="360" w:lineRule="auto"/>
        <w:ind w:firstLine="420" w:firstLineChars="200"/>
        <w:contextualSpacing/>
        <w:rPr>
          <w:rFonts w:ascii="宋体" w:hAnsi="宋体" w:cs="宋体"/>
          <w:szCs w:val="21"/>
        </w:rPr>
      </w:pPr>
      <w:r>
        <w:rPr>
          <w:rFonts w:hint="eastAsia" w:ascii="宋体" w:hAnsi="宋体" w:cs="宋体"/>
          <w:szCs w:val="21"/>
        </w:rPr>
        <w:t>(8)其它规章制度</w:t>
      </w:r>
    </w:p>
    <w:p w14:paraId="3DA55181">
      <w:pPr>
        <w:spacing w:line="360" w:lineRule="auto"/>
        <w:ind w:firstLine="420" w:firstLineChars="200"/>
        <w:contextualSpacing/>
        <w:rPr>
          <w:rFonts w:ascii="宋体" w:hAnsi="宋体" w:cs="宋体"/>
          <w:szCs w:val="21"/>
        </w:rPr>
      </w:pPr>
      <w:r>
        <w:rPr>
          <w:rFonts w:hint="eastAsia" w:ascii="宋体" w:hAnsi="宋体" w:cs="宋体"/>
          <w:szCs w:val="21"/>
        </w:rPr>
        <w:t>3、各项目部应认真执行如下规定。</w:t>
      </w:r>
    </w:p>
    <w:p w14:paraId="3CEA6E5B">
      <w:pPr>
        <w:spacing w:line="360" w:lineRule="auto"/>
        <w:ind w:firstLine="420" w:firstLineChars="200"/>
        <w:contextualSpacing/>
        <w:rPr>
          <w:rFonts w:ascii="宋体" w:hAnsi="宋体" w:cs="宋体"/>
          <w:szCs w:val="21"/>
        </w:rPr>
      </w:pPr>
      <w:r>
        <w:rPr>
          <w:rFonts w:hint="eastAsia" w:ascii="宋体" w:hAnsi="宋体" w:cs="宋体"/>
          <w:szCs w:val="21"/>
        </w:rPr>
        <w:t>(1)各施工单位的项目经理必须坚守工作岗位,遇有特殊情况需要离开施工现场必须向承包人、监理请假,经同意后才能离开。</w:t>
      </w:r>
    </w:p>
    <w:p w14:paraId="6311CAA7">
      <w:pPr>
        <w:spacing w:line="360" w:lineRule="auto"/>
        <w:ind w:firstLine="420" w:firstLineChars="200"/>
        <w:contextualSpacing/>
        <w:rPr>
          <w:rFonts w:ascii="宋体" w:hAnsi="宋体" w:cs="宋体"/>
          <w:szCs w:val="21"/>
        </w:rPr>
      </w:pPr>
      <w:r>
        <w:rPr>
          <w:rFonts w:hint="eastAsia" w:ascii="宋体" w:hAnsi="宋体" w:cs="宋体"/>
          <w:szCs w:val="21"/>
        </w:rPr>
        <w:t>(2)各项目部的质量和安全管理人员应认真履行工作职责,上述人员如有变动必须报发包人、监理同意。</w:t>
      </w:r>
    </w:p>
    <w:p w14:paraId="582E9A9D">
      <w:pPr>
        <w:spacing w:line="360" w:lineRule="auto"/>
        <w:ind w:firstLine="420" w:firstLineChars="200"/>
        <w:contextualSpacing/>
        <w:rPr>
          <w:rFonts w:ascii="宋体" w:hAnsi="宋体" w:cs="宋体"/>
          <w:szCs w:val="21"/>
        </w:rPr>
      </w:pPr>
      <w:r>
        <w:rPr>
          <w:rFonts w:hint="eastAsia" w:ascii="宋体" w:hAnsi="宋体" w:cs="宋体"/>
          <w:szCs w:val="21"/>
        </w:rPr>
        <w:t>(3)各项目部在施工前应认真编制施工方案,并上报监理、发包人审核,经审核同意后严格按方案实施,对重点部位应按要求编制专项施工方案。</w:t>
      </w:r>
    </w:p>
    <w:p w14:paraId="2CC799DE">
      <w:pPr>
        <w:spacing w:line="360" w:lineRule="auto"/>
        <w:ind w:firstLine="420" w:firstLineChars="200"/>
        <w:contextualSpacing/>
        <w:rPr>
          <w:rFonts w:ascii="宋体" w:hAnsi="宋体" w:cs="宋体"/>
          <w:szCs w:val="21"/>
        </w:rPr>
      </w:pPr>
      <w:r>
        <w:rPr>
          <w:rFonts w:hint="eastAsia" w:ascii="宋体" w:hAnsi="宋体" w:cs="宋体"/>
          <w:szCs w:val="21"/>
        </w:rPr>
        <w:t>(4)隐蔽工程应先进行自检,自检合格后报监理及发包人进行隐蔽部位验收隐蔽工程在封闭前要求各施工单位执行会签制度。未经验收、会签不得擅自封闭。</w:t>
      </w:r>
    </w:p>
    <w:p w14:paraId="0903BB23">
      <w:pPr>
        <w:spacing w:line="360" w:lineRule="auto"/>
        <w:ind w:firstLine="420" w:firstLineChars="200"/>
        <w:contextualSpacing/>
        <w:rPr>
          <w:rFonts w:ascii="宋体" w:hAnsi="宋体" w:cs="宋体"/>
          <w:szCs w:val="21"/>
        </w:rPr>
      </w:pPr>
      <w:r>
        <w:rPr>
          <w:rFonts w:hint="eastAsia" w:ascii="宋体" w:hAnsi="宋体" w:cs="宋体"/>
          <w:szCs w:val="21"/>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67465E39">
      <w:pPr>
        <w:spacing w:line="360" w:lineRule="auto"/>
        <w:ind w:firstLine="420" w:firstLineChars="200"/>
        <w:contextualSpacing/>
        <w:rPr>
          <w:rFonts w:ascii="宋体" w:hAnsi="宋体" w:cs="宋体"/>
          <w:szCs w:val="21"/>
        </w:rPr>
      </w:pPr>
      <w:r>
        <w:rPr>
          <w:rFonts w:hint="eastAsia" w:ascii="宋体" w:hAnsi="宋体" w:cs="宋体"/>
          <w:szCs w:val="21"/>
        </w:rPr>
        <w:t>(6)加强现场安全保卫工作,所有施工单位进场人员必须佩带胸牌上岗,进入施工现场必须配戴安全帽。</w:t>
      </w:r>
    </w:p>
    <w:p w14:paraId="434AE307">
      <w:pPr>
        <w:spacing w:line="360" w:lineRule="auto"/>
        <w:ind w:firstLine="420" w:firstLineChars="200"/>
        <w:contextualSpacing/>
        <w:rPr>
          <w:rFonts w:ascii="宋体" w:hAnsi="宋体" w:cs="宋体"/>
          <w:szCs w:val="21"/>
        </w:rPr>
      </w:pPr>
      <w:r>
        <w:rPr>
          <w:rFonts w:hint="eastAsia" w:ascii="宋体" w:hAnsi="宋体" w:cs="宋体"/>
          <w:szCs w:val="21"/>
        </w:rPr>
        <w:t>(7)未施工的材料应要善保管,已施工完毕的成品必须加强保护(附件:成品地面、门窗成品保护要求),同时要求做好防火、防盗和用电安全管理等工作。</w:t>
      </w:r>
    </w:p>
    <w:p w14:paraId="3FD406F3">
      <w:pPr>
        <w:spacing w:line="360" w:lineRule="auto"/>
        <w:ind w:firstLine="420" w:firstLineChars="200"/>
        <w:contextualSpacing/>
        <w:rPr>
          <w:rFonts w:ascii="宋体" w:hAnsi="宋体" w:cs="宋体"/>
          <w:szCs w:val="21"/>
        </w:rPr>
      </w:pPr>
      <w:r>
        <w:rPr>
          <w:rFonts w:hint="eastAsia" w:ascii="宋体" w:hAnsi="宋体" w:cs="宋体"/>
          <w:szCs w:val="21"/>
        </w:rPr>
        <w:t>(8)保持施工现场环境卫生整洁。建筑垃圾、生活垃圾及时清理,按指定地点堆放。</w:t>
      </w:r>
    </w:p>
    <w:p w14:paraId="7C72EE4E">
      <w:pPr>
        <w:spacing w:line="360" w:lineRule="auto"/>
        <w:ind w:firstLine="420" w:firstLineChars="200"/>
        <w:contextualSpacing/>
        <w:rPr>
          <w:rFonts w:ascii="宋体" w:hAnsi="宋体" w:cs="宋体"/>
          <w:szCs w:val="21"/>
        </w:rPr>
      </w:pPr>
      <w:r>
        <w:rPr>
          <w:rFonts w:hint="eastAsia" w:ascii="宋体" w:hAnsi="宋体" w:cs="宋体"/>
          <w:szCs w:val="21"/>
        </w:rPr>
        <w:t>(9)施工单位必须按照图纸施工,施工中如需调整与变更应及时办理变更手续,并严格执行。</w:t>
      </w:r>
    </w:p>
    <w:p w14:paraId="1F56F39D">
      <w:pPr>
        <w:spacing w:line="360" w:lineRule="auto"/>
        <w:ind w:firstLine="420" w:firstLineChars="200"/>
        <w:contextualSpacing/>
        <w:rPr>
          <w:rFonts w:ascii="宋体" w:hAnsi="宋体" w:cs="宋体"/>
          <w:szCs w:val="21"/>
        </w:rPr>
      </w:pPr>
      <w:r>
        <w:rPr>
          <w:rFonts w:hint="eastAsia" w:ascii="宋体" w:hAnsi="宋体" w:cs="宋体"/>
          <w:szCs w:val="21"/>
        </w:rPr>
        <w:t>(10)对监理、业主发现的工程施工质量、安全问题,各施工单位应按发包人、监理意见积极整改到位。</w:t>
      </w:r>
    </w:p>
    <w:p w14:paraId="44867F20">
      <w:pPr>
        <w:spacing w:line="360" w:lineRule="auto"/>
        <w:ind w:firstLine="420" w:firstLineChars="200"/>
        <w:contextualSpacing/>
        <w:rPr>
          <w:rFonts w:ascii="宋体" w:hAnsi="宋体" w:cs="宋体"/>
          <w:szCs w:val="21"/>
        </w:rPr>
      </w:pPr>
      <w:r>
        <w:rPr>
          <w:rFonts w:hint="eastAsia" w:ascii="宋体" w:hAnsi="宋体" w:cs="宋体"/>
          <w:szCs w:val="21"/>
        </w:rPr>
        <w:t>(11)各施工单位应树立全局观念,主动积极做好协调、配合工作,不得故意刁难,相互扯皮。</w:t>
      </w:r>
    </w:p>
    <w:p w14:paraId="18DD4983">
      <w:pPr>
        <w:spacing w:line="360" w:lineRule="auto"/>
        <w:ind w:firstLine="420" w:firstLineChars="200"/>
        <w:contextualSpacing/>
        <w:rPr>
          <w:rFonts w:ascii="宋体" w:hAnsi="宋体" w:cs="宋体"/>
          <w:szCs w:val="21"/>
        </w:rPr>
      </w:pPr>
      <w:r>
        <w:rPr>
          <w:rFonts w:hint="eastAsia" w:ascii="宋体" w:hAnsi="宋体" w:cs="宋体"/>
          <w:szCs w:val="21"/>
        </w:rPr>
        <w:t>(12)各施工单位必须对照施工合同,严格履行合同承诺。</w:t>
      </w:r>
    </w:p>
    <w:p w14:paraId="66F96884">
      <w:pPr>
        <w:spacing w:line="360" w:lineRule="auto"/>
        <w:ind w:firstLine="420" w:firstLineChars="200"/>
        <w:contextualSpacing/>
        <w:rPr>
          <w:rFonts w:ascii="宋体" w:hAnsi="宋体" w:cs="宋体"/>
          <w:szCs w:val="21"/>
        </w:rPr>
      </w:pPr>
      <w:r>
        <w:rPr>
          <w:rFonts w:hint="eastAsia" w:ascii="宋体" w:hAnsi="宋体" w:cs="宋体"/>
          <w:szCs w:val="21"/>
        </w:rPr>
        <w:t>二、施工管理处罚规定:</w:t>
      </w:r>
    </w:p>
    <w:p w14:paraId="1C919F02">
      <w:pPr>
        <w:spacing w:line="360" w:lineRule="auto"/>
        <w:ind w:firstLine="420" w:firstLineChars="200"/>
        <w:contextualSpacing/>
        <w:rPr>
          <w:rFonts w:ascii="宋体" w:hAnsi="宋体" w:cs="宋体"/>
          <w:szCs w:val="21"/>
        </w:rPr>
      </w:pPr>
      <w:r>
        <w:rPr>
          <w:rFonts w:hint="eastAsia" w:ascii="宋体" w:hAnsi="宋体" w:cs="宋体"/>
          <w:szCs w:val="21"/>
        </w:rPr>
        <w:t>凡出现下列情况者给予处罚如下:</w:t>
      </w:r>
    </w:p>
    <w:p w14:paraId="40A87AB2">
      <w:pPr>
        <w:spacing w:line="360" w:lineRule="auto"/>
        <w:ind w:firstLine="420" w:firstLineChars="200"/>
        <w:contextualSpacing/>
        <w:rPr>
          <w:rFonts w:ascii="宋体" w:hAnsi="宋体" w:cs="宋体"/>
          <w:szCs w:val="21"/>
        </w:rPr>
      </w:pPr>
      <w:r>
        <w:rPr>
          <w:rFonts w:hint="eastAsia" w:ascii="宋体" w:hAnsi="宋体" w:cs="宋体"/>
          <w:szCs w:val="21"/>
        </w:rPr>
        <w:t>1、文明施工方面:</w:t>
      </w:r>
    </w:p>
    <w:p w14:paraId="5D55062C">
      <w:pPr>
        <w:spacing w:line="360" w:lineRule="auto"/>
        <w:ind w:firstLine="420" w:firstLineChars="200"/>
        <w:contextualSpacing/>
        <w:rPr>
          <w:rFonts w:ascii="宋体" w:hAnsi="宋体" w:cs="宋体"/>
          <w:szCs w:val="21"/>
        </w:rPr>
      </w:pPr>
      <w:r>
        <w:rPr>
          <w:rFonts w:hint="eastAsia" w:ascii="宋体" w:hAnsi="宋体" w:cs="宋体"/>
          <w:szCs w:val="21"/>
        </w:rPr>
        <w:t>(1)各单位人员进入现场施工必须佩戴工作卡,发现无卡人员每人次处罚50元。</w:t>
      </w:r>
    </w:p>
    <w:p w14:paraId="748D4C57">
      <w:pPr>
        <w:spacing w:line="360" w:lineRule="auto"/>
        <w:ind w:firstLine="420" w:firstLineChars="200"/>
        <w:contextualSpacing/>
        <w:rPr>
          <w:rFonts w:ascii="宋体" w:hAnsi="宋体" w:cs="宋体"/>
          <w:szCs w:val="21"/>
        </w:rPr>
      </w:pPr>
      <w:r>
        <w:rPr>
          <w:rFonts w:hint="eastAsia" w:ascii="宋体" w:hAnsi="宋体" w:cs="宋体"/>
          <w:szCs w:val="21"/>
        </w:rPr>
        <w:t>(2)施工作业人员不准穿拖鞋、高跟鞋、赤膊,发现一人次处罚50元。严禁酒后进入施工区作业,发现一人次罚款50元。严禁家眷、小孩进入施工区,每发现一人次处罚50元。</w:t>
      </w:r>
    </w:p>
    <w:p w14:paraId="41D7C2C9">
      <w:pPr>
        <w:spacing w:line="360" w:lineRule="auto"/>
        <w:ind w:firstLine="420" w:firstLineChars="200"/>
        <w:contextualSpacing/>
        <w:rPr>
          <w:rFonts w:ascii="宋体" w:hAnsi="宋体" w:cs="宋体"/>
          <w:szCs w:val="21"/>
        </w:rPr>
      </w:pPr>
      <w:r>
        <w:rPr>
          <w:rFonts w:hint="eastAsia" w:ascii="宋体" w:hAnsi="宋体" w:cs="宋体"/>
          <w:szCs w:val="21"/>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7029E654">
      <w:pPr>
        <w:spacing w:line="360" w:lineRule="auto"/>
        <w:ind w:firstLine="420" w:firstLineChars="200"/>
        <w:contextualSpacing/>
        <w:rPr>
          <w:rFonts w:ascii="宋体" w:hAnsi="宋体" w:cs="宋体"/>
          <w:szCs w:val="21"/>
        </w:rPr>
      </w:pPr>
      <w:r>
        <w:rPr>
          <w:rFonts w:hint="eastAsia" w:ascii="宋体" w:hAnsi="宋体" w:cs="宋体"/>
          <w:szCs w:val="21"/>
        </w:rPr>
        <w:t>(4)在建建筑物内除仓库保管员及保卫人员外,其余人员严禁入住,发现一次处罚200元。</w:t>
      </w:r>
    </w:p>
    <w:p w14:paraId="4670081A">
      <w:pPr>
        <w:spacing w:line="360" w:lineRule="auto"/>
        <w:ind w:firstLine="420" w:firstLineChars="200"/>
        <w:contextualSpacing/>
        <w:rPr>
          <w:rFonts w:ascii="宋体" w:hAnsi="宋体" w:cs="宋体"/>
          <w:szCs w:val="21"/>
        </w:rPr>
      </w:pPr>
      <w:r>
        <w:rPr>
          <w:rFonts w:hint="eastAsia" w:ascii="宋体" w:hAnsi="宋体" w:cs="宋体"/>
          <w:szCs w:val="21"/>
        </w:rPr>
        <w:t>(5)现场施工人员盗窃发现一次立即开除,按造成直接损失的3倍进行赔偿。情节严重者送当地公安部门处理。</w:t>
      </w:r>
    </w:p>
    <w:p w14:paraId="028D9989">
      <w:pPr>
        <w:spacing w:line="360" w:lineRule="auto"/>
        <w:ind w:firstLine="420" w:firstLineChars="200"/>
        <w:contextualSpacing/>
        <w:rPr>
          <w:rFonts w:ascii="宋体" w:hAnsi="宋体" w:cs="宋体"/>
          <w:szCs w:val="21"/>
        </w:rPr>
      </w:pPr>
      <w:r>
        <w:rPr>
          <w:rFonts w:hint="eastAsia" w:ascii="宋体" w:hAnsi="宋体" w:cs="宋体"/>
          <w:szCs w:val="21"/>
        </w:rPr>
        <w:t>(6)施工现场严禁赌博、打架斗殴,每发现一次处罚500元,情节严重者送当地公安部门处理。</w:t>
      </w:r>
    </w:p>
    <w:p w14:paraId="3D3603A8">
      <w:pPr>
        <w:spacing w:line="360" w:lineRule="auto"/>
        <w:ind w:firstLine="420" w:firstLineChars="200"/>
        <w:contextualSpacing/>
        <w:rPr>
          <w:rFonts w:ascii="宋体" w:hAnsi="宋体" w:cs="宋体"/>
          <w:szCs w:val="21"/>
        </w:rPr>
      </w:pPr>
      <w:r>
        <w:rPr>
          <w:rFonts w:hint="eastAsia" w:ascii="宋体" w:hAnsi="宋体" w:cs="宋体"/>
          <w:szCs w:val="21"/>
        </w:rPr>
        <w:t>(7)夜间施工必须有足够的照明设施,楼梯通道必须设置安全照明灯。每发现一处不合格处罚200元。</w:t>
      </w:r>
    </w:p>
    <w:p w14:paraId="30061968">
      <w:pPr>
        <w:spacing w:line="360" w:lineRule="auto"/>
        <w:ind w:firstLine="420" w:firstLineChars="200"/>
        <w:contextualSpacing/>
        <w:rPr>
          <w:rFonts w:ascii="宋体" w:hAnsi="宋体" w:cs="宋体"/>
          <w:szCs w:val="21"/>
        </w:rPr>
      </w:pPr>
      <w:r>
        <w:rPr>
          <w:rFonts w:hint="eastAsia" w:ascii="宋体" w:hAnsi="宋体" w:cs="宋体"/>
          <w:szCs w:val="21"/>
        </w:rPr>
        <w:t>(8)发现施工现场环境脏、乱、差每次处罚200元。监理通知后仍不积极整改,汇报业主派人清理,费用从相关施工单位工程款中扣除。</w:t>
      </w:r>
    </w:p>
    <w:p w14:paraId="09BBCC02">
      <w:pPr>
        <w:spacing w:line="360" w:lineRule="auto"/>
        <w:ind w:firstLine="420" w:firstLineChars="200"/>
        <w:contextualSpacing/>
        <w:rPr>
          <w:rFonts w:ascii="宋体" w:hAnsi="宋体" w:cs="宋体"/>
          <w:szCs w:val="21"/>
        </w:rPr>
      </w:pPr>
      <w:r>
        <w:rPr>
          <w:rFonts w:hint="eastAsia" w:ascii="宋体" w:hAnsi="宋体" w:cs="宋体"/>
          <w:szCs w:val="21"/>
        </w:rPr>
        <w:t>(9)建筑物内各标段应设置临时厕所，严禁随地大小便,每发现一次处罚50元。</w:t>
      </w:r>
    </w:p>
    <w:p w14:paraId="2FE11161">
      <w:pPr>
        <w:spacing w:line="360" w:lineRule="auto"/>
        <w:ind w:firstLine="420" w:firstLineChars="200"/>
        <w:contextualSpacing/>
        <w:rPr>
          <w:rFonts w:ascii="宋体" w:hAnsi="宋体" w:cs="宋体"/>
          <w:szCs w:val="21"/>
        </w:rPr>
      </w:pPr>
      <w:r>
        <w:rPr>
          <w:rFonts w:hint="eastAsia" w:ascii="宋体" w:hAnsi="宋体" w:cs="宋体"/>
          <w:szCs w:val="21"/>
        </w:rPr>
        <w:t>(10)自行车、电动车、摩托车按指定地点停放,不得进入建筑物施工现场内，每发现一辆处罚50元。</w:t>
      </w:r>
    </w:p>
    <w:p w14:paraId="2CDB8B9C">
      <w:pPr>
        <w:spacing w:line="360" w:lineRule="auto"/>
        <w:ind w:firstLine="420" w:firstLineChars="200"/>
        <w:contextualSpacing/>
        <w:rPr>
          <w:rFonts w:ascii="宋体" w:hAnsi="宋体" w:cs="宋体"/>
          <w:szCs w:val="21"/>
        </w:rPr>
      </w:pPr>
      <w:r>
        <w:rPr>
          <w:rFonts w:hint="eastAsia" w:ascii="宋体" w:hAnsi="宋体" w:cs="宋体"/>
          <w:szCs w:val="21"/>
        </w:rPr>
        <w:t>2、现场管理方面:</w:t>
      </w:r>
    </w:p>
    <w:p w14:paraId="7178089D">
      <w:pPr>
        <w:spacing w:line="360" w:lineRule="auto"/>
        <w:ind w:firstLine="420" w:firstLineChars="200"/>
        <w:contextualSpacing/>
        <w:rPr>
          <w:rFonts w:ascii="宋体" w:hAnsi="宋体" w:cs="宋体"/>
          <w:szCs w:val="21"/>
        </w:rPr>
      </w:pPr>
      <w:r>
        <w:rPr>
          <w:rFonts w:hint="eastAsia" w:ascii="宋体" w:hAnsi="宋体" w:cs="宋体"/>
          <w:szCs w:val="21"/>
        </w:rPr>
        <w:t>(I)各施工单位在施工中相互扯皮不协调配合,造成返工或浪费所产生的费用由业主、监理按实进行核算,在工程款中予以扣除。</w:t>
      </w:r>
    </w:p>
    <w:p w14:paraId="3338777E">
      <w:pPr>
        <w:spacing w:line="360" w:lineRule="auto"/>
        <w:ind w:firstLine="420" w:firstLineChars="200"/>
        <w:contextualSpacing/>
        <w:rPr>
          <w:rFonts w:ascii="宋体" w:hAnsi="宋体" w:cs="宋体"/>
          <w:szCs w:val="21"/>
        </w:rPr>
      </w:pPr>
      <w:r>
        <w:rPr>
          <w:rFonts w:hint="eastAsia" w:ascii="宋体" w:hAnsi="宋体" w:cs="宋体"/>
          <w:szCs w:val="21"/>
        </w:rPr>
        <w:t>(2)各施工单位未按业主、监理要求时间完成配合工作,造成其它施工单位工期延误,出现一次处罚1000元,为不影响总体进度,业主、监理有权另请其它单位进行施工,费用从施工单位工程款中扣除。</w:t>
      </w:r>
    </w:p>
    <w:p w14:paraId="4B34D716">
      <w:pPr>
        <w:spacing w:line="360" w:lineRule="auto"/>
        <w:ind w:firstLine="420" w:firstLineChars="200"/>
        <w:contextualSpacing/>
        <w:rPr>
          <w:rFonts w:ascii="宋体" w:hAnsi="宋体" w:cs="宋体"/>
          <w:szCs w:val="21"/>
        </w:rPr>
      </w:pPr>
      <w:r>
        <w:rPr>
          <w:rFonts w:hint="eastAsia" w:ascii="宋体" w:hAnsi="宋体" w:cs="宋体"/>
          <w:szCs w:val="21"/>
        </w:rPr>
        <w:t>(3)因施工方原因影响群众利益,造成负面影晌,导致群众堵工上访或新闻媒体曝光的,每发生一次罚款10000元。</w:t>
      </w:r>
    </w:p>
    <w:p w14:paraId="1BBB195A">
      <w:pPr>
        <w:spacing w:line="360" w:lineRule="auto"/>
        <w:ind w:firstLine="420" w:firstLineChars="200"/>
        <w:contextualSpacing/>
        <w:rPr>
          <w:rFonts w:ascii="宋体" w:hAnsi="宋体" w:cs="宋体"/>
          <w:szCs w:val="21"/>
        </w:rPr>
      </w:pPr>
      <w:r>
        <w:rPr>
          <w:rFonts w:hint="eastAsia" w:ascii="宋体" w:hAnsi="宋体" w:cs="宋体"/>
          <w:szCs w:val="21"/>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212C3EAD">
      <w:pPr>
        <w:spacing w:line="360" w:lineRule="auto"/>
        <w:ind w:firstLine="420" w:firstLineChars="200"/>
        <w:contextualSpacing/>
        <w:rPr>
          <w:rFonts w:ascii="宋体" w:hAnsi="宋体" w:cs="宋体"/>
          <w:szCs w:val="21"/>
        </w:rPr>
      </w:pPr>
      <w:r>
        <w:rPr>
          <w:rFonts w:hint="eastAsia" w:ascii="宋体" w:hAnsi="宋体" w:cs="宋体"/>
          <w:szCs w:val="21"/>
        </w:rPr>
        <w:t>(5)现场项目经理、主要负责人必须每天在现场6小时以上,召开工程例会有关人员无故缺席的,有特殊情况需提前请假。违反规定,每人次每天处罚1000元。</w:t>
      </w:r>
    </w:p>
    <w:p w14:paraId="599FD0CF">
      <w:pPr>
        <w:spacing w:line="360" w:lineRule="auto"/>
        <w:ind w:firstLine="420" w:firstLineChars="200"/>
        <w:contextualSpacing/>
        <w:rPr>
          <w:rFonts w:ascii="宋体" w:hAnsi="宋体" w:cs="宋体"/>
          <w:szCs w:val="21"/>
        </w:rPr>
      </w:pPr>
      <w:r>
        <w:rPr>
          <w:rFonts w:hint="eastAsia" w:ascii="宋体" w:hAnsi="宋体" w:cs="宋体"/>
          <w:szCs w:val="21"/>
        </w:rPr>
        <w:t>(6)施工单位需对进场材料及时报验,未经业主、监理单位验收合格擅自使用,处罚责任单位1000元。工程材料便用劣质、冒牌材料,发现一次除按合同有关条款处罚外,再处罚责任单位3000元。</w:t>
      </w:r>
    </w:p>
    <w:p w14:paraId="7B432EA0">
      <w:pPr>
        <w:spacing w:line="360" w:lineRule="auto"/>
        <w:ind w:firstLine="420" w:firstLineChars="200"/>
        <w:contextualSpacing/>
        <w:rPr>
          <w:rFonts w:ascii="宋体" w:hAnsi="宋体" w:cs="宋体"/>
          <w:szCs w:val="21"/>
        </w:rPr>
      </w:pPr>
      <w:r>
        <w:rPr>
          <w:rFonts w:hint="eastAsia" w:ascii="宋体" w:hAnsi="宋体" w:cs="宋体"/>
          <w:szCs w:val="21"/>
        </w:rPr>
        <w:t>(7)施工方如果发现现场实物与图纸内容不符,需及时上报监理、业主,严禁盲目施工,发现一次处罚责任单位2000元。</w:t>
      </w:r>
    </w:p>
    <w:p w14:paraId="189257DB">
      <w:pPr>
        <w:spacing w:line="360" w:lineRule="auto"/>
        <w:ind w:firstLine="420" w:firstLineChars="200"/>
        <w:contextualSpacing/>
        <w:rPr>
          <w:rFonts w:ascii="宋体" w:hAnsi="宋体" w:cs="宋体"/>
          <w:szCs w:val="21"/>
        </w:rPr>
      </w:pPr>
      <w:r>
        <w:rPr>
          <w:rFonts w:hint="eastAsia" w:ascii="宋体" w:hAnsi="宋体" w:cs="宋体"/>
          <w:szCs w:val="21"/>
        </w:rPr>
        <w:t>(8)各单位做好现场成品保护工作,保护好自己和他人的工程成品,一经查实损害他人成品,按实价赔偿。若发现恶意破坏他人成品现象,发现一次按造成直接损失的3倍进行赔偿。</w:t>
      </w:r>
    </w:p>
    <w:p w14:paraId="4FF84A35">
      <w:pPr>
        <w:spacing w:line="360" w:lineRule="auto"/>
        <w:ind w:firstLine="420" w:firstLineChars="200"/>
        <w:contextualSpacing/>
        <w:rPr>
          <w:rFonts w:ascii="宋体" w:hAnsi="宋体" w:cs="宋体"/>
          <w:szCs w:val="21"/>
        </w:rPr>
      </w:pPr>
      <w:r>
        <w:rPr>
          <w:rFonts w:hint="eastAsia" w:ascii="宋体" w:hAnsi="宋体" w:cs="宋体"/>
          <w:szCs w:val="21"/>
        </w:rPr>
        <w:t>(9)现场材料堆放严禁超过设计荷载值,发现一次处罚责任单位1000元。</w:t>
      </w:r>
    </w:p>
    <w:p w14:paraId="02FE644A">
      <w:pPr>
        <w:spacing w:line="360" w:lineRule="auto"/>
        <w:ind w:firstLine="420" w:firstLineChars="200"/>
        <w:contextualSpacing/>
        <w:rPr>
          <w:rFonts w:ascii="宋体" w:hAnsi="宋体" w:cs="宋体"/>
          <w:szCs w:val="21"/>
        </w:rPr>
      </w:pPr>
      <w:r>
        <w:rPr>
          <w:rFonts w:hint="eastAsia" w:ascii="宋体" w:hAnsi="宋体" w:cs="宋体"/>
          <w:szCs w:val="21"/>
        </w:rPr>
        <w:t>(10)若工程被质量监督部门、安全监督部门或其它建筑主管部门通报批评,出现一次处罚责任单位5000元。</w:t>
      </w:r>
    </w:p>
    <w:p w14:paraId="09CF6913">
      <w:pPr>
        <w:spacing w:line="360" w:lineRule="auto"/>
        <w:ind w:firstLine="420" w:firstLineChars="200"/>
        <w:contextualSpacing/>
        <w:rPr>
          <w:rFonts w:ascii="宋体" w:hAnsi="宋体" w:cs="宋体"/>
          <w:szCs w:val="21"/>
        </w:rPr>
      </w:pPr>
      <w:r>
        <w:rPr>
          <w:rFonts w:hint="eastAsia" w:ascii="宋体" w:hAnsi="宋体" w:cs="宋体"/>
          <w:szCs w:val="21"/>
        </w:rPr>
        <w:t>(11)各施工单位应积极主动配合各类检查、观摩活动,由于现场工作未做到位导致不良后果,视情节严重情况,出现一次处罚责任单位200―500元。</w:t>
      </w:r>
    </w:p>
    <w:p w14:paraId="23B41426">
      <w:pPr>
        <w:spacing w:line="360" w:lineRule="auto"/>
        <w:ind w:firstLine="420" w:firstLineChars="200"/>
        <w:contextualSpacing/>
        <w:rPr>
          <w:rFonts w:ascii="宋体" w:hAnsi="宋体" w:cs="宋体"/>
          <w:szCs w:val="21"/>
        </w:rPr>
      </w:pPr>
      <w:r>
        <w:rPr>
          <w:rFonts w:hint="eastAsia" w:ascii="宋体" w:hAnsi="宋体" w:cs="宋体"/>
          <w:szCs w:val="21"/>
        </w:rPr>
        <w:t>(12)不服从业主、监理人员管理,出现漫骂、侮辱、殴打现场业主、监理人员,发现一次处罚1000元,责任人员限期退场。</w:t>
      </w:r>
    </w:p>
    <w:p w14:paraId="2E7A752E">
      <w:pPr>
        <w:spacing w:line="360" w:lineRule="auto"/>
        <w:ind w:firstLine="420" w:firstLineChars="200"/>
        <w:contextualSpacing/>
        <w:rPr>
          <w:rFonts w:ascii="宋体" w:hAnsi="宋体" w:cs="宋体"/>
          <w:szCs w:val="21"/>
        </w:rPr>
      </w:pPr>
      <w:r>
        <w:rPr>
          <w:rFonts w:hint="eastAsia" w:ascii="宋体" w:hAnsi="宋体" w:cs="宋体"/>
          <w:szCs w:val="21"/>
        </w:rPr>
        <w:t>(13)上道工序未经业主、监理验收合格,擅自进入下道工序施工,隐蔽工程未经业主、监理检查合格擅白隐蔽,进行剥露检验,质量不符合要求,返工费用由施工单位承担,出现一次处罚1000元。</w:t>
      </w:r>
    </w:p>
    <w:p w14:paraId="25E4091F">
      <w:pPr>
        <w:spacing w:line="360" w:lineRule="auto"/>
        <w:ind w:firstLine="420" w:firstLineChars="200"/>
        <w:contextualSpacing/>
        <w:rPr>
          <w:rFonts w:ascii="宋体" w:hAnsi="宋体" w:cs="宋体"/>
          <w:szCs w:val="21"/>
        </w:rPr>
      </w:pPr>
      <w:r>
        <w:rPr>
          <w:rFonts w:hint="eastAsia" w:ascii="宋体" w:hAnsi="宋体" w:cs="宋体"/>
          <w:szCs w:val="21"/>
        </w:rPr>
        <w:t>(14)监理、业主如发现的工程施工质量、安全问题,第一次以书面形式告知并限期整改,在期限内未能及时整改到位,发现一次处罚200元,第二次告知仍不积极整改,发现一次处罚500元。</w:t>
      </w:r>
    </w:p>
    <w:p w14:paraId="7AE3EC65">
      <w:pPr>
        <w:spacing w:line="360" w:lineRule="auto"/>
        <w:ind w:firstLine="420" w:firstLineChars="200"/>
        <w:contextualSpacing/>
        <w:rPr>
          <w:rFonts w:ascii="宋体" w:hAnsi="宋体" w:cs="宋体"/>
          <w:szCs w:val="21"/>
        </w:rPr>
      </w:pPr>
      <w:r>
        <w:rPr>
          <w:rFonts w:hint="eastAsia" w:ascii="宋体" w:hAnsi="宋体" w:cs="宋体"/>
          <w:szCs w:val="21"/>
        </w:rPr>
        <w:t>(15)各施工单位在施工时,未经业主、监理同意,不得擅自停水、停电、开挖道路、阻碍交通等影响其它单位施工行为。如出现上述问题,每发现一次罚款1000元,另再追究造成的停工间接损失。</w:t>
      </w:r>
    </w:p>
    <w:p w14:paraId="1388D0A0">
      <w:pPr>
        <w:spacing w:line="360" w:lineRule="auto"/>
        <w:ind w:firstLine="420" w:firstLineChars="200"/>
        <w:contextualSpacing/>
        <w:rPr>
          <w:rFonts w:ascii="宋体" w:hAnsi="宋体" w:cs="宋体"/>
          <w:szCs w:val="21"/>
        </w:rPr>
      </w:pPr>
      <w:r>
        <w:rPr>
          <w:rFonts w:hint="eastAsia" w:ascii="宋体" w:hAnsi="宋体" w:cs="宋体"/>
          <w:szCs w:val="21"/>
        </w:rPr>
        <w:t>3、安全检查方面:</w:t>
      </w:r>
    </w:p>
    <w:p w14:paraId="18C9FF39">
      <w:pPr>
        <w:spacing w:line="360" w:lineRule="auto"/>
        <w:ind w:firstLine="420" w:firstLineChars="200"/>
        <w:contextualSpacing/>
        <w:rPr>
          <w:rFonts w:ascii="宋体" w:hAnsi="宋体" w:cs="宋体"/>
          <w:szCs w:val="21"/>
        </w:rPr>
      </w:pPr>
      <w:r>
        <w:rPr>
          <w:rFonts w:hint="eastAsia" w:ascii="宋体" w:hAnsi="宋体" w:cs="宋体"/>
          <w:szCs w:val="21"/>
        </w:rPr>
        <w:t>(1)在危险部位未设置明显的安全警示标志及防范措施,发现一处罚款50元。</w:t>
      </w:r>
    </w:p>
    <w:p w14:paraId="7A42E1F5">
      <w:pPr>
        <w:spacing w:line="360" w:lineRule="auto"/>
        <w:ind w:firstLine="420" w:firstLineChars="200"/>
        <w:contextualSpacing/>
        <w:rPr>
          <w:rFonts w:ascii="宋体" w:hAnsi="宋体" w:cs="宋体"/>
          <w:szCs w:val="21"/>
        </w:rPr>
      </w:pPr>
      <w:r>
        <w:rPr>
          <w:rFonts w:hint="eastAsia" w:ascii="宋体" w:hAnsi="宋体" w:cs="宋体"/>
          <w:szCs w:val="21"/>
        </w:rPr>
        <w:t>(2)对危险性较大的部位,施工前未编制专项施工方案或方案未经施工单位技术负责人及总监审批擅自施工,每发现一次处罚500元。</w:t>
      </w:r>
    </w:p>
    <w:p w14:paraId="28B920B0">
      <w:pPr>
        <w:spacing w:line="360" w:lineRule="auto"/>
        <w:ind w:firstLine="420" w:firstLineChars="200"/>
        <w:contextualSpacing/>
        <w:rPr>
          <w:rFonts w:ascii="宋体" w:hAnsi="宋体" w:cs="宋体"/>
          <w:szCs w:val="21"/>
        </w:rPr>
      </w:pPr>
      <w:r>
        <w:rPr>
          <w:rFonts w:hint="eastAsia" w:ascii="宋体" w:hAnsi="宋体" w:cs="宋体"/>
          <w:szCs w:val="21"/>
        </w:rPr>
        <w:t>(3)分部分项工程施工前未对施工班组、作业人员进行安全技术交底,发现一次处罚200元。</w:t>
      </w:r>
    </w:p>
    <w:p w14:paraId="66E75C90">
      <w:pPr>
        <w:spacing w:line="360" w:lineRule="auto"/>
        <w:ind w:firstLine="420" w:firstLineChars="200"/>
        <w:contextualSpacing/>
        <w:rPr>
          <w:rFonts w:ascii="宋体" w:hAnsi="宋体" w:cs="宋体"/>
          <w:szCs w:val="21"/>
        </w:rPr>
      </w:pPr>
      <w:r>
        <w:rPr>
          <w:rFonts w:hint="eastAsia" w:ascii="宋体" w:hAnsi="宋体" w:cs="宋体"/>
          <w:szCs w:val="21"/>
        </w:rPr>
        <w:t>(4)施工负责人对工地现场安全未执行定期检查制度或检查无记录,发现一次处罚200元。</w:t>
      </w:r>
    </w:p>
    <w:p w14:paraId="4D502688">
      <w:pPr>
        <w:spacing w:line="360" w:lineRule="auto"/>
        <w:ind w:firstLine="420" w:firstLineChars="200"/>
        <w:contextualSpacing/>
        <w:rPr>
          <w:rFonts w:ascii="宋体" w:hAnsi="宋体" w:cs="宋体"/>
          <w:szCs w:val="21"/>
        </w:rPr>
      </w:pPr>
      <w:r>
        <w:rPr>
          <w:rFonts w:hint="eastAsia" w:ascii="宋体" w:hAnsi="宋体" w:cs="宋体"/>
          <w:szCs w:val="21"/>
        </w:rPr>
        <w:t>(5)无安全教育制度，新进场人员未进行三级安全教育，发现一次处罚100元。</w:t>
      </w:r>
    </w:p>
    <w:p w14:paraId="39861E80">
      <w:pPr>
        <w:spacing w:line="360" w:lineRule="auto"/>
        <w:ind w:firstLine="420" w:firstLineChars="200"/>
        <w:contextualSpacing/>
        <w:rPr>
          <w:rFonts w:ascii="宋体" w:hAnsi="宋体" w:cs="宋体"/>
          <w:szCs w:val="21"/>
        </w:rPr>
      </w:pPr>
      <w:r>
        <w:rPr>
          <w:rFonts w:hint="eastAsia" w:ascii="宋体" w:hAnsi="宋体" w:cs="宋体"/>
          <w:szCs w:val="21"/>
        </w:rPr>
        <w:t>(6)发现违章操作、野蛮施工或强令冒险作业,每发现一次处罚500元。</w:t>
      </w:r>
    </w:p>
    <w:p w14:paraId="64383EE8">
      <w:pPr>
        <w:spacing w:line="360" w:lineRule="auto"/>
        <w:ind w:firstLine="420" w:firstLineChars="200"/>
        <w:contextualSpacing/>
        <w:rPr>
          <w:rFonts w:ascii="宋体" w:hAnsi="宋体" w:cs="宋体"/>
          <w:szCs w:val="21"/>
        </w:rPr>
      </w:pPr>
      <w:r>
        <w:rPr>
          <w:rFonts w:hint="eastAsia" w:ascii="宋体" w:hAnsi="宋体" w:cs="宋体"/>
          <w:szCs w:val="21"/>
        </w:rPr>
        <w:t>(7)严禁高空向下抛物、倾倒垃圾,每发现一次处罚200—500元，若造成人员伤害及财产损失,由当事人承担相关责任。</w:t>
      </w:r>
    </w:p>
    <w:p w14:paraId="05D94CD0">
      <w:pPr>
        <w:spacing w:line="360" w:lineRule="auto"/>
        <w:ind w:firstLine="420" w:firstLineChars="200"/>
        <w:contextualSpacing/>
        <w:rPr>
          <w:rFonts w:ascii="宋体" w:hAnsi="宋体" w:cs="宋体"/>
          <w:szCs w:val="21"/>
        </w:rPr>
      </w:pPr>
      <w:r>
        <w:rPr>
          <w:rFonts w:hint="eastAsia" w:ascii="宋体" w:hAnsi="宋体" w:cs="宋体"/>
          <w:szCs w:val="21"/>
        </w:rPr>
        <w:t>(8)“三宝”使用不当，口”“五临边”防护不到位，每发现一次处罚100元(其中不戴安全帽,发现一人次处罚50元)。</w:t>
      </w:r>
    </w:p>
    <w:p w14:paraId="413624E4">
      <w:pPr>
        <w:spacing w:line="360" w:lineRule="auto"/>
        <w:ind w:firstLine="420" w:firstLineChars="200"/>
        <w:contextualSpacing/>
        <w:rPr>
          <w:rFonts w:ascii="宋体" w:hAnsi="宋体" w:cs="宋体"/>
          <w:szCs w:val="21"/>
        </w:rPr>
      </w:pPr>
      <w:r>
        <w:rPr>
          <w:rFonts w:hint="eastAsia" w:ascii="宋体" w:hAnsi="宋体" w:cs="宋体"/>
          <w:szCs w:val="21"/>
        </w:rPr>
        <w:t>(9)如发现违反用电安全情况时每次处罚100元。由于安全用电措施不落实、用电不规范导致不良后果,除按相关规定追究责任外,视情节轻重罚款200—2000元。</w:t>
      </w:r>
    </w:p>
    <w:p w14:paraId="3E96138B">
      <w:pPr>
        <w:spacing w:line="360" w:lineRule="auto"/>
        <w:ind w:firstLine="420" w:firstLineChars="200"/>
        <w:contextualSpacing/>
        <w:rPr>
          <w:rFonts w:ascii="宋体" w:hAnsi="宋体" w:cs="宋体"/>
          <w:szCs w:val="21"/>
        </w:rPr>
      </w:pPr>
      <w:r>
        <w:rPr>
          <w:rFonts w:hint="eastAsia" w:ascii="宋体" w:hAnsi="宋体" w:cs="宋体"/>
          <w:szCs w:val="21"/>
        </w:rPr>
        <w:t>(10)脚手架搭设必须进行设计计算，编制搭拆方案，满足规范要求。严禁施工荷载超过规定要求。每发现一处不合格处罚500元。</w:t>
      </w:r>
    </w:p>
    <w:p w14:paraId="72ACB05A">
      <w:pPr>
        <w:spacing w:line="360" w:lineRule="auto"/>
        <w:ind w:firstLine="420" w:firstLineChars="200"/>
        <w:contextualSpacing/>
        <w:rPr>
          <w:rFonts w:ascii="宋体" w:hAnsi="宋体" w:cs="宋体"/>
          <w:szCs w:val="21"/>
        </w:rPr>
      </w:pPr>
      <w:r>
        <w:rPr>
          <w:rFonts w:hint="eastAsia" w:ascii="宋体" w:hAnsi="宋体" w:cs="宋体"/>
          <w:szCs w:val="21"/>
        </w:rPr>
        <w:t>(11)电梯应指定专人进行操作,严禁电梯超荷载运行,按规定做好交接班。违反电梯使用规定,每发现一处不合格处罚200—500元。谁损坏谁赔偿。</w:t>
      </w:r>
    </w:p>
    <w:p w14:paraId="331238C1">
      <w:pPr>
        <w:spacing w:line="360" w:lineRule="auto"/>
        <w:ind w:firstLine="420" w:firstLineChars="200"/>
        <w:contextualSpacing/>
        <w:rPr>
          <w:rFonts w:ascii="宋体" w:hAnsi="宋体" w:cs="宋体"/>
          <w:szCs w:val="21"/>
        </w:rPr>
      </w:pPr>
      <w:r>
        <w:rPr>
          <w:rFonts w:hint="eastAsia" w:ascii="宋体" w:hAnsi="宋体" w:cs="宋体"/>
          <w:szCs w:val="21"/>
        </w:rPr>
        <w:t>(12)由于焊接火花、明火、吸烟、电火花等造成施工现场失火事件，除追究当事人责任外,再视情节轻重罚款500—2000元，并按造成直接损失进行赔偿。</w:t>
      </w:r>
    </w:p>
    <w:p w14:paraId="08F445F2">
      <w:pPr>
        <w:spacing w:line="360" w:lineRule="auto"/>
        <w:ind w:firstLine="420" w:firstLineChars="200"/>
        <w:contextualSpacing/>
        <w:rPr>
          <w:rFonts w:ascii="宋体" w:hAnsi="宋体" w:cs="宋体"/>
          <w:szCs w:val="21"/>
        </w:rPr>
      </w:pPr>
      <w:r>
        <w:rPr>
          <w:rFonts w:hint="eastAsia" w:ascii="宋体" w:hAnsi="宋体" w:cs="宋体"/>
          <w:szCs w:val="21"/>
        </w:rPr>
        <w:t>(13)因违反其它安全规定造成不良后果，由违反单位及责任者承担全部责任。</w:t>
      </w:r>
    </w:p>
    <w:p w14:paraId="3EE18931">
      <w:pPr>
        <w:spacing w:line="360" w:lineRule="auto"/>
        <w:ind w:firstLine="420" w:firstLineChars="200"/>
        <w:contextualSpacing/>
        <w:rPr>
          <w:rFonts w:ascii="宋体" w:hAnsi="宋体" w:cs="宋体"/>
          <w:szCs w:val="21"/>
        </w:rPr>
      </w:pPr>
      <w:r>
        <w:rPr>
          <w:rFonts w:hint="eastAsia" w:ascii="宋体" w:hAnsi="宋体" w:cs="宋体"/>
          <w:szCs w:val="21"/>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5E81A6B8">
      <w:pPr>
        <w:spacing w:line="360" w:lineRule="auto"/>
        <w:ind w:firstLine="420" w:firstLineChars="200"/>
        <w:contextualSpacing/>
        <w:rPr>
          <w:rFonts w:ascii="宋体" w:hAnsi="宋体" w:cs="宋体"/>
          <w:szCs w:val="21"/>
        </w:rPr>
      </w:pPr>
      <w:r>
        <w:rPr>
          <w:rFonts w:hint="eastAsia" w:ascii="宋体" w:hAnsi="宋体" w:cs="宋体"/>
          <w:szCs w:val="21"/>
        </w:rPr>
        <w:t>附件：</w:t>
      </w:r>
    </w:p>
    <w:p w14:paraId="2001CD14">
      <w:pPr>
        <w:spacing w:line="360" w:lineRule="auto"/>
        <w:ind w:firstLine="420" w:firstLineChars="200"/>
        <w:contextualSpacing/>
        <w:rPr>
          <w:rFonts w:ascii="宋体" w:hAnsi="宋体" w:cs="宋体"/>
          <w:szCs w:val="21"/>
        </w:rPr>
      </w:pPr>
      <w:r>
        <w:rPr>
          <w:rFonts w:hint="eastAsia" w:ascii="宋体" w:hAnsi="宋体" w:cs="宋体"/>
          <w:szCs w:val="21"/>
        </w:rPr>
        <w:t>成品地面、门窗成品保护要求：</w:t>
      </w:r>
    </w:p>
    <w:p w14:paraId="5256B36D">
      <w:pPr>
        <w:spacing w:line="360" w:lineRule="auto"/>
        <w:ind w:firstLine="420" w:firstLineChars="200"/>
        <w:contextualSpacing/>
        <w:rPr>
          <w:rFonts w:ascii="宋体" w:hAnsi="宋体" w:cs="宋体"/>
          <w:szCs w:val="21"/>
        </w:rPr>
      </w:pPr>
      <w:r>
        <w:rPr>
          <w:rFonts w:hint="eastAsia" w:ascii="宋体" w:hAnsi="宋体" w:cs="宋体"/>
          <w:szCs w:val="21"/>
        </w:rPr>
        <w:t>要求地面开槽、凿洞须经业主、监理同意方可施工。</w:t>
      </w:r>
    </w:p>
    <w:p w14:paraId="2AB28FD8">
      <w:pPr>
        <w:spacing w:line="360" w:lineRule="auto"/>
        <w:ind w:firstLine="420" w:firstLineChars="200"/>
        <w:contextualSpacing/>
        <w:rPr>
          <w:rFonts w:ascii="宋体" w:hAnsi="宋体" w:cs="宋体"/>
          <w:szCs w:val="21"/>
        </w:rPr>
      </w:pPr>
      <w:r>
        <w:rPr>
          <w:rFonts w:hint="eastAsia" w:ascii="宋体" w:hAnsi="宋体" w:cs="宋体"/>
          <w:szCs w:val="21"/>
        </w:rPr>
        <w:t>成品地面必须有覆盖物保护措施。</w:t>
      </w:r>
    </w:p>
    <w:p w14:paraId="7753064E">
      <w:pPr>
        <w:spacing w:line="360" w:lineRule="auto"/>
        <w:ind w:firstLine="420" w:firstLineChars="200"/>
        <w:contextualSpacing/>
        <w:rPr>
          <w:rFonts w:ascii="宋体" w:hAnsi="宋体" w:cs="宋体"/>
          <w:szCs w:val="21"/>
        </w:rPr>
      </w:pPr>
      <w:r>
        <w:rPr>
          <w:rFonts w:hint="eastAsia" w:ascii="宋体" w:hAnsi="宋体" w:cs="宋体"/>
          <w:szCs w:val="21"/>
        </w:rPr>
        <w:t>在成品地面上不允许进行切割、焊接、绞丝等施工作业。</w:t>
      </w:r>
    </w:p>
    <w:p w14:paraId="15140951">
      <w:pPr>
        <w:spacing w:line="360" w:lineRule="auto"/>
        <w:ind w:firstLine="420" w:firstLineChars="200"/>
        <w:contextualSpacing/>
        <w:rPr>
          <w:rFonts w:ascii="宋体" w:hAnsi="宋体" w:cs="宋体"/>
          <w:szCs w:val="21"/>
        </w:rPr>
      </w:pPr>
      <w:r>
        <w:rPr>
          <w:rFonts w:hint="eastAsia" w:ascii="宋体" w:hAnsi="宋体" w:cs="宋体"/>
          <w:szCs w:val="21"/>
        </w:rPr>
        <w:t>铁梯、脚手架等必须包护脚。</w:t>
      </w:r>
    </w:p>
    <w:p w14:paraId="77C5276A">
      <w:pPr>
        <w:spacing w:line="360" w:lineRule="auto"/>
        <w:ind w:firstLine="420" w:firstLineChars="200"/>
        <w:contextualSpacing/>
        <w:rPr>
          <w:rFonts w:ascii="宋体" w:hAnsi="宋体" w:cs="宋体"/>
          <w:szCs w:val="21"/>
        </w:rPr>
      </w:pPr>
      <w:r>
        <w:rPr>
          <w:rFonts w:hint="eastAsia" w:ascii="宋体" w:hAnsi="宋体" w:cs="宋体"/>
          <w:szCs w:val="21"/>
        </w:rPr>
        <w:t>地面防止被油污浸入污染。</w:t>
      </w:r>
    </w:p>
    <w:p w14:paraId="5D7A812D">
      <w:pPr>
        <w:spacing w:line="360" w:lineRule="auto"/>
        <w:ind w:firstLine="420" w:firstLineChars="200"/>
        <w:contextualSpacing/>
        <w:rPr>
          <w:rFonts w:ascii="宋体" w:hAnsi="宋体" w:cs="宋体"/>
          <w:szCs w:val="21"/>
        </w:rPr>
      </w:pPr>
      <w:r>
        <w:rPr>
          <w:rFonts w:hint="eastAsia" w:ascii="宋体" w:hAnsi="宋体" w:cs="宋体"/>
          <w:szCs w:val="21"/>
        </w:rPr>
        <w:t>地面、门窗不准硬物、重物撞击及利物损伤，造成损坏或变形。</w:t>
      </w:r>
    </w:p>
    <w:p w14:paraId="331BA247">
      <w:pPr>
        <w:spacing w:line="360" w:lineRule="auto"/>
        <w:ind w:firstLine="420" w:firstLineChars="200"/>
        <w:contextualSpacing/>
        <w:rPr>
          <w:rFonts w:ascii="宋体" w:hAnsi="宋体" w:cs="宋体"/>
          <w:szCs w:val="21"/>
        </w:rPr>
      </w:pPr>
      <w:r>
        <w:rPr>
          <w:rFonts w:hint="eastAsia" w:ascii="宋体" w:hAnsi="宋体" w:cs="宋体"/>
          <w:szCs w:val="21"/>
        </w:rPr>
        <w:t>窗框上不允许搁置重物。</w:t>
      </w:r>
    </w:p>
    <w:p w14:paraId="4CD3BF79">
      <w:pPr>
        <w:spacing w:line="360" w:lineRule="auto"/>
        <w:ind w:firstLine="420" w:firstLineChars="200"/>
        <w:contextualSpacing/>
        <w:rPr>
          <w:rFonts w:ascii="宋体" w:hAnsi="宋体" w:cs="宋体"/>
          <w:szCs w:val="21"/>
        </w:rPr>
      </w:pPr>
      <w:r>
        <w:rPr>
          <w:rFonts w:hint="eastAsia" w:ascii="宋体" w:hAnsi="宋体" w:cs="宋体"/>
          <w:szCs w:val="21"/>
        </w:rPr>
        <w:t>幕墙及窗框防止被污染，必须有保护措施。</w:t>
      </w:r>
    </w:p>
    <w:p w14:paraId="6D69493A">
      <w:pPr>
        <w:spacing w:line="360" w:lineRule="auto"/>
        <w:ind w:firstLine="420" w:firstLineChars="200"/>
        <w:contextualSpacing/>
        <w:rPr>
          <w:rFonts w:ascii="宋体" w:hAnsi="宋体" w:cs="宋体"/>
          <w:szCs w:val="21"/>
        </w:rPr>
      </w:pPr>
      <w:r>
        <w:rPr>
          <w:rFonts w:hint="eastAsia" w:ascii="宋体" w:hAnsi="宋体" w:cs="宋体"/>
          <w:szCs w:val="21"/>
        </w:rPr>
        <w:t>玻璃及易碎品防止损坏。</w:t>
      </w:r>
    </w:p>
    <w:p w14:paraId="74E378C7">
      <w:pPr>
        <w:spacing w:line="360" w:lineRule="auto"/>
        <w:ind w:firstLine="420" w:firstLineChars="200"/>
        <w:contextualSpacing/>
        <w:rPr>
          <w:rFonts w:ascii="宋体" w:hAnsi="宋体" w:cs="宋体"/>
          <w:szCs w:val="21"/>
        </w:rPr>
      </w:pPr>
      <w:r>
        <w:rPr>
          <w:rFonts w:hint="eastAsia" w:ascii="宋体" w:hAnsi="宋体" w:cs="宋体"/>
          <w:szCs w:val="21"/>
        </w:rPr>
        <w:t>防止玻璃被火花烧伤。</w:t>
      </w:r>
    </w:p>
    <w:p w14:paraId="62C3C162">
      <w:pPr>
        <w:spacing w:line="360" w:lineRule="auto"/>
        <w:ind w:firstLine="420" w:firstLineChars="200"/>
        <w:contextualSpacing/>
        <w:rPr>
          <w:rFonts w:ascii="宋体" w:hAnsi="宋体" w:cs="宋体"/>
          <w:sz w:val="24"/>
        </w:rPr>
      </w:pPr>
      <w:r>
        <w:rPr>
          <w:rFonts w:hint="eastAsia" w:ascii="宋体" w:hAnsi="宋体" w:cs="宋体"/>
          <w:szCs w:val="21"/>
        </w:rPr>
        <w:t>地面、门窗成品保护不到位，执行《施工场地管理规定》2、（8）条。</w:t>
      </w:r>
    </w:p>
    <w:p w14:paraId="560A95FA">
      <w:pPr>
        <w:spacing w:line="360" w:lineRule="auto"/>
        <w:ind w:firstLine="482" w:firstLineChars="200"/>
        <w:contextualSpacing/>
        <w:jc w:val="center"/>
        <w:rPr>
          <w:rFonts w:ascii="宋体" w:hAnsi="宋体" w:cs="宋体"/>
          <w:b/>
          <w:sz w:val="24"/>
        </w:rPr>
      </w:pPr>
    </w:p>
    <w:p w14:paraId="44442962">
      <w:pPr>
        <w:spacing w:line="360" w:lineRule="auto"/>
        <w:ind w:firstLine="482" w:firstLineChars="200"/>
        <w:contextualSpacing/>
        <w:outlineLvl w:val="1"/>
        <w:rPr>
          <w:rFonts w:ascii="宋体" w:hAnsi="宋体" w:cs="宋体"/>
          <w:b/>
          <w:sz w:val="28"/>
          <w:szCs w:val="28"/>
        </w:rPr>
      </w:pPr>
      <w:r>
        <w:rPr>
          <w:rFonts w:hint="eastAsia" w:ascii="宋体" w:hAnsi="宋体" w:cs="宋体"/>
          <w:b/>
          <w:sz w:val="24"/>
        </w:rPr>
        <w:br w:type="page"/>
      </w:r>
      <w:r>
        <w:rPr>
          <w:rFonts w:hint="eastAsia" w:ascii="宋体" w:hAnsi="宋体" w:cs="宋体"/>
          <w:b/>
          <w:sz w:val="28"/>
          <w:szCs w:val="28"/>
        </w:rPr>
        <w:t>附件2</w:t>
      </w:r>
    </w:p>
    <w:p w14:paraId="62D1F560">
      <w:pPr>
        <w:spacing w:line="440" w:lineRule="exact"/>
        <w:contextualSpacing/>
        <w:jc w:val="center"/>
        <w:rPr>
          <w:rFonts w:ascii="宋体" w:hAnsi="宋体" w:cs="宋体"/>
          <w:b/>
          <w:bCs/>
          <w:sz w:val="32"/>
          <w:szCs w:val="32"/>
        </w:rPr>
      </w:pPr>
      <w:r>
        <w:rPr>
          <w:rFonts w:hint="eastAsia" w:ascii="宋体" w:hAnsi="宋体" w:cs="宋体"/>
          <w:b/>
          <w:bCs/>
          <w:sz w:val="32"/>
          <w:szCs w:val="32"/>
        </w:rPr>
        <w:t>建设工程安全文明施工管理办法</w:t>
      </w:r>
    </w:p>
    <w:p w14:paraId="0A7A222E">
      <w:pPr>
        <w:spacing w:line="360" w:lineRule="auto"/>
        <w:ind w:firstLine="420" w:firstLineChars="200"/>
        <w:contextualSpacing/>
        <w:rPr>
          <w:rFonts w:ascii="宋体" w:hAnsi="宋体" w:cs="宋体"/>
          <w:szCs w:val="21"/>
        </w:rPr>
      </w:pPr>
      <w:r>
        <w:rPr>
          <w:rFonts w:hint="eastAsia" w:ascii="宋体" w:hAnsi="宋体" w:cs="宋体"/>
          <w:szCs w:val="21"/>
        </w:rPr>
        <w:t>第一章总则</w:t>
      </w:r>
    </w:p>
    <w:p w14:paraId="36EE5F1D">
      <w:pPr>
        <w:spacing w:line="360" w:lineRule="auto"/>
        <w:ind w:firstLine="420" w:firstLineChars="200"/>
        <w:contextualSpacing/>
        <w:rPr>
          <w:rFonts w:ascii="宋体" w:hAnsi="宋体" w:cs="宋体"/>
          <w:szCs w:val="21"/>
        </w:rPr>
      </w:pPr>
      <w:r>
        <w:rPr>
          <w:rFonts w:hint="eastAsia" w:ascii="宋体" w:hAnsi="宋体" w:cs="宋体"/>
          <w:szCs w:val="21"/>
        </w:rPr>
        <w:t>第一条为了切实加强医院基本建设安全文明施工管理,根据建设部有关安全文明施工的规定,结合我院实际,制定本管理办法。</w:t>
      </w:r>
    </w:p>
    <w:p w14:paraId="7D16C970">
      <w:pPr>
        <w:spacing w:line="360" w:lineRule="auto"/>
        <w:ind w:firstLine="420" w:firstLineChars="200"/>
        <w:contextualSpacing/>
        <w:rPr>
          <w:rFonts w:ascii="宋体" w:hAnsi="宋体" w:cs="宋体"/>
          <w:szCs w:val="21"/>
        </w:rPr>
      </w:pPr>
      <w:r>
        <w:rPr>
          <w:rFonts w:hint="eastAsia" w:ascii="宋体" w:hAnsi="宋体" w:cs="宋体"/>
          <w:szCs w:val="21"/>
        </w:rPr>
        <w:t>第二条凡在院区范围内从事有基建办负责管理的基本建设、改扩建及维修工程的施工单位,必须遵守本办法。</w:t>
      </w:r>
    </w:p>
    <w:p w14:paraId="1C1C6092">
      <w:pPr>
        <w:spacing w:line="360" w:lineRule="auto"/>
        <w:ind w:firstLine="420" w:firstLineChars="200"/>
        <w:contextualSpacing/>
        <w:rPr>
          <w:rFonts w:ascii="宋体" w:hAnsi="宋体" w:cs="宋体"/>
          <w:szCs w:val="21"/>
        </w:rPr>
      </w:pPr>
      <w:r>
        <w:rPr>
          <w:rFonts w:hint="eastAsia" w:ascii="宋体" w:hAnsi="宋体" w:cs="宋体"/>
          <w:szCs w:val="21"/>
        </w:rPr>
        <w:t>第三条施工单位、监理单位是安全文明施工的责任主体,对其施工、监理范围内工程的安全文明施工负责。基建办有关管理人员负协助管理责任。</w:t>
      </w:r>
    </w:p>
    <w:p w14:paraId="223A9916">
      <w:pPr>
        <w:spacing w:line="360" w:lineRule="auto"/>
        <w:ind w:firstLine="420" w:firstLineChars="200"/>
        <w:contextualSpacing/>
        <w:rPr>
          <w:rFonts w:ascii="宋体" w:hAnsi="宋体" w:cs="宋体"/>
          <w:szCs w:val="21"/>
        </w:rPr>
      </w:pPr>
      <w:r>
        <w:rPr>
          <w:rFonts w:hint="eastAsia" w:ascii="宋体" w:hAnsi="宋体" w:cs="宋体"/>
          <w:szCs w:val="21"/>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389A27B2">
      <w:pPr>
        <w:spacing w:line="360" w:lineRule="auto"/>
        <w:ind w:firstLine="420" w:firstLineChars="200"/>
        <w:contextualSpacing/>
        <w:rPr>
          <w:rFonts w:ascii="宋体" w:hAnsi="宋体" w:cs="宋体"/>
          <w:szCs w:val="21"/>
        </w:rPr>
      </w:pPr>
      <w:r>
        <w:rPr>
          <w:rFonts w:hint="eastAsia" w:ascii="宋体" w:hAnsi="宋体" w:cs="宋体"/>
          <w:szCs w:val="21"/>
        </w:rPr>
        <w:t>第二章施工现场安全文明管理</w:t>
      </w:r>
    </w:p>
    <w:p w14:paraId="0FB319AC">
      <w:pPr>
        <w:spacing w:line="360" w:lineRule="auto"/>
        <w:ind w:firstLine="420" w:firstLineChars="200"/>
        <w:contextualSpacing/>
        <w:rPr>
          <w:rFonts w:ascii="宋体" w:hAnsi="宋体" w:cs="宋体"/>
          <w:szCs w:val="21"/>
        </w:rPr>
      </w:pPr>
      <w:r>
        <w:rPr>
          <w:rFonts w:hint="eastAsia" w:ascii="宋体" w:hAnsi="宋体" w:cs="宋体"/>
          <w:szCs w:val="21"/>
        </w:rPr>
        <w:t>第五条施工场地四周围墙设置高度应不低于1.8米,在主要路段工地施工的围墙设置应不低于2.5米。围墙须沿工地四周连续设置,并建有门楼和值班室。围墙及门楼材料要坚固,做到稳定、整洁、美观。</w:t>
      </w:r>
    </w:p>
    <w:p w14:paraId="41B51A6A">
      <w:pPr>
        <w:spacing w:line="360" w:lineRule="auto"/>
        <w:ind w:firstLine="420" w:firstLineChars="200"/>
        <w:contextualSpacing/>
        <w:rPr>
          <w:rFonts w:ascii="宋体" w:hAnsi="宋体" w:cs="宋体"/>
          <w:szCs w:val="21"/>
        </w:rPr>
      </w:pPr>
      <w:r>
        <w:rPr>
          <w:rFonts w:hint="eastAsia" w:ascii="宋体" w:hAnsi="宋体" w:cs="宋体"/>
          <w:szCs w:val="21"/>
        </w:rPr>
        <w:t>第六条施工门楼前必须设置企业标志,新建或改扩建项目平面布置图、效果图,以及工程概况、组织管理网络、文明施工管理、安全生产牌。十项安全技术措施，消防须知牌等各种现场管理制度。</w:t>
      </w:r>
    </w:p>
    <w:p w14:paraId="3DAF91F4">
      <w:pPr>
        <w:spacing w:line="360" w:lineRule="auto"/>
        <w:ind w:firstLine="420" w:firstLineChars="200"/>
        <w:contextualSpacing/>
        <w:rPr>
          <w:rFonts w:ascii="宋体" w:hAnsi="宋体" w:cs="宋体"/>
          <w:szCs w:val="21"/>
        </w:rPr>
      </w:pPr>
      <w:r>
        <w:rPr>
          <w:rFonts w:hint="eastAsia" w:ascii="宋体" w:hAnsi="宋体" w:cs="宋体"/>
          <w:szCs w:val="21"/>
        </w:rPr>
        <w:t>第七条施工现场必须配备责任心强的值班人员,实行封闭式管理。施工作业人员和工作人员进出施工现场必须佩戴工作卡,非现场工作人员未经批准不得擅自进入施工现场。</w:t>
      </w:r>
    </w:p>
    <w:p w14:paraId="2B36402E">
      <w:pPr>
        <w:spacing w:line="360" w:lineRule="auto"/>
        <w:ind w:firstLine="420" w:firstLineChars="200"/>
        <w:contextualSpacing/>
        <w:rPr>
          <w:rFonts w:ascii="宋体" w:hAnsi="宋体" w:cs="宋体"/>
          <w:szCs w:val="21"/>
        </w:rPr>
      </w:pPr>
      <w:r>
        <w:rPr>
          <w:rFonts w:hint="eastAsia" w:ascii="宋体" w:hAnsi="宋体" w:cs="宋体"/>
          <w:szCs w:val="21"/>
        </w:rPr>
        <w:t>第八条现场施工人员及其工作人员必须佩戴安全帽。同时现场应配备一定数量的安全帽,以便供外来参观和检查人员使用。</w:t>
      </w:r>
    </w:p>
    <w:p w14:paraId="412C6422">
      <w:pPr>
        <w:spacing w:line="360" w:lineRule="auto"/>
        <w:ind w:firstLine="420" w:firstLineChars="200"/>
        <w:contextualSpacing/>
        <w:rPr>
          <w:rFonts w:ascii="宋体" w:hAnsi="宋体" w:cs="宋体"/>
          <w:szCs w:val="21"/>
        </w:rPr>
      </w:pPr>
      <w:r>
        <w:rPr>
          <w:rFonts w:hint="eastAsia" w:ascii="宋体" w:hAnsi="宋体" w:cs="宋体"/>
          <w:szCs w:val="21"/>
        </w:rPr>
        <w:t>第九条主要出入口和通道口应设置有顶盖的安全防护,临近道路和其它建筑物的外墙立面或有其它要求的外墙立面应采取封闭施工。</w:t>
      </w:r>
    </w:p>
    <w:p w14:paraId="20F6D0E2">
      <w:pPr>
        <w:spacing w:line="360" w:lineRule="auto"/>
        <w:ind w:firstLine="420" w:firstLineChars="200"/>
        <w:contextualSpacing/>
        <w:rPr>
          <w:rFonts w:ascii="宋体" w:hAnsi="宋体" w:cs="宋体"/>
          <w:szCs w:val="21"/>
        </w:rPr>
      </w:pPr>
      <w:r>
        <w:rPr>
          <w:rFonts w:hint="eastAsia" w:ascii="宋体" w:hAnsi="宋体" w:cs="宋体"/>
          <w:szCs w:val="21"/>
        </w:rPr>
        <w:t>第十条现场施工必须严格遵守国家有关安全文明施工的规定和规范要求，严禁违规操作。</w:t>
      </w:r>
    </w:p>
    <w:p w14:paraId="4E3FA514">
      <w:pPr>
        <w:spacing w:line="360" w:lineRule="auto"/>
        <w:ind w:firstLine="420" w:firstLineChars="200"/>
        <w:contextualSpacing/>
        <w:rPr>
          <w:rFonts w:ascii="宋体" w:hAnsi="宋体" w:cs="宋体"/>
          <w:szCs w:val="21"/>
        </w:rPr>
      </w:pPr>
      <w:r>
        <w:rPr>
          <w:rFonts w:hint="eastAsia" w:ascii="宋体" w:hAnsi="宋体" w:cs="宋体"/>
          <w:szCs w:val="21"/>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F8336C5">
      <w:pPr>
        <w:spacing w:line="360" w:lineRule="auto"/>
        <w:ind w:firstLine="420" w:firstLineChars="200"/>
        <w:contextualSpacing/>
        <w:rPr>
          <w:rFonts w:ascii="宋体" w:hAnsi="宋体" w:cs="宋体"/>
          <w:szCs w:val="21"/>
        </w:rPr>
      </w:pPr>
      <w:r>
        <w:rPr>
          <w:rFonts w:hint="eastAsia" w:ascii="宋体" w:hAnsi="宋体" w:cs="宋体"/>
          <w:szCs w:val="21"/>
        </w:rPr>
        <w:t>第十二条施工现场道路和材料堆放场地必须硬化,排水通畅,保证施工现场无积水。</w:t>
      </w:r>
    </w:p>
    <w:p w14:paraId="5CE13EAD">
      <w:pPr>
        <w:spacing w:line="360" w:lineRule="auto"/>
        <w:ind w:firstLine="420" w:firstLineChars="200"/>
        <w:contextualSpacing/>
        <w:rPr>
          <w:rFonts w:ascii="宋体" w:hAnsi="宋体" w:cs="宋体"/>
          <w:szCs w:val="21"/>
        </w:rPr>
      </w:pPr>
      <w:r>
        <w:rPr>
          <w:rFonts w:hint="eastAsia" w:ascii="宋体" w:hAnsi="宋体" w:cs="宋体"/>
          <w:szCs w:val="21"/>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3078EE3D">
      <w:pPr>
        <w:spacing w:line="360" w:lineRule="auto"/>
        <w:ind w:firstLine="420" w:firstLineChars="200"/>
        <w:contextualSpacing/>
        <w:rPr>
          <w:rFonts w:ascii="宋体" w:hAnsi="宋体" w:cs="宋体"/>
          <w:szCs w:val="21"/>
        </w:rPr>
      </w:pPr>
      <w:r>
        <w:rPr>
          <w:rFonts w:hint="eastAsia" w:ascii="宋体" w:hAnsi="宋体" w:cs="宋体"/>
          <w:szCs w:val="21"/>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07F9A717">
      <w:pPr>
        <w:spacing w:line="360" w:lineRule="auto"/>
        <w:ind w:firstLine="420" w:firstLineChars="200"/>
        <w:contextualSpacing/>
        <w:rPr>
          <w:rFonts w:ascii="宋体" w:hAnsi="宋体" w:cs="宋体"/>
          <w:szCs w:val="21"/>
        </w:rPr>
      </w:pPr>
      <w:r>
        <w:rPr>
          <w:rFonts w:hint="eastAsia" w:ascii="宋体" w:hAnsi="宋体" w:cs="宋体"/>
          <w:szCs w:val="21"/>
        </w:rPr>
        <w:t>第十五条施工现场的建筑废料和垃圾要及时清理外运,做到工完料尽场清。严格按要求运至基建办指定地点。严禁未经批准随处乱倒建筑废料和垃圾。</w:t>
      </w:r>
    </w:p>
    <w:p w14:paraId="70B49675">
      <w:pPr>
        <w:spacing w:line="360" w:lineRule="auto"/>
        <w:ind w:firstLine="420" w:firstLineChars="200"/>
        <w:contextualSpacing/>
        <w:rPr>
          <w:rFonts w:ascii="宋体" w:hAnsi="宋体" w:cs="宋体"/>
          <w:szCs w:val="21"/>
        </w:rPr>
      </w:pPr>
      <w:r>
        <w:rPr>
          <w:rFonts w:hint="eastAsia" w:ascii="宋体" w:hAnsi="宋体" w:cs="宋体"/>
          <w:szCs w:val="21"/>
        </w:rPr>
        <w:t>第十六条生活区必须与施工作业区分开。正在施工的工程不得用作施工单位职工宿舍、项目部办公室。生活临时用房要按基建办指定地点新建,工程完工后应将其场地清理干净。</w:t>
      </w:r>
    </w:p>
    <w:p w14:paraId="26F28DBC">
      <w:pPr>
        <w:spacing w:line="360" w:lineRule="auto"/>
        <w:ind w:firstLine="420" w:firstLineChars="200"/>
        <w:contextualSpacing/>
        <w:rPr>
          <w:rFonts w:ascii="宋体" w:hAnsi="宋体" w:cs="宋体"/>
          <w:szCs w:val="21"/>
        </w:rPr>
      </w:pPr>
      <w:r>
        <w:rPr>
          <w:rFonts w:hint="eastAsia" w:ascii="宋体" w:hAnsi="宋体" w:cs="宋体"/>
          <w:szCs w:val="21"/>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33EFC3F5">
      <w:pPr>
        <w:spacing w:line="360" w:lineRule="auto"/>
        <w:ind w:firstLine="420" w:firstLineChars="200"/>
        <w:contextualSpacing/>
        <w:rPr>
          <w:rFonts w:ascii="宋体" w:hAnsi="宋体" w:cs="宋体"/>
          <w:szCs w:val="21"/>
        </w:rPr>
      </w:pPr>
      <w:r>
        <w:rPr>
          <w:rFonts w:hint="eastAsia" w:ascii="宋体" w:hAnsi="宋体" w:cs="宋体"/>
          <w:szCs w:val="21"/>
        </w:rPr>
        <w:t>第十八条施工现场应制定防火制度,落实防火责任人。施工单位要认真贯彻“以防为主,防消结合”的方针。现场要配足必备的灭火器材,提供充足的消防水源,并建有临时休息室,严禁作业人员乱扔烟头。</w:t>
      </w:r>
    </w:p>
    <w:p w14:paraId="37509199">
      <w:pPr>
        <w:spacing w:line="360" w:lineRule="auto"/>
        <w:ind w:firstLine="420" w:firstLineChars="200"/>
        <w:contextualSpacing/>
        <w:rPr>
          <w:rFonts w:ascii="宋体" w:hAnsi="宋体" w:cs="宋体"/>
          <w:szCs w:val="21"/>
        </w:rPr>
      </w:pPr>
      <w:r>
        <w:rPr>
          <w:rFonts w:hint="eastAsia" w:ascii="宋体" w:hAnsi="宋体" w:cs="宋体"/>
          <w:szCs w:val="21"/>
        </w:rPr>
        <w:t>第十九条施工现场应设置自冲式男、女厕所,严禁作业人员随地大小便。</w:t>
      </w:r>
    </w:p>
    <w:p w14:paraId="46DA39BE">
      <w:pPr>
        <w:spacing w:line="360" w:lineRule="auto"/>
        <w:ind w:firstLine="420" w:firstLineChars="200"/>
        <w:contextualSpacing/>
        <w:rPr>
          <w:rFonts w:ascii="宋体" w:hAnsi="宋体" w:cs="宋体"/>
          <w:szCs w:val="21"/>
        </w:rPr>
      </w:pPr>
      <w:r>
        <w:rPr>
          <w:rFonts w:hint="eastAsia" w:ascii="宋体" w:hAnsi="宋体" w:cs="宋体"/>
          <w:szCs w:val="21"/>
        </w:rPr>
        <w:t>第三章安全文明综合治理</w:t>
      </w:r>
    </w:p>
    <w:p w14:paraId="3215240E">
      <w:pPr>
        <w:spacing w:line="360" w:lineRule="auto"/>
        <w:ind w:firstLine="420" w:firstLineChars="200"/>
        <w:contextualSpacing/>
        <w:rPr>
          <w:rFonts w:ascii="宋体" w:hAnsi="宋体" w:cs="宋体"/>
          <w:szCs w:val="21"/>
        </w:rPr>
      </w:pPr>
      <w:r>
        <w:rPr>
          <w:rFonts w:hint="eastAsia" w:ascii="宋体" w:hAnsi="宋体" w:cs="宋体"/>
          <w:szCs w:val="21"/>
        </w:rPr>
        <w:t>第二十条施工单位的所有人员必须遵守国家的法律法规。各施工单位应定期对其职工加强安全文明教育和遵纪守法教育。</w:t>
      </w:r>
    </w:p>
    <w:p w14:paraId="4A2CC4D6">
      <w:pPr>
        <w:spacing w:line="360" w:lineRule="auto"/>
        <w:ind w:firstLine="420" w:firstLineChars="200"/>
        <w:contextualSpacing/>
        <w:rPr>
          <w:rFonts w:ascii="宋体" w:hAnsi="宋体" w:cs="宋体"/>
          <w:szCs w:val="21"/>
        </w:rPr>
      </w:pPr>
      <w:r>
        <w:rPr>
          <w:rFonts w:hint="eastAsia" w:ascii="宋体" w:hAnsi="宋体" w:cs="宋体"/>
          <w:szCs w:val="21"/>
        </w:rPr>
        <w:t>第二十一条施工单位应建立安全文明管理制度,采取切实可行的安全保卫和文明管理措施,落实责任人,坚决杜绝不安全和不文明行为的发生,严禁打架斗殴、赌博、行窃等违法违纪行为。</w:t>
      </w:r>
    </w:p>
    <w:p w14:paraId="780D8542">
      <w:pPr>
        <w:spacing w:line="360" w:lineRule="auto"/>
        <w:ind w:firstLine="420" w:firstLineChars="200"/>
        <w:contextualSpacing/>
        <w:rPr>
          <w:rFonts w:ascii="宋体" w:hAnsi="宋体" w:cs="宋体"/>
          <w:szCs w:val="21"/>
        </w:rPr>
      </w:pPr>
      <w:r>
        <w:rPr>
          <w:rFonts w:hint="eastAsia" w:ascii="宋体" w:hAnsi="宋体" w:cs="宋体"/>
          <w:szCs w:val="21"/>
        </w:rPr>
        <w:t>第二十二条加强施工人员生活区管理。生活区的食堂、厕所与垃圾箱应保持一定的距离。生活区与现场作业区相邻时,场内须设置带盖的垃圾桶。生活垃圾与建筑垃圾应分开堆放和处置。</w:t>
      </w:r>
    </w:p>
    <w:p w14:paraId="57126EB6">
      <w:pPr>
        <w:spacing w:line="360" w:lineRule="auto"/>
        <w:ind w:firstLine="420" w:firstLineChars="200"/>
        <w:contextualSpacing/>
        <w:rPr>
          <w:rFonts w:ascii="宋体" w:hAnsi="宋体" w:cs="宋体"/>
          <w:szCs w:val="21"/>
        </w:rPr>
      </w:pPr>
      <w:r>
        <w:rPr>
          <w:rFonts w:hint="eastAsia" w:ascii="宋体" w:hAnsi="宋体" w:cs="宋体"/>
          <w:szCs w:val="21"/>
        </w:rPr>
        <w:t>第二十三条加强施工人员宿舍内用电管理，宿舍内严禁使用大功率电器。</w:t>
      </w:r>
    </w:p>
    <w:p w14:paraId="7D8EFB8B">
      <w:pPr>
        <w:spacing w:line="360" w:lineRule="auto"/>
        <w:ind w:firstLine="420" w:firstLineChars="200"/>
        <w:contextualSpacing/>
        <w:rPr>
          <w:rFonts w:ascii="宋体" w:hAnsi="宋体" w:cs="宋体"/>
          <w:szCs w:val="21"/>
        </w:rPr>
      </w:pPr>
      <w:r>
        <w:rPr>
          <w:rFonts w:hint="eastAsia" w:ascii="宋体" w:hAnsi="宋体" w:cs="宋体"/>
          <w:szCs w:val="21"/>
        </w:rPr>
        <w:t>第二十四条施工单位所有车辆不得在院区内高速行驶和鸣号,所有建筑材料运输车辆不得在院区路道路上行驶,因施工需要,须经基建办领导批准。</w:t>
      </w:r>
    </w:p>
    <w:p w14:paraId="6D8503C9">
      <w:pPr>
        <w:spacing w:line="360" w:lineRule="auto"/>
        <w:ind w:firstLine="420" w:firstLineChars="200"/>
        <w:contextualSpacing/>
        <w:rPr>
          <w:rFonts w:ascii="宋体" w:hAnsi="宋体" w:cs="宋体"/>
          <w:szCs w:val="21"/>
        </w:rPr>
      </w:pPr>
      <w:r>
        <w:rPr>
          <w:rFonts w:hint="eastAsia" w:ascii="宋体" w:hAnsi="宋体" w:cs="宋体"/>
          <w:szCs w:val="21"/>
        </w:rPr>
        <w:t>第四章处罚措施</w:t>
      </w:r>
    </w:p>
    <w:p w14:paraId="620141F2">
      <w:pPr>
        <w:spacing w:line="360" w:lineRule="auto"/>
        <w:ind w:firstLine="420" w:firstLineChars="200"/>
        <w:contextualSpacing/>
        <w:rPr>
          <w:rFonts w:ascii="宋体" w:hAnsi="宋体" w:cs="宋体"/>
          <w:szCs w:val="21"/>
        </w:rPr>
      </w:pPr>
      <w:r>
        <w:rPr>
          <w:rFonts w:hint="eastAsia" w:ascii="宋体" w:hAnsi="宋体" w:cs="宋体"/>
          <w:szCs w:val="21"/>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5F75D294">
      <w:pPr>
        <w:spacing w:line="360" w:lineRule="auto"/>
        <w:ind w:firstLine="420" w:firstLineChars="200"/>
        <w:contextualSpacing/>
        <w:rPr>
          <w:rFonts w:ascii="宋体" w:hAnsi="宋体" w:cs="宋体"/>
          <w:szCs w:val="21"/>
        </w:rPr>
      </w:pPr>
      <w:r>
        <w:rPr>
          <w:rFonts w:hint="eastAsia" w:ascii="宋体" w:hAnsi="宋体" w:cs="宋体"/>
          <w:szCs w:val="21"/>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364054E6">
      <w:pPr>
        <w:spacing w:line="360" w:lineRule="auto"/>
        <w:ind w:firstLine="420" w:firstLineChars="200"/>
        <w:contextualSpacing/>
        <w:rPr>
          <w:rFonts w:ascii="宋体" w:hAnsi="宋体" w:cs="宋体"/>
          <w:szCs w:val="21"/>
        </w:rPr>
      </w:pPr>
      <w:r>
        <w:rPr>
          <w:rFonts w:hint="eastAsia" w:ascii="宋体" w:hAnsi="宋体" w:cs="宋体"/>
          <w:szCs w:val="21"/>
        </w:rPr>
        <w:t>第二十七条有下列行为之一者,应给予告诫整改、责令停工整顿、罚款等处理处罚。情节严重者送交司法机关,追究刑事责任。</w:t>
      </w:r>
    </w:p>
    <w:p w14:paraId="1165388B">
      <w:pPr>
        <w:spacing w:line="360" w:lineRule="auto"/>
        <w:ind w:firstLine="420" w:firstLineChars="200"/>
        <w:contextualSpacing/>
        <w:rPr>
          <w:rFonts w:ascii="宋体" w:hAnsi="宋体" w:cs="宋体"/>
          <w:szCs w:val="21"/>
        </w:rPr>
      </w:pPr>
      <w:r>
        <w:rPr>
          <w:rFonts w:hint="eastAsia" w:ascii="宋体" w:hAnsi="宋体" w:cs="宋体"/>
          <w:szCs w:val="21"/>
        </w:rPr>
        <w:t>(一)施工现场围墙及安全保护设施不符合本管理办法规定的规范要求,进行告诫整改或责令停工整顿,必要时应进行经济处罚。</w:t>
      </w:r>
    </w:p>
    <w:p w14:paraId="5A12D01E">
      <w:pPr>
        <w:spacing w:line="360" w:lineRule="auto"/>
        <w:ind w:firstLine="420" w:firstLineChars="200"/>
        <w:contextualSpacing/>
        <w:rPr>
          <w:rFonts w:ascii="宋体" w:hAnsi="宋体" w:cs="宋体"/>
          <w:szCs w:val="21"/>
        </w:rPr>
      </w:pPr>
      <w:r>
        <w:rPr>
          <w:rFonts w:hint="eastAsia" w:ascii="宋体" w:hAnsi="宋体" w:cs="宋体"/>
          <w:szCs w:val="21"/>
        </w:rPr>
        <w:t>(二)现场施工人员违反施工管理规定和施工操作规范,在告诫整改不听的情况下,处以100—500元的罚款。</w:t>
      </w:r>
    </w:p>
    <w:p w14:paraId="5E44DED7">
      <w:pPr>
        <w:spacing w:line="360" w:lineRule="auto"/>
        <w:ind w:firstLine="420" w:firstLineChars="200"/>
        <w:contextualSpacing/>
        <w:rPr>
          <w:rFonts w:ascii="宋体" w:hAnsi="宋体" w:cs="宋体"/>
          <w:szCs w:val="21"/>
        </w:rPr>
      </w:pPr>
      <w:r>
        <w:rPr>
          <w:rFonts w:hint="eastAsia" w:ascii="宋体" w:hAnsi="宋体" w:cs="宋体"/>
          <w:szCs w:val="21"/>
        </w:rPr>
        <w:t>(三)施工人员在施工过程中破坏或损坏周边环境、应保护成品,除赔偿损失外,处以200—600元的罚款。</w:t>
      </w:r>
    </w:p>
    <w:p w14:paraId="4395F8F9">
      <w:pPr>
        <w:spacing w:line="360" w:lineRule="auto"/>
        <w:ind w:firstLine="420" w:firstLineChars="200"/>
        <w:contextualSpacing/>
        <w:rPr>
          <w:rFonts w:ascii="宋体" w:hAnsi="宋体" w:cs="宋体"/>
          <w:szCs w:val="21"/>
        </w:rPr>
      </w:pPr>
      <w:r>
        <w:rPr>
          <w:rFonts w:hint="eastAsia" w:ascii="宋体" w:hAnsi="宋体" w:cs="宋体"/>
          <w:szCs w:val="21"/>
        </w:rPr>
        <w:t>(四)施工车辆未经清洗上路行驶,污染路面而未及时清扫干净,除接受城管部门处罚外，来院再处以1000—5000元的罚款。</w:t>
      </w:r>
    </w:p>
    <w:p w14:paraId="25E0B24A">
      <w:pPr>
        <w:spacing w:line="360" w:lineRule="auto"/>
        <w:ind w:firstLine="420" w:firstLineChars="200"/>
        <w:contextualSpacing/>
        <w:rPr>
          <w:rFonts w:ascii="宋体" w:hAnsi="宋体" w:cs="宋体"/>
          <w:szCs w:val="21"/>
        </w:rPr>
      </w:pPr>
      <w:r>
        <w:rPr>
          <w:rFonts w:hint="eastAsia" w:ascii="宋体" w:hAnsi="宋体" w:cs="宋体"/>
          <w:szCs w:val="21"/>
        </w:rPr>
        <w:t>(五)施工单位对职工管理不严,出现打架斗殴、盗窃、赌博等违纪违法行为,轻则告诫整改和进行经济处罚,发现一起可处以500—1000元的罚款。重则移交司法机关追究刑事责任。</w:t>
      </w:r>
    </w:p>
    <w:p w14:paraId="0405D5B8">
      <w:pPr>
        <w:spacing w:line="360" w:lineRule="auto"/>
        <w:ind w:firstLine="420" w:firstLineChars="200"/>
        <w:contextualSpacing/>
        <w:rPr>
          <w:rFonts w:ascii="宋体" w:hAnsi="宋体" w:cs="宋体"/>
          <w:szCs w:val="21"/>
        </w:rPr>
      </w:pPr>
      <w:r>
        <w:rPr>
          <w:rFonts w:hint="eastAsia" w:ascii="宋体" w:hAnsi="宋体" w:cs="宋体"/>
          <w:szCs w:val="21"/>
        </w:rPr>
        <w:t>(六)未经批准,其建筑材料运输车辆和施工车辆擅自进入院区道路行驶,处以500—1000元的罚款。</w:t>
      </w:r>
    </w:p>
    <w:p w14:paraId="0235AEFE">
      <w:pPr>
        <w:spacing w:line="360" w:lineRule="auto"/>
        <w:ind w:firstLine="420" w:firstLineChars="200"/>
        <w:contextualSpacing/>
        <w:rPr>
          <w:rFonts w:ascii="宋体" w:hAnsi="宋体" w:cs="宋体"/>
          <w:szCs w:val="21"/>
        </w:rPr>
      </w:pPr>
      <w:r>
        <w:rPr>
          <w:rFonts w:hint="eastAsia" w:ascii="宋体" w:hAnsi="宋体" w:cs="宋体"/>
          <w:szCs w:val="21"/>
        </w:rPr>
        <w:t>(七)违反本办法的其它规定,经教育不改者,可处以200—1000元的罚款。</w:t>
      </w:r>
    </w:p>
    <w:p w14:paraId="0E4D2EB5">
      <w:pPr>
        <w:pStyle w:val="10"/>
        <w:tabs>
          <w:tab w:val="left" w:pos="0"/>
          <w:tab w:val="left" w:pos="993"/>
          <w:tab w:val="left" w:pos="1134"/>
        </w:tabs>
        <w:spacing w:line="360" w:lineRule="auto"/>
        <w:ind w:left="0" w:leftChars="0" w:firstLine="420" w:firstLineChars="200"/>
        <w:jc w:val="left"/>
        <w:rPr>
          <w:rFonts w:hAnsi="宋体" w:cs="仿宋"/>
          <w:snapToGrid w:val="0"/>
          <w:szCs w:val="21"/>
        </w:rPr>
      </w:pPr>
    </w:p>
    <w:p w14:paraId="4CC3343B">
      <w:pPr>
        <w:tabs>
          <w:tab w:val="left" w:pos="0"/>
          <w:tab w:val="left" w:pos="993"/>
          <w:tab w:val="left" w:pos="1134"/>
        </w:tabs>
        <w:spacing w:line="360" w:lineRule="auto"/>
        <w:rPr>
          <w:rFonts w:eastAsia="黑体"/>
          <w:b/>
          <w:snapToGrid w:val="0"/>
          <w:sz w:val="32"/>
        </w:rPr>
      </w:pPr>
    </w:p>
    <w:p w14:paraId="6773D86A">
      <w:pPr>
        <w:tabs>
          <w:tab w:val="left" w:pos="0"/>
          <w:tab w:val="left" w:pos="993"/>
          <w:tab w:val="left" w:pos="1134"/>
        </w:tabs>
        <w:spacing w:line="360" w:lineRule="auto"/>
        <w:rPr>
          <w:rFonts w:eastAsia="黑体"/>
          <w:b/>
          <w:snapToGrid w:val="0"/>
          <w:sz w:val="32"/>
        </w:rPr>
      </w:pPr>
    </w:p>
    <w:p w14:paraId="5F9895B8">
      <w:pPr>
        <w:tabs>
          <w:tab w:val="left" w:pos="0"/>
          <w:tab w:val="left" w:pos="993"/>
          <w:tab w:val="left" w:pos="1134"/>
        </w:tabs>
        <w:spacing w:line="360" w:lineRule="auto"/>
        <w:rPr>
          <w:rFonts w:eastAsia="黑体"/>
          <w:b/>
          <w:snapToGrid w:val="0"/>
          <w:sz w:val="32"/>
        </w:rPr>
      </w:pPr>
    </w:p>
    <w:p w14:paraId="66C2828A">
      <w:pPr>
        <w:rPr>
          <w:rFonts w:ascii="宋体" w:hAnsi="宋体" w:cs="宋体"/>
          <w:b/>
          <w:bCs/>
          <w:sz w:val="32"/>
          <w:szCs w:val="32"/>
        </w:rPr>
      </w:pPr>
      <w:r>
        <w:rPr>
          <w:rFonts w:hint="eastAsia" w:ascii="宋体" w:hAnsi="宋体" w:cs="宋体"/>
          <w:b/>
          <w:bCs/>
          <w:sz w:val="32"/>
          <w:szCs w:val="32"/>
        </w:rPr>
        <w:br w:type="page"/>
      </w:r>
    </w:p>
    <w:p w14:paraId="467D6BF7">
      <w:pPr>
        <w:tabs>
          <w:tab w:val="left" w:pos="0"/>
          <w:tab w:val="left" w:pos="993"/>
          <w:tab w:val="left" w:pos="1134"/>
        </w:tabs>
        <w:spacing w:line="360" w:lineRule="auto"/>
        <w:ind w:firstLine="643" w:firstLineChars="200"/>
        <w:jc w:val="center"/>
        <w:outlineLvl w:val="1"/>
        <w:rPr>
          <w:rFonts w:ascii="宋体" w:hAnsi="宋体" w:cs="宋体"/>
          <w:b/>
          <w:bCs/>
          <w:sz w:val="32"/>
          <w:szCs w:val="32"/>
        </w:rPr>
      </w:pPr>
      <w:r>
        <w:rPr>
          <w:rFonts w:hint="eastAsia" w:ascii="宋体" w:hAnsi="宋体" w:cs="宋体"/>
          <w:b/>
          <w:bCs/>
          <w:sz w:val="32"/>
          <w:szCs w:val="32"/>
        </w:rPr>
        <w:t>工程质量保修书</w:t>
      </w:r>
    </w:p>
    <w:p w14:paraId="1811B4B4">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w:t>
      </w:r>
      <w:r>
        <w:rPr>
          <w:rFonts w:hint="eastAsia" w:ascii="宋体" w:hAnsi="宋体" w:cs="宋体"/>
          <w:b/>
          <w:sz w:val="21"/>
          <w:szCs w:val="21"/>
        </w:rPr>
        <w:t>扬州大学附属医院</w:t>
      </w:r>
    </w:p>
    <w:p w14:paraId="4DDC777F">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承包人：</w:t>
      </w:r>
      <w:r>
        <w:rPr>
          <w:rFonts w:hint="eastAsia" w:ascii="宋体" w:hAnsi="宋体" w:cs="宋体"/>
          <w:b/>
          <w:sz w:val="21"/>
          <w:szCs w:val="21"/>
        </w:rPr>
        <w:t xml:space="preserve"> </w:t>
      </w:r>
    </w:p>
    <w:p w14:paraId="5E9110E3">
      <w:pPr>
        <w:spacing w:line="360" w:lineRule="auto"/>
        <w:ind w:firstLine="420" w:firstLineChars="200"/>
        <w:contextualSpacing/>
        <w:rPr>
          <w:rFonts w:ascii="宋体" w:hAnsi="宋体" w:cs="宋体"/>
          <w:b/>
          <w:bCs/>
          <w:snapToGrid w:val="0"/>
          <w:szCs w:val="21"/>
        </w:rPr>
      </w:pPr>
      <w:r>
        <w:rPr>
          <w:rFonts w:hint="eastAsia" w:ascii="宋体" w:hAnsi="宋体" w:cs="宋体"/>
          <w:szCs w:val="21"/>
        </w:rPr>
        <w:t>发包人承包人双方根据《中华人民共和国建筑法》、《建设工程质量管理条例》和《房屋建筑工程质量保修办法》，经协商一致，对</w:t>
      </w:r>
      <w:r>
        <w:rPr>
          <w:rFonts w:hint="eastAsia" w:ascii="宋体" w:hAnsi="宋体" w:cs="宋体"/>
          <w:b/>
          <w:bCs/>
          <w:szCs w:val="21"/>
          <w:u w:val="single"/>
        </w:rPr>
        <w:t xml:space="preserve">                           </w:t>
      </w:r>
      <w:r>
        <w:rPr>
          <w:rFonts w:hint="eastAsia" w:ascii="宋体" w:hAnsi="宋体" w:cs="宋体"/>
          <w:bCs/>
          <w:snapToGrid w:val="0"/>
          <w:szCs w:val="21"/>
        </w:rPr>
        <w:t>项目</w:t>
      </w:r>
      <w:r>
        <w:rPr>
          <w:rFonts w:hint="eastAsia" w:ascii="宋体" w:hAnsi="宋体" w:cs="宋体"/>
          <w:szCs w:val="21"/>
        </w:rPr>
        <w:t>签订工程质量保修书。</w:t>
      </w:r>
    </w:p>
    <w:p w14:paraId="18921EE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一、工程质量保修范围和内容</w:t>
      </w:r>
    </w:p>
    <w:p w14:paraId="5C3580DE">
      <w:pPr>
        <w:pStyle w:val="22"/>
        <w:spacing w:before="0" w:beforeAutospacing="0" w:after="0" w:afterAutospacing="0" w:line="360" w:lineRule="auto"/>
        <w:ind w:firstLine="420" w:firstLineChars="200"/>
        <w:contextualSpacing/>
        <w:rPr>
          <w:rFonts w:ascii="宋体" w:hAnsi="宋体" w:cs="宋体"/>
          <w:b/>
          <w:sz w:val="21"/>
          <w:szCs w:val="21"/>
          <w:u w:val="single"/>
        </w:rPr>
      </w:pPr>
      <w:r>
        <w:rPr>
          <w:rFonts w:hint="eastAsia" w:ascii="宋体" w:hAnsi="宋体" w:cs="宋体"/>
          <w:sz w:val="21"/>
          <w:szCs w:val="21"/>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cs="宋体"/>
          <w:b/>
          <w:sz w:val="21"/>
          <w:szCs w:val="21"/>
          <w:u w:val="single"/>
        </w:rPr>
        <w:t>凡属承包人加工及施工工艺、施工方法及材料质量等质量问题造成的需返工修补的情况。</w:t>
      </w:r>
    </w:p>
    <w:p w14:paraId="0401F88E">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二、质量保修期</w:t>
      </w:r>
    </w:p>
    <w:p w14:paraId="2D9A77C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1、质量保修期从工程实际竣工之日起开始计算。分单项竣工验收的工程，按单项工程分别计算质量保修期。双方根据《建设工程质量管理条例》及有关规定，约定本工程的质量保修期如下：</w:t>
      </w:r>
    </w:p>
    <w:p w14:paraId="506DADCA">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本工程质量保修期为</w:t>
      </w:r>
      <w:r>
        <w:rPr>
          <w:rFonts w:hint="eastAsia" w:ascii="宋体" w:hAnsi="宋体" w:cs="宋体"/>
          <w:b/>
          <w:sz w:val="21"/>
          <w:szCs w:val="21"/>
          <w:u w:val="single"/>
        </w:rPr>
        <w:t>3年</w:t>
      </w:r>
      <w:r>
        <w:rPr>
          <w:rFonts w:hint="eastAsia" w:ascii="宋体" w:hAnsi="宋体" w:cs="宋体"/>
          <w:sz w:val="21"/>
          <w:szCs w:val="21"/>
        </w:rPr>
        <w:t>，从工程竣工验收合格之日起，2年内因工程质量问题所发生的材料费、保修人工费等均由承包人负责免费维修和更换。</w:t>
      </w:r>
    </w:p>
    <w:p w14:paraId="035048C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2、在承包人对质量保证期内出现的质量问题进行维修时，承包人应相应延长维修或更换部分的质量保证期。</w:t>
      </w:r>
    </w:p>
    <w:p w14:paraId="70594A4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3、质量保证期内因发包人原因或自然灾害而造成的损坏，承包人不承担保修责任，但承包人有义务对此进行维修，维修发生的材料和人工费用由发包人承担。</w:t>
      </w:r>
    </w:p>
    <w:p w14:paraId="6A4B430D">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三、质量保修责任</w:t>
      </w:r>
    </w:p>
    <w:p w14:paraId="5EA468B5">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1、属于保修范围、内容的项目，承包人应当在接到保修通知之曰起7天内派人保修。承包人不在约定期限内派人保修的，发包人可以委托他人修理，保修费用从质量保修金内扣除。</w:t>
      </w:r>
    </w:p>
    <w:p w14:paraId="0EF74A91">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2、发生紧急抢修事故的，承包人在接到事故通知后，应当立即到达事故现场抢修。非承包人施工质量引起的事故，费用由发包人承担。</w:t>
      </w:r>
    </w:p>
    <w:p w14:paraId="1456BF3F">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3、在国家规定的工程合理使用年限内，承包人要确保工程质量。因承包人原因致使工程在合理使用年限内造成人身和财产损害的，承包人应承担损害赔偿责任。</w:t>
      </w:r>
    </w:p>
    <w:p w14:paraId="1F13FFE4">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四、保修费用</w:t>
      </w:r>
    </w:p>
    <w:p w14:paraId="20F0BF05">
      <w:pPr>
        <w:pStyle w:val="22"/>
        <w:spacing w:before="0" w:beforeAutospacing="0" w:after="0" w:afterAutospacing="0" w:line="360" w:lineRule="auto"/>
        <w:ind w:firstLine="420" w:firstLineChars="200"/>
        <w:contextualSpacing/>
        <w:rPr>
          <w:rFonts w:ascii="宋体" w:hAnsi="宋体" w:cs="宋体"/>
          <w:sz w:val="21"/>
          <w:szCs w:val="21"/>
          <w:u w:val="single"/>
        </w:rPr>
      </w:pPr>
      <w:r>
        <w:rPr>
          <w:rFonts w:hint="eastAsia" w:ascii="宋体" w:hAnsi="宋体" w:cs="宋体"/>
          <w:sz w:val="21"/>
          <w:szCs w:val="21"/>
        </w:rPr>
        <w:t>保修费用由造成质量缺陷的责任方承担。本工程约定的工程质量保修金为施工合同价的</w:t>
      </w:r>
      <w:r>
        <w:rPr>
          <w:rFonts w:hint="eastAsia" w:ascii="宋体" w:hAnsi="宋体" w:cs="宋体"/>
          <w:sz w:val="21"/>
          <w:szCs w:val="21"/>
          <w:lang w:val="en-US" w:eastAsia="zh-CN"/>
        </w:rPr>
        <w:t xml:space="preserve">    </w:t>
      </w:r>
      <w:r>
        <w:rPr>
          <w:rFonts w:hint="eastAsia" w:ascii="宋体" w:hAnsi="宋体" w:cs="宋体"/>
          <w:sz w:val="21"/>
          <w:szCs w:val="21"/>
        </w:rPr>
        <w:t>%。本工程双方约定的工程质量保修金的金额为人民币（大写）：</w:t>
      </w:r>
      <w:r>
        <w:rPr>
          <w:rFonts w:hint="eastAsia" w:ascii="宋体" w:hAnsi="宋体" w:cs="宋体"/>
          <w:sz w:val="21"/>
          <w:szCs w:val="21"/>
          <w:u w:val="single"/>
        </w:rPr>
        <w:t xml:space="preserve">     </w:t>
      </w:r>
      <w:bookmarkStart w:id="12" w:name="_GoBack"/>
      <w:bookmarkEnd w:id="12"/>
    </w:p>
    <w:p w14:paraId="47DC443C">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五、质量保修金的退还</w:t>
      </w:r>
    </w:p>
    <w:p w14:paraId="30B04509">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发包人在质量保修期满后21天内，将剩余保修金（不计利息）返还承包人。</w:t>
      </w:r>
    </w:p>
    <w:p w14:paraId="12E0916B">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六、其他</w:t>
      </w:r>
    </w:p>
    <w:p w14:paraId="4151AE66">
      <w:pPr>
        <w:pStyle w:val="22"/>
        <w:spacing w:before="0" w:beforeAutospacing="0" w:after="0" w:afterAutospacing="0" w:line="360" w:lineRule="auto"/>
        <w:ind w:firstLine="420" w:firstLineChars="200"/>
        <w:contextualSpacing/>
        <w:rPr>
          <w:rFonts w:ascii="宋体" w:hAnsi="宋体" w:cs="宋体"/>
          <w:b/>
          <w:sz w:val="21"/>
          <w:szCs w:val="21"/>
        </w:rPr>
      </w:pPr>
      <w:r>
        <w:rPr>
          <w:rFonts w:hint="eastAsia" w:ascii="宋体" w:hAnsi="宋体" w:cs="宋体"/>
          <w:sz w:val="21"/>
          <w:szCs w:val="21"/>
        </w:rPr>
        <w:t>双方约定的其他工程质量保修事项：</w:t>
      </w:r>
      <w:r>
        <w:rPr>
          <w:rFonts w:hint="eastAsia" w:ascii="宋体" w:hAnsi="宋体" w:cs="宋体"/>
          <w:b/>
          <w:sz w:val="21"/>
          <w:szCs w:val="21"/>
          <w:u w:val="single"/>
        </w:rPr>
        <w:t xml:space="preserve">       /       </w:t>
      </w:r>
      <w:r>
        <w:rPr>
          <w:rFonts w:hint="eastAsia" w:ascii="宋体" w:hAnsi="宋体" w:cs="宋体"/>
          <w:b/>
          <w:sz w:val="21"/>
          <w:szCs w:val="21"/>
        </w:rPr>
        <w:t>。</w:t>
      </w:r>
    </w:p>
    <w:p w14:paraId="312FCBF2">
      <w:pPr>
        <w:pStyle w:val="22"/>
        <w:spacing w:before="0" w:beforeAutospacing="0" w:after="0" w:afterAutospacing="0" w:line="360" w:lineRule="auto"/>
        <w:ind w:firstLine="420" w:firstLineChars="200"/>
        <w:contextualSpacing/>
        <w:rPr>
          <w:rFonts w:ascii="宋体" w:hAnsi="宋体" w:cs="宋体"/>
          <w:sz w:val="21"/>
          <w:szCs w:val="21"/>
        </w:rPr>
      </w:pPr>
      <w:r>
        <w:rPr>
          <w:rFonts w:hint="eastAsia" w:ascii="宋体" w:hAnsi="宋体" w:cs="宋体"/>
          <w:sz w:val="21"/>
          <w:szCs w:val="21"/>
        </w:rPr>
        <w:t>本工程质量保修书，由施工合同发包人、承包人双方在竣工验收前共同签署，作为施工合同附件其有效期限至保修期满。</w:t>
      </w:r>
    </w:p>
    <w:p w14:paraId="04C1C308">
      <w:pPr>
        <w:spacing w:line="360" w:lineRule="auto"/>
        <w:contextualSpacing/>
        <w:rPr>
          <w:rFonts w:ascii="宋体" w:hAnsi="宋体" w:cs="宋体"/>
          <w:szCs w:val="21"/>
        </w:rPr>
      </w:pPr>
    </w:p>
    <w:p w14:paraId="17200E8D">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4190828B">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485C39E1">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04119B1">
      <w:pPr>
        <w:pStyle w:val="17"/>
        <w:rPr>
          <w:rFonts w:ascii="宋体" w:hAnsi="宋体" w:cs="宋体"/>
          <w:sz w:val="21"/>
          <w:szCs w:val="21"/>
        </w:rPr>
      </w:pPr>
      <w:r>
        <w:rPr>
          <w:rFonts w:hint="eastAsia" w:ascii="宋体" w:hAnsi="宋体" w:cs="宋体"/>
          <w:sz w:val="21"/>
          <w:szCs w:val="21"/>
        </w:rPr>
        <w:t>日期:2025年  月    日                   日期：2025年   月     日</w:t>
      </w:r>
    </w:p>
    <w:p w14:paraId="0D2F43B6">
      <w:pPr>
        <w:rPr>
          <w:rFonts w:ascii="宋体" w:hAnsi="宋体" w:cs="宋体"/>
          <w:szCs w:val="21"/>
        </w:rPr>
      </w:pPr>
      <w:r>
        <w:rPr>
          <w:rFonts w:hint="eastAsia" w:ascii="宋体" w:hAnsi="宋体" w:cs="宋体"/>
          <w:szCs w:val="21"/>
        </w:rPr>
        <w:br w:type="page"/>
      </w:r>
    </w:p>
    <w:p w14:paraId="7134F78E">
      <w:pPr>
        <w:spacing w:line="360" w:lineRule="auto"/>
        <w:ind w:firstLine="643" w:firstLineChars="200"/>
        <w:jc w:val="center"/>
        <w:rPr>
          <w:rFonts w:ascii="宋体" w:hAnsi="宋体" w:cs="宋体"/>
          <w:b/>
          <w:bCs/>
          <w:sz w:val="36"/>
          <w:szCs w:val="36"/>
        </w:rPr>
      </w:pPr>
      <w:r>
        <w:rPr>
          <w:rFonts w:hint="eastAsia" w:ascii="宋体" w:hAnsi="宋体" w:cs="宋体"/>
          <w:b/>
          <w:bCs/>
          <w:sz w:val="32"/>
          <w:szCs w:val="32"/>
        </w:rPr>
        <w:t>廉洁协议书</w:t>
      </w:r>
    </w:p>
    <w:p w14:paraId="426FF216">
      <w:pPr>
        <w:spacing w:line="360" w:lineRule="auto"/>
        <w:ind w:firstLine="420" w:firstLineChars="200"/>
        <w:rPr>
          <w:rFonts w:ascii="宋体" w:hAnsi="宋体" w:cs="宋体"/>
          <w:b/>
          <w:szCs w:val="21"/>
        </w:rPr>
      </w:pPr>
      <w:r>
        <w:rPr>
          <w:rFonts w:hint="eastAsia" w:ascii="宋体" w:hAnsi="宋体" w:cs="宋体"/>
          <w:szCs w:val="21"/>
        </w:rPr>
        <w:t>发包人名称:</w:t>
      </w:r>
      <w:r>
        <w:rPr>
          <w:rFonts w:hint="eastAsia" w:ascii="宋体" w:hAnsi="宋体" w:cs="宋体"/>
          <w:b/>
          <w:szCs w:val="21"/>
        </w:rPr>
        <w:t>扬州大学附属医院</w:t>
      </w:r>
    </w:p>
    <w:p w14:paraId="38C22BC6">
      <w:pPr>
        <w:spacing w:line="360" w:lineRule="auto"/>
        <w:ind w:firstLine="420" w:firstLineChars="200"/>
        <w:contextualSpacing/>
        <w:rPr>
          <w:rFonts w:ascii="宋体" w:hAnsi="宋体" w:cs="宋体"/>
          <w:b/>
          <w:szCs w:val="21"/>
        </w:rPr>
      </w:pPr>
      <w:r>
        <w:rPr>
          <w:rFonts w:hint="eastAsia" w:ascii="宋体" w:hAnsi="宋体" w:cs="宋体"/>
          <w:szCs w:val="21"/>
        </w:rPr>
        <w:t>承包人名称:</w:t>
      </w:r>
    </w:p>
    <w:p w14:paraId="2AE2DA22">
      <w:pPr>
        <w:spacing w:line="360" w:lineRule="auto"/>
        <w:ind w:firstLine="420" w:firstLineChars="200"/>
        <w:rPr>
          <w:rFonts w:ascii="宋体" w:hAnsi="宋体" w:cs="宋体"/>
          <w:szCs w:val="21"/>
        </w:rPr>
      </w:pPr>
      <w:r>
        <w:rPr>
          <w:rFonts w:hint="eastAsia" w:ascii="宋体" w:hAnsi="宋体" w:cs="宋体"/>
          <w:szCs w:val="21"/>
        </w:rPr>
        <w:t>在发包人承包人双方订立、履行合同过程中，为保持廉洁自律的工作作风，防止各种不正当行为的发生，发包人承包人双方订立协议如下：</w:t>
      </w:r>
    </w:p>
    <w:p w14:paraId="247162AE">
      <w:pPr>
        <w:spacing w:line="360" w:lineRule="auto"/>
        <w:ind w:firstLine="420" w:firstLineChars="200"/>
        <w:rPr>
          <w:rFonts w:ascii="宋体" w:hAnsi="宋体" w:cs="宋体"/>
          <w:szCs w:val="21"/>
        </w:rPr>
      </w:pPr>
      <w:r>
        <w:rPr>
          <w:rFonts w:hint="eastAsia" w:ascii="宋体" w:hAnsi="宋体" w:cs="宋体"/>
          <w:szCs w:val="21"/>
        </w:rPr>
        <w:t>一、发包人承包人双方应当自觉遵守国家、地方法律法规以及本协议的约定，在合同的订立、履行过程中廉洁自律。</w:t>
      </w:r>
    </w:p>
    <w:p w14:paraId="6BB41AE7">
      <w:pPr>
        <w:spacing w:line="360" w:lineRule="auto"/>
        <w:ind w:firstLine="420" w:firstLineChars="200"/>
        <w:rPr>
          <w:rFonts w:ascii="宋体" w:hAnsi="宋体" w:cs="宋体"/>
          <w:szCs w:val="21"/>
        </w:rPr>
      </w:pPr>
      <w:r>
        <w:rPr>
          <w:rFonts w:hint="eastAsia" w:ascii="宋体" w:hAnsi="宋体" w:cs="宋体"/>
          <w:szCs w:val="21"/>
        </w:rPr>
        <w:t>二、发包人工作人员严禁进行商业目的的统方，不得以任何形式向承包人索要和收受个人回扣等好处费。</w:t>
      </w:r>
    </w:p>
    <w:p w14:paraId="354BAA9A">
      <w:pPr>
        <w:spacing w:line="360" w:lineRule="auto"/>
        <w:ind w:firstLine="420" w:firstLineChars="200"/>
        <w:rPr>
          <w:rFonts w:ascii="宋体" w:hAnsi="宋体" w:cs="宋体"/>
          <w:szCs w:val="21"/>
        </w:rPr>
      </w:pPr>
      <w:r>
        <w:rPr>
          <w:rFonts w:hint="eastAsia" w:ascii="宋体" w:hAnsi="宋体" w:cs="宋体"/>
          <w:szCs w:val="21"/>
        </w:rPr>
        <w:t>三、发包人工作人员应当保持与承包人的正常业务交往，不得接受承包人的礼金、有价证券和贵重物品，不得在承包人报销任何应由其个人承担的费用。</w:t>
      </w:r>
    </w:p>
    <w:p w14:paraId="7B6EFAB8">
      <w:pPr>
        <w:spacing w:line="360" w:lineRule="auto"/>
        <w:ind w:firstLine="420" w:firstLineChars="200"/>
        <w:rPr>
          <w:rFonts w:ascii="宋体" w:hAnsi="宋体" w:cs="宋体"/>
          <w:szCs w:val="21"/>
        </w:rPr>
      </w:pPr>
      <w:r>
        <w:rPr>
          <w:rFonts w:hint="eastAsia" w:ascii="宋体" w:hAnsi="宋体" w:cs="宋体"/>
          <w:szCs w:val="21"/>
        </w:rPr>
        <w:t>四、发包人工作人员不得参加可能对公正开展业务有影响的宴请和娱乐活动。如发包人工作人员确因实际情况须参加宴请、进行娱乐活动的，须事先报上一级批准。</w:t>
      </w:r>
    </w:p>
    <w:p w14:paraId="1F7F1F67">
      <w:pPr>
        <w:spacing w:line="360" w:lineRule="auto"/>
        <w:ind w:firstLine="420" w:firstLineChars="200"/>
        <w:rPr>
          <w:rFonts w:ascii="宋体" w:hAnsi="宋体" w:cs="宋体"/>
          <w:szCs w:val="21"/>
        </w:rPr>
      </w:pPr>
      <w:r>
        <w:rPr>
          <w:rFonts w:hint="eastAsia" w:ascii="宋体" w:hAnsi="宋体" w:cs="宋体"/>
          <w:szCs w:val="21"/>
        </w:rPr>
        <w:t>五、发包人工作人员不得要求或者接受承包人为其住房装修、婚丧嫁娶、家属和子女的工作安排以及出国等提供方便。</w:t>
      </w:r>
    </w:p>
    <w:p w14:paraId="7F6815C7">
      <w:pPr>
        <w:spacing w:line="360" w:lineRule="auto"/>
        <w:ind w:firstLine="420" w:firstLineChars="200"/>
        <w:rPr>
          <w:rFonts w:ascii="宋体" w:hAnsi="宋体" w:cs="宋体"/>
          <w:szCs w:val="21"/>
        </w:rPr>
      </w:pPr>
      <w:r>
        <w:rPr>
          <w:rFonts w:hint="eastAsia" w:ascii="宋体" w:hAnsi="宋体" w:cs="宋体"/>
          <w:szCs w:val="21"/>
        </w:rPr>
        <w:t>六、承包人不得接受发包人工作人员介绍的家属或者亲友从事与合同相关的业务。</w:t>
      </w:r>
    </w:p>
    <w:p w14:paraId="162F613F">
      <w:pPr>
        <w:spacing w:line="360" w:lineRule="auto"/>
        <w:ind w:firstLine="420" w:firstLineChars="200"/>
        <w:rPr>
          <w:rFonts w:ascii="宋体" w:hAnsi="宋体" w:cs="宋体"/>
          <w:szCs w:val="21"/>
        </w:rPr>
      </w:pPr>
      <w:r>
        <w:rPr>
          <w:rFonts w:hint="eastAsia" w:ascii="宋体" w:hAnsi="宋体" w:cs="宋体"/>
          <w:szCs w:val="21"/>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D315B77">
      <w:pPr>
        <w:spacing w:line="360" w:lineRule="auto"/>
        <w:ind w:firstLine="420" w:firstLineChars="200"/>
        <w:rPr>
          <w:rFonts w:ascii="宋体" w:hAnsi="宋体" w:cs="宋体"/>
          <w:szCs w:val="21"/>
        </w:rPr>
      </w:pPr>
      <w:r>
        <w:rPr>
          <w:rFonts w:hint="eastAsia" w:ascii="宋体" w:hAnsi="宋体" w:cs="宋体"/>
          <w:szCs w:val="21"/>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7A2F93CE">
      <w:pPr>
        <w:spacing w:line="360" w:lineRule="auto"/>
        <w:ind w:firstLine="420" w:firstLineChars="200"/>
        <w:rPr>
          <w:rFonts w:ascii="宋体" w:hAnsi="宋体" w:cs="宋体"/>
          <w:szCs w:val="21"/>
        </w:rPr>
      </w:pPr>
      <w:r>
        <w:rPr>
          <w:rFonts w:hint="eastAsia" w:ascii="宋体" w:hAnsi="宋体" w:cs="宋体"/>
          <w:szCs w:val="21"/>
        </w:rPr>
        <w:t>九、发包人发现承包人有违反本协议或者采用不正当的手段行贿发包人工作人员等不正当竞争行为的，发包人有权解除合同。</w:t>
      </w:r>
    </w:p>
    <w:p w14:paraId="1A4022D8">
      <w:pPr>
        <w:spacing w:line="360" w:lineRule="auto"/>
        <w:ind w:firstLine="420" w:firstLineChars="200"/>
        <w:rPr>
          <w:rFonts w:ascii="宋体" w:hAnsi="宋体" w:cs="宋体"/>
          <w:szCs w:val="21"/>
        </w:rPr>
      </w:pPr>
      <w:r>
        <w:rPr>
          <w:rFonts w:hint="eastAsia" w:ascii="宋体" w:hAnsi="宋体" w:cs="宋体"/>
          <w:szCs w:val="21"/>
        </w:rPr>
        <w:t>十、本廉洁协议作为合同的附件，与合同具有同等法律效力。经协议双方签署后立即生效。</w:t>
      </w:r>
    </w:p>
    <w:p w14:paraId="2FB33456">
      <w:pPr>
        <w:spacing w:line="360" w:lineRule="auto"/>
        <w:ind w:firstLine="420" w:firstLineChars="200"/>
        <w:rPr>
          <w:rFonts w:ascii="宋体" w:hAnsi="宋体" w:cs="宋体"/>
          <w:szCs w:val="21"/>
        </w:rPr>
      </w:pPr>
      <w:r>
        <w:rPr>
          <w:rFonts w:hint="eastAsia" w:ascii="宋体" w:hAnsi="宋体" w:cs="宋体"/>
          <w:szCs w:val="21"/>
        </w:rPr>
        <w:t>十一、本协议一式</w:t>
      </w:r>
      <w:r>
        <w:rPr>
          <w:rFonts w:hint="eastAsia" w:ascii="宋体" w:hAnsi="宋体" w:cs="宋体"/>
          <w:b/>
          <w:bCs/>
          <w:szCs w:val="21"/>
          <w:u w:val="single"/>
        </w:rPr>
        <w:t>伍</w:t>
      </w:r>
      <w:r>
        <w:rPr>
          <w:rFonts w:hint="eastAsia" w:ascii="宋体" w:hAnsi="宋体" w:cs="宋体"/>
          <w:szCs w:val="21"/>
        </w:rPr>
        <w:t>份，发包人方执</w:t>
      </w:r>
      <w:r>
        <w:rPr>
          <w:rFonts w:hint="eastAsia" w:ascii="宋体" w:hAnsi="宋体" w:cs="宋体"/>
          <w:b/>
          <w:bCs/>
          <w:szCs w:val="21"/>
          <w:u w:val="single"/>
        </w:rPr>
        <w:t>叁</w:t>
      </w:r>
      <w:r>
        <w:rPr>
          <w:rFonts w:hint="eastAsia" w:ascii="宋体" w:hAnsi="宋体" w:cs="宋体"/>
          <w:szCs w:val="21"/>
        </w:rPr>
        <w:t>份，承包人方执</w:t>
      </w:r>
      <w:r>
        <w:rPr>
          <w:rFonts w:hint="eastAsia" w:ascii="宋体" w:hAnsi="宋体" w:cs="宋体"/>
          <w:b/>
          <w:bCs/>
          <w:szCs w:val="21"/>
          <w:u w:val="single"/>
        </w:rPr>
        <w:t>贰</w:t>
      </w:r>
      <w:r>
        <w:rPr>
          <w:rFonts w:hint="eastAsia" w:ascii="宋体" w:hAnsi="宋体" w:cs="宋体"/>
          <w:szCs w:val="21"/>
        </w:rPr>
        <w:t>份，并从签订之日起生效。</w:t>
      </w:r>
    </w:p>
    <w:p w14:paraId="649393D0">
      <w:pPr>
        <w:pStyle w:val="58"/>
        <w:adjustRightInd/>
        <w:spacing w:before="0" w:after="0" w:line="360" w:lineRule="auto"/>
        <w:ind w:left="0" w:right="0" w:firstLine="420" w:firstLineChars="200"/>
        <w:contextualSpacing/>
        <w:rPr>
          <w:rFonts w:ascii="宋体" w:hAnsi="宋体" w:cs="宋体"/>
          <w:sz w:val="21"/>
          <w:szCs w:val="21"/>
        </w:rPr>
      </w:pPr>
    </w:p>
    <w:p w14:paraId="2FF57110">
      <w:pPr>
        <w:pStyle w:val="58"/>
        <w:adjustRightInd/>
        <w:spacing w:before="0" w:after="0" w:line="360" w:lineRule="auto"/>
        <w:ind w:left="0" w:right="0" w:firstLine="420" w:firstLineChars="200"/>
        <w:contextualSpacing/>
        <w:rPr>
          <w:rFonts w:ascii="宋体" w:hAnsi="宋体" w:cs="宋体"/>
          <w:b/>
          <w:sz w:val="21"/>
          <w:szCs w:val="21"/>
        </w:rPr>
      </w:pPr>
      <w:r>
        <w:rPr>
          <w:rFonts w:hint="eastAsia" w:ascii="宋体" w:hAnsi="宋体" w:cs="宋体"/>
          <w:sz w:val="21"/>
          <w:szCs w:val="21"/>
        </w:rPr>
        <w:t>发包人：（盖章）</w:t>
      </w:r>
      <w:r>
        <w:rPr>
          <w:rFonts w:hint="eastAsia" w:ascii="宋体" w:hAnsi="宋体" w:cs="宋体"/>
          <w:b/>
          <w:sz w:val="21"/>
          <w:szCs w:val="21"/>
        </w:rPr>
        <w:t xml:space="preserve">扬州大学附属医院        </w:t>
      </w:r>
      <w:r>
        <w:rPr>
          <w:rFonts w:hint="eastAsia" w:ascii="宋体" w:hAnsi="宋体" w:cs="宋体"/>
          <w:sz w:val="21"/>
          <w:szCs w:val="21"/>
        </w:rPr>
        <w:t>承包人：（盖章）</w:t>
      </w:r>
    </w:p>
    <w:p w14:paraId="0060F968">
      <w:pPr>
        <w:spacing w:line="360" w:lineRule="auto"/>
        <w:ind w:firstLine="420" w:firstLineChars="200"/>
        <w:contextualSpacing/>
        <w:rPr>
          <w:rFonts w:ascii="宋体" w:hAnsi="宋体" w:cs="宋体"/>
          <w:bCs/>
          <w:szCs w:val="21"/>
        </w:rPr>
      </w:pPr>
      <w:r>
        <w:rPr>
          <w:rFonts w:hint="eastAsia" w:ascii="宋体" w:hAnsi="宋体" w:cs="宋体"/>
          <w:szCs w:val="21"/>
        </w:rPr>
        <w:t>法定代表人：                            法定代表人：</w:t>
      </w:r>
    </w:p>
    <w:p w14:paraId="1AC8C324">
      <w:pPr>
        <w:spacing w:line="360" w:lineRule="auto"/>
        <w:ind w:firstLine="420" w:firstLineChars="200"/>
        <w:contextualSpacing/>
        <w:rPr>
          <w:rFonts w:ascii="宋体" w:hAnsi="宋体" w:cs="宋体"/>
          <w:bCs/>
          <w:szCs w:val="21"/>
        </w:rPr>
      </w:pPr>
      <w:r>
        <w:rPr>
          <w:rFonts w:hint="eastAsia" w:ascii="宋体" w:hAnsi="宋体" w:cs="宋体"/>
          <w:szCs w:val="21"/>
        </w:rPr>
        <w:t>（或授权签约人）：                      （或授权签约人）：</w:t>
      </w:r>
    </w:p>
    <w:p w14:paraId="692B9FAD">
      <w:pPr>
        <w:spacing w:line="360" w:lineRule="auto"/>
        <w:ind w:firstLine="420" w:firstLineChars="200"/>
        <w:contextualSpacing/>
        <w:rPr>
          <w:rFonts w:ascii="宋体" w:hAnsi="宋体" w:cs="宋体"/>
          <w:szCs w:val="21"/>
        </w:rPr>
      </w:pPr>
      <w:r>
        <w:rPr>
          <w:rFonts w:hint="eastAsia" w:ascii="宋体" w:hAnsi="宋体" w:cs="宋体"/>
          <w:szCs w:val="21"/>
        </w:rPr>
        <w:t>日期:2025年  月    日                   日期：2025年   月     日</w:t>
      </w:r>
    </w:p>
    <w:p w14:paraId="0D2283EA">
      <w:pPr>
        <w:rPr>
          <w:rFonts w:ascii="宋体" w:hAnsi="宋体" w:cs="宋体"/>
          <w:szCs w:val="21"/>
        </w:rPr>
      </w:pPr>
      <w:r>
        <w:rPr>
          <w:rFonts w:hint="eastAsia" w:ascii="宋体" w:hAnsi="宋体" w:cs="宋体"/>
          <w:szCs w:val="21"/>
        </w:rPr>
        <w:br w:type="page"/>
      </w:r>
    </w:p>
    <w:p w14:paraId="7675D6DE">
      <w:pPr>
        <w:pStyle w:val="17"/>
        <w:rPr>
          <w:rFonts w:ascii="宋体" w:hAnsi="宋体" w:cs="宋体"/>
          <w:sz w:val="21"/>
          <w:szCs w:val="21"/>
        </w:rPr>
      </w:pPr>
      <w:r>
        <w:rPr>
          <w:rFonts w:hint="eastAsia" w:ascii="宋体" w:hAnsi="宋体" w:cs="宋体"/>
          <w:sz w:val="21"/>
          <w:szCs w:val="21"/>
        </w:rPr>
        <w:t>附件：图纸（仅供参考）</w:t>
      </w:r>
    </w:p>
    <w:p w14:paraId="3320FC42">
      <w:pPr>
        <w:pStyle w:val="17"/>
        <w:rPr>
          <w:rFonts w:hint="default" w:ascii="宋体" w:hAnsi="宋体" w:eastAsia="宋体" w:cs="宋体"/>
          <w:sz w:val="21"/>
          <w:szCs w:val="21"/>
          <w:lang w:val="en-US" w:eastAsia="zh-CN"/>
        </w:rPr>
      </w:pPr>
      <w:r>
        <w:rPr>
          <w:rFonts w:hint="eastAsia" w:ascii="宋体" w:hAnsi="宋体" w:cs="宋体"/>
          <w:sz w:val="21"/>
          <w:szCs w:val="21"/>
          <w:lang w:val="en-US" w:eastAsia="zh-CN"/>
        </w:rPr>
        <w:t>1.12病区平面图</w:t>
      </w:r>
    </w:p>
    <w:p w14:paraId="3B005E2D">
      <w:pPr>
        <w:pStyle w:val="17"/>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6179820" cy="6464935"/>
            <wp:effectExtent l="0" t="0" r="12065" b="11430"/>
            <wp:docPr id="35" name="图片 35" descr="12病区平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2病区平面_00"/>
                    <pic:cNvPicPr>
                      <a:picLocks noChangeAspect="1"/>
                    </pic:cNvPicPr>
                  </pic:nvPicPr>
                  <pic:blipFill>
                    <a:blip r:embed="rId23"/>
                    <a:stretch>
                      <a:fillRect/>
                    </a:stretch>
                  </pic:blipFill>
                  <pic:spPr>
                    <a:xfrm rot="5400000">
                      <a:off x="0" y="0"/>
                      <a:ext cx="6179820" cy="6464935"/>
                    </a:xfrm>
                    <a:prstGeom prst="rect">
                      <a:avLst/>
                    </a:prstGeom>
                  </pic:spPr>
                </pic:pic>
              </a:graphicData>
            </a:graphic>
          </wp:inline>
        </w:drawing>
      </w:r>
    </w:p>
    <w:p w14:paraId="556047B6">
      <w:pPr>
        <w:rPr>
          <w:rFonts w:hint="default" w:ascii="宋体" w:hAnsi="宋体" w:cs="宋体"/>
          <w:sz w:val="21"/>
          <w:szCs w:val="21"/>
          <w:lang w:val="en-US" w:eastAsia="zh-CN"/>
        </w:rPr>
      </w:pPr>
    </w:p>
    <w:p w14:paraId="4C004F23">
      <w:pPr>
        <w:rPr>
          <w:rFonts w:hint="eastAsia" w:ascii="宋体" w:hAnsi="宋体" w:cs="宋体"/>
          <w:sz w:val="21"/>
          <w:szCs w:val="21"/>
          <w:lang w:val="en-US" w:eastAsia="zh-CN"/>
        </w:rPr>
      </w:pPr>
      <w:r>
        <w:rPr>
          <w:rFonts w:hint="eastAsia" w:ascii="宋体" w:hAnsi="宋体" w:cs="宋体"/>
          <w:sz w:val="21"/>
          <w:szCs w:val="21"/>
          <w:lang w:val="en-US" w:eastAsia="zh-CN"/>
        </w:rPr>
        <w:br w:type="page"/>
      </w:r>
    </w:p>
    <w:p w14:paraId="7EC03A24">
      <w:pPr>
        <w:pStyle w:val="17"/>
        <w:rPr>
          <w:rFonts w:hint="eastAsia" w:ascii="宋体" w:hAnsi="宋体" w:cs="宋体"/>
          <w:sz w:val="21"/>
          <w:szCs w:val="21"/>
          <w:lang w:val="en-US" w:eastAsia="zh-CN"/>
        </w:rPr>
      </w:pPr>
      <w:r>
        <w:rPr>
          <w:rFonts w:hint="eastAsia" w:ascii="宋体" w:hAnsi="宋体" w:cs="宋体"/>
          <w:sz w:val="21"/>
          <w:szCs w:val="21"/>
          <w:lang w:val="en-US" w:eastAsia="zh-CN"/>
        </w:rPr>
        <w:t>2.高级医学中心门诊入口</w:t>
      </w:r>
    </w:p>
    <w:p w14:paraId="55B4C621">
      <w:pPr>
        <w:rPr>
          <w:rFonts w:hint="default" w:ascii="宋体" w:hAnsi="宋体" w:cs="宋体"/>
          <w:sz w:val="21"/>
          <w:szCs w:val="21"/>
          <w:lang w:val="en-US" w:eastAsia="zh-CN"/>
        </w:rPr>
      </w:pPr>
    </w:p>
    <w:p w14:paraId="0C82107C">
      <w:pPr>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6184265" cy="7745730"/>
            <wp:effectExtent l="0" t="0" r="0" b="0"/>
            <wp:docPr id="36" name="图片 36" descr="高级医学中心入口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高级医学中心入口_00"/>
                    <pic:cNvPicPr>
                      <a:picLocks noChangeAspect="1"/>
                    </pic:cNvPicPr>
                  </pic:nvPicPr>
                  <pic:blipFill>
                    <a:blip r:embed="rId24"/>
                    <a:srcRect t="6010"/>
                    <a:stretch>
                      <a:fillRect/>
                    </a:stretch>
                  </pic:blipFill>
                  <pic:spPr>
                    <a:xfrm>
                      <a:off x="0" y="0"/>
                      <a:ext cx="6184265" cy="7745730"/>
                    </a:xfrm>
                    <a:prstGeom prst="rect">
                      <a:avLst/>
                    </a:prstGeom>
                  </pic:spPr>
                </pic:pic>
              </a:graphicData>
            </a:graphic>
          </wp:inline>
        </w:drawing>
      </w:r>
    </w:p>
    <w:sectPr>
      <w:footerReference r:id="rId4" w:type="default"/>
      <w:pgSz w:w="11906" w:h="16838"/>
      <w:pgMar w:top="1440" w:right="1080" w:bottom="1440" w:left="108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6036190"/>
      <w:docPartObj>
        <w:docPartGallery w:val="autotext"/>
      </w:docPartObj>
    </w:sdtPr>
    <w:sdtContent>
      <w:p w14:paraId="5B5DDF4B">
        <w:pPr>
          <w:pStyle w:val="17"/>
          <w:jc w:val="center"/>
        </w:pPr>
        <w:r>
          <w:fldChar w:fldCharType="begin"/>
        </w:r>
        <w:r>
          <w:instrText xml:space="preserve">PAGE   \* MERGEFORMAT</w:instrText>
        </w:r>
        <w:r>
          <w:fldChar w:fldCharType="separate"/>
        </w:r>
        <w:r>
          <w:rPr>
            <w:lang w:val="zh-CN"/>
          </w:rPr>
          <w:t>24</w:t>
        </w:r>
        <w:r>
          <w:fldChar w:fldCharType="end"/>
        </w:r>
      </w:p>
    </w:sdtContent>
  </w:sdt>
  <w:p w14:paraId="5095FF9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102457"/>
    </w:sdtPr>
    <w:sdtContent>
      <w:p w14:paraId="483D9E34">
        <w:pPr>
          <w:pStyle w:val="17"/>
          <w:jc w:val="center"/>
        </w:pPr>
        <w:r>
          <w:fldChar w:fldCharType="begin"/>
        </w:r>
        <w:r>
          <w:instrText xml:space="preserve">PAGE   \* MERGEFORMAT</w:instrText>
        </w:r>
        <w:r>
          <w:fldChar w:fldCharType="separate"/>
        </w:r>
        <w:r>
          <w:rPr>
            <w:lang w:val="zh-CN"/>
          </w:rPr>
          <w:t>3</w:t>
        </w:r>
        <w:r>
          <w:rPr>
            <w:lang w:val="zh-CN"/>
          </w:rPr>
          <w:fldChar w:fldCharType="end"/>
        </w:r>
      </w:p>
    </w:sdtContent>
  </w:sdt>
  <w:p w14:paraId="09067505">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61BFD"/>
    <w:multiLevelType w:val="singleLevel"/>
    <w:tmpl w:val="96D61BFD"/>
    <w:lvl w:ilvl="0" w:tentative="0">
      <w:start w:val="5"/>
      <w:numFmt w:val="chineseCounting"/>
      <w:suff w:val="nothing"/>
      <w:lvlText w:val="%1、"/>
      <w:lvlJc w:val="left"/>
      <w:rPr>
        <w:rFonts w:hint="eastAsia"/>
      </w:rPr>
    </w:lvl>
  </w:abstractNum>
  <w:abstractNum w:abstractNumId="1">
    <w:nsid w:val="B65BD28B"/>
    <w:multiLevelType w:val="singleLevel"/>
    <w:tmpl w:val="B65BD28B"/>
    <w:lvl w:ilvl="0" w:tentative="0">
      <w:start w:val="2"/>
      <w:numFmt w:val="decimal"/>
      <w:lvlText w:val="（%1)"/>
      <w:lvlJc w:val="left"/>
      <w:pPr>
        <w:tabs>
          <w:tab w:val="left" w:pos="312"/>
        </w:tabs>
      </w:pPr>
    </w:lvl>
  </w:abstractNum>
  <w:abstractNum w:abstractNumId="2">
    <w:nsid w:val="CD9AC4D8"/>
    <w:multiLevelType w:val="singleLevel"/>
    <w:tmpl w:val="CD9AC4D8"/>
    <w:lvl w:ilvl="0" w:tentative="0">
      <w:start w:val="4"/>
      <w:numFmt w:val="decimal"/>
      <w:suff w:val="nothing"/>
      <w:lvlText w:val="%1、"/>
      <w:lvlJc w:val="left"/>
    </w:lvl>
  </w:abstractNum>
  <w:abstractNum w:abstractNumId="3">
    <w:nsid w:val="FFFFFF83"/>
    <w:multiLevelType w:val="singleLevel"/>
    <w:tmpl w:val="FFFFFF83"/>
    <w:lvl w:ilvl="0" w:tentative="0">
      <w:start w:val="1"/>
      <w:numFmt w:val="bullet"/>
      <w:pStyle w:val="11"/>
      <w:lvlText w:val=""/>
      <w:lvlJc w:val="left"/>
      <w:pPr>
        <w:tabs>
          <w:tab w:val="left" w:pos="780"/>
        </w:tabs>
        <w:ind w:left="780" w:leftChars="200" w:hanging="360" w:hangingChars="200"/>
      </w:pPr>
      <w:rPr>
        <w:rFonts w:hint="default" w:ascii="Wingdings" w:hAnsi="Wingdings"/>
      </w:rPr>
    </w:lvl>
  </w:abstractNum>
  <w:abstractNum w:abstractNumId="4">
    <w:nsid w:val="14E0F544"/>
    <w:multiLevelType w:val="singleLevel"/>
    <w:tmpl w:val="14E0F544"/>
    <w:lvl w:ilvl="0" w:tentative="0">
      <w:start w:val="3"/>
      <w:numFmt w:val="chineseCounting"/>
      <w:suff w:val="nothing"/>
      <w:lvlText w:val="%1、"/>
      <w:lvlJc w:val="left"/>
      <w:rPr>
        <w:rFonts w:hint="eastAsia"/>
      </w:rPr>
    </w:lvl>
  </w:abstractNum>
  <w:abstractNum w:abstractNumId="5">
    <w:nsid w:val="1E09DAB9"/>
    <w:multiLevelType w:val="singleLevel"/>
    <w:tmpl w:val="1E09DAB9"/>
    <w:lvl w:ilvl="0" w:tentative="0">
      <w:start w:val="2"/>
      <w:numFmt w:val="chineseCounting"/>
      <w:suff w:val="nothing"/>
      <w:lvlText w:val="%1、"/>
      <w:lvlJc w:val="left"/>
      <w:rPr>
        <w:rFonts w:hint="eastAsia"/>
      </w:rPr>
    </w:lvl>
  </w:abstractNum>
  <w:abstractNum w:abstractNumId="6">
    <w:nsid w:val="21D54FAC"/>
    <w:multiLevelType w:val="singleLevel"/>
    <w:tmpl w:val="21D54FAC"/>
    <w:lvl w:ilvl="0" w:tentative="0">
      <w:start w:val="1"/>
      <w:numFmt w:val="decimal"/>
      <w:lvlText w:val="%1."/>
      <w:lvlJc w:val="left"/>
      <w:pPr>
        <w:tabs>
          <w:tab w:val="left" w:pos="312"/>
        </w:tabs>
      </w:pPr>
    </w:lvl>
  </w:abstractNum>
  <w:num w:numId="1">
    <w:abstractNumId w:val="3"/>
  </w:num>
  <w:num w:numId="2">
    <w:abstractNumId w:val="2"/>
  </w:num>
  <w:num w:numId="3">
    <w:abstractNumId w:val="6"/>
  </w:num>
  <w:num w:numId="4">
    <w:abstractNumId w:val="5"/>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C46"/>
    <w:rsid w:val="0000270E"/>
    <w:rsid w:val="00003AF8"/>
    <w:rsid w:val="0000425E"/>
    <w:rsid w:val="000058AF"/>
    <w:rsid w:val="00006F20"/>
    <w:rsid w:val="000077B3"/>
    <w:rsid w:val="00010637"/>
    <w:rsid w:val="000106D7"/>
    <w:rsid w:val="00015063"/>
    <w:rsid w:val="00015440"/>
    <w:rsid w:val="00015CD1"/>
    <w:rsid w:val="000211A7"/>
    <w:rsid w:val="00023EE4"/>
    <w:rsid w:val="000251B0"/>
    <w:rsid w:val="00027A9E"/>
    <w:rsid w:val="000316F0"/>
    <w:rsid w:val="00031B82"/>
    <w:rsid w:val="00031E4A"/>
    <w:rsid w:val="000324B6"/>
    <w:rsid w:val="000342A5"/>
    <w:rsid w:val="0003463E"/>
    <w:rsid w:val="0003700B"/>
    <w:rsid w:val="00041B7A"/>
    <w:rsid w:val="00041BA1"/>
    <w:rsid w:val="00042874"/>
    <w:rsid w:val="00043CAB"/>
    <w:rsid w:val="000444A5"/>
    <w:rsid w:val="00047C26"/>
    <w:rsid w:val="000500A7"/>
    <w:rsid w:val="00050FFE"/>
    <w:rsid w:val="00051B95"/>
    <w:rsid w:val="00052743"/>
    <w:rsid w:val="00052CB3"/>
    <w:rsid w:val="00052F93"/>
    <w:rsid w:val="0005416E"/>
    <w:rsid w:val="0005624C"/>
    <w:rsid w:val="00056910"/>
    <w:rsid w:val="00057554"/>
    <w:rsid w:val="0005769F"/>
    <w:rsid w:val="000624DA"/>
    <w:rsid w:val="00067DCB"/>
    <w:rsid w:val="00070769"/>
    <w:rsid w:val="00070E1D"/>
    <w:rsid w:val="00072A11"/>
    <w:rsid w:val="000745EF"/>
    <w:rsid w:val="000757CB"/>
    <w:rsid w:val="00075E7E"/>
    <w:rsid w:val="0009075B"/>
    <w:rsid w:val="0009129B"/>
    <w:rsid w:val="000914DC"/>
    <w:rsid w:val="0009169D"/>
    <w:rsid w:val="00091E74"/>
    <w:rsid w:val="00092540"/>
    <w:rsid w:val="00093012"/>
    <w:rsid w:val="000967E7"/>
    <w:rsid w:val="00096ADA"/>
    <w:rsid w:val="00096B7B"/>
    <w:rsid w:val="000A2512"/>
    <w:rsid w:val="000A3D4A"/>
    <w:rsid w:val="000A6D0E"/>
    <w:rsid w:val="000A6E49"/>
    <w:rsid w:val="000B1028"/>
    <w:rsid w:val="000B34F4"/>
    <w:rsid w:val="000B3E14"/>
    <w:rsid w:val="000B50D9"/>
    <w:rsid w:val="000B6BE9"/>
    <w:rsid w:val="000C0DCD"/>
    <w:rsid w:val="000C2069"/>
    <w:rsid w:val="000C23F2"/>
    <w:rsid w:val="000C2CF2"/>
    <w:rsid w:val="000C3ACE"/>
    <w:rsid w:val="000C51AF"/>
    <w:rsid w:val="000C55D7"/>
    <w:rsid w:val="000D02D6"/>
    <w:rsid w:val="000D07DB"/>
    <w:rsid w:val="000D140E"/>
    <w:rsid w:val="000D1543"/>
    <w:rsid w:val="000D2AFA"/>
    <w:rsid w:val="000D40D9"/>
    <w:rsid w:val="000D47F6"/>
    <w:rsid w:val="000D7845"/>
    <w:rsid w:val="000D79DC"/>
    <w:rsid w:val="000E11E0"/>
    <w:rsid w:val="000E364B"/>
    <w:rsid w:val="000E4728"/>
    <w:rsid w:val="000E4B6A"/>
    <w:rsid w:val="000E4EA3"/>
    <w:rsid w:val="000E541E"/>
    <w:rsid w:val="000E54E5"/>
    <w:rsid w:val="000F0043"/>
    <w:rsid w:val="000F03D5"/>
    <w:rsid w:val="000F10CA"/>
    <w:rsid w:val="000F136E"/>
    <w:rsid w:val="000F4538"/>
    <w:rsid w:val="000F45E9"/>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1AF7"/>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2C2A"/>
    <w:rsid w:val="00153F6A"/>
    <w:rsid w:val="00155B28"/>
    <w:rsid w:val="0015741C"/>
    <w:rsid w:val="00160C59"/>
    <w:rsid w:val="00160F65"/>
    <w:rsid w:val="00162B2D"/>
    <w:rsid w:val="0016369C"/>
    <w:rsid w:val="00164056"/>
    <w:rsid w:val="0016575D"/>
    <w:rsid w:val="00165D8B"/>
    <w:rsid w:val="00172142"/>
    <w:rsid w:val="0017216F"/>
    <w:rsid w:val="0017240E"/>
    <w:rsid w:val="001726C9"/>
    <w:rsid w:val="00172DF4"/>
    <w:rsid w:val="00175320"/>
    <w:rsid w:val="0017657B"/>
    <w:rsid w:val="00176B93"/>
    <w:rsid w:val="00180953"/>
    <w:rsid w:val="001814F0"/>
    <w:rsid w:val="0018375F"/>
    <w:rsid w:val="00183A27"/>
    <w:rsid w:val="001860A4"/>
    <w:rsid w:val="0018660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590E"/>
    <w:rsid w:val="001C76D3"/>
    <w:rsid w:val="001D07DA"/>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7B3"/>
    <w:rsid w:val="002106F1"/>
    <w:rsid w:val="00211F2C"/>
    <w:rsid w:val="00212CBA"/>
    <w:rsid w:val="0021423F"/>
    <w:rsid w:val="0021514D"/>
    <w:rsid w:val="002159EB"/>
    <w:rsid w:val="00217134"/>
    <w:rsid w:val="00220D94"/>
    <w:rsid w:val="00220F6C"/>
    <w:rsid w:val="00223922"/>
    <w:rsid w:val="00225F53"/>
    <w:rsid w:val="002262C8"/>
    <w:rsid w:val="00231AA9"/>
    <w:rsid w:val="00231B54"/>
    <w:rsid w:val="0023328D"/>
    <w:rsid w:val="002341AA"/>
    <w:rsid w:val="00235F90"/>
    <w:rsid w:val="00237CDE"/>
    <w:rsid w:val="00237F55"/>
    <w:rsid w:val="00240256"/>
    <w:rsid w:val="002410E4"/>
    <w:rsid w:val="002418F2"/>
    <w:rsid w:val="00241B56"/>
    <w:rsid w:val="00242F20"/>
    <w:rsid w:val="00243852"/>
    <w:rsid w:val="00244304"/>
    <w:rsid w:val="002503F2"/>
    <w:rsid w:val="002516AA"/>
    <w:rsid w:val="002534E1"/>
    <w:rsid w:val="00254742"/>
    <w:rsid w:val="002565F3"/>
    <w:rsid w:val="00256FE9"/>
    <w:rsid w:val="00261352"/>
    <w:rsid w:val="002651E3"/>
    <w:rsid w:val="00265EAF"/>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62C"/>
    <w:rsid w:val="00296FA7"/>
    <w:rsid w:val="002A31E8"/>
    <w:rsid w:val="002A3D2D"/>
    <w:rsid w:val="002A407D"/>
    <w:rsid w:val="002A6103"/>
    <w:rsid w:val="002B115D"/>
    <w:rsid w:val="002B154D"/>
    <w:rsid w:val="002B3E1C"/>
    <w:rsid w:val="002B3F78"/>
    <w:rsid w:val="002B4315"/>
    <w:rsid w:val="002B5979"/>
    <w:rsid w:val="002B7C7B"/>
    <w:rsid w:val="002C08F2"/>
    <w:rsid w:val="002C2D5B"/>
    <w:rsid w:val="002C6CB2"/>
    <w:rsid w:val="002D0471"/>
    <w:rsid w:val="002D49BC"/>
    <w:rsid w:val="002D7331"/>
    <w:rsid w:val="002D73C6"/>
    <w:rsid w:val="002E14AF"/>
    <w:rsid w:val="002E2468"/>
    <w:rsid w:val="002E377A"/>
    <w:rsid w:val="002E3CFD"/>
    <w:rsid w:val="002E41D0"/>
    <w:rsid w:val="002E4643"/>
    <w:rsid w:val="002E6879"/>
    <w:rsid w:val="002E7A00"/>
    <w:rsid w:val="002F0C39"/>
    <w:rsid w:val="002F1327"/>
    <w:rsid w:val="002F19F1"/>
    <w:rsid w:val="002F3689"/>
    <w:rsid w:val="002F3896"/>
    <w:rsid w:val="002F46F0"/>
    <w:rsid w:val="002F4C60"/>
    <w:rsid w:val="002F586F"/>
    <w:rsid w:val="002F5D50"/>
    <w:rsid w:val="002F7CE0"/>
    <w:rsid w:val="00301F0C"/>
    <w:rsid w:val="0030401B"/>
    <w:rsid w:val="003044E4"/>
    <w:rsid w:val="00304880"/>
    <w:rsid w:val="00304D86"/>
    <w:rsid w:val="00306D77"/>
    <w:rsid w:val="003109D2"/>
    <w:rsid w:val="00312325"/>
    <w:rsid w:val="00312D45"/>
    <w:rsid w:val="0032018B"/>
    <w:rsid w:val="00321E1C"/>
    <w:rsid w:val="003221C8"/>
    <w:rsid w:val="0032221B"/>
    <w:rsid w:val="0032304A"/>
    <w:rsid w:val="00326C5C"/>
    <w:rsid w:val="0033073C"/>
    <w:rsid w:val="00330A60"/>
    <w:rsid w:val="00336511"/>
    <w:rsid w:val="00336701"/>
    <w:rsid w:val="00341CB3"/>
    <w:rsid w:val="00342647"/>
    <w:rsid w:val="003431F1"/>
    <w:rsid w:val="0034462C"/>
    <w:rsid w:val="0034709A"/>
    <w:rsid w:val="003478B4"/>
    <w:rsid w:val="00350E54"/>
    <w:rsid w:val="00351765"/>
    <w:rsid w:val="003525C6"/>
    <w:rsid w:val="003541C5"/>
    <w:rsid w:val="00354287"/>
    <w:rsid w:val="00355E4B"/>
    <w:rsid w:val="00356F1F"/>
    <w:rsid w:val="0035787B"/>
    <w:rsid w:val="0036022E"/>
    <w:rsid w:val="003623AC"/>
    <w:rsid w:val="0036250C"/>
    <w:rsid w:val="00365996"/>
    <w:rsid w:val="00370EFB"/>
    <w:rsid w:val="00371741"/>
    <w:rsid w:val="0037262D"/>
    <w:rsid w:val="00373547"/>
    <w:rsid w:val="00373948"/>
    <w:rsid w:val="00373D76"/>
    <w:rsid w:val="00375287"/>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4F8D"/>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C080D"/>
    <w:rsid w:val="003C4352"/>
    <w:rsid w:val="003D0F77"/>
    <w:rsid w:val="003D3BF2"/>
    <w:rsid w:val="003D4601"/>
    <w:rsid w:val="003D5FA1"/>
    <w:rsid w:val="003D72DD"/>
    <w:rsid w:val="003D7B15"/>
    <w:rsid w:val="003E0994"/>
    <w:rsid w:val="003E0E50"/>
    <w:rsid w:val="003E12AD"/>
    <w:rsid w:val="003E1C7D"/>
    <w:rsid w:val="003E3E1B"/>
    <w:rsid w:val="003E670F"/>
    <w:rsid w:val="003E6C88"/>
    <w:rsid w:val="003E748B"/>
    <w:rsid w:val="003E75F8"/>
    <w:rsid w:val="003F09BD"/>
    <w:rsid w:val="003F0E01"/>
    <w:rsid w:val="003F0ED2"/>
    <w:rsid w:val="003F4E3E"/>
    <w:rsid w:val="003F528E"/>
    <w:rsid w:val="00401318"/>
    <w:rsid w:val="0040419A"/>
    <w:rsid w:val="004067F3"/>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3156D"/>
    <w:rsid w:val="00431BB8"/>
    <w:rsid w:val="00432B2C"/>
    <w:rsid w:val="00435F0A"/>
    <w:rsid w:val="00437742"/>
    <w:rsid w:val="004417FA"/>
    <w:rsid w:val="004450D0"/>
    <w:rsid w:val="0044542F"/>
    <w:rsid w:val="004462F0"/>
    <w:rsid w:val="00447846"/>
    <w:rsid w:val="00447F0D"/>
    <w:rsid w:val="00450129"/>
    <w:rsid w:val="00451B9F"/>
    <w:rsid w:val="00452F7D"/>
    <w:rsid w:val="0045460B"/>
    <w:rsid w:val="00460FA1"/>
    <w:rsid w:val="00461031"/>
    <w:rsid w:val="00461820"/>
    <w:rsid w:val="00465790"/>
    <w:rsid w:val="004659CB"/>
    <w:rsid w:val="00471ECB"/>
    <w:rsid w:val="00472820"/>
    <w:rsid w:val="00473067"/>
    <w:rsid w:val="00473D5B"/>
    <w:rsid w:val="00475303"/>
    <w:rsid w:val="00480AED"/>
    <w:rsid w:val="00481283"/>
    <w:rsid w:val="00481872"/>
    <w:rsid w:val="004818BD"/>
    <w:rsid w:val="00482280"/>
    <w:rsid w:val="004822DF"/>
    <w:rsid w:val="00483498"/>
    <w:rsid w:val="00484905"/>
    <w:rsid w:val="00485F44"/>
    <w:rsid w:val="00486831"/>
    <w:rsid w:val="00486ED1"/>
    <w:rsid w:val="00490046"/>
    <w:rsid w:val="004900F3"/>
    <w:rsid w:val="00490712"/>
    <w:rsid w:val="00490D83"/>
    <w:rsid w:val="004916F3"/>
    <w:rsid w:val="00494DAF"/>
    <w:rsid w:val="00495CF5"/>
    <w:rsid w:val="004963E9"/>
    <w:rsid w:val="00497FF3"/>
    <w:rsid w:val="004A481C"/>
    <w:rsid w:val="004A5115"/>
    <w:rsid w:val="004A5F95"/>
    <w:rsid w:val="004A6DD6"/>
    <w:rsid w:val="004B28BE"/>
    <w:rsid w:val="004B57AD"/>
    <w:rsid w:val="004B6000"/>
    <w:rsid w:val="004B6C46"/>
    <w:rsid w:val="004B6F27"/>
    <w:rsid w:val="004B70D1"/>
    <w:rsid w:val="004B775C"/>
    <w:rsid w:val="004C203F"/>
    <w:rsid w:val="004C2FC5"/>
    <w:rsid w:val="004C4B5B"/>
    <w:rsid w:val="004C6405"/>
    <w:rsid w:val="004C787A"/>
    <w:rsid w:val="004D0E7C"/>
    <w:rsid w:val="004D0FB0"/>
    <w:rsid w:val="004D1C35"/>
    <w:rsid w:val="004D6462"/>
    <w:rsid w:val="004D799A"/>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DE1"/>
    <w:rsid w:val="00510E42"/>
    <w:rsid w:val="005118FE"/>
    <w:rsid w:val="005121DB"/>
    <w:rsid w:val="00512FDC"/>
    <w:rsid w:val="00513252"/>
    <w:rsid w:val="005135B2"/>
    <w:rsid w:val="005149F0"/>
    <w:rsid w:val="00521F5A"/>
    <w:rsid w:val="00522F64"/>
    <w:rsid w:val="00523A30"/>
    <w:rsid w:val="00523B6F"/>
    <w:rsid w:val="00523EB0"/>
    <w:rsid w:val="0052405E"/>
    <w:rsid w:val="0052553B"/>
    <w:rsid w:val="00525919"/>
    <w:rsid w:val="0053218A"/>
    <w:rsid w:val="00533A52"/>
    <w:rsid w:val="00533DBD"/>
    <w:rsid w:val="005362C2"/>
    <w:rsid w:val="0053644C"/>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7FB8"/>
    <w:rsid w:val="005800C5"/>
    <w:rsid w:val="00580985"/>
    <w:rsid w:val="0058196C"/>
    <w:rsid w:val="00581D9A"/>
    <w:rsid w:val="00585D26"/>
    <w:rsid w:val="005867C8"/>
    <w:rsid w:val="0059143E"/>
    <w:rsid w:val="0059234F"/>
    <w:rsid w:val="00592565"/>
    <w:rsid w:val="0059296F"/>
    <w:rsid w:val="00594A90"/>
    <w:rsid w:val="00595FCA"/>
    <w:rsid w:val="00597339"/>
    <w:rsid w:val="005A1F46"/>
    <w:rsid w:val="005A46E2"/>
    <w:rsid w:val="005A4836"/>
    <w:rsid w:val="005A4FB5"/>
    <w:rsid w:val="005A64E0"/>
    <w:rsid w:val="005B1769"/>
    <w:rsid w:val="005B1CBA"/>
    <w:rsid w:val="005B3EA4"/>
    <w:rsid w:val="005B50B2"/>
    <w:rsid w:val="005B56B3"/>
    <w:rsid w:val="005B594D"/>
    <w:rsid w:val="005B5E0E"/>
    <w:rsid w:val="005C0A63"/>
    <w:rsid w:val="005C214F"/>
    <w:rsid w:val="005C26E5"/>
    <w:rsid w:val="005C3B41"/>
    <w:rsid w:val="005C3C3F"/>
    <w:rsid w:val="005C448B"/>
    <w:rsid w:val="005C5EE9"/>
    <w:rsid w:val="005C6898"/>
    <w:rsid w:val="005D170A"/>
    <w:rsid w:val="005D3026"/>
    <w:rsid w:val="005D3EF0"/>
    <w:rsid w:val="005D4611"/>
    <w:rsid w:val="005D5076"/>
    <w:rsid w:val="005D6928"/>
    <w:rsid w:val="005D719D"/>
    <w:rsid w:val="005D785C"/>
    <w:rsid w:val="005E335A"/>
    <w:rsid w:val="005E36C7"/>
    <w:rsid w:val="005E3AC4"/>
    <w:rsid w:val="005E3C4B"/>
    <w:rsid w:val="005E3D9F"/>
    <w:rsid w:val="005E4C43"/>
    <w:rsid w:val="005E6CF8"/>
    <w:rsid w:val="005E6EA4"/>
    <w:rsid w:val="005E7D6A"/>
    <w:rsid w:val="005F2306"/>
    <w:rsid w:val="005F60A2"/>
    <w:rsid w:val="00600300"/>
    <w:rsid w:val="00600B17"/>
    <w:rsid w:val="00600FDE"/>
    <w:rsid w:val="00601D6F"/>
    <w:rsid w:val="00602914"/>
    <w:rsid w:val="00605DC9"/>
    <w:rsid w:val="006078D6"/>
    <w:rsid w:val="006102B0"/>
    <w:rsid w:val="00611189"/>
    <w:rsid w:val="0061139E"/>
    <w:rsid w:val="00614B3E"/>
    <w:rsid w:val="00615EC7"/>
    <w:rsid w:val="006170C1"/>
    <w:rsid w:val="0062079F"/>
    <w:rsid w:val="00620FEA"/>
    <w:rsid w:val="00621E6E"/>
    <w:rsid w:val="00625D25"/>
    <w:rsid w:val="0063028A"/>
    <w:rsid w:val="006303D1"/>
    <w:rsid w:val="00630DA3"/>
    <w:rsid w:val="00631FF0"/>
    <w:rsid w:val="00632BCE"/>
    <w:rsid w:val="00632FE3"/>
    <w:rsid w:val="00633529"/>
    <w:rsid w:val="006372DD"/>
    <w:rsid w:val="006404AB"/>
    <w:rsid w:val="00642A93"/>
    <w:rsid w:val="00642E38"/>
    <w:rsid w:val="006446AF"/>
    <w:rsid w:val="006463E1"/>
    <w:rsid w:val="0065105A"/>
    <w:rsid w:val="00651D84"/>
    <w:rsid w:val="00651E74"/>
    <w:rsid w:val="00652BE1"/>
    <w:rsid w:val="00653D25"/>
    <w:rsid w:val="00655A80"/>
    <w:rsid w:val="00655B93"/>
    <w:rsid w:val="00656BCD"/>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59C5"/>
    <w:rsid w:val="006860E4"/>
    <w:rsid w:val="00686198"/>
    <w:rsid w:val="00686611"/>
    <w:rsid w:val="00690E90"/>
    <w:rsid w:val="00695435"/>
    <w:rsid w:val="006964F6"/>
    <w:rsid w:val="006A04E1"/>
    <w:rsid w:val="006A1054"/>
    <w:rsid w:val="006A13B9"/>
    <w:rsid w:val="006A22B5"/>
    <w:rsid w:val="006A2331"/>
    <w:rsid w:val="006A7DB1"/>
    <w:rsid w:val="006B1475"/>
    <w:rsid w:val="006B1A94"/>
    <w:rsid w:val="006B23FF"/>
    <w:rsid w:val="006B2AC2"/>
    <w:rsid w:val="006B33E1"/>
    <w:rsid w:val="006B4583"/>
    <w:rsid w:val="006B7158"/>
    <w:rsid w:val="006C0630"/>
    <w:rsid w:val="006C0F5C"/>
    <w:rsid w:val="006C36F8"/>
    <w:rsid w:val="006C6327"/>
    <w:rsid w:val="006C7860"/>
    <w:rsid w:val="006D0355"/>
    <w:rsid w:val="006D209E"/>
    <w:rsid w:val="006D21FC"/>
    <w:rsid w:val="006D256C"/>
    <w:rsid w:val="006D3F9E"/>
    <w:rsid w:val="006D4824"/>
    <w:rsid w:val="006D4F17"/>
    <w:rsid w:val="006D5129"/>
    <w:rsid w:val="006D5B92"/>
    <w:rsid w:val="006D678F"/>
    <w:rsid w:val="006D67EA"/>
    <w:rsid w:val="006D75D3"/>
    <w:rsid w:val="006E12DA"/>
    <w:rsid w:val="006E350A"/>
    <w:rsid w:val="006F0C1F"/>
    <w:rsid w:val="006F1619"/>
    <w:rsid w:val="006F2C5B"/>
    <w:rsid w:val="006F357F"/>
    <w:rsid w:val="006F3840"/>
    <w:rsid w:val="006F407F"/>
    <w:rsid w:val="006F5A79"/>
    <w:rsid w:val="006F5CCE"/>
    <w:rsid w:val="006F7486"/>
    <w:rsid w:val="006F7DE3"/>
    <w:rsid w:val="006F7F35"/>
    <w:rsid w:val="007008B4"/>
    <w:rsid w:val="0070116E"/>
    <w:rsid w:val="007017B6"/>
    <w:rsid w:val="00701E0E"/>
    <w:rsid w:val="00704A16"/>
    <w:rsid w:val="00704CFA"/>
    <w:rsid w:val="007051DA"/>
    <w:rsid w:val="007059E9"/>
    <w:rsid w:val="00706FC7"/>
    <w:rsid w:val="007072F7"/>
    <w:rsid w:val="0070791A"/>
    <w:rsid w:val="00712999"/>
    <w:rsid w:val="00713F3F"/>
    <w:rsid w:val="00716058"/>
    <w:rsid w:val="00716F25"/>
    <w:rsid w:val="00717491"/>
    <w:rsid w:val="00717EF6"/>
    <w:rsid w:val="00720A9A"/>
    <w:rsid w:val="007217F4"/>
    <w:rsid w:val="00721BDC"/>
    <w:rsid w:val="00722589"/>
    <w:rsid w:val="007249B8"/>
    <w:rsid w:val="00727C39"/>
    <w:rsid w:val="00730EE1"/>
    <w:rsid w:val="007315AA"/>
    <w:rsid w:val="00733436"/>
    <w:rsid w:val="00734924"/>
    <w:rsid w:val="0073609B"/>
    <w:rsid w:val="0073705E"/>
    <w:rsid w:val="00742C2C"/>
    <w:rsid w:val="00742E50"/>
    <w:rsid w:val="007457FD"/>
    <w:rsid w:val="0075035E"/>
    <w:rsid w:val="0075332B"/>
    <w:rsid w:val="0075695D"/>
    <w:rsid w:val="00761227"/>
    <w:rsid w:val="00763D7D"/>
    <w:rsid w:val="00764A99"/>
    <w:rsid w:val="00764D37"/>
    <w:rsid w:val="00764D8E"/>
    <w:rsid w:val="0076515E"/>
    <w:rsid w:val="00766160"/>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4A5"/>
    <w:rsid w:val="007C3160"/>
    <w:rsid w:val="007C5D5E"/>
    <w:rsid w:val="007C5FAA"/>
    <w:rsid w:val="007C60BD"/>
    <w:rsid w:val="007D295F"/>
    <w:rsid w:val="007D4484"/>
    <w:rsid w:val="007D49A7"/>
    <w:rsid w:val="007D5868"/>
    <w:rsid w:val="007D5EEC"/>
    <w:rsid w:val="007D600F"/>
    <w:rsid w:val="007E0AC6"/>
    <w:rsid w:val="007E0DE1"/>
    <w:rsid w:val="007E0F3F"/>
    <w:rsid w:val="007E1080"/>
    <w:rsid w:val="007E1B68"/>
    <w:rsid w:val="007E2727"/>
    <w:rsid w:val="007E4333"/>
    <w:rsid w:val="007E44FF"/>
    <w:rsid w:val="007E6E4D"/>
    <w:rsid w:val="007E6EEE"/>
    <w:rsid w:val="007E728A"/>
    <w:rsid w:val="007E7BC6"/>
    <w:rsid w:val="007F0BFF"/>
    <w:rsid w:val="007F2509"/>
    <w:rsid w:val="007F3471"/>
    <w:rsid w:val="007F4907"/>
    <w:rsid w:val="007F5248"/>
    <w:rsid w:val="007F573D"/>
    <w:rsid w:val="007F6DE2"/>
    <w:rsid w:val="0080360D"/>
    <w:rsid w:val="0080517C"/>
    <w:rsid w:val="008054EF"/>
    <w:rsid w:val="00806045"/>
    <w:rsid w:val="0080703C"/>
    <w:rsid w:val="00807C66"/>
    <w:rsid w:val="008125F8"/>
    <w:rsid w:val="0081487A"/>
    <w:rsid w:val="00814F05"/>
    <w:rsid w:val="00820106"/>
    <w:rsid w:val="0082011C"/>
    <w:rsid w:val="0082127F"/>
    <w:rsid w:val="0082167F"/>
    <w:rsid w:val="0082258D"/>
    <w:rsid w:val="00822BD4"/>
    <w:rsid w:val="00823614"/>
    <w:rsid w:val="008251D5"/>
    <w:rsid w:val="008262E0"/>
    <w:rsid w:val="00831899"/>
    <w:rsid w:val="008353BE"/>
    <w:rsid w:val="00836C39"/>
    <w:rsid w:val="00840605"/>
    <w:rsid w:val="008440DA"/>
    <w:rsid w:val="0084566E"/>
    <w:rsid w:val="0084760C"/>
    <w:rsid w:val="008553B6"/>
    <w:rsid w:val="00855D60"/>
    <w:rsid w:val="00857508"/>
    <w:rsid w:val="0085763C"/>
    <w:rsid w:val="00857B6E"/>
    <w:rsid w:val="00857E39"/>
    <w:rsid w:val="008605EB"/>
    <w:rsid w:val="00861878"/>
    <w:rsid w:val="00863B97"/>
    <w:rsid w:val="00864932"/>
    <w:rsid w:val="008651A5"/>
    <w:rsid w:val="00872F79"/>
    <w:rsid w:val="00873511"/>
    <w:rsid w:val="008744CC"/>
    <w:rsid w:val="00874D7F"/>
    <w:rsid w:val="00875501"/>
    <w:rsid w:val="0087619D"/>
    <w:rsid w:val="00881A2D"/>
    <w:rsid w:val="00881E5F"/>
    <w:rsid w:val="00882405"/>
    <w:rsid w:val="00882FA7"/>
    <w:rsid w:val="0089184B"/>
    <w:rsid w:val="008921FA"/>
    <w:rsid w:val="00894F7B"/>
    <w:rsid w:val="008964A9"/>
    <w:rsid w:val="008A0747"/>
    <w:rsid w:val="008A0996"/>
    <w:rsid w:val="008A1780"/>
    <w:rsid w:val="008A40EA"/>
    <w:rsid w:val="008A4A1D"/>
    <w:rsid w:val="008A58E2"/>
    <w:rsid w:val="008A5F56"/>
    <w:rsid w:val="008A735A"/>
    <w:rsid w:val="008A7E1E"/>
    <w:rsid w:val="008B2AFA"/>
    <w:rsid w:val="008B391F"/>
    <w:rsid w:val="008B6351"/>
    <w:rsid w:val="008B6740"/>
    <w:rsid w:val="008B697E"/>
    <w:rsid w:val="008B71CB"/>
    <w:rsid w:val="008C1C42"/>
    <w:rsid w:val="008C1EBA"/>
    <w:rsid w:val="008C27D9"/>
    <w:rsid w:val="008C32BE"/>
    <w:rsid w:val="008C3EB3"/>
    <w:rsid w:val="008C4DC6"/>
    <w:rsid w:val="008C56BC"/>
    <w:rsid w:val="008C5D03"/>
    <w:rsid w:val="008C5FA9"/>
    <w:rsid w:val="008C7978"/>
    <w:rsid w:val="008D22C0"/>
    <w:rsid w:val="008D33B7"/>
    <w:rsid w:val="008D3A94"/>
    <w:rsid w:val="008D450B"/>
    <w:rsid w:val="008D7547"/>
    <w:rsid w:val="008D7A4A"/>
    <w:rsid w:val="008D7B5E"/>
    <w:rsid w:val="008E1A4A"/>
    <w:rsid w:val="008E3575"/>
    <w:rsid w:val="008F19F2"/>
    <w:rsid w:val="008F3B22"/>
    <w:rsid w:val="008F421C"/>
    <w:rsid w:val="008F5D67"/>
    <w:rsid w:val="008F77F3"/>
    <w:rsid w:val="00901145"/>
    <w:rsid w:val="009019CE"/>
    <w:rsid w:val="00901E4A"/>
    <w:rsid w:val="00902275"/>
    <w:rsid w:val="00902D37"/>
    <w:rsid w:val="009030DD"/>
    <w:rsid w:val="009045BA"/>
    <w:rsid w:val="00906345"/>
    <w:rsid w:val="009070B2"/>
    <w:rsid w:val="00914BF3"/>
    <w:rsid w:val="00915BE5"/>
    <w:rsid w:val="00920CE2"/>
    <w:rsid w:val="00921035"/>
    <w:rsid w:val="00921457"/>
    <w:rsid w:val="00922BD2"/>
    <w:rsid w:val="009234A5"/>
    <w:rsid w:val="0092364B"/>
    <w:rsid w:val="0092373D"/>
    <w:rsid w:val="00924510"/>
    <w:rsid w:val="00925496"/>
    <w:rsid w:val="009303C1"/>
    <w:rsid w:val="009337DA"/>
    <w:rsid w:val="0093404B"/>
    <w:rsid w:val="009349AA"/>
    <w:rsid w:val="00935621"/>
    <w:rsid w:val="00937AC6"/>
    <w:rsid w:val="00940DF1"/>
    <w:rsid w:val="009413FF"/>
    <w:rsid w:val="00941E62"/>
    <w:rsid w:val="00942348"/>
    <w:rsid w:val="009455EF"/>
    <w:rsid w:val="00946902"/>
    <w:rsid w:val="00950394"/>
    <w:rsid w:val="00955198"/>
    <w:rsid w:val="0095543C"/>
    <w:rsid w:val="00956597"/>
    <w:rsid w:val="00957BFF"/>
    <w:rsid w:val="00957DE2"/>
    <w:rsid w:val="0096121A"/>
    <w:rsid w:val="00962294"/>
    <w:rsid w:val="009637EE"/>
    <w:rsid w:val="0096440E"/>
    <w:rsid w:val="0096641D"/>
    <w:rsid w:val="00966435"/>
    <w:rsid w:val="00966A73"/>
    <w:rsid w:val="00967730"/>
    <w:rsid w:val="00970EDB"/>
    <w:rsid w:val="009717F2"/>
    <w:rsid w:val="0097331B"/>
    <w:rsid w:val="00973E00"/>
    <w:rsid w:val="00977B9C"/>
    <w:rsid w:val="0098089D"/>
    <w:rsid w:val="00980A5C"/>
    <w:rsid w:val="00981F15"/>
    <w:rsid w:val="009827E0"/>
    <w:rsid w:val="00982F0D"/>
    <w:rsid w:val="00983ABA"/>
    <w:rsid w:val="009848B7"/>
    <w:rsid w:val="00985A7C"/>
    <w:rsid w:val="00985AFD"/>
    <w:rsid w:val="00987050"/>
    <w:rsid w:val="00991CBC"/>
    <w:rsid w:val="0099247C"/>
    <w:rsid w:val="00992E7E"/>
    <w:rsid w:val="00993BEA"/>
    <w:rsid w:val="009944AD"/>
    <w:rsid w:val="009953B4"/>
    <w:rsid w:val="009A46B4"/>
    <w:rsid w:val="009A4AA9"/>
    <w:rsid w:val="009A54BE"/>
    <w:rsid w:val="009A5634"/>
    <w:rsid w:val="009A6A1C"/>
    <w:rsid w:val="009B27AE"/>
    <w:rsid w:val="009B2B65"/>
    <w:rsid w:val="009B3F9E"/>
    <w:rsid w:val="009B61CA"/>
    <w:rsid w:val="009B6859"/>
    <w:rsid w:val="009B7446"/>
    <w:rsid w:val="009C0A13"/>
    <w:rsid w:val="009C1621"/>
    <w:rsid w:val="009C39AB"/>
    <w:rsid w:val="009C78B0"/>
    <w:rsid w:val="009D0259"/>
    <w:rsid w:val="009D0582"/>
    <w:rsid w:val="009D121C"/>
    <w:rsid w:val="009D43D1"/>
    <w:rsid w:val="009D4D00"/>
    <w:rsid w:val="009D50A5"/>
    <w:rsid w:val="009D5DC8"/>
    <w:rsid w:val="009D6017"/>
    <w:rsid w:val="009D7822"/>
    <w:rsid w:val="009E0A3B"/>
    <w:rsid w:val="009E1ACB"/>
    <w:rsid w:val="009E444A"/>
    <w:rsid w:val="009E5001"/>
    <w:rsid w:val="009E5EBC"/>
    <w:rsid w:val="009E7BA9"/>
    <w:rsid w:val="009F3F1B"/>
    <w:rsid w:val="009F4D26"/>
    <w:rsid w:val="009F53A0"/>
    <w:rsid w:val="009F5EBC"/>
    <w:rsid w:val="00A00CD8"/>
    <w:rsid w:val="00A02DDC"/>
    <w:rsid w:val="00A03559"/>
    <w:rsid w:val="00A049C7"/>
    <w:rsid w:val="00A04A25"/>
    <w:rsid w:val="00A05959"/>
    <w:rsid w:val="00A07CB1"/>
    <w:rsid w:val="00A12F61"/>
    <w:rsid w:val="00A1387A"/>
    <w:rsid w:val="00A1419F"/>
    <w:rsid w:val="00A1434B"/>
    <w:rsid w:val="00A144EA"/>
    <w:rsid w:val="00A14F93"/>
    <w:rsid w:val="00A177DF"/>
    <w:rsid w:val="00A21E95"/>
    <w:rsid w:val="00A2520C"/>
    <w:rsid w:val="00A25910"/>
    <w:rsid w:val="00A27CC5"/>
    <w:rsid w:val="00A316B1"/>
    <w:rsid w:val="00A35EA7"/>
    <w:rsid w:val="00A371A7"/>
    <w:rsid w:val="00A3794D"/>
    <w:rsid w:val="00A379BA"/>
    <w:rsid w:val="00A40B1E"/>
    <w:rsid w:val="00A42D4D"/>
    <w:rsid w:val="00A50770"/>
    <w:rsid w:val="00A50F18"/>
    <w:rsid w:val="00A51367"/>
    <w:rsid w:val="00A51641"/>
    <w:rsid w:val="00A5602F"/>
    <w:rsid w:val="00A57593"/>
    <w:rsid w:val="00A62AD7"/>
    <w:rsid w:val="00A637CA"/>
    <w:rsid w:val="00A7229B"/>
    <w:rsid w:val="00A733BB"/>
    <w:rsid w:val="00A75763"/>
    <w:rsid w:val="00A76622"/>
    <w:rsid w:val="00A77CCA"/>
    <w:rsid w:val="00A831CB"/>
    <w:rsid w:val="00A838FF"/>
    <w:rsid w:val="00A84B3C"/>
    <w:rsid w:val="00A8575A"/>
    <w:rsid w:val="00A85E29"/>
    <w:rsid w:val="00A860C0"/>
    <w:rsid w:val="00A86AA7"/>
    <w:rsid w:val="00A86BAA"/>
    <w:rsid w:val="00A93B26"/>
    <w:rsid w:val="00A93E83"/>
    <w:rsid w:val="00A9529F"/>
    <w:rsid w:val="00A952E7"/>
    <w:rsid w:val="00A96899"/>
    <w:rsid w:val="00A97226"/>
    <w:rsid w:val="00AA0307"/>
    <w:rsid w:val="00AA127E"/>
    <w:rsid w:val="00AA154C"/>
    <w:rsid w:val="00AA2102"/>
    <w:rsid w:val="00AA3894"/>
    <w:rsid w:val="00AA5483"/>
    <w:rsid w:val="00AA5AC2"/>
    <w:rsid w:val="00AA6155"/>
    <w:rsid w:val="00AA6A22"/>
    <w:rsid w:val="00AA6AD8"/>
    <w:rsid w:val="00AA6D05"/>
    <w:rsid w:val="00AB07DC"/>
    <w:rsid w:val="00AB0808"/>
    <w:rsid w:val="00AB1031"/>
    <w:rsid w:val="00AB1D11"/>
    <w:rsid w:val="00AB48F3"/>
    <w:rsid w:val="00AC0641"/>
    <w:rsid w:val="00AC1464"/>
    <w:rsid w:val="00AC1B93"/>
    <w:rsid w:val="00AC55BE"/>
    <w:rsid w:val="00AD0842"/>
    <w:rsid w:val="00AD503A"/>
    <w:rsid w:val="00AE0F54"/>
    <w:rsid w:val="00AE1608"/>
    <w:rsid w:val="00AF0896"/>
    <w:rsid w:val="00AF14FF"/>
    <w:rsid w:val="00AF1F29"/>
    <w:rsid w:val="00AF20BD"/>
    <w:rsid w:val="00AF2743"/>
    <w:rsid w:val="00AF5FE1"/>
    <w:rsid w:val="00B010B3"/>
    <w:rsid w:val="00B0169B"/>
    <w:rsid w:val="00B02154"/>
    <w:rsid w:val="00B02932"/>
    <w:rsid w:val="00B070CD"/>
    <w:rsid w:val="00B07805"/>
    <w:rsid w:val="00B07D02"/>
    <w:rsid w:val="00B07D20"/>
    <w:rsid w:val="00B11411"/>
    <w:rsid w:val="00B11628"/>
    <w:rsid w:val="00B1166D"/>
    <w:rsid w:val="00B119B8"/>
    <w:rsid w:val="00B130AC"/>
    <w:rsid w:val="00B13D91"/>
    <w:rsid w:val="00B15347"/>
    <w:rsid w:val="00B2003A"/>
    <w:rsid w:val="00B201FF"/>
    <w:rsid w:val="00B206B1"/>
    <w:rsid w:val="00B208ED"/>
    <w:rsid w:val="00B25B9C"/>
    <w:rsid w:val="00B26DD9"/>
    <w:rsid w:val="00B31E69"/>
    <w:rsid w:val="00B333A7"/>
    <w:rsid w:val="00B34E70"/>
    <w:rsid w:val="00B36547"/>
    <w:rsid w:val="00B37CD3"/>
    <w:rsid w:val="00B40342"/>
    <w:rsid w:val="00B40611"/>
    <w:rsid w:val="00B42429"/>
    <w:rsid w:val="00B4531E"/>
    <w:rsid w:val="00B462FA"/>
    <w:rsid w:val="00B47925"/>
    <w:rsid w:val="00B50E26"/>
    <w:rsid w:val="00B519E9"/>
    <w:rsid w:val="00B5488D"/>
    <w:rsid w:val="00B551C7"/>
    <w:rsid w:val="00B55A1C"/>
    <w:rsid w:val="00B57785"/>
    <w:rsid w:val="00B60082"/>
    <w:rsid w:val="00B613B6"/>
    <w:rsid w:val="00B61668"/>
    <w:rsid w:val="00B61903"/>
    <w:rsid w:val="00B62506"/>
    <w:rsid w:val="00B673A7"/>
    <w:rsid w:val="00B67715"/>
    <w:rsid w:val="00B7091C"/>
    <w:rsid w:val="00B71289"/>
    <w:rsid w:val="00B72B6A"/>
    <w:rsid w:val="00B737F3"/>
    <w:rsid w:val="00B73919"/>
    <w:rsid w:val="00B740C3"/>
    <w:rsid w:val="00B7517C"/>
    <w:rsid w:val="00B759F3"/>
    <w:rsid w:val="00B75C32"/>
    <w:rsid w:val="00B774F4"/>
    <w:rsid w:val="00B77E60"/>
    <w:rsid w:val="00B80E1D"/>
    <w:rsid w:val="00B8302E"/>
    <w:rsid w:val="00B838D1"/>
    <w:rsid w:val="00B84DEA"/>
    <w:rsid w:val="00B931D8"/>
    <w:rsid w:val="00B93942"/>
    <w:rsid w:val="00B9445A"/>
    <w:rsid w:val="00B94AD5"/>
    <w:rsid w:val="00B96F06"/>
    <w:rsid w:val="00B97453"/>
    <w:rsid w:val="00BA09E7"/>
    <w:rsid w:val="00BA0F7A"/>
    <w:rsid w:val="00BA1EB9"/>
    <w:rsid w:val="00BA42F7"/>
    <w:rsid w:val="00BA7634"/>
    <w:rsid w:val="00BB13F0"/>
    <w:rsid w:val="00BB143F"/>
    <w:rsid w:val="00BB2203"/>
    <w:rsid w:val="00BB280C"/>
    <w:rsid w:val="00BB5AF5"/>
    <w:rsid w:val="00BC0D92"/>
    <w:rsid w:val="00BC250D"/>
    <w:rsid w:val="00BC46E7"/>
    <w:rsid w:val="00BC5105"/>
    <w:rsid w:val="00BC52D1"/>
    <w:rsid w:val="00BC546A"/>
    <w:rsid w:val="00BD2853"/>
    <w:rsid w:val="00BD6688"/>
    <w:rsid w:val="00BD6EEE"/>
    <w:rsid w:val="00BD78E0"/>
    <w:rsid w:val="00BD7DC6"/>
    <w:rsid w:val="00BE2D3E"/>
    <w:rsid w:val="00BE39AD"/>
    <w:rsid w:val="00BE4FF5"/>
    <w:rsid w:val="00BF035D"/>
    <w:rsid w:val="00BF21BB"/>
    <w:rsid w:val="00BF3CD8"/>
    <w:rsid w:val="00BF429A"/>
    <w:rsid w:val="00BF49B3"/>
    <w:rsid w:val="00BF57CA"/>
    <w:rsid w:val="00BF785E"/>
    <w:rsid w:val="00C00330"/>
    <w:rsid w:val="00C0079F"/>
    <w:rsid w:val="00C00D11"/>
    <w:rsid w:val="00C01CC7"/>
    <w:rsid w:val="00C0242F"/>
    <w:rsid w:val="00C046E9"/>
    <w:rsid w:val="00C050D6"/>
    <w:rsid w:val="00C0750B"/>
    <w:rsid w:val="00C116BF"/>
    <w:rsid w:val="00C133DB"/>
    <w:rsid w:val="00C14DB6"/>
    <w:rsid w:val="00C1563C"/>
    <w:rsid w:val="00C174C9"/>
    <w:rsid w:val="00C17AFC"/>
    <w:rsid w:val="00C211A6"/>
    <w:rsid w:val="00C213D2"/>
    <w:rsid w:val="00C2166B"/>
    <w:rsid w:val="00C30D4C"/>
    <w:rsid w:val="00C43F09"/>
    <w:rsid w:val="00C44AF6"/>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714A"/>
    <w:rsid w:val="00C77551"/>
    <w:rsid w:val="00C77DD9"/>
    <w:rsid w:val="00C81710"/>
    <w:rsid w:val="00C81DDD"/>
    <w:rsid w:val="00C8384C"/>
    <w:rsid w:val="00C84A01"/>
    <w:rsid w:val="00C90948"/>
    <w:rsid w:val="00C90D34"/>
    <w:rsid w:val="00C93460"/>
    <w:rsid w:val="00C960CB"/>
    <w:rsid w:val="00C964DA"/>
    <w:rsid w:val="00C969AE"/>
    <w:rsid w:val="00C9724B"/>
    <w:rsid w:val="00C97B38"/>
    <w:rsid w:val="00CA0825"/>
    <w:rsid w:val="00CA246D"/>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076A"/>
    <w:rsid w:val="00CD10CB"/>
    <w:rsid w:val="00CD11E8"/>
    <w:rsid w:val="00CD1BC5"/>
    <w:rsid w:val="00CD1E22"/>
    <w:rsid w:val="00CD263F"/>
    <w:rsid w:val="00CD35FF"/>
    <w:rsid w:val="00CD6F70"/>
    <w:rsid w:val="00CE063D"/>
    <w:rsid w:val="00CE065D"/>
    <w:rsid w:val="00CE2F4E"/>
    <w:rsid w:val="00CE407B"/>
    <w:rsid w:val="00CE4DA0"/>
    <w:rsid w:val="00CE79D6"/>
    <w:rsid w:val="00CF0006"/>
    <w:rsid w:val="00CF5571"/>
    <w:rsid w:val="00D01120"/>
    <w:rsid w:val="00D017D3"/>
    <w:rsid w:val="00D03587"/>
    <w:rsid w:val="00D03B81"/>
    <w:rsid w:val="00D048BD"/>
    <w:rsid w:val="00D05A25"/>
    <w:rsid w:val="00D06A81"/>
    <w:rsid w:val="00D109B7"/>
    <w:rsid w:val="00D12AC7"/>
    <w:rsid w:val="00D16089"/>
    <w:rsid w:val="00D160FC"/>
    <w:rsid w:val="00D16867"/>
    <w:rsid w:val="00D20A3E"/>
    <w:rsid w:val="00D21440"/>
    <w:rsid w:val="00D2413C"/>
    <w:rsid w:val="00D25B2A"/>
    <w:rsid w:val="00D25C2C"/>
    <w:rsid w:val="00D25FDC"/>
    <w:rsid w:val="00D260CD"/>
    <w:rsid w:val="00D3002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4DA"/>
    <w:rsid w:val="00D53942"/>
    <w:rsid w:val="00D54F63"/>
    <w:rsid w:val="00D55EF2"/>
    <w:rsid w:val="00D5765E"/>
    <w:rsid w:val="00D604C3"/>
    <w:rsid w:val="00D60F9E"/>
    <w:rsid w:val="00D61C24"/>
    <w:rsid w:val="00D620EB"/>
    <w:rsid w:val="00D62D11"/>
    <w:rsid w:val="00D6447D"/>
    <w:rsid w:val="00D66298"/>
    <w:rsid w:val="00D718DE"/>
    <w:rsid w:val="00D719E8"/>
    <w:rsid w:val="00D71EED"/>
    <w:rsid w:val="00D7391A"/>
    <w:rsid w:val="00D74AAD"/>
    <w:rsid w:val="00D75ABB"/>
    <w:rsid w:val="00D77761"/>
    <w:rsid w:val="00D83EF1"/>
    <w:rsid w:val="00D93A5E"/>
    <w:rsid w:val="00D94C1A"/>
    <w:rsid w:val="00D94F92"/>
    <w:rsid w:val="00D95394"/>
    <w:rsid w:val="00D959B7"/>
    <w:rsid w:val="00D96021"/>
    <w:rsid w:val="00D97308"/>
    <w:rsid w:val="00D97B8A"/>
    <w:rsid w:val="00DA0AA5"/>
    <w:rsid w:val="00DA2A5E"/>
    <w:rsid w:val="00DA4AF6"/>
    <w:rsid w:val="00DA6173"/>
    <w:rsid w:val="00DB08BE"/>
    <w:rsid w:val="00DB0F72"/>
    <w:rsid w:val="00DB131E"/>
    <w:rsid w:val="00DB1AD6"/>
    <w:rsid w:val="00DB1DA7"/>
    <w:rsid w:val="00DB2F04"/>
    <w:rsid w:val="00DB4549"/>
    <w:rsid w:val="00DB5FCC"/>
    <w:rsid w:val="00DB6033"/>
    <w:rsid w:val="00DC0FC0"/>
    <w:rsid w:val="00DC5A63"/>
    <w:rsid w:val="00DD0265"/>
    <w:rsid w:val="00DD1663"/>
    <w:rsid w:val="00DD296E"/>
    <w:rsid w:val="00DD37D9"/>
    <w:rsid w:val="00DE26A8"/>
    <w:rsid w:val="00DE2BFF"/>
    <w:rsid w:val="00DE2C94"/>
    <w:rsid w:val="00DE3753"/>
    <w:rsid w:val="00DE5FB4"/>
    <w:rsid w:val="00DE6A3E"/>
    <w:rsid w:val="00DE72D6"/>
    <w:rsid w:val="00DF165B"/>
    <w:rsid w:val="00DF1776"/>
    <w:rsid w:val="00DF2855"/>
    <w:rsid w:val="00DF3823"/>
    <w:rsid w:val="00E001AC"/>
    <w:rsid w:val="00E018E5"/>
    <w:rsid w:val="00E02E04"/>
    <w:rsid w:val="00E03730"/>
    <w:rsid w:val="00E05EDC"/>
    <w:rsid w:val="00E06BBC"/>
    <w:rsid w:val="00E06DBC"/>
    <w:rsid w:val="00E071DB"/>
    <w:rsid w:val="00E10A48"/>
    <w:rsid w:val="00E1102A"/>
    <w:rsid w:val="00E1120C"/>
    <w:rsid w:val="00E12106"/>
    <w:rsid w:val="00E1337A"/>
    <w:rsid w:val="00E141F3"/>
    <w:rsid w:val="00E14A0A"/>
    <w:rsid w:val="00E15851"/>
    <w:rsid w:val="00E1656B"/>
    <w:rsid w:val="00E20114"/>
    <w:rsid w:val="00E20BF2"/>
    <w:rsid w:val="00E214D2"/>
    <w:rsid w:val="00E24066"/>
    <w:rsid w:val="00E24C04"/>
    <w:rsid w:val="00E251DA"/>
    <w:rsid w:val="00E258C1"/>
    <w:rsid w:val="00E26F57"/>
    <w:rsid w:val="00E30E33"/>
    <w:rsid w:val="00E31EB5"/>
    <w:rsid w:val="00E32561"/>
    <w:rsid w:val="00E34FAA"/>
    <w:rsid w:val="00E359AA"/>
    <w:rsid w:val="00E36ACB"/>
    <w:rsid w:val="00E36CF7"/>
    <w:rsid w:val="00E51C1D"/>
    <w:rsid w:val="00E57365"/>
    <w:rsid w:val="00E576F5"/>
    <w:rsid w:val="00E6040C"/>
    <w:rsid w:val="00E60493"/>
    <w:rsid w:val="00E60759"/>
    <w:rsid w:val="00E60B9B"/>
    <w:rsid w:val="00E63E7C"/>
    <w:rsid w:val="00E66ACD"/>
    <w:rsid w:val="00E6776D"/>
    <w:rsid w:val="00E714C8"/>
    <w:rsid w:val="00E73202"/>
    <w:rsid w:val="00E74802"/>
    <w:rsid w:val="00E76093"/>
    <w:rsid w:val="00E76654"/>
    <w:rsid w:val="00E76DA5"/>
    <w:rsid w:val="00E77B1A"/>
    <w:rsid w:val="00E818AC"/>
    <w:rsid w:val="00E838D7"/>
    <w:rsid w:val="00E83BA9"/>
    <w:rsid w:val="00E909E1"/>
    <w:rsid w:val="00E92D4E"/>
    <w:rsid w:val="00E97EFA"/>
    <w:rsid w:val="00EA0B96"/>
    <w:rsid w:val="00EA0BC0"/>
    <w:rsid w:val="00EA1526"/>
    <w:rsid w:val="00EA1767"/>
    <w:rsid w:val="00EA1CD5"/>
    <w:rsid w:val="00EA26C7"/>
    <w:rsid w:val="00EA319C"/>
    <w:rsid w:val="00EA39BB"/>
    <w:rsid w:val="00EA4FC6"/>
    <w:rsid w:val="00EA5103"/>
    <w:rsid w:val="00EA5A0D"/>
    <w:rsid w:val="00EA5B6D"/>
    <w:rsid w:val="00EA6299"/>
    <w:rsid w:val="00EA6403"/>
    <w:rsid w:val="00EA7115"/>
    <w:rsid w:val="00EB0487"/>
    <w:rsid w:val="00EB05C2"/>
    <w:rsid w:val="00EB22DA"/>
    <w:rsid w:val="00EB23DE"/>
    <w:rsid w:val="00EC3264"/>
    <w:rsid w:val="00EC43C5"/>
    <w:rsid w:val="00EC7A92"/>
    <w:rsid w:val="00ED12DE"/>
    <w:rsid w:val="00ED38B9"/>
    <w:rsid w:val="00ED5972"/>
    <w:rsid w:val="00ED60E0"/>
    <w:rsid w:val="00ED7A73"/>
    <w:rsid w:val="00EE0F7C"/>
    <w:rsid w:val="00EE4B0F"/>
    <w:rsid w:val="00EF0C5E"/>
    <w:rsid w:val="00EF2D9F"/>
    <w:rsid w:val="00EF4A06"/>
    <w:rsid w:val="00EF5213"/>
    <w:rsid w:val="00EF5E30"/>
    <w:rsid w:val="00EF7FDB"/>
    <w:rsid w:val="00F00E59"/>
    <w:rsid w:val="00F00E97"/>
    <w:rsid w:val="00F024A6"/>
    <w:rsid w:val="00F0475D"/>
    <w:rsid w:val="00F04A19"/>
    <w:rsid w:val="00F051D2"/>
    <w:rsid w:val="00F070BE"/>
    <w:rsid w:val="00F1214E"/>
    <w:rsid w:val="00F12651"/>
    <w:rsid w:val="00F1643A"/>
    <w:rsid w:val="00F20677"/>
    <w:rsid w:val="00F23C79"/>
    <w:rsid w:val="00F240BB"/>
    <w:rsid w:val="00F242F0"/>
    <w:rsid w:val="00F24F7B"/>
    <w:rsid w:val="00F30711"/>
    <w:rsid w:val="00F3261B"/>
    <w:rsid w:val="00F365C4"/>
    <w:rsid w:val="00F36AE2"/>
    <w:rsid w:val="00F36BB0"/>
    <w:rsid w:val="00F371D9"/>
    <w:rsid w:val="00F37A96"/>
    <w:rsid w:val="00F43666"/>
    <w:rsid w:val="00F45864"/>
    <w:rsid w:val="00F45B13"/>
    <w:rsid w:val="00F51111"/>
    <w:rsid w:val="00F513A5"/>
    <w:rsid w:val="00F53649"/>
    <w:rsid w:val="00F5422C"/>
    <w:rsid w:val="00F54CD5"/>
    <w:rsid w:val="00F55D9A"/>
    <w:rsid w:val="00F55F5D"/>
    <w:rsid w:val="00F5787A"/>
    <w:rsid w:val="00F57FD4"/>
    <w:rsid w:val="00F60784"/>
    <w:rsid w:val="00F6241B"/>
    <w:rsid w:val="00F62CEF"/>
    <w:rsid w:val="00F638B4"/>
    <w:rsid w:val="00F64500"/>
    <w:rsid w:val="00F6501E"/>
    <w:rsid w:val="00F65CF0"/>
    <w:rsid w:val="00F66C37"/>
    <w:rsid w:val="00F66FEB"/>
    <w:rsid w:val="00F6761C"/>
    <w:rsid w:val="00F70AB3"/>
    <w:rsid w:val="00F71CCC"/>
    <w:rsid w:val="00F73483"/>
    <w:rsid w:val="00F736DB"/>
    <w:rsid w:val="00F7565F"/>
    <w:rsid w:val="00F757AE"/>
    <w:rsid w:val="00F76DBA"/>
    <w:rsid w:val="00F7707C"/>
    <w:rsid w:val="00F82E64"/>
    <w:rsid w:val="00F8431A"/>
    <w:rsid w:val="00F869F0"/>
    <w:rsid w:val="00F92509"/>
    <w:rsid w:val="00F9257C"/>
    <w:rsid w:val="00F934B0"/>
    <w:rsid w:val="00F952BC"/>
    <w:rsid w:val="00F95844"/>
    <w:rsid w:val="00F96766"/>
    <w:rsid w:val="00F979B8"/>
    <w:rsid w:val="00FA08E7"/>
    <w:rsid w:val="00FA13D2"/>
    <w:rsid w:val="00FA2CE8"/>
    <w:rsid w:val="00FA3879"/>
    <w:rsid w:val="00FA3A0D"/>
    <w:rsid w:val="00FA4F5C"/>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3D5"/>
    <w:rsid w:val="00FD4C6A"/>
    <w:rsid w:val="00FD6164"/>
    <w:rsid w:val="00FD6D3D"/>
    <w:rsid w:val="00FE0165"/>
    <w:rsid w:val="00FE05F6"/>
    <w:rsid w:val="00FE2AD8"/>
    <w:rsid w:val="00FE335F"/>
    <w:rsid w:val="00FE3B07"/>
    <w:rsid w:val="00FE704F"/>
    <w:rsid w:val="00FE705E"/>
    <w:rsid w:val="00FE790B"/>
    <w:rsid w:val="00FE7E59"/>
    <w:rsid w:val="00FF0E68"/>
    <w:rsid w:val="00FF1081"/>
    <w:rsid w:val="00FF10FA"/>
    <w:rsid w:val="00FF223A"/>
    <w:rsid w:val="00FF3171"/>
    <w:rsid w:val="01E07299"/>
    <w:rsid w:val="01F3521E"/>
    <w:rsid w:val="020410A9"/>
    <w:rsid w:val="02290C40"/>
    <w:rsid w:val="025649A5"/>
    <w:rsid w:val="028B36A9"/>
    <w:rsid w:val="02A14C7A"/>
    <w:rsid w:val="02B71386"/>
    <w:rsid w:val="02D432A2"/>
    <w:rsid w:val="03041433"/>
    <w:rsid w:val="04387860"/>
    <w:rsid w:val="0475016D"/>
    <w:rsid w:val="06473D8B"/>
    <w:rsid w:val="06562220"/>
    <w:rsid w:val="06E25862"/>
    <w:rsid w:val="07131EBF"/>
    <w:rsid w:val="07443763"/>
    <w:rsid w:val="07A34FF1"/>
    <w:rsid w:val="07BA49ED"/>
    <w:rsid w:val="07C02047"/>
    <w:rsid w:val="0865499C"/>
    <w:rsid w:val="092B7FA2"/>
    <w:rsid w:val="09376339"/>
    <w:rsid w:val="09436A8B"/>
    <w:rsid w:val="09954E0D"/>
    <w:rsid w:val="09E162A4"/>
    <w:rsid w:val="0A7E3AF3"/>
    <w:rsid w:val="0A943317"/>
    <w:rsid w:val="0A984BB5"/>
    <w:rsid w:val="0B043FF8"/>
    <w:rsid w:val="0B8769D7"/>
    <w:rsid w:val="0BC17797"/>
    <w:rsid w:val="0BF57DE5"/>
    <w:rsid w:val="0C4A0131"/>
    <w:rsid w:val="0C523489"/>
    <w:rsid w:val="0C935725"/>
    <w:rsid w:val="0CE00754"/>
    <w:rsid w:val="0DDC300B"/>
    <w:rsid w:val="0E3A41D5"/>
    <w:rsid w:val="0E3E1F17"/>
    <w:rsid w:val="0E4868F2"/>
    <w:rsid w:val="0E6574A4"/>
    <w:rsid w:val="0EA31D7A"/>
    <w:rsid w:val="0F713C26"/>
    <w:rsid w:val="0F747896"/>
    <w:rsid w:val="10961B97"/>
    <w:rsid w:val="10A818CA"/>
    <w:rsid w:val="12DF0704"/>
    <w:rsid w:val="13B50586"/>
    <w:rsid w:val="13DD188A"/>
    <w:rsid w:val="14123C2A"/>
    <w:rsid w:val="1448764C"/>
    <w:rsid w:val="14534C64"/>
    <w:rsid w:val="14A30D26"/>
    <w:rsid w:val="14D64C58"/>
    <w:rsid w:val="151E215B"/>
    <w:rsid w:val="156C736A"/>
    <w:rsid w:val="160B65B8"/>
    <w:rsid w:val="161812A0"/>
    <w:rsid w:val="16881F81"/>
    <w:rsid w:val="17487963"/>
    <w:rsid w:val="179F790B"/>
    <w:rsid w:val="181B00DE"/>
    <w:rsid w:val="18354B4A"/>
    <w:rsid w:val="1A6F1CDF"/>
    <w:rsid w:val="1AAA261B"/>
    <w:rsid w:val="1AAC634A"/>
    <w:rsid w:val="1AD75285"/>
    <w:rsid w:val="1BB2184F"/>
    <w:rsid w:val="1BF6706B"/>
    <w:rsid w:val="1CF3211F"/>
    <w:rsid w:val="1CF9552A"/>
    <w:rsid w:val="1CFD4BB7"/>
    <w:rsid w:val="1D1E7436"/>
    <w:rsid w:val="1D81772B"/>
    <w:rsid w:val="1D9C27B6"/>
    <w:rsid w:val="1DB47B00"/>
    <w:rsid w:val="1DDC2BB3"/>
    <w:rsid w:val="1E5310C7"/>
    <w:rsid w:val="1E7352C5"/>
    <w:rsid w:val="1E967206"/>
    <w:rsid w:val="1EE97BD3"/>
    <w:rsid w:val="1FAA11BB"/>
    <w:rsid w:val="20473BA3"/>
    <w:rsid w:val="206550E2"/>
    <w:rsid w:val="209D487B"/>
    <w:rsid w:val="20A7394C"/>
    <w:rsid w:val="21035972"/>
    <w:rsid w:val="21246D4B"/>
    <w:rsid w:val="212D20A3"/>
    <w:rsid w:val="218A4072"/>
    <w:rsid w:val="21AF0D0A"/>
    <w:rsid w:val="22A00653"/>
    <w:rsid w:val="22C205C9"/>
    <w:rsid w:val="23971A56"/>
    <w:rsid w:val="23D74548"/>
    <w:rsid w:val="23DD1433"/>
    <w:rsid w:val="24194B61"/>
    <w:rsid w:val="247E2C16"/>
    <w:rsid w:val="24903D54"/>
    <w:rsid w:val="24BB79C6"/>
    <w:rsid w:val="252F3F10"/>
    <w:rsid w:val="25F211C5"/>
    <w:rsid w:val="260D5FFF"/>
    <w:rsid w:val="266F6CBA"/>
    <w:rsid w:val="269229A8"/>
    <w:rsid w:val="26A1499A"/>
    <w:rsid w:val="27475E96"/>
    <w:rsid w:val="27871DE1"/>
    <w:rsid w:val="285717B4"/>
    <w:rsid w:val="28902F18"/>
    <w:rsid w:val="29177195"/>
    <w:rsid w:val="293164A9"/>
    <w:rsid w:val="299D58EC"/>
    <w:rsid w:val="29AC0C5F"/>
    <w:rsid w:val="29BF5862"/>
    <w:rsid w:val="2A12478B"/>
    <w:rsid w:val="2AC375D4"/>
    <w:rsid w:val="2B0A6292"/>
    <w:rsid w:val="2B852ADC"/>
    <w:rsid w:val="2BE912BD"/>
    <w:rsid w:val="2C4402A1"/>
    <w:rsid w:val="2C8B2374"/>
    <w:rsid w:val="2CBA67B5"/>
    <w:rsid w:val="2D300825"/>
    <w:rsid w:val="2D6A1F89"/>
    <w:rsid w:val="2E083F3B"/>
    <w:rsid w:val="2EAF0755"/>
    <w:rsid w:val="2F012479"/>
    <w:rsid w:val="30F6418C"/>
    <w:rsid w:val="31717D8A"/>
    <w:rsid w:val="31AB0563"/>
    <w:rsid w:val="32C40510"/>
    <w:rsid w:val="33BC72B7"/>
    <w:rsid w:val="341E3ACD"/>
    <w:rsid w:val="34237336"/>
    <w:rsid w:val="34733E19"/>
    <w:rsid w:val="350607E9"/>
    <w:rsid w:val="352922AF"/>
    <w:rsid w:val="353115DE"/>
    <w:rsid w:val="35814314"/>
    <w:rsid w:val="35973B37"/>
    <w:rsid w:val="35A95619"/>
    <w:rsid w:val="35C9101D"/>
    <w:rsid w:val="35D46B3A"/>
    <w:rsid w:val="35F8791E"/>
    <w:rsid w:val="36B83D65"/>
    <w:rsid w:val="36E326B9"/>
    <w:rsid w:val="377C4D93"/>
    <w:rsid w:val="38405E56"/>
    <w:rsid w:val="38E56968"/>
    <w:rsid w:val="39180AEB"/>
    <w:rsid w:val="396F26D5"/>
    <w:rsid w:val="39AE1450"/>
    <w:rsid w:val="39C72511"/>
    <w:rsid w:val="3A06128C"/>
    <w:rsid w:val="3A8A3C6B"/>
    <w:rsid w:val="3B2319C9"/>
    <w:rsid w:val="3B312DF4"/>
    <w:rsid w:val="3B8E32E7"/>
    <w:rsid w:val="3C805325"/>
    <w:rsid w:val="3CCB0BE1"/>
    <w:rsid w:val="3D9902ED"/>
    <w:rsid w:val="3E0E4BB3"/>
    <w:rsid w:val="3E55633E"/>
    <w:rsid w:val="3E8665B1"/>
    <w:rsid w:val="4004626D"/>
    <w:rsid w:val="40640ABA"/>
    <w:rsid w:val="407C4056"/>
    <w:rsid w:val="40907B01"/>
    <w:rsid w:val="40A47108"/>
    <w:rsid w:val="416E7E42"/>
    <w:rsid w:val="417C1E33"/>
    <w:rsid w:val="41AA2E44"/>
    <w:rsid w:val="41ED07ED"/>
    <w:rsid w:val="41FB36A0"/>
    <w:rsid w:val="423D5A66"/>
    <w:rsid w:val="42B37AD7"/>
    <w:rsid w:val="42DE3341"/>
    <w:rsid w:val="4352109E"/>
    <w:rsid w:val="44823C05"/>
    <w:rsid w:val="473867FC"/>
    <w:rsid w:val="47411B55"/>
    <w:rsid w:val="47D429C9"/>
    <w:rsid w:val="493A2D00"/>
    <w:rsid w:val="498D249B"/>
    <w:rsid w:val="4A1240B3"/>
    <w:rsid w:val="4B013AD5"/>
    <w:rsid w:val="4C194E4E"/>
    <w:rsid w:val="4C746529"/>
    <w:rsid w:val="4CFC34F9"/>
    <w:rsid w:val="4D1B1AD8"/>
    <w:rsid w:val="4D2A7712"/>
    <w:rsid w:val="4E375A60"/>
    <w:rsid w:val="4E462DBA"/>
    <w:rsid w:val="4F2B257A"/>
    <w:rsid w:val="4F9547EC"/>
    <w:rsid w:val="4FA17635"/>
    <w:rsid w:val="513B5867"/>
    <w:rsid w:val="517E2641"/>
    <w:rsid w:val="523429E2"/>
    <w:rsid w:val="527434F3"/>
    <w:rsid w:val="52BE22AC"/>
    <w:rsid w:val="53281E1B"/>
    <w:rsid w:val="53285977"/>
    <w:rsid w:val="545C1D7C"/>
    <w:rsid w:val="55690BF5"/>
    <w:rsid w:val="557355CF"/>
    <w:rsid w:val="55E069DD"/>
    <w:rsid w:val="55FE375F"/>
    <w:rsid w:val="561548D9"/>
    <w:rsid w:val="56494582"/>
    <w:rsid w:val="56CB31E9"/>
    <w:rsid w:val="5A753B98"/>
    <w:rsid w:val="5A7871E4"/>
    <w:rsid w:val="5B603A70"/>
    <w:rsid w:val="5BF44F90"/>
    <w:rsid w:val="5C62014C"/>
    <w:rsid w:val="5C7D31D8"/>
    <w:rsid w:val="5C835BEE"/>
    <w:rsid w:val="5C8C0757"/>
    <w:rsid w:val="5D177188"/>
    <w:rsid w:val="5D6D0B56"/>
    <w:rsid w:val="5D8C204C"/>
    <w:rsid w:val="5DD15589"/>
    <w:rsid w:val="5DF03535"/>
    <w:rsid w:val="5E0771FD"/>
    <w:rsid w:val="5EC61DC6"/>
    <w:rsid w:val="5FA6034F"/>
    <w:rsid w:val="5FD749AD"/>
    <w:rsid w:val="606C1599"/>
    <w:rsid w:val="60C63657"/>
    <w:rsid w:val="616E7593"/>
    <w:rsid w:val="618D7A19"/>
    <w:rsid w:val="618E553F"/>
    <w:rsid w:val="6242704B"/>
    <w:rsid w:val="62A52B40"/>
    <w:rsid w:val="639F1B94"/>
    <w:rsid w:val="63BA4B07"/>
    <w:rsid w:val="642E6B65"/>
    <w:rsid w:val="64616F3B"/>
    <w:rsid w:val="64A82DBC"/>
    <w:rsid w:val="656E7B61"/>
    <w:rsid w:val="66AA2E1B"/>
    <w:rsid w:val="66AE269A"/>
    <w:rsid w:val="66D460EA"/>
    <w:rsid w:val="6773320D"/>
    <w:rsid w:val="694A2693"/>
    <w:rsid w:val="6990454A"/>
    <w:rsid w:val="69937B96"/>
    <w:rsid w:val="699851AD"/>
    <w:rsid w:val="69C266CE"/>
    <w:rsid w:val="69FA3B9E"/>
    <w:rsid w:val="6B056872"/>
    <w:rsid w:val="6B8C5023"/>
    <w:rsid w:val="6BC93D43"/>
    <w:rsid w:val="6D995997"/>
    <w:rsid w:val="6DCC7B1B"/>
    <w:rsid w:val="6EAB7730"/>
    <w:rsid w:val="6EBF31DC"/>
    <w:rsid w:val="6F4162E7"/>
    <w:rsid w:val="6F715FDB"/>
    <w:rsid w:val="6F795A80"/>
    <w:rsid w:val="6FA026BC"/>
    <w:rsid w:val="6FF670D1"/>
    <w:rsid w:val="70671D7D"/>
    <w:rsid w:val="71015D2D"/>
    <w:rsid w:val="71A45F17"/>
    <w:rsid w:val="71E03B95"/>
    <w:rsid w:val="7236680F"/>
    <w:rsid w:val="72CA0900"/>
    <w:rsid w:val="72DD6326"/>
    <w:rsid w:val="734A47CF"/>
    <w:rsid w:val="734B1181"/>
    <w:rsid w:val="73A0093B"/>
    <w:rsid w:val="73A62BBC"/>
    <w:rsid w:val="74850A24"/>
    <w:rsid w:val="75A31161"/>
    <w:rsid w:val="75B01AD0"/>
    <w:rsid w:val="75D05CCE"/>
    <w:rsid w:val="763527EB"/>
    <w:rsid w:val="76760624"/>
    <w:rsid w:val="76AC673B"/>
    <w:rsid w:val="77065E4C"/>
    <w:rsid w:val="77302EC9"/>
    <w:rsid w:val="7735228D"/>
    <w:rsid w:val="775213D7"/>
    <w:rsid w:val="775F5EBE"/>
    <w:rsid w:val="77C6382D"/>
    <w:rsid w:val="78654DF4"/>
    <w:rsid w:val="78931961"/>
    <w:rsid w:val="78C91C66"/>
    <w:rsid w:val="78FB2838"/>
    <w:rsid w:val="79A76158"/>
    <w:rsid w:val="7A301431"/>
    <w:rsid w:val="7A3F3423"/>
    <w:rsid w:val="7A6730A5"/>
    <w:rsid w:val="7ABB6F4D"/>
    <w:rsid w:val="7B2F16E9"/>
    <w:rsid w:val="7B3C363D"/>
    <w:rsid w:val="7B7F7F7B"/>
    <w:rsid w:val="7BD77DB7"/>
    <w:rsid w:val="7C2823C0"/>
    <w:rsid w:val="7CB225D2"/>
    <w:rsid w:val="7D851A94"/>
    <w:rsid w:val="7E6C1254"/>
    <w:rsid w:val="7F3B72CE"/>
    <w:rsid w:val="7F6A1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9"/>
    <w:pPr>
      <w:keepNext/>
      <w:spacing w:line="360" w:lineRule="auto"/>
      <w:jc w:val="center"/>
      <w:outlineLvl w:val="0"/>
    </w:pPr>
    <w:rPr>
      <w:rFonts w:ascii="宋体" w:hAnsi="宋体" w:cs="宋体"/>
      <w:b/>
      <w:sz w:val="28"/>
      <w:szCs w:val="20"/>
    </w:rPr>
  </w:style>
  <w:style w:type="paragraph" w:styleId="3">
    <w:name w:val="heading 2"/>
    <w:basedOn w:val="1"/>
    <w:next w:val="1"/>
    <w:link w:val="69"/>
    <w:unhideWhenUsed/>
    <w:qFormat/>
    <w:uiPriority w:val="9"/>
    <w:pPr>
      <w:keepNext/>
      <w:keepLines/>
      <w:widowControl/>
      <w:kinsoku w:val="0"/>
      <w:autoSpaceDE w:val="0"/>
      <w:autoSpaceDN w:val="0"/>
      <w:adjustRightInd w:val="0"/>
      <w:snapToGrid w:val="0"/>
      <w:spacing w:before="260" w:after="260" w:line="413" w:lineRule="auto"/>
      <w:jc w:val="left"/>
      <w:textAlignment w:val="baseline"/>
      <w:outlineLvl w:val="1"/>
    </w:pPr>
    <w:rPr>
      <w:rFonts w:ascii="Arial" w:hAnsi="Arial" w:eastAsia="黑体" w:cs="Arial"/>
      <w:b/>
      <w:snapToGrid w:val="0"/>
      <w:color w:val="000000"/>
      <w:kern w:val="0"/>
      <w:sz w:val="32"/>
      <w:szCs w:val="21"/>
    </w:rPr>
  </w:style>
  <w:style w:type="paragraph" w:styleId="4">
    <w:name w:val="heading 3"/>
    <w:basedOn w:val="1"/>
    <w:next w:val="1"/>
    <w:link w:val="34"/>
    <w:unhideWhenUsed/>
    <w:qFormat/>
    <w:uiPriority w:val="9"/>
    <w:pPr>
      <w:keepNext/>
      <w:keepLines/>
      <w:spacing w:before="260" w:after="260" w:line="412" w:lineRule="auto"/>
      <w:outlineLvl w:val="2"/>
    </w:pPr>
    <w:rPr>
      <w:rFonts w:cs="宋体"/>
      <w:b/>
      <w:sz w:val="32"/>
      <w:szCs w:val="20"/>
    </w:rPr>
  </w:style>
  <w:style w:type="paragraph" w:styleId="5">
    <w:name w:val="heading 4"/>
    <w:basedOn w:val="1"/>
    <w:next w:val="1"/>
    <w:link w:val="70"/>
    <w:unhideWhenUsed/>
    <w:qFormat/>
    <w:uiPriority w:val="9"/>
    <w:pPr>
      <w:keepNext/>
      <w:keepLines/>
      <w:widowControl/>
      <w:kinsoku w:val="0"/>
      <w:autoSpaceDE w:val="0"/>
      <w:autoSpaceDN w:val="0"/>
      <w:adjustRightInd w:val="0"/>
      <w:snapToGrid w:val="0"/>
      <w:spacing w:before="280" w:after="290" w:line="372" w:lineRule="auto"/>
      <w:jc w:val="left"/>
      <w:textAlignment w:val="baseline"/>
      <w:outlineLvl w:val="3"/>
    </w:pPr>
    <w:rPr>
      <w:rFonts w:ascii="Arial" w:hAnsi="Arial" w:eastAsia="黑体" w:cs="Arial"/>
      <w:b/>
      <w:snapToGrid w:val="0"/>
      <w:color w:val="000000"/>
      <w:kern w:val="0"/>
      <w:sz w:val="28"/>
      <w:szCs w:val="21"/>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uiPriority w:val="99"/>
    <w:pPr>
      <w:ind w:firstLine="420"/>
    </w:pPr>
  </w:style>
  <w:style w:type="paragraph" w:styleId="7">
    <w:name w:val="annotation text"/>
    <w:basedOn w:val="1"/>
    <w:link w:val="35"/>
    <w:semiHidden/>
    <w:unhideWhenUsed/>
    <w:qFormat/>
    <w:uiPriority w:val="99"/>
    <w:pPr>
      <w:jc w:val="left"/>
    </w:pPr>
  </w:style>
  <w:style w:type="paragraph" w:styleId="8">
    <w:name w:val="Body Text"/>
    <w:basedOn w:val="1"/>
    <w:next w:val="9"/>
    <w:link w:val="39"/>
    <w:semiHidden/>
    <w:unhideWhenUsed/>
    <w:qFormat/>
    <w:uiPriority w:val="99"/>
    <w:pPr>
      <w:jc w:val="left"/>
    </w:pPr>
    <w:rPr>
      <w:rFonts w:ascii="楷体_GB2312" w:hAnsi="华文楷体" w:eastAsia="楷体_GB2312"/>
      <w:sz w:val="28"/>
      <w:szCs w:val="28"/>
    </w:rPr>
  </w:style>
  <w:style w:type="paragraph" w:styleId="9">
    <w:name w:val="Body Text 2"/>
    <w:basedOn w:val="1"/>
    <w:link w:val="61"/>
    <w:semiHidden/>
    <w:unhideWhenUsed/>
    <w:qFormat/>
    <w:uiPriority w:val="99"/>
    <w:pPr>
      <w:spacing w:after="120" w:line="480" w:lineRule="auto"/>
    </w:pPr>
  </w:style>
  <w:style w:type="paragraph" w:styleId="10">
    <w:name w:val="Body Text Indent"/>
    <w:basedOn w:val="1"/>
    <w:link w:val="40"/>
    <w:semiHidden/>
    <w:unhideWhenUsed/>
    <w:qFormat/>
    <w:uiPriority w:val="99"/>
    <w:pPr>
      <w:spacing w:after="120"/>
      <w:ind w:left="420" w:leftChars="200"/>
    </w:pPr>
  </w:style>
  <w:style w:type="paragraph" w:styleId="11">
    <w:name w:val="List Bullet 2"/>
    <w:basedOn w:val="1"/>
    <w:qFormat/>
    <w:uiPriority w:val="0"/>
    <w:pPr>
      <w:numPr>
        <w:ilvl w:val="0"/>
        <w:numId w:val="1"/>
      </w:numPr>
      <w:ind w:left="0" w:leftChars="0" w:firstLine="0" w:firstLineChars="0"/>
    </w:pPr>
    <w:rPr>
      <w:rFonts w:ascii="Times New Roman" w:hAnsi="Times New Roman"/>
      <w:szCs w:val="22"/>
    </w:rPr>
  </w:style>
  <w:style w:type="paragraph" w:styleId="12">
    <w:name w:val="index 4"/>
    <w:basedOn w:val="1"/>
    <w:next w:val="1"/>
    <w:autoRedefine/>
    <w:unhideWhenUsed/>
    <w:qFormat/>
    <w:uiPriority w:val="99"/>
    <w:pPr>
      <w:ind w:left="600" w:leftChars="600"/>
    </w:pPr>
    <w:rPr>
      <w:rFonts w:ascii="等线" w:hAnsi="等线" w:eastAsia="等线" w:cs="等线"/>
      <w:szCs w:val="21"/>
    </w:rPr>
  </w:style>
  <w:style w:type="paragraph" w:styleId="13">
    <w:name w:val="Plain Text"/>
    <w:basedOn w:val="1"/>
    <w:link w:val="43"/>
    <w:unhideWhenUsed/>
    <w:qFormat/>
    <w:uiPriority w:val="99"/>
    <w:rPr>
      <w:rFonts w:ascii="宋体" w:hAnsi="Courier New" w:cs="Courier New"/>
      <w:szCs w:val="21"/>
    </w:rPr>
  </w:style>
  <w:style w:type="paragraph" w:styleId="14">
    <w:name w:val="Date"/>
    <w:basedOn w:val="1"/>
    <w:next w:val="1"/>
    <w:link w:val="41"/>
    <w:semiHidden/>
    <w:unhideWhenUsed/>
    <w:qFormat/>
    <w:uiPriority w:val="99"/>
    <w:pPr>
      <w:ind w:left="100" w:leftChars="2500"/>
    </w:pPr>
    <w:rPr>
      <w:rFonts w:eastAsia="楷体_GB2312"/>
      <w:b/>
      <w:bCs/>
      <w:sz w:val="32"/>
    </w:rPr>
  </w:style>
  <w:style w:type="paragraph" w:styleId="15">
    <w:name w:val="Body Text Indent 2"/>
    <w:basedOn w:val="1"/>
    <w:link w:val="42"/>
    <w:semiHidden/>
    <w:unhideWhenUsed/>
    <w:qFormat/>
    <w:uiPriority w:val="99"/>
    <w:pPr>
      <w:spacing w:after="120" w:line="480" w:lineRule="auto"/>
      <w:ind w:left="420" w:leftChars="200"/>
    </w:pPr>
  </w:style>
  <w:style w:type="paragraph" w:styleId="16">
    <w:name w:val="Balloon Text"/>
    <w:basedOn w:val="1"/>
    <w:link w:val="45"/>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tabs>
        <w:tab w:val="right" w:leader="dot" w:pos="8296"/>
      </w:tabs>
      <w:spacing w:line="360" w:lineRule="auto"/>
    </w:pPr>
  </w:style>
  <w:style w:type="paragraph" w:styleId="21">
    <w:name w:val="toc 2"/>
    <w:basedOn w:val="1"/>
    <w:next w:val="1"/>
    <w:unhideWhenUsed/>
    <w:qFormat/>
    <w:uiPriority w:val="39"/>
    <w:pPr>
      <w:ind w:left="420" w:leftChars="200"/>
    </w:pPr>
    <w:rPr>
      <w:rFonts w:ascii="Times New Roman" w:hAnsi="Times New Roman"/>
      <w:szCs w:val="22"/>
    </w:rPr>
  </w:style>
  <w:style w:type="paragraph" w:styleId="22">
    <w:name w:val="Normal (Web)"/>
    <w:basedOn w:val="1"/>
    <w:unhideWhenUsed/>
    <w:qFormat/>
    <w:uiPriority w:val="99"/>
    <w:pPr>
      <w:spacing w:before="100" w:beforeAutospacing="1" w:after="100" w:afterAutospacing="1"/>
      <w:jc w:val="left"/>
    </w:pPr>
    <w:rPr>
      <w:kern w:val="0"/>
      <w:sz w:val="24"/>
      <w:szCs w:val="20"/>
    </w:rPr>
  </w:style>
  <w:style w:type="paragraph" w:styleId="23">
    <w:name w:val="Title"/>
    <w:basedOn w:val="1"/>
    <w:link w:val="38"/>
    <w:qFormat/>
    <w:uiPriority w:val="10"/>
    <w:pPr>
      <w:adjustRightInd w:val="0"/>
      <w:spacing w:before="240" w:after="60" w:line="420" w:lineRule="atLeast"/>
      <w:jc w:val="center"/>
      <w:outlineLvl w:val="0"/>
    </w:pPr>
    <w:rPr>
      <w:rFonts w:ascii="Arial" w:hAnsi="Arial"/>
      <w:b/>
      <w:kern w:val="0"/>
      <w:sz w:val="32"/>
      <w:szCs w:val="20"/>
    </w:rPr>
  </w:style>
  <w:style w:type="paragraph" w:styleId="24">
    <w:name w:val="annotation subject"/>
    <w:basedOn w:val="7"/>
    <w:next w:val="7"/>
    <w:link w:val="44"/>
    <w:semiHidden/>
    <w:unhideWhenUsed/>
    <w:qFormat/>
    <w:uiPriority w:val="99"/>
    <w:rPr>
      <w:b/>
      <w:bCs/>
    </w:rPr>
  </w:style>
  <w:style w:type="paragraph" w:styleId="25">
    <w:name w:val="Body Text First Indent 2"/>
    <w:basedOn w:val="10"/>
    <w:qFormat/>
    <w:uiPriority w:val="0"/>
    <w:pPr>
      <w:tabs>
        <w:tab w:val="left" w:pos="0"/>
        <w:tab w:val="left" w:pos="993"/>
        <w:tab w:val="left" w:pos="1134"/>
      </w:tabs>
      <w:ind w:firstLine="420"/>
    </w:pPr>
    <w:rPr>
      <w:rFonts w:ascii="Times New Roman" w:hAnsi="Times New Roman"/>
    </w:rPr>
  </w:style>
  <w:style w:type="table" w:styleId="27">
    <w:name w:val="Table Grid"/>
    <w:basedOn w:val="2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0">
    <w:name w:val="Hyperlink"/>
    <w:unhideWhenUsed/>
    <w:qFormat/>
    <w:uiPriority w:val="99"/>
    <w:rPr>
      <w:color w:val="0000FF"/>
      <w:u w:val="single"/>
    </w:rPr>
  </w:style>
  <w:style w:type="character" w:styleId="31">
    <w:name w:val="annotation reference"/>
    <w:semiHidden/>
    <w:unhideWhenUsed/>
    <w:qFormat/>
    <w:uiPriority w:val="0"/>
    <w:rPr>
      <w:sz w:val="21"/>
      <w:szCs w:val="21"/>
    </w:rPr>
  </w:style>
  <w:style w:type="paragraph" w:customStyle="1" w:styleId="32">
    <w:name w:val="Default"/>
    <w:next w:val="1"/>
    <w:qFormat/>
    <w:uiPriority w:val="0"/>
    <w:pPr>
      <w:widowControl w:val="0"/>
      <w:autoSpaceDE w:val="0"/>
      <w:autoSpaceDN w:val="0"/>
      <w:adjustRightInd w:val="0"/>
    </w:pPr>
    <w:rPr>
      <w:rFonts w:ascii="等线" w:hAnsi="等线" w:eastAsia="等线" w:cs="Times New Roman"/>
      <w:color w:val="000000"/>
      <w:sz w:val="24"/>
      <w:szCs w:val="24"/>
      <w:lang w:val="en-US" w:eastAsia="zh-CN" w:bidi="ar-SA"/>
    </w:rPr>
  </w:style>
  <w:style w:type="character" w:customStyle="1" w:styleId="33">
    <w:name w:val="标题 1 Char"/>
    <w:basedOn w:val="28"/>
    <w:link w:val="2"/>
    <w:qFormat/>
    <w:uiPriority w:val="9"/>
    <w:rPr>
      <w:rFonts w:ascii="宋体" w:hAnsi="宋体" w:eastAsia="宋体" w:cs="宋体"/>
      <w:b/>
      <w:sz w:val="28"/>
      <w:szCs w:val="20"/>
    </w:rPr>
  </w:style>
  <w:style w:type="character" w:customStyle="1" w:styleId="34">
    <w:name w:val="标题 3 Char"/>
    <w:basedOn w:val="28"/>
    <w:link w:val="4"/>
    <w:qFormat/>
    <w:uiPriority w:val="9"/>
    <w:rPr>
      <w:rFonts w:ascii="Calibri" w:hAnsi="Calibri" w:eastAsia="宋体" w:cs="宋体"/>
      <w:b/>
      <w:sz w:val="32"/>
      <w:szCs w:val="20"/>
    </w:rPr>
  </w:style>
  <w:style w:type="character" w:customStyle="1" w:styleId="35">
    <w:name w:val="批注文字 Char"/>
    <w:basedOn w:val="28"/>
    <w:link w:val="7"/>
    <w:semiHidden/>
    <w:qFormat/>
    <w:uiPriority w:val="99"/>
    <w:rPr>
      <w:rFonts w:ascii="Calibri" w:hAnsi="Calibri" w:eastAsia="宋体" w:cs="Times New Roman"/>
      <w:szCs w:val="24"/>
    </w:rPr>
  </w:style>
  <w:style w:type="character" w:customStyle="1" w:styleId="36">
    <w:name w:val="页眉 Char"/>
    <w:basedOn w:val="28"/>
    <w:link w:val="19"/>
    <w:qFormat/>
    <w:uiPriority w:val="99"/>
    <w:rPr>
      <w:rFonts w:ascii="Calibri" w:hAnsi="Calibri" w:eastAsia="宋体" w:cs="Times New Roman"/>
      <w:sz w:val="18"/>
      <w:szCs w:val="18"/>
    </w:rPr>
  </w:style>
  <w:style w:type="character" w:customStyle="1" w:styleId="37">
    <w:name w:val="页脚 Char"/>
    <w:basedOn w:val="28"/>
    <w:link w:val="17"/>
    <w:qFormat/>
    <w:uiPriority w:val="99"/>
    <w:rPr>
      <w:rFonts w:ascii="Calibri" w:hAnsi="Calibri" w:eastAsia="宋体" w:cs="Times New Roman"/>
      <w:sz w:val="18"/>
      <w:szCs w:val="18"/>
    </w:rPr>
  </w:style>
  <w:style w:type="character" w:customStyle="1" w:styleId="38">
    <w:name w:val="标题 Char"/>
    <w:basedOn w:val="28"/>
    <w:link w:val="23"/>
    <w:qFormat/>
    <w:uiPriority w:val="10"/>
    <w:rPr>
      <w:rFonts w:ascii="Arial" w:hAnsi="Arial" w:eastAsia="宋体" w:cs="Times New Roman"/>
      <w:b/>
      <w:kern w:val="0"/>
      <w:sz w:val="32"/>
      <w:szCs w:val="20"/>
    </w:rPr>
  </w:style>
  <w:style w:type="character" w:customStyle="1" w:styleId="39">
    <w:name w:val="正文文本 Char"/>
    <w:basedOn w:val="28"/>
    <w:link w:val="8"/>
    <w:semiHidden/>
    <w:qFormat/>
    <w:uiPriority w:val="99"/>
    <w:rPr>
      <w:rFonts w:ascii="楷体_GB2312" w:hAnsi="华文楷体" w:eastAsia="楷体_GB2312" w:cs="Times New Roman"/>
      <w:sz w:val="28"/>
      <w:szCs w:val="28"/>
    </w:rPr>
  </w:style>
  <w:style w:type="character" w:customStyle="1" w:styleId="40">
    <w:name w:val="正文文本缩进 Char"/>
    <w:basedOn w:val="28"/>
    <w:link w:val="10"/>
    <w:semiHidden/>
    <w:qFormat/>
    <w:uiPriority w:val="99"/>
    <w:rPr>
      <w:rFonts w:ascii="Calibri" w:hAnsi="Calibri" w:eastAsia="宋体" w:cs="Times New Roman"/>
      <w:szCs w:val="24"/>
    </w:rPr>
  </w:style>
  <w:style w:type="character" w:customStyle="1" w:styleId="41">
    <w:name w:val="日期 Char"/>
    <w:basedOn w:val="28"/>
    <w:link w:val="14"/>
    <w:semiHidden/>
    <w:qFormat/>
    <w:uiPriority w:val="99"/>
    <w:rPr>
      <w:rFonts w:ascii="Calibri" w:hAnsi="Calibri" w:eastAsia="楷体_GB2312" w:cs="Times New Roman"/>
      <w:b/>
      <w:bCs/>
      <w:sz w:val="32"/>
      <w:szCs w:val="24"/>
    </w:rPr>
  </w:style>
  <w:style w:type="character" w:customStyle="1" w:styleId="42">
    <w:name w:val="正文文本缩进 2 Char"/>
    <w:basedOn w:val="28"/>
    <w:link w:val="15"/>
    <w:semiHidden/>
    <w:qFormat/>
    <w:uiPriority w:val="99"/>
    <w:rPr>
      <w:rFonts w:ascii="Calibri" w:hAnsi="Calibri" w:eastAsia="宋体" w:cs="Times New Roman"/>
      <w:szCs w:val="24"/>
    </w:rPr>
  </w:style>
  <w:style w:type="character" w:customStyle="1" w:styleId="43">
    <w:name w:val="纯文本 Char"/>
    <w:basedOn w:val="28"/>
    <w:link w:val="13"/>
    <w:qFormat/>
    <w:uiPriority w:val="99"/>
    <w:rPr>
      <w:rFonts w:ascii="宋体" w:hAnsi="Courier New" w:eastAsia="宋体" w:cs="Courier New"/>
      <w:szCs w:val="21"/>
    </w:rPr>
  </w:style>
  <w:style w:type="character" w:customStyle="1" w:styleId="44">
    <w:name w:val="批注主题 Char"/>
    <w:basedOn w:val="35"/>
    <w:link w:val="24"/>
    <w:semiHidden/>
    <w:qFormat/>
    <w:uiPriority w:val="99"/>
    <w:rPr>
      <w:rFonts w:ascii="Calibri" w:hAnsi="Calibri" w:eastAsia="宋体" w:cs="Times New Roman"/>
      <w:b/>
      <w:bCs/>
      <w:szCs w:val="24"/>
    </w:rPr>
  </w:style>
  <w:style w:type="character" w:customStyle="1" w:styleId="45">
    <w:name w:val="批注框文本 Char"/>
    <w:basedOn w:val="28"/>
    <w:link w:val="16"/>
    <w:semiHidden/>
    <w:qFormat/>
    <w:uiPriority w:val="99"/>
    <w:rPr>
      <w:rFonts w:ascii="Calibri" w:hAnsi="Calibri" w:eastAsia="宋体" w:cs="Times New Roman"/>
      <w:sz w:val="18"/>
      <w:szCs w:val="18"/>
    </w:rPr>
  </w:style>
  <w:style w:type="paragraph" w:styleId="46">
    <w:name w:val="List Paragraph"/>
    <w:basedOn w:val="1"/>
    <w:qFormat/>
    <w:uiPriority w:val="34"/>
    <w:pPr>
      <w:ind w:firstLine="420" w:firstLineChars="200"/>
    </w:pPr>
    <w:rPr>
      <w:szCs w:val="20"/>
    </w:rPr>
  </w:style>
  <w:style w:type="paragraph" w:customStyle="1" w:styleId="47">
    <w:name w:val="Char Char1 Char Char Char Char Char Char"/>
    <w:basedOn w:val="1"/>
    <w:qFormat/>
    <w:uiPriority w:val="99"/>
    <w:pPr>
      <w:widowControl/>
      <w:spacing w:after="160" w:line="240" w:lineRule="exact"/>
      <w:jc w:val="left"/>
    </w:pPr>
    <w:rPr>
      <w:szCs w:val="20"/>
    </w:rPr>
  </w:style>
  <w:style w:type="paragraph" w:customStyle="1" w:styleId="48">
    <w:name w:val="2"/>
    <w:basedOn w:val="1"/>
    <w:qFormat/>
    <w:uiPriority w:val="99"/>
    <w:pPr>
      <w:widowControl/>
      <w:spacing w:before="100" w:beforeAutospacing="1" w:after="100" w:afterAutospacing="1"/>
      <w:jc w:val="left"/>
    </w:pPr>
    <w:rPr>
      <w:rFonts w:ascii="宋体" w:hAnsi="宋体" w:cs="宋体"/>
      <w:kern w:val="0"/>
      <w:sz w:val="24"/>
    </w:rPr>
  </w:style>
  <w:style w:type="paragraph" w:customStyle="1" w:styleId="49">
    <w:name w:val="列出段落1"/>
    <w:basedOn w:val="1"/>
    <w:qFormat/>
    <w:uiPriority w:val="0"/>
    <w:pPr>
      <w:ind w:firstLine="420" w:firstLineChars="200"/>
    </w:pPr>
  </w:style>
  <w:style w:type="paragraph" w:customStyle="1" w:styleId="50">
    <w:name w:val="Char"/>
    <w:basedOn w:val="1"/>
    <w:qFormat/>
    <w:uiPriority w:val="99"/>
    <w:pPr>
      <w:widowControl/>
      <w:spacing w:after="160" w:line="240" w:lineRule="exact"/>
      <w:jc w:val="left"/>
    </w:pPr>
  </w:style>
  <w:style w:type="paragraph" w:customStyle="1" w:styleId="51">
    <w:name w:val="正文_2"/>
    <w:qFormat/>
    <w:uiPriority w:val="99"/>
    <w:rPr>
      <w:rFonts w:ascii="Calibri" w:hAnsi="Calibri" w:eastAsia="宋体" w:cs="Times New Roman"/>
      <w:sz w:val="21"/>
      <w:szCs w:val="22"/>
      <w:lang w:val="en-US" w:eastAsia="zh-CN" w:bidi="ar-SA"/>
    </w:rPr>
  </w:style>
  <w:style w:type="paragraph" w:customStyle="1" w:styleId="52">
    <w:name w:val="正文_0_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3">
    <w:name w:val="标题 Char1"/>
    <w:basedOn w:val="28"/>
    <w:qFormat/>
    <w:uiPriority w:val="10"/>
    <w:rPr>
      <w:rFonts w:hint="default" w:asciiTheme="majorHAnsi" w:hAnsiTheme="majorHAnsi" w:cstheme="majorBidi"/>
      <w:b/>
      <w:bCs/>
      <w:kern w:val="2"/>
      <w:sz w:val="32"/>
      <w:szCs w:val="32"/>
    </w:rPr>
  </w:style>
  <w:style w:type="character" w:customStyle="1" w:styleId="54">
    <w:name w:val="批注文字 Char1"/>
    <w:basedOn w:val="28"/>
    <w:semiHidden/>
    <w:qFormat/>
    <w:uiPriority w:val="99"/>
    <w:rPr>
      <w:kern w:val="2"/>
      <w:sz w:val="21"/>
      <w:szCs w:val="24"/>
    </w:rPr>
  </w:style>
  <w:style w:type="character" w:customStyle="1" w:styleId="55">
    <w:name w:val="批注主题 Char1"/>
    <w:basedOn w:val="54"/>
    <w:semiHidden/>
    <w:qFormat/>
    <w:uiPriority w:val="99"/>
    <w:rPr>
      <w:b/>
      <w:bCs/>
      <w:kern w:val="2"/>
      <w:sz w:val="21"/>
      <w:szCs w:val="24"/>
    </w:rPr>
  </w:style>
  <w:style w:type="paragraph" w:customStyle="1" w:styleId="56">
    <w:name w:val="TOC 标题1"/>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7">
    <w:name w:val="Blockquote Char Char"/>
    <w:link w:val="58"/>
    <w:qFormat/>
    <w:uiPriority w:val="0"/>
    <w:rPr>
      <w:sz w:val="24"/>
    </w:rPr>
  </w:style>
  <w:style w:type="paragraph" w:customStyle="1" w:styleId="58">
    <w:name w:val="Blockquote"/>
    <w:basedOn w:val="1"/>
    <w:link w:val="57"/>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9">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60">
    <w:name w:val="正文_0"/>
    <w:qFormat/>
    <w:uiPriority w:val="0"/>
    <w:pPr>
      <w:widowControl w:val="0"/>
      <w:ind w:firstLine="360"/>
      <w:jc w:val="both"/>
    </w:pPr>
    <w:rPr>
      <w:rFonts w:ascii="Times New Roman" w:hAnsi="Times New Roman" w:eastAsia="宋体" w:cs="Times New Roman"/>
      <w:kern w:val="2"/>
      <w:sz w:val="21"/>
      <w:szCs w:val="22"/>
      <w:lang w:val="en-US" w:eastAsia="zh-CN" w:bidi="ar-SA"/>
    </w:rPr>
  </w:style>
  <w:style w:type="character" w:customStyle="1" w:styleId="61">
    <w:name w:val="正文文本 2 Char"/>
    <w:basedOn w:val="28"/>
    <w:link w:val="9"/>
    <w:semiHidden/>
    <w:qFormat/>
    <w:uiPriority w:val="99"/>
    <w:rPr>
      <w:rFonts w:ascii="Calibri" w:hAnsi="Calibri" w:eastAsia="宋体" w:cs="Times New Roman"/>
      <w:kern w:val="2"/>
      <w:sz w:val="21"/>
      <w:szCs w:val="24"/>
    </w:rPr>
  </w:style>
  <w:style w:type="character" w:customStyle="1" w:styleId="62">
    <w:name w:val="NormalCharacter"/>
    <w:qFormat/>
    <w:uiPriority w:val="0"/>
  </w:style>
  <w:style w:type="paragraph" w:customStyle="1" w:styleId="63">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64">
    <w:name w:val="宋体小四正文"/>
    <w:basedOn w:val="1"/>
    <w:link w:val="65"/>
    <w:qFormat/>
    <w:uiPriority w:val="0"/>
    <w:pPr>
      <w:spacing w:line="360" w:lineRule="auto"/>
      <w:ind w:firstLine="200" w:firstLineChars="200"/>
    </w:pPr>
    <w:rPr>
      <w:rFonts w:ascii="宋体" w:hAnsi="宋体" w:cstheme="minorBidi"/>
      <w:color w:val="000000" w:themeColor="text1"/>
      <w:sz w:val="24"/>
      <w:szCs w:val="28"/>
      <w14:textFill>
        <w14:solidFill>
          <w14:schemeClr w14:val="tx1"/>
        </w14:solidFill>
      </w14:textFill>
    </w:rPr>
  </w:style>
  <w:style w:type="character" w:customStyle="1" w:styleId="65">
    <w:name w:val="宋体小四正文 字符"/>
    <w:basedOn w:val="28"/>
    <w:link w:val="64"/>
    <w:qFormat/>
    <w:uiPriority w:val="0"/>
    <w:rPr>
      <w:rFonts w:ascii="宋体" w:hAnsi="宋体" w:eastAsia="宋体"/>
      <w:color w:val="000000" w:themeColor="text1"/>
      <w:kern w:val="2"/>
      <w:sz w:val="24"/>
      <w:szCs w:val="28"/>
      <w14:textFill>
        <w14:solidFill>
          <w14:schemeClr w14:val="tx1"/>
        </w14:solidFill>
      </w14:textFill>
    </w:rPr>
  </w:style>
  <w:style w:type="character" w:customStyle="1" w:styleId="66">
    <w:name w:val="font31"/>
    <w:basedOn w:val="28"/>
    <w:qFormat/>
    <w:uiPriority w:val="0"/>
    <w:rPr>
      <w:rFonts w:hint="eastAsia" w:ascii="宋体" w:hAnsi="宋体" w:eastAsia="宋体" w:cs="宋体"/>
      <w:color w:val="000000"/>
      <w:sz w:val="24"/>
      <w:szCs w:val="24"/>
      <w:u w:val="none"/>
    </w:rPr>
  </w:style>
  <w:style w:type="character" w:customStyle="1" w:styleId="67">
    <w:name w:val="font51"/>
    <w:basedOn w:val="28"/>
    <w:qFormat/>
    <w:uiPriority w:val="0"/>
    <w:rPr>
      <w:rFonts w:hint="eastAsia" w:ascii="宋体" w:hAnsi="宋体" w:eastAsia="宋体" w:cs="宋体"/>
      <w:b/>
      <w:bCs/>
      <w:color w:val="000000"/>
      <w:sz w:val="21"/>
      <w:szCs w:val="21"/>
      <w:u w:val="none"/>
    </w:rPr>
  </w:style>
  <w:style w:type="paragraph" w:customStyle="1" w:styleId="68">
    <w:name w:val="__正文"/>
    <w:qFormat/>
    <w:uiPriority w:val="0"/>
    <w:pPr>
      <w:spacing w:line="360" w:lineRule="auto"/>
      <w:ind w:firstLine="200" w:firstLineChars="200"/>
    </w:pPr>
    <w:rPr>
      <w:rFonts w:ascii="Calibri" w:hAnsi="Calibri" w:eastAsia="宋体" w:cs="Times New Roman"/>
      <w:kern w:val="2"/>
      <w:sz w:val="24"/>
      <w:szCs w:val="21"/>
      <w:lang w:val="en-US" w:eastAsia="zh-CN" w:bidi="ar-SA"/>
    </w:rPr>
  </w:style>
  <w:style w:type="character" w:customStyle="1" w:styleId="69">
    <w:name w:val="标题 2 Char"/>
    <w:basedOn w:val="28"/>
    <w:link w:val="3"/>
    <w:qFormat/>
    <w:uiPriority w:val="9"/>
    <w:rPr>
      <w:rFonts w:ascii="Arial" w:hAnsi="Arial" w:eastAsia="黑体" w:cs="Arial"/>
      <w:b/>
      <w:snapToGrid w:val="0"/>
      <w:color w:val="000000"/>
      <w:sz w:val="32"/>
      <w:szCs w:val="21"/>
    </w:rPr>
  </w:style>
  <w:style w:type="character" w:customStyle="1" w:styleId="70">
    <w:name w:val="标题 4 Char"/>
    <w:basedOn w:val="28"/>
    <w:link w:val="5"/>
    <w:qFormat/>
    <w:uiPriority w:val="9"/>
    <w:rPr>
      <w:rFonts w:ascii="Arial" w:hAnsi="Arial" w:eastAsia="黑体" w:cs="Arial"/>
      <w:b/>
      <w:snapToGrid w:val="0"/>
      <w:color w:val="000000"/>
      <w:sz w:val="28"/>
      <w:szCs w:val="21"/>
    </w:rPr>
  </w:style>
  <w:style w:type="paragraph" w:styleId="71">
    <w:name w:val="No Spacing"/>
    <w:qFormat/>
    <w:uiPriority w:val="1"/>
    <w:rPr>
      <w:rFonts w:ascii="Calibri" w:hAnsi="Calibri" w:eastAsia="宋体" w:cs="Times New Roman"/>
      <w:sz w:val="22"/>
      <w:szCs w:val="22"/>
      <w:lang w:val="en-US" w:eastAsia="zh-CN" w:bidi="ar-SA"/>
    </w:rPr>
  </w:style>
  <w:style w:type="character" w:customStyle="1" w:styleId="72">
    <w:name w:val="font21"/>
    <w:basedOn w:val="28"/>
    <w:qFormat/>
    <w:uiPriority w:val="0"/>
    <w:rPr>
      <w:rFonts w:hint="eastAsia" w:ascii="宋体" w:hAnsi="宋体" w:eastAsia="宋体" w:cs="宋体"/>
      <w:color w:val="000000"/>
      <w:sz w:val="24"/>
      <w:szCs w:val="24"/>
      <w:u w:val="none"/>
    </w:rPr>
  </w:style>
  <w:style w:type="paragraph" w:customStyle="1" w:styleId="73">
    <w:name w:val="M正文"/>
    <w:basedOn w:val="1"/>
    <w:qFormat/>
    <w:uiPriority w:val="0"/>
    <w:pPr>
      <w:spacing w:line="360" w:lineRule="auto"/>
      <w:ind w:firstLine="480" w:firstLineChars="200"/>
    </w:pPr>
    <w:rPr>
      <w:rFonts w:asciiTheme="minorHAnsi" w:hAnsiTheme="minorHAnsi" w:eastAsiaTheme="minorEastAsia" w:cstheme="minorBidi"/>
      <w:sz w:val="24"/>
    </w:rPr>
  </w:style>
  <w:style w:type="paragraph" w:customStyle="1" w:styleId="74">
    <w:name w:val="表格"/>
    <w:link w:val="75"/>
    <w:qFormat/>
    <w:uiPriority w:val="0"/>
    <w:pPr>
      <w:jc w:val="center"/>
    </w:pPr>
    <w:rPr>
      <w:rFonts w:ascii="Times New Roman" w:hAnsi="Times New Roman" w:eastAsia="仿宋" w:cs="Times New Roman"/>
      <w:kern w:val="2"/>
      <w:sz w:val="21"/>
      <w:szCs w:val="22"/>
      <w:lang w:val="en-US" w:eastAsia="zh-CN" w:bidi="ar-SA"/>
    </w:rPr>
  </w:style>
  <w:style w:type="character" w:customStyle="1" w:styleId="75">
    <w:name w:val="表格 Char"/>
    <w:link w:val="74"/>
    <w:qFormat/>
    <w:uiPriority w:val="0"/>
    <w:rPr>
      <w:rFonts w:ascii="Times New Roman" w:hAnsi="Times New Roman" w:eastAsia="仿宋" w:cs="Times New Roman"/>
      <w:kern w:val="2"/>
      <w:sz w:val="21"/>
      <w:szCs w:val="22"/>
    </w:rPr>
  </w:style>
  <w:style w:type="character" w:customStyle="1" w:styleId="76">
    <w:name w:val="font01"/>
    <w:basedOn w:val="28"/>
    <w:qFormat/>
    <w:uiPriority w:val="0"/>
    <w:rPr>
      <w:rFonts w:hint="eastAsia" w:ascii="等线" w:hAnsi="等线" w:eastAsia="等线" w:cs="等线"/>
      <w:color w:val="000000"/>
      <w:sz w:val="22"/>
      <w:szCs w:val="22"/>
      <w:u w:val="none"/>
    </w:rPr>
  </w:style>
  <w:style w:type="character" w:customStyle="1" w:styleId="77">
    <w:name w:val="font61"/>
    <w:basedOn w:val="28"/>
    <w:qFormat/>
    <w:uiPriority w:val="0"/>
    <w:rPr>
      <w:rFonts w:ascii="Calibri" w:hAnsi="Calibri" w:cs="Calibri"/>
      <w:color w:val="000000"/>
      <w:sz w:val="20"/>
      <w:szCs w:val="20"/>
      <w:u w:val="none"/>
    </w:rPr>
  </w:style>
  <w:style w:type="character" w:customStyle="1" w:styleId="78">
    <w:name w:val="font11"/>
    <w:basedOn w:val="28"/>
    <w:qFormat/>
    <w:uiPriority w:val="0"/>
    <w:rPr>
      <w:rFonts w:hint="eastAsia" w:ascii="宋体" w:hAnsi="宋体" w:eastAsia="宋体" w:cs="宋体"/>
      <w:color w:val="000000"/>
      <w:sz w:val="20"/>
      <w:szCs w:val="20"/>
      <w:u w:val="none"/>
    </w:rPr>
  </w:style>
  <w:style w:type="character" w:customStyle="1" w:styleId="79">
    <w:name w:val="PageNumber"/>
    <w:basedOn w:val="62"/>
    <w:qFormat/>
    <w:uiPriority w:val="0"/>
  </w:style>
  <w:style w:type="character" w:customStyle="1" w:styleId="80">
    <w:name w:val="font71"/>
    <w:basedOn w:val="28"/>
    <w:qFormat/>
    <w:uiPriority w:val="0"/>
    <w:rPr>
      <w:rFonts w:hint="eastAsia" w:ascii="微软雅黑" w:hAnsi="微软雅黑" w:eastAsia="微软雅黑" w:cs="微软雅黑"/>
      <w:b/>
      <w:bCs/>
      <w:color w:val="000000"/>
      <w:sz w:val="24"/>
      <w:szCs w:val="24"/>
      <w:u w:val="none"/>
    </w:rPr>
  </w:style>
  <w:style w:type="paragraph" w:customStyle="1" w:styleId="81">
    <w:name w:val="正文缩进_0"/>
    <w:basedOn w:val="1"/>
    <w:qFormat/>
    <w:uiPriority w:val="0"/>
    <w:pPr>
      <w:widowControl/>
      <w:snapToGrid/>
      <w:spacing w:line="240" w:lineRule="auto"/>
      <w:jc w:val="left"/>
    </w:pPr>
    <w:rPr>
      <w:rFonts w:ascii="Times New Roman" w:hAnsi="Times New Roman"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6085-D959-42A5-9762-85E36C5C130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57</Pages>
  <Words>7635</Words>
  <Characters>8240</Characters>
  <Lines>333</Lines>
  <Paragraphs>93</Paragraphs>
  <TotalTime>9</TotalTime>
  <ScaleCrop>false</ScaleCrop>
  <LinksUpToDate>false</LinksUpToDate>
  <CharactersWithSpaces>8540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2023-03-09T06:08:00Z</dcterms:created>
  <dc:creator>未定义</dc:creator>
  <cp:lastModifiedBy>张长君</cp:lastModifiedBy>
  <cp:lastPrinted>2024-12-25T05:57:00Z</cp:lastPrinted>
  <dcterms:modified xsi:type="dcterms:W3CDTF">2025-04-14T09:28:28Z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E36143021E244979A2F7A15CC42BE94B_13</vt:lpwstr>
  </property>
  <property fmtid="{D5CDD505-2E9C-101B-9397-08002B2CF9AE}" pid="4" name="KSOTemplateDocerSaveRecord">
    <vt:lpwstr>eyJoZGlkIjoiN2Y4ZDNhMDVmNDIzOTA1MDMwMTAyNmQxZjFhNzlmNGYiLCJ1c2VySWQiOiIxMjEwNDIxMzA4In0=</vt:lpwstr>
  </property>
</Properties>
</file>