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9D2CB">
      <w:pPr>
        <w:adjustRightInd w:val="0"/>
        <w:snapToGrid w:val="0"/>
        <w:spacing w:line="800" w:lineRule="exact"/>
        <w:contextualSpacing/>
        <w:jc w:val="center"/>
        <w:rPr>
          <w:b/>
          <w:sz w:val="36"/>
          <w:szCs w:val="36"/>
        </w:rPr>
      </w:pPr>
      <w:r>
        <w:rPr>
          <w:rFonts w:hint="eastAsia"/>
          <w:b/>
          <w:sz w:val="36"/>
          <w:szCs w:val="36"/>
        </w:rPr>
        <w:t>扬州大学附属医院2025年度退休返聘人员雇主责任险购买项目询价文件</w:t>
      </w:r>
    </w:p>
    <w:p w14:paraId="172B5836">
      <w:pPr>
        <w:pStyle w:val="16"/>
        <w:ind w:firstLine="0"/>
      </w:pPr>
    </w:p>
    <w:p w14:paraId="5DE113FF">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237B0CE">
      <w:pPr>
        <w:spacing w:after="60" w:afterLines="25" w:line="520" w:lineRule="exact"/>
        <w:rPr>
          <w:rFonts w:ascii="宋体" w:hAnsi="宋体"/>
          <w:b/>
          <w:bCs/>
          <w:sz w:val="44"/>
          <w:szCs w:val="44"/>
        </w:rPr>
      </w:pPr>
    </w:p>
    <w:p w14:paraId="3E37608E">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5A5E243">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月</w:t>
      </w:r>
      <w:bookmarkEnd w:id="0"/>
    </w:p>
    <w:p w14:paraId="5099D2DB">
      <w:pPr>
        <w:rPr>
          <w:b/>
          <w:w w:val="90"/>
          <w:kern w:val="0"/>
        </w:rPr>
      </w:pPr>
    </w:p>
    <w:p w14:paraId="50265355">
      <w:pPr>
        <w:spacing w:after="60" w:afterLines="25" w:line="520" w:lineRule="exact"/>
        <w:jc w:val="center"/>
        <w:rPr>
          <w:rFonts w:ascii="宋体" w:hAnsi="宋体"/>
          <w:b/>
          <w:bCs/>
          <w:sz w:val="44"/>
          <w:szCs w:val="44"/>
        </w:rPr>
      </w:pPr>
    </w:p>
    <w:p w14:paraId="596BF5BC">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5DDE5F48">
      <w:pPr>
        <w:pStyle w:val="4"/>
      </w:pPr>
    </w:p>
    <w:p w14:paraId="341240FD">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438B63D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3B115A81">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扬州大学附属医院2025年度退休返聘人员雇主责任险购买项目进行</w:t>
      </w:r>
      <w:r>
        <w:rPr>
          <w:rFonts w:hint="eastAsia" w:ascii="宋体" w:hAnsi="宋体" w:cs="宋体"/>
          <w:snapToGrid w:val="0"/>
          <w:kern w:val="0"/>
          <w:sz w:val="24"/>
          <w:lang w:val="en-US" w:eastAsia="zh-CN"/>
        </w:rPr>
        <w:t>询价</w:t>
      </w:r>
      <w:r>
        <w:rPr>
          <w:rFonts w:hint="eastAsia" w:ascii="宋体" w:hAnsi="宋体" w:cs="宋体"/>
          <w:snapToGrid w:val="0"/>
          <w:kern w:val="0"/>
          <w:sz w:val="24"/>
        </w:rPr>
        <w:t>。现诚邀贵方对该项目进行投标，并将有关项目概况及事宜告知如下：</w:t>
      </w:r>
    </w:p>
    <w:p w14:paraId="586A5783">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1.项目名称：扬州大学附属医院2025年度退休返聘人员雇主责任险购买项目</w:t>
      </w:r>
    </w:p>
    <w:p w14:paraId="147A5A25">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46D5A3BA">
      <w:pPr>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3.最高限价：</w:t>
      </w:r>
      <w:r>
        <w:rPr>
          <w:rFonts w:hint="eastAsia" w:ascii="宋体" w:hAnsi="宋体" w:cs="宋体"/>
          <w:snapToGrid w:val="0"/>
          <w:kern w:val="0"/>
          <w:sz w:val="24"/>
          <w:highlight w:val="lightGray"/>
          <w:lang w:val="en-US" w:eastAsia="zh-CN"/>
        </w:rPr>
        <w:t>2.25</w:t>
      </w:r>
      <w:r>
        <w:rPr>
          <w:rFonts w:hint="eastAsia" w:ascii="宋体" w:hAnsi="宋体" w:cs="宋体"/>
          <w:snapToGrid w:val="0"/>
          <w:kern w:val="0"/>
          <w:sz w:val="24"/>
          <w:highlight w:val="lightGray"/>
        </w:rPr>
        <w:t>万元，投标报价高于最高限价作废标处理</w:t>
      </w:r>
    </w:p>
    <w:p w14:paraId="6296AAB3">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1E63AF0">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758087E">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731B58A9">
      <w:pPr>
        <w:tabs>
          <w:tab w:val="left" w:pos="0"/>
        </w:tabs>
        <w:adjustRightInd w:val="0"/>
        <w:snapToGrid w:val="0"/>
        <w:spacing w:line="440" w:lineRule="exact"/>
        <w:ind w:firstLine="480" w:firstLineChars="200"/>
        <w:contextualSpacing/>
        <w:rPr>
          <w:rFonts w:hint="eastAsia" w:ascii="宋体" w:hAnsi="宋体"/>
          <w:sz w:val="24"/>
          <w:highlight w:val="lightGray"/>
        </w:rPr>
      </w:pPr>
      <w:r>
        <w:rPr>
          <w:rFonts w:hint="eastAsia" w:ascii="宋体" w:hAnsi="宋体"/>
          <w:sz w:val="24"/>
          <w:highlight w:val="lightGray"/>
        </w:rPr>
        <w:t>4.3企业资质：具备</w:t>
      </w:r>
      <w:r>
        <w:rPr>
          <w:rFonts w:hint="eastAsia" w:ascii="宋体" w:hAnsi="宋体"/>
          <w:sz w:val="24"/>
          <w:highlight w:val="lightGray"/>
          <w:lang w:val="en-US" w:eastAsia="zh-CN"/>
        </w:rPr>
        <w:t>中国银保监会批准的保险经营资质</w:t>
      </w:r>
      <w:r>
        <w:rPr>
          <w:rFonts w:hint="eastAsia" w:ascii="宋体" w:hAnsi="宋体"/>
          <w:sz w:val="24"/>
          <w:highlight w:val="lightGray"/>
        </w:rPr>
        <w:t>。</w:t>
      </w:r>
    </w:p>
    <w:p w14:paraId="74428584">
      <w:pPr>
        <w:adjustRightInd w:val="0"/>
        <w:snapToGrid w:val="0"/>
        <w:spacing w:line="440" w:lineRule="exact"/>
        <w:ind w:firstLine="480" w:firstLineChars="200"/>
        <w:contextualSpacing/>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eastAsiaTheme="minorEastAsia"/>
          <w:snapToGrid w:val="0"/>
          <w:kern w:val="0"/>
          <w:sz w:val="24"/>
          <w:lang w:val="en-US" w:eastAsia="zh-CN"/>
        </w:rPr>
        <w:t>4.4熟悉医疗行业雇主责任险业务。</w:t>
      </w:r>
    </w:p>
    <w:p w14:paraId="17DD72E2">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49007CD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C8B25C3">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7A72BB38">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0B163E3E">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7.投标报价采用固定单价方式，</w:t>
      </w:r>
      <w:r>
        <w:rPr>
          <w:rFonts w:hint="eastAsia" w:hAnsi="宋体" w:cs="仿宋"/>
          <w:snapToGrid w:val="0"/>
          <w:sz w:val="24"/>
        </w:rPr>
        <w:t>合同价款中包括的风险范围：全部风险已包含在投标报价中，承包人投标时已充分考虑风险范围，并计算风险系数。</w:t>
      </w:r>
    </w:p>
    <w:p w14:paraId="11B9A3B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31769EA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9.结算方式：价款采用固定单价方式确定。</w:t>
      </w:r>
    </w:p>
    <w:p w14:paraId="75EACCB4">
      <w:pPr>
        <w:tabs>
          <w:tab w:val="left" w:pos="0"/>
        </w:tabs>
        <w:adjustRightInd w:val="0"/>
        <w:snapToGrid w:val="0"/>
        <w:spacing w:line="440" w:lineRule="exact"/>
        <w:ind w:firstLine="480" w:firstLineChars="200"/>
        <w:contextualSpacing/>
        <w:rPr>
          <w:rFonts w:hint="default" w:eastAsia="宋体" w:asciiTheme="minorEastAsia" w:hAnsiTheme="minorEastAsia"/>
          <w:lang w:val="en-US" w:eastAsia="zh-CN"/>
        </w:rPr>
      </w:pPr>
      <w:r>
        <w:rPr>
          <w:rFonts w:hint="eastAsia" w:ascii="宋体" w:hAnsi="宋体" w:cs="宋体"/>
          <w:snapToGrid w:val="0"/>
          <w:kern w:val="0"/>
          <w:sz w:val="24"/>
        </w:rPr>
        <w:t>10.款</w:t>
      </w:r>
      <w:r>
        <w:rPr>
          <w:rFonts w:hint="eastAsia" w:ascii="宋体" w:hAnsi="宋体" w:cs="宋体"/>
          <w:snapToGrid w:val="0"/>
          <w:kern w:val="0"/>
          <w:sz w:val="24"/>
          <w:lang w:val="en-US" w:eastAsia="zh-CN"/>
        </w:rPr>
        <w:t>项</w:t>
      </w:r>
      <w:r>
        <w:rPr>
          <w:rFonts w:hint="eastAsia" w:ascii="宋体" w:hAnsi="宋体" w:cs="宋体"/>
          <w:snapToGrid w:val="0"/>
          <w:kern w:val="0"/>
          <w:sz w:val="24"/>
        </w:rPr>
        <w:t>支付：</w:t>
      </w:r>
      <w:r>
        <w:rPr>
          <w:rFonts w:hint="eastAsia" w:ascii="宋体" w:hAnsi="宋体" w:cs="宋体"/>
          <w:snapToGrid w:val="0"/>
          <w:kern w:val="0"/>
          <w:sz w:val="24"/>
          <w:lang w:val="en-US" w:eastAsia="zh-CN"/>
        </w:rPr>
        <w:t>按实际参保人员进行支付。</w:t>
      </w:r>
    </w:p>
    <w:p w14:paraId="058D9519">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12</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w:t>
      </w:r>
      <w:r>
        <w:rPr>
          <w:rFonts w:hint="eastAsia" w:ascii="宋体" w:hAnsi="宋体" w:cs="宋体"/>
          <w:snapToGrid w:val="0"/>
          <w:kern w:val="0"/>
          <w:sz w:val="24"/>
          <w:highlight w:val="lightGray"/>
          <w:lang w:val="en-US" w:eastAsia="zh-CN"/>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42EBB138">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18E205EB">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786F05C7">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2CC04C47">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5</w:t>
      </w:r>
      <w:r>
        <w:rPr>
          <w:rStyle w:val="33"/>
          <w:rFonts w:ascii="宋体" w:hAnsi="宋体"/>
          <w:b/>
          <w:sz w:val="24"/>
          <w:highlight w:val="lightGray"/>
        </w:rPr>
        <w:t>月</w:t>
      </w:r>
      <w:r>
        <w:rPr>
          <w:rStyle w:val="33"/>
          <w:rFonts w:hint="eastAsia" w:ascii="宋体" w:hAnsi="宋体"/>
          <w:b/>
          <w:sz w:val="24"/>
          <w:highlight w:val="lightGray"/>
        </w:rPr>
        <w:t xml:space="preserve"> </w:t>
      </w:r>
      <w:r>
        <w:rPr>
          <w:rStyle w:val="33"/>
          <w:rFonts w:hint="eastAsia" w:ascii="宋体" w:hAnsi="宋体"/>
          <w:b/>
          <w:sz w:val="24"/>
          <w:highlight w:val="lightGray"/>
          <w:lang w:val="en-US" w:eastAsia="zh-CN"/>
        </w:rPr>
        <w:t>12</w:t>
      </w:r>
      <w:r>
        <w:rPr>
          <w:rStyle w:val="33"/>
          <w:rFonts w:ascii="宋体" w:hAnsi="宋体"/>
          <w:b/>
          <w:sz w:val="24"/>
          <w:highlight w:val="lightGray"/>
        </w:rPr>
        <w:t>日9：30（北</w:t>
      </w:r>
      <w:r>
        <w:rPr>
          <w:rStyle w:val="33"/>
          <w:rFonts w:ascii="宋体" w:hAnsi="宋体"/>
          <w:b/>
          <w:color w:val="000000"/>
          <w:sz w:val="24"/>
          <w:highlight w:val="lightGray"/>
        </w:rPr>
        <w:t>京时间）</w:t>
      </w:r>
    </w:p>
    <w:p w14:paraId="3E02B92B">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6159B846">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60D88312">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6839296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请如实填写《供应商参加投标确认函》并盖章扫描，并将扫描的加盖公章的确认函和营业执照复印件及授权委托书于2025年</w:t>
      </w:r>
      <w:r>
        <w:rPr>
          <w:rFonts w:hint="eastAsia" w:ascii="宋体" w:hAnsi="宋体" w:cs="宋体"/>
          <w:snapToGrid w:val="0"/>
          <w:spacing w:val="-4"/>
          <w:kern w:val="0"/>
          <w:sz w:val="24"/>
          <w:lang w:val="en-US" w:eastAsia="zh-CN"/>
        </w:rPr>
        <w:t>5</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11</w:t>
      </w:r>
      <w:r>
        <w:rPr>
          <w:rFonts w:hint="eastAsia" w:ascii="宋体" w:hAnsi="宋体" w:cs="宋体"/>
          <w:snapToGrid w:val="0"/>
          <w:spacing w:val="-4"/>
          <w:kern w:val="0"/>
          <w:sz w:val="24"/>
        </w:rPr>
        <w:t>日17：00前发送至电子邮箱（50891671@qq.com）（联系电话：0514-82099552）。邮件名称为投标公司名称+所投项目名称，未按规定格式填写发送视为无效报名。</w:t>
      </w:r>
    </w:p>
    <w:p w14:paraId="48BB501F">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12</w:t>
      </w:r>
      <w:r>
        <w:rPr>
          <w:rFonts w:hint="eastAsia" w:ascii="宋体" w:hAnsi="宋体" w:cs="宋体"/>
          <w:b/>
          <w:snapToGrid w:val="0"/>
          <w:spacing w:val="-4"/>
          <w:kern w:val="0"/>
          <w:sz w:val="24"/>
        </w:rPr>
        <w:t>日9:</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扬州市邗江中路368号，扬州大学附属医院行政楼四楼采购中心403办公室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3720C9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1D0D8DE4">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0D5FB626">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2F54A4A5">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33AF0721">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142A4EB">
      <w:pPr>
        <w:rPr>
          <w:rFonts w:ascii="宋体" w:hAnsi="宋体"/>
          <w:b/>
          <w:sz w:val="36"/>
          <w:szCs w:val="36"/>
        </w:rPr>
      </w:pPr>
    </w:p>
    <w:p w14:paraId="3B1A3FC1">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16754DF7">
      <w:pPr>
        <w:jc w:val="center"/>
        <w:rPr>
          <w:rFonts w:ascii="宋体" w:hAnsi="宋体"/>
          <w:b/>
          <w:sz w:val="36"/>
          <w:szCs w:val="36"/>
        </w:rPr>
      </w:pPr>
      <w:r>
        <w:rPr>
          <w:rFonts w:hint="eastAsia" w:ascii="宋体" w:hAnsi="宋体"/>
          <w:b/>
          <w:sz w:val="36"/>
          <w:szCs w:val="36"/>
        </w:rPr>
        <w:t>二、项目需求</w:t>
      </w:r>
    </w:p>
    <w:p w14:paraId="08A9A17F">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71A16238">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1.1项目名称：扬州大学附属医院2025年度退休返聘人员雇主责任险购买项目</w:t>
      </w:r>
    </w:p>
    <w:p w14:paraId="530D0AD1">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00141202">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2.25</w:t>
      </w:r>
      <w:r>
        <w:rPr>
          <w:rFonts w:hint="eastAsia" w:ascii="宋体" w:hAnsi="宋体" w:cs="宋体"/>
          <w:snapToGrid w:val="0"/>
          <w:kern w:val="0"/>
          <w:sz w:val="24"/>
        </w:rPr>
        <w:t>万元</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≤250元/人/年，按90人计算）</w:t>
      </w:r>
      <w:r>
        <w:rPr>
          <w:rFonts w:hint="eastAsia" w:ascii="宋体" w:hAnsi="宋体" w:cs="宋体"/>
          <w:snapToGrid w:val="0"/>
          <w:kern w:val="0"/>
          <w:sz w:val="24"/>
        </w:rPr>
        <w:t>，投标报价高于最高限价作废标处理</w:t>
      </w:r>
    </w:p>
    <w:p w14:paraId="5780B6D6">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w:t>
      </w:r>
      <w:r>
        <w:rPr>
          <w:rFonts w:hint="eastAsia" w:ascii="宋体" w:hAnsi="宋体" w:cs="宋体"/>
          <w:snapToGrid w:val="0"/>
          <w:kern w:val="0"/>
          <w:sz w:val="24"/>
          <w:lang w:val="en-US" w:eastAsia="zh-CN"/>
        </w:rPr>
        <w:t>4</w:t>
      </w:r>
      <w:r>
        <w:rPr>
          <w:rFonts w:hint="eastAsia" w:ascii="宋体" w:hAnsi="宋体" w:cs="宋体"/>
          <w:snapToGrid w:val="0"/>
          <w:kern w:val="0"/>
          <w:sz w:val="24"/>
        </w:rPr>
        <w:t>合同签订时间：中标公告发出后15个日历天内（因中标单位原因造成超过期限未签订合同，视为自动放弃中标资格）</w:t>
      </w:r>
    </w:p>
    <w:p w14:paraId="342D5161">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501A603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为保障医院退休返聘职工在返聘期间的工作安全，降低医院因工伤事故承担的赔偿责任风险，现需采购雇主责任险服务。该保险需覆盖退休返聘人员因工作原因导致的意外伤害、职业病等法定工伤情形，并支持灵活增补人员。</w:t>
      </w:r>
    </w:p>
    <w:p w14:paraId="3E9E90D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 保险人员</w:t>
      </w:r>
    </w:p>
    <w:p w14:paraId="34366B7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投保人：医院（作为雇主）；  </w:t>
      </w:r>
    </w:p>
    <w:p w14:paraId="6AF13C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被保险人：退休返聘职工（年龄≤70周岁，现大概90人左右，每月可能存在新增的返聘人员，需支持动态增减被保险人、动态调整）。  </w:t>
      </w:r>
    </w:p>
    <w:p w14:paraId="6B791A0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 保险方案要求 </w:t>
      </w:r>
    </w:p>
    <w:p w14:paraId="6BFAA93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2.1保费标准：≤250元/人/年，报价不得高于此标准，按实际参保人数计算，不设额外年龄加附条款；  </w:t>
      </w:r>
    </w:p>
    <w:p w14:paraId="7A9FCD1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2.2保险期限：自签订投保协议起一年，期间新增人员通过批单追加，随时增补签订新合同，保费按剩余保障期比例计算；</w:t>
      </w:r>
    </w:p>
    <w:p w14:paraId="20435B2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2.3保障范围：需完全覆盖以下法定工伤情形（依据《工伤保险条例》）：  </w:t>
      </w:r>
    </w:p>
    <w:p w14:paraId="0C1E58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工作时间和场所内因工受伤；  </w:t>
      </w:r>
    </w:p>
    <w:p w14:paraId="056164B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职业病诊断或鉴定；  </w:t>
      </w:r>
    </w:p>
    <w:p w14:paraId="2A23A1C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因工外出期间受伤或失踪；  </w:t>
      </w:r>
    </w:p>
    <w:p w14:paraId="40776EE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上下班途中非主责交通事故；  </w:t>
      </w:r>
    </w:p>
    <w:p w14:paraId="64DCF96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突发疾病48小时内死亡；  </w:t>
      </w:r>
    </w:p>
    <w:p w14:paraId="2F0E404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抢险救灾等公益活动中受伤；  </w:t>
      </w:r>
    </w:p>
    <w:p w14:paraId="73F495A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其他法定工伤情形（详见背景条款）。  </w:t>
      </w:r>
    </w:p>
    <w:p w14:paraId="087910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3. 赔偿标准  </w:t>
      </w:r>
    </w:p>
    <w:p w14:paraId="47CF33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死亡/伤残赔偿：按工伤保险条例标准，</w:t>
      </w:r>
      <w:r>
        <w:rPr>
          <w:rFonts w:hint="eastAsia" w:ascii="宋体" w:hAnsi="宋体" w:cs="宋体"/>
          <w:kern w:val="0"/>
          <w:sz w:val="24"/>
          <w:szCs w:val="24"/>
          <w:lang w:val="en-US" w:eastAsia="zh-CN" w:bidi="ar"/>
        </w:rPr>
        <w:t>需≥</w:t>
      </w:r>
      <w:r>
        <w:rPr>
          <w:rFonts w:hint="eastAsia" w:ascii="宋体" w:hAnsi="宋体" w:eastAsia="宋体" w:cs="宋体"/>
          <w:kern w:val="0"/>
          <w:sz w:val="24"/>
          <w:szCs w:val="24"/>
          <w:lang w:val="en-US" w:eastAsia="zh-CN" w:bidi="ar"/>
        </w:rPr>
        <w:t xml:space="preserve">20万元；  </w:t>
      </w:r>
    </w:p>
    <w:p w14:paraId="2CFCC4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医疗费用：按工伤保险条例标准，</w:t>
      </w:r>
      <w:r>
        <w:rPr>
          <w:rFonts w:hint="eastAsia" w:ascii="宋体" w:hAnsi="宋体" w:cs="宋体"/>
          <w:kern w:val="0"/>
          <w:sz w:val="24"/>
          <w:szCs w:val="24"/>
          <w:lang w:val="en-US" w:eastAsia="zh-CN" w:bidi="ar"/>
        </w:rPr>
        <w:t>需≥</w:t>
      </w:r>
      <w:r>
        <w:rPr>
          <w:rFonts w:hint="eastAsia" w:ascii="宋体" w:hAnsi="宋体" w:eastAsia="宋体" w:cs="宋体"/>
          <w:kern w:val="0"/>
          <w:sz w:val="24"/>
          <w:szCs w:val="24"/>
          <w:lang w:val="en-US" w:eastAsia="zh-CN" w:bidi="ar"/>
        </w:rPr>
        <w:t xml:space="preserve">2万元；  </w:t>
      </w:r>
    </w:p>
    <w:p w14:paraId="2F803C6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工伤猝死：按工伤保险条例标准，</w:t>
      </w:r>
      <w:r>
        <w:rPr>
          <w:rFonts w:hint="eastAsia" w:ascii="宋体" w:hAnsi="宋体" w:cs="宋体"/>
          <w:kern w:val="0"/>
          <w:sz w:val="24"/>
          <w:szCs w:val="24"/>
          <w:lang w:val="en-US" w:eastAsia="zh-CN" w:bidi="ar"/>
        </w:rPr>
        <w:t>需≥</w:t>
      </w:r>
      <w:r>
        <w:rPr>
          <w:rFonts w:hint="eastAsia" w:ascii="宋体" w:hAnsi="宋体" w:eastAsia="宋体" w:cs="宋体"/>
          <w:kern w:val="0"/>
          <w:sz w:val="24"/>
          <w:szCs w:val="24"/>
          <w:lang w:val="en-US" w:eastAsia="zh-CN" w:bidi="ar"/>
        </w:rPr>
        <w:t>20万元；</w:t>
      </w:r>
    </w:p>
    <w:p w14:paraId="1483F07F">
      <w:pPr>
        <w:keepNext w:val="0"/>
        <w:keepLines w:val="0"/>
        <w:widowControl w:val="0"/>
        <w:suppressLineNumbers w:val="0"/>
        <w:spacing w:before="0" w:beforeAutospacing="0" w:after="0" w:afterAutospacing="0" w:line="360" w:lineRule="auto"/>
        <w:ind w:left="0" w:right="0" w:firstLine="480" w:firstLineChars="200"/>
        <w:jc w:val="both"/>
      </w:pPr>
      <w:r>
        <w:rPr>
          <w:rFonts w:hint="eastAsia" w:ascii="宋体" w:hAnsi="宋体" w:eastAsia="宋体" w:cs="宋体"/>
          <w:kern w:val="0"/>
          <w:sz w:val="24"/>
          <w:szCs w:val="24"/>
          <w:lang w:val="en-US" w:eastAsia="zh-CN" w:bidi="ar"/>
        </w:rPr>
        <w:t>住院津贴：每日津贴</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100元，累计赔偿天数≥180天，每次事故赔偿天数≥90</w:t>
      </w:r>
      <w:r>
        <w:rPr>
          <w:rFonts w:hint="eastAsia" w:ascii="宋体" w:hAnsi="宋体" w:eastAsia="宋体" w:cs="宋体"/>
          <w:kern w:val="0"/>
          <w:sz w:val="22"/>
          <w:szCs w:val="22"/>
          <w:lang w:val="en-US" w:eastAsia="zh-CN" w:bidi="ar"/>
        </w:rPr>
        <w:t>天。</w:t>
      </w:r>
    </w:p>
    <w:p w14:paraId="47403EB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4. 服务要求 </w:t>
      </w:r>
    </w:p>
    <w:p w14:paraId="174624E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4.1动态增员：支持按月新增返聘人员，及时出具批单；</w:t>
      </w:r>
    </w:p>
    <w:p w14:paraId="3D6FAF7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4.2保险合同次日零时生效；离职人员：保障终止并结算退费；</w:t>
      </w:r>
    </w:p>
    <w:p w14:paraId="0F8EE82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4.3理赔响应：接到报案后24小时内响应，材料齐全后10个工作日内完成赔付；  </w:t>
      </w:r>
    </w:p>
    <w:p w14:paraId="6E5ED26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4.4专人服务：提供对接专员，协助投保、变更及理赔；</w:t>
      </w:r>
    </w:p>
    <w:p w14:paraId="24896EC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4.5数据安全：承诺对参保人员信息保密，符合《个人信息保护法》要求。</w:t>
      </w:r>
    </w:p>
    <w:p w14:paraId="6FFA16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5. 供应商资质  </w:t>
      </w:r>
    </w:p>
    <w:p w14:paraId="3E76410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5.1具备中国银保监会批准的保险经营资质；  </w:t>
      </w:r>
    </w:p>
    <w:p w14:paraId="3BCC12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5.2近三年无重大保险服务纠纷记录；  </w:t>
      </w:r>
    </w:p>
    <w:p w14:paraId="38CF291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5.3熟悉医疗行业雇主责任险业务。 </w:t>
      </w:r>
    </w:p>
    <w:p w14:paraId="574FC7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6.供应商需提供：</w:t>
      </w:r>
    </w:p>
    <w:p w14:paraId="03DB6B2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6.1保险方案详细条款（含免责条款说明）；</w:t>
      </w:r>
    </w:p>
    <w:p w14:paraId="7FAE599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6.2服务案例（至少2家医疗机构合作证明）；</w:t>
      </w:r>
    </w:p>
    <w:p w14:paraId="23D2A1D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6.3理赔流程及时效承诺书；</w:t>
      </w:r>
    </w:p>
    <w:p w14:paraId="39EFB48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6.4报价单（明确费用计算方式）。</w:t>
      </w:r>
    </w:p>
    <w:p w14:paraId="3173E3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 xml:space="preserve">三、实施流程 </w:t>
      </w:r>
    </w:p>
    <w:p w14:paraId="2CDFA82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1.合同签订：按年度框架协议+分批增员补充协议形式执行；  </w:t>
      </w:r>
    </w:p>
    <w:p w14:paraId="68437C6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2.人员申报：每月5日前提交新增返聘人员名单，保险公司3个工作日内出具保险凭证；  </w:t>
      </w:r>
    </w:p>
    <w:p w14:paraId="2E480B83">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3.理赔流程：医院提交索赔材料→保险公司审核→赔付到账。</w:t>
      </w:r>
    </w:p>
    <w:p w14:paraId="27B1B1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四、付款方式</w:t>
      </w:r>
    </w:p>
    <w:p w14:paraId="49227B69">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每月按实支付保费</w:t>
      </w:r>
    </w:p>
    <w:p w14:paraId="4E33BC68">
      <w:pPr>
        <w:pStyle w:val="2"/>
      </w:pPr>
    </w:p>
    <w:p w14:paraId="7D009F46">
      <w:pPr>
        <w:pStyle w:val="2"/>
        <w:rPr>
          <w:rFonts w:hint="eastAsia" w:eastAsia="楷体_GB2312"/>
          <w:lang w:val="en-US" w:eastAsia="zh-CN"/>
        </w:rPr>
      </w:pPr>
    </w:p>
    <w:p w14:paraId="7945AD81">
      <w:pPr>
        <w:jc w:val="center"/>
        <w:rPr>
          <w:rFonts w:hint="eastAsia" w:ascii="宋体" w:hAnsi="宋体"/>
          <w:b/>
          <w:sz w:val="36"/>
          <w:szCs w:val="36"/>
        </w:rPr>
      </w:pPr>
    </w:p>
    <w:p w14:paraId="074F0DEC">
      <w:pPr>
        <w:jc w:val="both"/>
        <w:rPr>
          <w:rFonts w:hint="eastAsia" w:ascii="宋体" w:hAnsi="宋体"/>
          <w:b/>
          <w:sz w:val="36"/>
          <w:szCs w:val="36"/>
        </w:rPr>
      </w:pPr>
    </w:p>
    <w:p w14:paraId="3BB1C1CD">
      <w:pPr>
        <w:jc w:val="center"/>
        <w:rPr>
          <w:rFonts w:ascii="宋体" w:hAnsi="宋体"/>
          <w:b/>
          <w:sz w:val="36"/>
          <w:szCs w:val="36"/>
        </w:rPr>
      </w:pPr>
      <w:r>
        <w:rPr>
          <w:rFonts w:hint="eastAsia" w:ascii="宋体" w:hAnsi="宋体"/>
          <w:b/>
          <w:sz w:val="36"/>
          <w:szCs w:val="36"/>
        </w:rPr>
        <w:t>投标文件格式</w:t>
      </w:r>
    </w:p>
    <w:p w14:paraId="37A81232">
      <w:pPr>
        <w:rPr>
          <w:rFonts w:ascii="宋体" w:hAnsi="宋体"/>
          <w:b/>
          <w:sz w:val="32"/>
          <w:szCs w:val="32"/>
        </w:rPr>
      </w:pPr>
    </w:p>
    <w:p w14:paraId="7973117D">
      <w:pPr>
        <w:pStyle w:val="2"/>
      </w:pPr>
    </w:p>
    <w:p w14:paraId="777B68E2">
      <w:pPr>
        <w:pStyle w:val="16"/>
        <w:ind w:firstLine="0"/>
      </w:pPr>
    </w:p>
    <w:p w14:paraId="6B88F55D">
      <w:pPr>
        <w:jc w:val="center"/>
        <w:rPr>
          <w:rFonts w:ascii="宋体" w:hAnsi="宋体"/>
          <w:b/>
          <w:bCs/>
          <w:sz w:val="36"/>
          <w:szCs w:val="36"/>
        </w:rPr>
      </w:pPr>
      <w:r>
        <w:rPr>
          <w:rFonts w:hint="eastAsia" w:ascii="宋体" w:hAnsi="宋体"/>
          <w:b/>
          <w:bCs/>
          <w:sz w:val="36"/>
          <w:szCs w:val="36"/>
        </w:rPr>
        <w:t>投标文件</w:t>
      </w:r>
    </w:p>
    <w:p w14:paraId="33407813">
      <w:pPr>
        <w:pStyle w:val="16"/>
        <w:ind w:firstLine="0"/>
      </w:pPr>
    </w:p>
    <w:p w14:paraId="56449D21">
      <w:pPr>
        <w:rPr>
          <w:rFonts w:ascii="宋体" w:hAnsi="宋体"/>
          <w:u w:val="single"/>
        </w:rPr>
      </w:pPr>
    </w:p>
    <w:p w14:paraId="779FED59">
      <w:pPr>
        <w:rPr>
          <w:rFonts w:ascii="宋体" w:hAnsi="宋体"/>
          <w:u w:val="single"/>
        </w:rPr>
      </w:pPr>
    </w:p>
    <w:p w14:paraId="732140B5">
      <w:pPr>
        <w:rPr>
          <w:rFonts w:ascii="宋体" w:hAnsi="宋体"/>
          <w:sz w:val="30"/>
          <w:u w:val="single"/>
        </w:rPr>
      </w:pPr>
    </w:p>
    <w:p w14:paraId="29341FEA">
      <w:pPr>
        <w:rPr>
          <w:rFonts w:ascii="宋体" w:hAnsi="宋体"/>
          <w:sz w:val="30"/>
          <w:u w:val="single"/>
        </w:rPr>
      </w:pPr>
    </w:p>
    <w:p w14:paraId="3BB93F13">
      <w:pPr>
        <w:rPr>
          <w:rFonts w:ascii="宋体" w:hAnsi="宋体"/>
          <w:sz w:val="30"/>
          <w:u w:val="single"/>
        </w:rPr>
      </w:pPr>
    </w:p>
    <w:p w14:paraId="66A2FDD2">
      <w:pPr>
        <w:spacing w:line="400" w:lineRule="exact"/>
        <w:rPr>
          <w:rFonts w:ascii="宋体" w:hAnsi="宋体"/>
          <w:sz w:val="30"/>
          <w:u w:val="single"/>
        </w:rPr>
      </w:pPr>
    </w:p>
    <w:p w14:paraId="34DB2546">
      <w:pPr>
        <w:pStyle w:val="16"/>
        <w:ind w:firstLine="0"/>
      </w:pPr>
    </w:p>
    <w:p w14:paraId="6B1117C2">
      <w:pPr>
        <w:pStyle w:val="16"/>
        <w:ind w:firstLine="0"/>
      </w:pPr>
    </w:p>
    <w:p w14:paraId="1F0B466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226480D7">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52BA5AE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6801BC89">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008961F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3A59ECFC">
      <w:pPr>
        <w:adjustRightInd w:val="0"/>
        <w:snapToGrid w:val="0"/>
        <w:spacing w:line="700" w:lineRule="exact"/>
        <w:ind w:firstLine="677" w:firstLineChars="242"/>
        <w:contextualSpacing/>
        <w:rPr>
          <w:sz w:val="28"/>
          <w:szCs w:val="28"/>
        </w:rPr>
      </w:pPr>
      <w:r>
        <w:rPr>
          <w:rFonts w:hint="eastAsia"/>
          <w:sz w:val="28"/>
          <w:szCs w:val="28"/>
        </w:rPr>
        <w:t>日       期：          年      月      日</w:t>
      </w:r>
    </w:p>
    <w:p w14:paraId="4507BF6A">
      <w:pPr>
        <w:rPr>
          <w:b/>
          <w:sz w:val="36"/>
          <w:szCs w:val="36"/>
        </w:rPr>
      </w:pPr>
    </w:p>
    <w:p w14:paraId="78FD844E">
      <w:pPr>
        <w:pStyle w:val="16"/>
        <w:ind w:firstLine="0"/>
        <w:jc w:val="left"/>
      </w:pPr>
    </w:p>
    <w:p w14:paraId="030CC0D6">
      <w:pPr>
        <w:pStyle w:val="16"/>
        <w:ind w:firstLine="0"/>
        <w:jc w:val="left"/>
      </w:pPr>
    </w:p>
    <w:p w14:paraId="151702B7">
      <w:pPr>
        <w:pStyle w:val="16"/>
        <w:ind w:firstLine="0"/>
        <w:jc w:val="left"/>
      </w:pPr>
    </w:p>
    <w:p w14:paraId="524C9C91">
      <w:pPr>
        <w:pStyle w:val="16"/>
        <w:ind w:firstLine="0"/>
        <w:jc w:val="left"/>
      </w:pPr>
    </w:p>
    <w:p w14:paraId="67F2791D">
      <w:pPr>
        <w:pStyle w:val="16"/>
        <w:ind w:firstLine="0"/>
        <w:jc w:val="left"/>
      </w:pPr>
    </w:p>
    <w:p w14:paraId="1A144773">
      <w:pPr>
        <w:pStyle w:val="16"/>
        <w:ind w:firstLine="0"/>
        <w:jc w:val="left"/>
      </w:pPr>
    </w:p>
    <w:p w14:paraId="372E8B17">
      <w:pPr>
        <w:pStyle w:val="16"/>
        <w:ind w:firstLine="0"/>
        <w:jc w:val="left"/>
      </w:pPr>
    </w:p>
    <w:p w14:paraId="3D5AD23D">
      <w:pPr>
        <w:pStyle w:val="16"/>
        <w:ind w:firstLine="0"/>
        <w:jc w:val="left"/>
      </w:pPr>
    </w:p>
    <w:p w14:paraId="7492C930">
      <w:pPr>
        <w:pStyle w:val="16"/>
        <w:ind w:firstLine="0"/>
        <w:jc w:val="left"/>
      </w:pPr>
    </w:p>
    <w:p w14:paraId="09C59439">
      <w:pPr>
        <w:pStyle w:val="16"/>
        <w:ind w:firstLine="0"/>
        <w:jc w:val="left"/>
      </w:pPr>
    </w:p>
    <w:p w14:paraId="222433A2">
      <w:pPr>
        <w:pStyle w:val="16"/>
        <w:ind w:firstLine="0"/>
        <w:jc w:val="left"/>
      </w:pPr>
    </w:p>
    <w:p w14:paraId="509223F1">
      <w:pPr>
        <w:jc w:val="center"/>
        <w:rPr>
          <w:rFonts w:ascii="宋体" w:hAnsi="宋体"/>
          <w:b/>
          <w:sz w:val="36"/>
          <w:szCs w:val="36"/>
          <w:u w:val="single"/>
        </w:rPr>
      </w:pPr>
      <w:r>
        <w:rPr>
          <w:rFonts w:hint="eastAsia"/>
          <w:b/>
          <w:sz w:val="36"/>
          <w:szCs w:val="36"/>
        </w:rPr>
        <w:t>目录</w:t>
      </w:r>
    </w:p>
    <w:p w14:paraId="4007E6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14AA836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5828269A">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71C6D14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65076D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3E2D7522">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1A394FF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46C2C5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5D3F189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1C0985CC">
      <w:pPr>
        <w:tabs>
          <w:tab w:val="left" w:pos="1300"/>
          <w:tab w:val="left" w:pos="1600"/>
        </w:tabs>
        <w:spacing w:line="560" w:lineRule="exact"/>
        <w:rPr>
          <w:rFonts w:ascii="宋体" w:hAnsi="宋体"/>
          <w:color w:val="000000"/>
          <w:szCs w:val="21"/>
          <w:u w:val="single"/>
        </w:rPr>
      </w:pPr>
    </w:p>
    <w:p w14:paraId="2F371364">
      <w:pPr>
        <w:autoSpaceDE w:val="0"/>
        <w:autoSpaceDN w:val="0"/>
        <w:jc w:val="left"/>
        <w:rPr>
          <w:rFonts w:ascii="宋体" w:hAnsi="宋体" w:cs="宋体"/>
          <w:b/>
          <w:sz w:val="44"/>
          <w:szCs w:val="44"/>
        </w:rPr>
      </w:pPr>
    </w:p>
    <w:p w14:paraId="7B40EAC9">
      <w:pPr>
        <w:autoSpaceDE w:val="0"/>
        <w:autoSpaceDN w:val="0"/>
        <w:jc w:val="left"/>
        <w:rPr>
          <w:rFonts w:ascii="宋体" w:hAnsi="宋体" w:cs="宋体"/>
          <w:b/>
          <w:sz w:val="44"/>
          <w:szCs w:val="44"/>
        </w:rPr>
      </w:pPr>
    </w:p>
    <w:p w14:paraId="4BDE05EC">
      <w:pPr>
        <w:autoSpaceDE w:val="0"/>
        <w:autoSpaceDN w:val="0"/>
        <w:jc w:val="left"/>
        <w:rPr>
          <w:rFonts w:ascii="宋体" w:hAnsi="宋体" w:cs="宋体"/>
          <w:b/>
          <w:sz w:val="44"/>
          <w:szCs w:val="44"/>
        </w:rPr>
      </w:pPr>
    </w:p>
    <w:p w14:paraId="703E424C">
      <w:pPr>
        <w:autoSpaceDE w:val="0"/>
        <w:autoSpaceDN w:val="0"/>
        <w:jc w:val="left"/>
        <w:rPr>
          <w:rFonts w:ascii="宋体" w:hAnsi="宋体" w:cs="宋体"/>
          <w:b/>
          <w:sz w:val="44"/>
          <w:szCs w:val="44"/>
        </w:rPr>
      </w:pPr>
    </w:p>
    <w:p w14:paraId="14B91427">
      <w:pPr>
        <w:autoSpaceDE w:val="0"/>
        <w:autoSpaceDN w:val="0"/>
        <w:jc w:val="left"/>
        <w:rPr>
          <w:rFonts w:ascii="宋体" w:hAnsi="宋体" w:cs="宋体"/>
          <w:b/>
          <w:sz w:val="44"/>
          <w:szCs w:val="44"/>
        </w:rPr>
      </w:pPr>
    </w:p>
    <w:p w14:paraId="47F6B8E7">
      <w:pPr>
        <w:autoSpaceDE w:val="0"/>
        <w:autoSpaceDN w:val="0"/>
        <w:jc w:val="left"/>
        <w:rPr>
          <w:rFonts w:ascii="宋体" w:hAnsi="宋体" w:cs="宋体"/>
          <w:b/>
          <w:sz w:val="44"/>
          <w:szCs w:val="44"/>
        </w:rPr>
      </w:pPr>
    </w:p>
    <w:p w14:paraId="0CA41FC4">
      <w:pPr>
        <w:autoSpaceDE w:val="0"/>
        <w:autoSpaceDN w:val="0"/>
        <w:jc w:val="left"/>
        <w:rPr>
          <w:rFonts w:ascii="宋体" w:hAnsi="宋体" w:cs="宋体"/>
          <w:b/>
          <w:sz w:val="44"/>
          <w:szCs w:val="44"/>
        </w:rPr>
      </w:pPr>
    </w:p>
    <w:p w14:paraId="4BF23B4F">
      <w:pPr>
        <w:autoSpaceDE w:val="0"/>
        <w:autoSpaceDN w:val="0"/>
        <w:jc w:val="left"/>
        <w:rPr>
          <w:rFonts w:ascii="宋体" w:hAnsi="宋体" w:cs="宋体"/>
          <w:b/>
          <w:sz w:val="44"/>
          <w:szCs w:val="44"/>
        </w:rPr>
      </w:pPr>
    </w:p>
    <w:p w14:paraId="12191456">
      <w:pPr>
        <w:autoSpaceDE w:val="0"/>
        <w:autoSpaceDN w:val="0"/>
        <w:jc w:val="left"/>
        <w:rPr>
          <w:rFonts w:ascii="宋体" w:hAnsi="宋体" w:cs="宋体"/>
          <w:b/>
          <w:sz w:val="44"/>
          <w:szCs w:val="44"/>
        </w:rPr>
      </w:pPr>
    </w:p>
    <w:p w14:paraId="00C3B5A8">
      <w:pPr>
        <w:autoSpaceDE w:val="0"/>
        <w:autoSpaceDN w:val="0"/>
        <w:jc w:val="left"/>
        <w:rPr>
          <w:rFonts w:ascii="宋体" w:hAnsi="宋体" w:cs="宋体"/>
          <w:b/>
          <w:sz w:val="44"/>
          <w:szCs w:val="44"/>
        </w:rPr>
      </w:pPr>
    </w:p>
    <w:p w14:paraId="4C583A66">
      <w:pPr>
        <w:autoSpaceDE w:val="0"/>
        <w:autoSpaceDN w:val="0"/>
        <w:jc w:val="left"/>
        <w:rPr>
          <w:rFonts w:ascii="宋体" w:hAnsi="宋体" w:cs="宋体"/>
          <w:b/>
          <w:sz w:val="44"/>
          <w:szCs w:val="44"/>
        </w:rPr>
      </w:pPr>
    </w:p>
    <w:p w14:paraId="1D40ADB8">
      <w:pPr>
        <w:pStyle w:val="2"/>
        <w:rPr>
          <w:rFonts w:ascii="宋体" w:hAnsi="宋体" w:cs="宋体"/>
          <w:b/>
          <w:sz w:val="44"/>
          <w:szCs w:val="44"/>
        </w:rPr>
      </w:pPr>
    </w:p>
    <w:p w14:paraId="1C167FC3">
      <w:pPr>
        <w:pStyle w:val="3"/>
      </w:pPr>
    </w:p>
    <w:p w14:paraId="662F7C00">
      <w:pPr>
        <w:pStyle w:val="2"/>
      </w:pPr>
    </w:p>
    <w:p w14:paraId="0A5772E1">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75357821">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30FB9436">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2C7ECD90">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544CE248">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2BA7E7CE">
      <w:pPr>
        <w:ind w:left="5280" w:hanging="5280" w:hangingChars="1650"/>
        <w:rPr>
          <w:rFonts w:hint="eastAsia" w:ascii="楷体_GB2312" w:eastAsia="楷体_GB2312"/>
          <w:sz w:val="32"/>
          <w:szCs w:val="32"/>
        </w:rPr>
      </w:pPr>
    </w:p>
    <w:p w14:paraId="5CFED147">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584DC846">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60A5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6A55CF0">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4E885822">
            <w:pPr>
              <w:jc w:val="center"/>
              <w:rPr>
                <w:rFonts w:hint="eastAsia" w:ascii="楷体" w:hAnsi="楷体" w:eastAsia="楷体" w:cs="楷体"/>
                <w:color w:val="000000"/>
                <w:sz w:val="28"/>
                <w:szCs w:val="28"/>
              </w:rPr>
            </w:pPr>
          </w:p>
        </w:tc>
      </w:tr>
      <w:tr w14:paraId="5420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5881EF5">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4AB3C728">
            <w:pPr>
              <w:jc w:val="center"/>
              <w:rPr>
                <w:rFonts w:hint="eastAsia" w:ascii="楷体" w:hAnsi="楷体" w:eastAsia="楷体" w:cs="楷体"/>
                <w:color w:val="000000"/>
                <w:sz w:val="28"/>
                <w:szCs w:val="28"/>
              </w:rPr>
            </w:pPr>
          </w:p>
        </w:tc>
      </w:tr>
      <w:tr w14:paraId="660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D9A655A">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577B07FF">
            <w:pPr>
              <w:jc w:val="center"/>
              <w:rPr>
                <w:rFonts w:hint="eastAsia" w:ascii="楷体" w:hAnsi="楷体" w:eastAsia="楷体" w:cs="楷体"/>
                <w:color w:val="000000"/>
                <w:sz w:val="28"/>
                <w:szCs w:val="28"/>
              </w:rPr>
            </w:pPr>
          </w:p>
        </w:tc>
        <w:tc>
          <w:tcPr>
            <w:tcW w:w="1716" w:type="dxa"/>
            <w:noWrap w:val="0"/>
            <w:vAlign w:val="top"/>
          </w:tcPr>
          <w:p w14:paraId="1180FF93">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3BE34699">
            <w:pPr>
              <w:jc w:val="center"/>
              <w:rPr>
                <w:rFonts w:hint="eastAsia" w:ascii="楷体" w:hAnsi="楷体" w:eastAsia="楷体" w:cs="楷体"/>
                <w:color w:val="000000"/>
                <w:sz w:val="28"/>
                <w:szCs w:val="28"/>
              </w:rPr>
            </w:pPr>
          </w:p>
        </w:tc>
      </w:tr>
      <w:tr w14:paraId="2658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BA6F413">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565D407C">
            <w:pPr>
              <w:jc w:val="center"/>
              <w:rPr>
                <w:rFonts w:hint="eastAsia" w:ascii="楷体" w:hAnsi="楷体" w:eastAsia="楷体" w:cs="楷体"/>
                <w:color w:val="000000"/>
                <w:sz w:val="28"/>
                <w:szCs w:val="28"/>
              </w:rPr>
            </w:pPr>
          </w:p>
        </w:tc>
        <w:tc>
          <w:tcPr>
            <w:tcW w:w="1716" w:type="dxa"/>
            <w:noWrap w:val="0"/>
            <w:vAlign w:val="top"/>
          </w:tcPr>
          <w:p w14:paraId="3C1AC9EB">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350EBE74">
            <w:pPr>
              <w:jc w:val="center"/>
              <w:rPr>
                <w:rFonts w:hint="eastAsia" w:ascii="楷体" w:hAnsi="楷体" w:eastAsia="楷体" w:cs="楷体"/>
                <w:color w:val="000000"/>
                <w:sz w:val="28"/>
                <w:szCs w:val="28"/>
              </w:rPr>
            </w:pPr>
          </w:p>
        </w:tc>
      </w:tr>
      <w:tr w14:paraId="2FF8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49B2B589">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68D94B64">
            <w:pPr>
              <w:pStyle w:val="3"/>
              <w:rPr>
                <w:rFonts w:hint="eastAsia"/>
                <w:sz w:val="28"/>
                <w:szCs w:val="28"/>
              </w:rPr>
            </w:pPr>
          </w:p>
        </w:tc>
      </w:tr>
    </w:tbl>
    <w:p w14:paraId="4222B329">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备注：请如实填写《供应商参加投标确认函》并盖章扫描，并将扫描的加盖公章的确认函和营业执照复印件及授权委托书于2025年</w:t>
      </w:r>
      <w:r>
        <w:rPr>
          <w:rFonts w:hint="eastAsia" w:ascii="楷体_GB2312" w:eastAsia="楷体_GB2312"/>
          <w:sz w:val="28"/>
          <w:szCs w:val="28"/>
          <w:lang w:val="en-US" w:eastAsia="zh-CN"/>
        </w:rPr>
        <w:t>5</w:t>
      </w:r>
      <w:r>
        <w:rPr>
          <w:rFonts w:hint="eastAsia" w:ascii="楷体_GB2312" w:eastAsia="楷体_GB2312"/>
          <w:sz w:val="28"/>
          <w:szCs w:val="28"/>
        </w:rPr>
        <w:t>月</w:t>
      </w:r>
      <w:r>
        <w:rPr>
          <w:rFonts w:hint="eastAsia" w:ascii="楷体_GB2312" w:eastAsia="楷体_GB2312"/>
          <w:sz w:val="28"/>
          <w:szCs w:val="28"/>
          <w:lang w:val="en-US" w:eastAsia="zh-CN"/>
        </w:rPr>
        <w:t>11</w:t>
      </w:r>
      <w:r>
        <w:rPr>
          <w:rFonts w:hint="eastAsia" w:ascii="楷体_GB2312" w:eastAsia="楷体_GB2312"/>
          <w:sz w:val="28"/>
          <w:szCs w:val="28"/>
        </w:rPr>
        <w:t>日17：00前发送至电子邮箱（50891671@qq.com</w:t>
      </w:r>
      <w:bookmarkStart w:id="1" w:name="_GoBack"/>
      <w:bookmarkEnd w:id="1"/>
      <w:r>
        <w:rPr>
          <w:rFonts w:hint="eastAsia" w:ascii="楷体_GB2312" w:eastAsia="楷体_GB2312"/>
          <w:sz w:val="28"/>
          <w:szCs w:val="28"/>
        </w:rPr>
        <w:t>）（联系电话：0514-82099552）。</w:t>
      </w:r>
      <w:r>
        <w:rPr>
          <w:rFonts w:ascii="楷体_GB2312" w:eastAsia="楷体_GB2312"/>
          <w:sz w:val="28"/>
          <w:szCs w:val="28"/>
        </w:rPr>
        <w:t>邮件名称为投标公司名称+所投项目名称，未按规定格式填写发送视为无效报名。</w:t>
      </w:r>
    </w:p>
    <w:p w14:paraId="3612924A">
      <w:pPr>
        <w:spacing w:line="320" w:lineRule="exact"/>
        <w:rPr>
          <w:rFonts w:ascii="楷体_GB2312" w:eastAsia="楷体_GB2312"/>
          <w:sz w:val="28"/>
          <w:szCs w:val="28"/>
        </w:rPr>
      </w:pPr>
    </w:p>
    <w:p w14:paraId="1D123E29">
      <w:pPr>
        <w:autoSpaceDE w:val="0"/>
        <w:autoSpaceDN w:val="0"/>
        <w:jc w:val="center"/>
        <w:rPr>
          <w:rFonts w:ascii="宋体" w:hAnsi="宋体" w:cs="宋体"/>
          <w:sz w:val="28"/>
          <w:szCs w:val="28"/>
        </w:rPr>
      </w:pPr>
    </w:p>
    <w:p w14:paraId="50682B74">
      <w:pPr>
        <w:adjustRightInd w:val="0"/>
        <w:snapToGrid w:val="0"/>
        <w:spacing w:line="440" w:lineRule="exact"/>
        <w:contextualSpacing/>
        <w:jc w:val="center"/>
        <w:rPr>
          <w:rFonts w:hint="eastAsia"/>
          <w:b/>
          <w:sz w:val="36"/>
          <w:szCs w:val="36"/>
        </w:rPr>
      </w:pPr>
    </w:p>
    <w:p w14:paraId="1DBDD6D5">
      <w:pPr>
        <w:adjustRightInd w:val="0"/>
        <w:snapToGrid w:val="0"/>
        <w:spacing w:line="440" w:lineRule="exact"/>
        <w:contextualSpacing/>
        <w:jc w:val="center"/>
        <w:rPr>
          <w:rFonts w:hint="eastAsia"/>
          <w:b/>
          <w:sz w:val="36"/>
          <w:szCs w:val="36"/>
        </w:rPr>
      </w:pPr>
    </w:p>
    <w:p w14:paraId="77491F8C">
      <w:pPr>
        <w:adjustRightInd w:val="0"/>
        <w:snapToGrid w:val="0"/>
        <w:spacing w:line="440" w:lineRule="exact"/>
        <w:contextualSpacing/>
        <w:jc w:val="center"/>
        <w:rPr>
          <w:rFonts w:hint="eastAsia"/>
          <w:b/>
          <w:sz w:val="36"/>
          <w:szCs w:val="36"/>
        </w:rPr>
      </w:pPr>
    </w:p>
    <w:p w14:paraId="4C42797E">
      <w:pPr>
        <w:adjustRightInd w:val="0"/>
        <w:snapToGrid w:val="0"/>
        <w:spacing w:line="440" w:lineRule="exact"/>
        <w:contextualSpacing/>
        <w:jc w:val="center"/>
        <w:rPr>
          <w:rFonts w:hint="eastAsia"/>
          <w:b/>
          <w:sz w:val="36"/>
          <w:szCs w:val="36"/>
        </w:rPr>
      </w:pPr>
    </w:p>
    <w:p w14:paraId="3CF65F1B">
      <w:pPr>
        <w:adjustRightInd w:val="0"/>
        <w:snapToGrid w:val="0"/>
        <w:spacing w:line="440" w:lineRule="exact"/>
        <w:contextualSpacing/>
        <w:jc w:val="center"/>
        <w:rPr>
          <w:b/>
          <w:sz w:val="36"/>
          <w:szCs w:val="36"/>
        </w:rPr>
      </w:pPr>
      <w:r>
        <w:rPr>
          <w:rFonts w:hint="eastAsia"/>
          <w:b/>
          <w:sz w:val="36"/>
          <w:szCs w:val="36"/>
        </w:rPr>
        <w:t>（二）营业执照副本</w:t>
      </w:r>
    </w:p>
    <w:p w14:paraId="34209CFA">
      <w:pPr>
        <w:adjustRightInd w:val="0"/>
        <w:snapToGrid w:val="0"/>
        <w:spacing w:line="440" w:lineRule="exact"/>
        <w:contextualSpacing/>
      </w:pPr>
    </w:p>
    <w:p w14:paraId="33439B3A">
      <w:pPr>
        <w:pStyle w:val="16"/>
      </w:pPr>
    </w:p>
    <w:p w14:paraId="0B16B500">
      <w:pPr>
        <w:pStyle w:val="16"/>
      </w:pPr>
    </w:p>
    <w:p w14:paraId="3F23C5B6">
      <w:pPr>
        <w:pStyle w:val="16"/>
      </w:pPr>
    </w:p>
    <w:p w14:paraId="673B482D">
      <w:pPr>
        <w:pStyle w:val="16"/>
      </w:pPr>
    </w:p>
    <w:p w14:paraId="43409720">
      <w:pPr>
        <w:pStyle w:val="16"/>
      </w:pPr>
    </w:p>
    <w:p w14:paraId="011C1942">
      <w:pPr>
        <w:pStyle w:val="16"/>
      </w:pPr>
    </w:p>
    <w:p w14:paraId="3313CA74">
      <w:pPr>
        <w:pStyle w:val="16"/>
      </w:pPr>
    </w:p>
    <w:p w14:paraId="362E2D25">
      <w:pPr>
        <w:pStyle w:val="16"/>
      </w:pPr>
    </w:p>
    <w:p w14:paraId="3752793C">
      <w:pPr>
        <w:pStyle w:val="16"/>
      </w:pPr>
    </w:p>
    <w:p w14:paraId="677D36C1">
      <w:pPr>
        <w:pStyle w:val="16"/>
      </w:pPr>
    </w:p>
    <w:p w14:paraId="1A268D42">
      <w:pPr>
        <w:pStyle w:val="16"/>
      </w:pPr>
    </w:p>
    <w:p w14:paraId="76A02E28">
      <w:pPr>
        <w:pStyle w:val="16"/>
      </w:pPr>
    </w:p>
    <w:p w14:paraId="5EE92E70">
      <w:pPr>
        <w:pStyle w:val="16"/>
      </w:pPr>
    </w:p>
    <w:p w14:paraId="25D02A4C">
      <w:pPr>
        <w:pStyle w:val="16"/>
      </w:pPr>
    </w:p>
    <w:p w14:paraId="771E1185">
      <w:pPr>
        <w:pStyle w:val="16"/>
      </w:pPr>
    </w:p>
    <w:p w14:paraId="6E32852E">
      <w:pPr>
        <w:pStyle w:val="16"/>
      </w:pPr>
    </w:p>
    <w:p w14:paraId="6D7F7D24">
      <w:pPr>
        <w:pStyle w:val="16"/>
      </w:pPr>
    </w:p>
    <w:p w14:paraId="044155D8">
      <w:pPr>
        <w:pStyle w:val="16"/>
      </w:pPr>
    </w:p>
    <w:p w14:paraId="22AC1493">
      <w:pPr>
        <w:pStyle w:val="16"/>
      </w:pPr>
    </w:p>
    <w:p w14:paraId="183FF283">
      <w:pPr>
        <w:pStyle w:val="16"/>
      </w:pPr>
    </w:p>
    <w:p w14:paraId="73DA5722">
      <w:pPr>
        <w:pStyle w:val="16"/>
      </w:pPr>
    </w:p>
    <w:p w14:paraId="55818071">
      <w:pPr>
        <w:pStyle w:val="16"/>
      </w:pPr>
    </w:p>
    <w:p w14:paraId="16CE8D56">
      <w:pPr>
        <w:pStyle w:val="16"/>
      </w:pPr>
    </w:p>
    <w:p w14:paraId="1DF8AC3F">
      <w:pPr>
        <w:pStyle w:val="16"/>
      </w:pPr>
    </w:p>
    <w:p w14:paraId="186F0510">
      <w:pPr>
        <w:pStyle w:val="16"/>
      </w:pPr>
    </w:p>
    <w:p w14:paraId="62036928">
      <w:pPr>
        <w:pStyle w:val="16"/>
      </w:pPr>
    </w:p>
    <w:p w14:paraId="17F3D6E8">
      <w:pPr>
        <w:pStyle w:val="16"/>
      </w:pPr>
    </w:p>
    <w:p w14:paraId="294A3D66">
      <w:pPr>
        <w:pStyle w:val="16"/>
      </w:pPr>
    </w:p>
    <w:p w14:paraId="3C8F5BF0">
      <w:pPr>
        <w:pStyle w:val="16"/>
      </w:pPr>
    </w:p>
    <w:p w14:paraId="7DD403C1">
      <w:pPr>
        <w:pStyle w:val="16"/>
      </w:pPr>
    </w:p>
    <w:p w14:paraId="0215CC78">
      <w:pPr>
        <w:pStyle w:val="16"/>
      </w:pPr>
    </w:p>
    <w:p w14:paraId="2A107590">
      <w:pPr>
        <w:pStyle w:val="16"/>
      </w:pPr>
    </w:p>
    <w:p w14:paraId="5C4D0C5F">
      <w:pPr>
        <w:pStyle w:val="16"/>
      </w:pPr>
    </w:p>
    <w:p w14:paraId="73848C32">
      <w:pPr>
        <w:pStyle w:val="16"/>
      </w:pPr>
    </w:p>
    <w:p w14:paraId="384BDE9D">
      <w:pPr>
        <w:pStyle w:val="16"/>
      </w:pPr>
    </w:p>
    <w:p w14:paraId="5E2303B8">
      <w:pPr>
        <w:pStyle w:val="16"/>
      </w:pPr>
    </w:p>
    <w:p w14:paraId="4D818EBB">
      <w:pPr>
        <w:adjustRightInd w:val="0"/>
        <w:snapToGrid w:val="0"/>
        <w:spacing w:line="440" w:lineRule="exact"/>
        <w:contextualSpacing/>
      </w:pPr>
    </w:p>
    <w:p w14:paraId="5145120F">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5C55E0AF">
      <w:pPr>
        <w:pStyle w:val="5"/>
        <w:spacing w:line="440" w:lineRule="exact"/>
        <w:ind w:firstLine="0" w:firstLineChars="0"/>
        <w:jc w:val="center"/>
        <w:rPr>
          <w:b/>
          <w:sz w:val="24"/>
        </w:rPr>
      </w:pPr>
      <w:r>
        <w:rPr>
          <w:rFonts w:hint="eastAsia"/>
          <w:b/>
          <w:sz w:val="24"/>
        </w:rPr>
        <w:t>(参考格式)</w:t>
      </w:r>
    </w:p>
    <w:p w14:paraId="39F8CFB6">
      <w:pPr>
        <w:spacing w:after="319" w:afterLines="100" w:line="360" w:lineRule="auto"/>
        <w:jc w:val="center"/>
        <w:rPr>
          <w:rFonts w:ascii="宋体" w:hAnsi="宋体"/>
          <w:b/>
          <w:bCs/>
          <w:szCs w:val="21"/>
        </w:rPr>
      </w:pPr>
    </w:p>
    <w:p w14:paraId="5FCE012E">
      <w:pPr>
        <w:spacing w:after="319" w:afterLines="100" w:line="360" w:lineRule="auto"/>
        <w:jc w:val="center"/>
        <w:rPr>
          <w:rFonts w:ascii="宋体" w:hAnsi="宋体"/>
          <w:b/>
          <w:bCs/>
          <w:sz w:val="24"/>
        </w:rPr>
      </w:pPr>
      <w:r>
        <w:rPr>
          <w:rFonts w:hint="eastAsia" w:ascii="宋体" w:hAnsi="宋体"/>
          <w:b/>
          <w:bCs/>
          <w:sz w:val="24"/>
        </w:rPr>
        <w:t>声  明</w:t>
      </w:r>
    </w:p>
    <w:p w14:paraId="39908AA1">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0FB1665C">
      <w:pPr>
        <w:adjustRightInd w:val="0"/>
        <w:snapToGrid w:val="0"/>
        <w:spacing w:line="440" w:lineRule="exact"/>
        <w:contextualSpacing/>
        <w:rPr>
          <w:rFonts w:ascii="宋体" w:hAnsi="宋体"/>
          <w:bCs/>
          <w:sz w:val="24"/>
        </w:rPr>
      </w:pPr>
    </w:p>
    <w:p w14:paraId="1C800C6D">
      <w:pPr>
        <w:pStyle w:val="16"/>
        <w:rPr>
          <w:rFonts w:ascii="宋体" w:hAnsi="宋体"/>
          <w:bCs/>
          <w:sz w:val="24"/>
        </w:rPr>
      </w:pPr>
    </w:p>
    <w:p w14:paraId="38514416">
      <w:pPr>
        <w:pStyle w:val="16"/>
        <w:rPr>
          <w:rFonts w:ascii="宋体" w:hAnsi="宋体"/>
          <w:bCs/>
          <w:sz w:val="24"/>
        </w:rPr>
      </w:pPr>
    </w:p>
    <w:p w14:paraId="161B2314">
      <w:pPr>
        <w:pStyle w:val="16"/>
        <w:rPr>
          <w:rFonts w:ascii="宋体" w:hAnsi="宋体"/>
          <w:bCs/>
          <w:sz w:val="24"/>
        </w:rPr>
      </w:pPr>
    </w:p>
    <w:p w14:paraId="23D2389C">
      <w:pPr>
        <w:pStyle w:val="16"/>
        <w:rPr>
          <w:rFonts w:ascii="宋体" w:hAnsi="宋体"/>
          <w:bCs/>
          <w:sz w:val="24"/>
        </w:rPr>
      </w:pPr>
    </w:p>
    <w:p w14:paraId="19F6C90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21FA2DA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45E43A11">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0121695E">
      <w:pPr>
        <w:pStyle w:val="9"/>
        <w:jc w:val="center"/>
        <w:rPr>
          <w:rFonts w:asciiTheme="minorEastAsia" w:hAnsiTheme="minorEastAsia" w:eastAsiaTheme="minorEastAsia"/>
          <w:b/>
          <w:sz w:val="36"/>
        </w:rPr>
      </w:pPr>
    </w:p>
    <w:p w14:paraId="4EB6F2A8">
      <w:pPr>
        <w:pStyle w:val="9"/>
        <w:jc w:val="center"/>
        <w:rPr>
          <w:rFonts w:asciiTheme="minorEastAsia" w:hAnsiTheme="minorEastAsia" w:eastAsiaTheme="minorEastAsia"/>
          <w:b/>
          <w:sz w:val="36"/>
        </w:rPr>
      </w:pPr>
    </w:p>
    <w:p w14:paraId="4611708D">
      <w:pPr>
        <w:pStyle w:val="9"/>
        <w:jc w:val="center"/>
        <w:rPr>
          <w:rFonts w:asciiTheme="minorEastAsia" w:hAnsiTheme="minorEastAsia" w:eastAsiaTheme="minorEastAsia"/>
          <w:b/>
          <w:sz w:val="36"/>
        </w:rPr>
      </w:pPr>
    </w:p>
    <w:p w14:paraId="0662502B">
      <w:pPr>
        <w:pStyle w:val="9"/>
        <w:jc w:val="center"/>
        <w:rPr>
          <w:rFonts w:asciiTheme="minorEastAsia" w:hAnsiTheme="minorEastAsia" w:eastAsiaTheme="minorEastAsia"/>
          <w:b/>
          <w:sz w:val="36"/>
        </w:rPr>
      </w:pPr>
    </w:p>
    <w:p w14:paraId="5169B703">
      <w:pPr>
        <w:pStyle w:val="9"/>
        <w:jc w:val="center"/>
        <w:rPr>
          <w:rFonts w:asciiTheme="minorEastAsia" w:hAnsiTheme="minorEastAsia" w:eastAsiaTheme="minorEastAsia"/>
          <w:b/>
          <w:sz w:val="36"/>
        </w:rPr>
      </w:pPr>
    </w:p>
    <w:p w14:paraId="6435F92D">
      <w:pPr>
        <w:pStyle w:val="9"/>
        <w:jc w:val="center"/>
        <w:rPr>
          <w:rFonts w:asciiTheme="minorEastAsia" w:hAnsiTheme="minorEastAsia" w:eastAsiaTheme="minorEastAsia"/>
          <w:b/>
          <w:sz w:val="36"/>
        </w:rPr>
      </w:pPr>
    </w:p>
    <w:p w14:paraId="2CFB9ED5">
      <w:pPr>
        <w:pStyle w:val="9"/>
        <w:jc w:val="center"/>
        <w:rPr>
          <w:rFonts w:asciiTheme="minorEastAsia" w:hAnsiTheme="minorEastAsia" w:eastAsiaTheme="minorEastAsia"/>
          <w:b/>
          <w:sz w:val="36"/>
        </w:rPr>
      </w:pPr>
    </w:p>
    <w:p w14:paraId="7661FAD8">
      <w:pPr>
        <w:pStyle w:val="9"/>
        <w:jc w:val="center"/>
        <w:rPr>
          <w:rFonts w:asciiTheme="minorEastAsia" w:hAnsiTheme="minorEastAsia" w:eastAsiaTheme="minorEastAsia"/>
          <w:b/>
          <w:sz w:val="36"/>
        </w:rPr>
      </w:pPr>
    </w:p>
    <w:p w14:paraId="11733DD5">
      <w:pPr>
        <w:pStyle w:val="9"/>
        <w:jc w:val="center"/>
        <w:rPr>
          <w:rFonts w:asciiTheme="minorEastAsia" w:hAnsiTheme="minorEastAsia" w:eastAsiaTheme="minorEastAsia"/>
          <w:b/>
          <w:sz w:val="36"/>
        </w:rPr>
      </w:pPr>
    </w:p>
    <w:p w14:paraId="1AF4123F">
      <w:pPr>
        <w:pStyle w:val="9"/>
        <w:jc w:val="center"/>
        <w:rPr>
          <w:rFonts w:asciiTheme="minorEastAsia" w:hAnsiTheme="minorEastAsia" w:eastAsiaTheme="minorEastAsia"/>
          <w:b/>
          <w:sz w:val="36"/>
        </w:rPr>
      </w:pPr>
    </w:p>
    <w:p w14:paraId="23548B0C">
      <w:pPr>
        <w:pStyle w:val="9"/>
        <w:jc w:val="center"/>
        <w:rPr>
          <w:rFonts w:asciiTheme="minorEastAsia" w:hAnsiTheme="minorEastAsia" w:eastAsiaTheme="minorEastAsia"/>
          <w:b/>
          <w:sz w:val="36"/>
        </w:rPr>
      </w:pPr>
    </w:p>
    <w:p w14:paraId="46FE32FA">
      <w:pPr>
        <w:pStyle w:val="9"/>
        <w:jc w:val="center"/>
        <w:rPr>
          <w:rFonts w:asciiTheme="minorEastAsia" w:hAnsiTheme="minorEastAsia" w:eastAsiaTheme="minorEastAsia"/>
          <w:b/>
          <w:sz w:val="36"/>
        </w:rPr>
      </w:pPr>
    </w:p>
    <w:p w14:paraId="70666C08">
      <w:pPr>
        <w:pStyle w:val="9"/>
        <w:jc w:val="center"/>
        <w:rPr>
          <w:rFonts w:asciiTheme="minorEastAsia" w:hAnsiTheme="minorEastAsia" w:eastAsiaTheme="minorEastAsia"/>
          <w:b/>
          <w:sz w:val="36"/>
        </w:rPr>
      </w:pPr>
    </w:p>
    <w:p w14:paraId="64084BC4">
      <w:pPr>
        <w:pStyle w:val="9"/>
        <w:jc w:val="center"/>
        <w:rPr>
          <w:rFonts w:asciiTheme="minorEastAsia" w:hAnsiTheme="minorEastAsia" w:eastAsiaTheme="minorEastAsia"/>
          <w:b/>
          <w:sz w:val="36"/>
        </w:rPr>
      </w:pPr>
    </w:p>
    <w:p w14:paraId="6E7C255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D5EF233">
      <w:pPr>
        <w:pStyle w:val="9"/>
        <w:rPr>
          <w:rFonts w:asciiTheme="minorEastAsia" w:hAnsiTheme="minorEastAsia" w:eastAsiaTheme="minorEastAsia"/>
          <w:b/>
          <w:sz w:val="36"/>
        </w:rPr>
      </w:pPr>
    </w:p>
    <w:p w14:paraId="532006C1">
      <w:pPr>
        <w:pStyle w:val="9"/>
        <w:jc w:val="center"/>
        <w:rPr>
          <w:rFonts w:hint="eastAsia" w:asciiTheme="minorEastAsia" w:hAnsiTheme="minorEastAsia" w:eastAsiaTheme="minorEastAsia"/>
          <w:b/>
          <w:sz w:val="36"/>
        </w:rPr>
      </w:pPr>
    </w:p>
    <w:p w14:paraId="7BB187B5">
      <w:pPr>
        <w:pStyle w:val="9"/>
        <w:jc w:val="center"/>
        <w:rPr>
          <w:rFonts w:hint="eastAsia" w:asciiTheme="minorEastAsia" w:hAnsiTheme="minorEastAsia" w:eastAsiaTheme="minorEastAsia"/>
          <w:b/>
          <w:sz w:val="36"/>
        </w:rPr>
      </w:pPr>
    </w:p>
    <w:p w14:paraId="25586624">
      <w:pPr>
        <w:pStyle w:val="9"/>
        <w:jc w:val="center"/>
        <w:rPr>
          <w:rFonts w:hint="eastAsia" w:asciiTheme="minorEastAsia" w:hAnsiTheme="minorEastAsia" w:eastAsiaTheme="minorEastAsia"/>
          <w:b/>
          <w:sz w:val="36"/>
        </w:rPr>
      </w:pPr>
    </w:p>
    <w:p w14:paraId="3D0A564D">
      <w:pPr>
        <w:pStyle w:val="9"/>
        <w:jc w:val="center"/>
        <w:rPr>
          <w:rFonts w:hint="eastAsia" w:asciiTheme="minorEastAsia" w:hAnsiTheme="minorEastAsia" w:eastAsiaTheme="minorEastAsia"/>
          <w:b/>
          <w:sz w:val="36"/>
        </w:rPr>
      </w:pPr>
    </w:p>
    <w:p w14:paraId="5D9F19E1">
      <w:pPr>
        <w:pStyle w:val="9"/>
        <w:jc w:val="center"/>
        <w:rPr>
          <w:rFonts w:hint="eastAsia" w:asciiTheme="minorEastAsia" w:hAnsiTheme="minorEastAsia" w:eastAsiaTheme="minorEastAsia"/>
          <w:b/>
          <w:sz w:val="36"/>
        </w:rPr>
      </w:pPr>
    </w:p>
    <w:p w14:paraId="407621EC">
      <w:pPr>
        <w:pStyle w:val="9"/>
        <w:jc w:val="center"/>
        <w:rPr>
          <w:rFonts w:hint="eastAsia" w:asciiTheme="minorEastAsia" w:hAnsiTheme="minorEastAsia" w:eastAsiaTheme="minorEastAsia"/>
          <w:b/>
          <w:sz w:val="36"/>
        </w:rPr>
      </w:pPr>
    </w:p>
    <w:p w14:paraId="783331E3">
      <w:pPr>
        <w:pStyle w:val="9"/>
        <w:jc w:val="center"/>
        <w:rPr>
          <w:rFonts w:hint="eastAsia" w:asciiTheme="minorEastAsia" w:hAnsiTheme="minorEastAsia" w:eastAsiaTheme="minorEastAsia"/>
          <w:b/>
          <w:sz w:val="36"/>
        </w:rPr>
      </w:pPr>
    </w:p>
    <w:p w14:paraId="2843F7DA">
      <w:pPr>
        <w:pStyle w:val="9"/>
        <w:jc w:val="center"/>
        <w:rPr>
          <w:rFonts w:hint="eastAsia" w:asciiTheme="minorEastAsia" w:hAnsiTheme="minorEastAsia" w:eastAsiaTheme="minorEastAsia"/>
          <w:b/>
          <w:sz w:val="36"/>
        </w:rPr>
      </w:pPr>
    </w:p>
    <w:p w14:paraId="78A74204">
      <w:pPr>
        <w:pStyle w:val="9"/>
        <w:jc w:val="center"/>
        <w:rPr>
          <w:rFonts w:hint="eastAsia" w:asciiTheme="minorEastAsia" w:hAnsiTheme="minorEastAsia" w:eastAsiaTheme="minorEastAsia"/>
          <w:b/>
          <w:sz w:val="36"/>
        </w:rPr>
      </w:pPr>
    </w:p>
    <w:p w14:paraId="29CCE4B4">
      <w:pPr>
        <w:pStyle w:val="9"/>
        <w:jc w:val="center"/>
        <w:rPr>
          <w:rFonts w:hint="eastAsia" w:asciiTheme="minorEastAsia" w:hAnsiTheme="minorEastAsia" w:eastAsiaTheme="minorEastAsia"/>
          <w:b/>
          <w:sz w:val="36"/>
        </w:rPr>
      </w:pPr>
    </w:p>
    <w:p w14:paraId="612DA96A">
      <w:pPr>
        <w:pStyle w:val="9"/>
        <w:jc w:val="center"/>
        <w:rPr>
          <w:rFonts w:hint="eastAsia" w:asciiTheme="minorEastAsia" w:hAnsiTheme="minorEastAsia" w:eastAsiaTheme="minorEastAsia"/>
          <w:b/>
          <w:sz w:val="36"/>
        </w:rPr>
      </w:pPr>
    </w:p>
    <w:p w14:paraId="4548D237">
      <w:pPr>
        <w:pStyle w:val="9"/>
        <w:jc w:val="center"/>
        <w:rPr>
          <w:rFonts w:hint="eastAsia" w:asciiTheme="minorEastAsia" w:hAnsiTheme="minorEastAsia" w:eastAsiaTheme="minorEastAsia"/>
          <w:b/>
          <w:sz w:val="36"/>
        </w:rPr>
      </w:pPr>
    </w:p>
    <w:p w14:paraId="520AA9CE">
      <w:pPr>
        <w:pStyle w:val="9"/>
        <w:jc w:val="center"/>
        <w:rPr>
          <w:rFonts w:hint="eastAsia" w:asciiTheme="minorEastAsia" w:hAnsiTheme="minorEastAsia" w:eastAsiaTheme="minorEastAsia"/>
          <w:b/>
          <w:sz w:val="36"/>
        </w:rPr>
      </w:pPr>
    </w:p>
    <w:p w14:paraId="15B1D24E">
      <w:pPr>
        <w:pStyle w:val="9"/>
        <w:jc w:val="center"/>
        <w:rPr>
          <w:rFonts w:hint="eastAsia" w:asciiTheme="minorEastAsia" w:hAnsiTheme="minorEastAsia" w:eastAsiaTheme="minorEastAsia"/>
          <w:b/>
          <w:sz w:val="36"/>
        </w:rPr>
      </w:pPr>
    </w:p>
    <w:p w14:paraId="4255E62B">
      <w:pPr>
        <w:pStyle w:val="9"/>
        <w:jc w:val="center"/>
        <w:rPr>
          <w:rFonts w:hint="eastAsia" w:asciiTheme="minorEastAsia" w:hAnsiTheme="minorEastAsia" w:eastAsiaTheme="minorEastAsia"/>
          <w:b/>
          <w:sz w:val="36"/>
        </w:rPr>
      </w:pPr>
    </w:p>
    <w:p w14:paraId="74003E9B">
      <w:pPr>
        <w:pStyle w:val="9"/>
        <w:jc w:val="center"/>
        <w:rPr>
          <w:rFonts w:hint="eastAsia" w:asciiTheme="minorEastAsia" w:hAnsiTheme="minorEastAsia" w:eastAsiaTheme="minorEastAsia"/>
          <w:b/>
          <w:sz w:val="36"/>
        </w:rPr>
      </w:pPr>
    </w:p>
    <w:p w14:paraId="4D8AA41F">
      <w:pPr>
        <w:pStyle w:val="9"/>
        <w:jc w:val="center"/>
        <w:rPr>
          <w:rFonts w:hint="eastAsia" w:asciiTheme="minorEastAsia" w:hAnsiTheme="minorEastAsia" w:eastAsiaTheme="minorEastAsia"/>
          <w:b/>
          <w:sz w:val="36"/>
        </w:rPr>
      </w:pPr>
    </w:p>
    <w:p w14:paraId="4F1B2EA9">
      <w:pPr>
        <w:pStyle w:val="9"/>
        <w:jc w:val="center"/>
        <w:rPr>
          <w:rFonts w:hint="eastAsia" w:asciiTheme="minorEastAsia" w:hAnsiTheme="minorEastAsia" w:eastAsiaTheme="minorEastAsia"/>
          <w:b/>
          <w:sz w:val="36"/>
        </w:rPr>
      </w:pPr>
    </w:p>
    <w:p w14:paraId="2C80F5FF">
      <w:pPr>
        <w:pStyle w:val="9"/>
        <w:jc w:val="center"/>
        <w:rPr>
          <w:rFonts w:hint="eastAsia" w:asciiTheme="minorEastAsia" w:hAnsiTheme="minorEastAsia" w:eastAsiaTheme="minorEastAsia"/>
          <w:b/>
          <w:sz w:val="36"/>
        </w:rPr>
      </w:pPr>
    </w:p>
    <w:p w14:paraId="50E57EB9">
      <w:pPr>
        <w:pStyle w:val="9"/>
        <w:jc w:val="center"/>
        <w:rPr>
          <w:rFonts w:hint="eastAsia" w:asciiTheme="minorEastAsia" w:hAnsiTheme="minorEastAsia" w:eastAsiaTheme="minorEastAsia"/>
          <w:b/>
          <w:sz w:val="36"/>
        </w:rPr>
      </w:pPr>
    </w:p>
    <w:p w14:paraId="0DC16E6E">
      <w:pPr>
        <w:pStyle w:val="9"/>
        <w:jc w:val="center"/>
        <w:rPr>
          <w:rFonts w:hint="eastAsia" w:asciiTheme="minorEastAsia" w:hAnsiTheme="minorEastAsia" w:eastAsiaTheme="minorEastAsia"/>
          <w:b/>
          <w:sz w:val="36"/>
        </w:rPr>
      </w:pPr>
    </w:p>
    <w:p w14:paraId="2B924EB5">
      <w:pPr>
        <w:pStyle w:val="9"/>
        <w:jc w:val="center"/>
        <w:rPr>
          <w:rFonts w:hint="eastAsia" w:asciiTheme="minorEastAsia" w:hAnsiTheme="minorEastAsia" w:eastAsiaTheme="minorEastAsia"/>
          <w:b/>
          <w:sz w:val="36"/>
        </w:rPr>
      </w:pPr>
    </w:p>
    <w:p w14:paraId="68D101CC">
      <w:pPr>
        <w:pStyle w:val="9"/>
        <w:jc w:val="center"/>
        <w:rPr>
          <w:rFonts w:hint="eastAsia" w:asciiTheme="minorEastAsia" w:hAnsiTheme="minorEastAsia" w:eastAsiaTheme="minorEastAsia"/>
          <w:b/>
          <w:sz w:val="36"/>
        </w:rPr>
      </w:pPr>
    </w:p>
    <w:p w14:paraId="135C9C22">
      <w:pPr>
        <w:pStyle w:val="9"/>
        <w:jc w:val="center"/>
        <w:rPr>
          <w:rFonts w:hint="eastAsia" w:asciiTheme="minorEastAsia" w:hAnsiTheme="minorEastAsia" w:eastAsiaTheme="minorEastAsia"/>
          <w:b/>
          <w:sz w:val="36"/>
        </w:rPr>
      </w:pPr>
    </w:p>
    <w:p w14:paraId="35F85B9D">
      <w:pPr>
        <w:pStyle w:val="9"/>
        <w:jc w:val="center"/>
        <w:rPr>
          <w:rFonts w:hint="eastAsia" w:asciiTheme="minorEastAsia" w:hAnsiTheme="minorEastAsia" w:eastAsiaTheme="minorEastAsia"/>
          <w:b/>
          <w:sz w:val="36"/>
        </w:rPr>
      </w:pPr>
    </w:p>
    <w:p w14:paraId="08B1BA70">
      <w:pPr>
        <w:pStyle w:val="9"/>
        <w:jc w:val="center"/>
        <w:rPr>
          <w:rFonts w:hint="eastAsia" w:asciiTheme="minorEastAsia" w:hAnsiTheme="minorEastAsia" w:eastAsiaTheme="minorEastAsia"/>
          <w:b/>
          <w:sz w:val="36"/>
        </w:rPr>
      </w:pPr>
    </w:p>
    <w:p w14:paraId="4256FD2F">
      <w:pPr>
        <w:pStyle w:val="9"/>
        <w:jc w:val="center"/>
        <w:rPr>
          <w:rFonts w:hint="eastAsia" w:asciiTheme="minorEastAsia" w:hAnsiTheme="minorEastAsia" w:eastAsiaTheme="minorEastAsia"/>
          <w:b/>
          <w:sz w:val="36"/>
        </w:rPr>
      </w:pPr>
    </w:p>
    <w:p w14:paraId="2D0C0B5F">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084B634">
      <w:pPr>
        <w:pStyle w:val="9"/>
        <w:rPr>
          <w:rFonts w:ascii="Times New Roman" w:hAnsi="Times New Roman"/>
          <w:b/>
          <w:sz w:val="36"/>
        </w:rPr>
      </w:pPr>
    </w:p>
    <w:p w14:paraId="5EE3CC38">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435F6824">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97EBD99">
      <w:pPr>
        <w:pStyle w:val="9"/>
        <w:adjustRightInd w:val="0"/>
        <w:snapToGrid w:val="0"/>
        <w:spacing w:line="440" w:lineRule="exact"/>
        <w:ind w:firstLine="420"/>
        <w:contextualSpacing/>
        <w:rPr>
          <w:rFonts w:asciiTheme="minorEastAsia" w:hAnsiTheme="minorEastAsia" w:eastAsiaTheme="minorEastAsia"/>
          <w:sz w:val="24"/>
          <w:szCs w:val="24"/>
        </w:rPr>
      </w:pPr>
    </w:p>
    <w:p w14:paraId="754361DB">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6F554D39">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5B92F71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435DFE00">
      <w:pPr>
        <w:pStyle w:val="9"/>
        <w:adjustRightInd w:val="0"/>
        <w:snapToGrid w:val="0"/>
        <w:spacing w:line="500" w:lineRule="exact"/>
        <w:ind w:firstLine="420"/>
        <w:contextualSpacing/>
        <w:rPr>
          <w:rFonts w:asciiTheme="minorEastAsia" w:hAnsiTheme="minorEastAsia" w:eastAsiaTheme="minorEastAsia"/>
          <w:sz w:val="24"/>
          <w:szCs w:val="24"/>
        </w:rPr>
      </w:pPr>
    </w:p>
    <w:p w14:paraId="34BE8AA1">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41026B7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1348CDF2">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3663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27A6FF96">
            <w:pPr>
              <w:adjustRightInd w:val="0"/>
              <w:snapToGrid w:val="0"/>
              <w:spacing w:line="440" w:lineRule="exact"/>
              <w:contextualSpacing/>
            </w:pPr>
          </w:p>
          <w:p w14:paraId="1DB7B985">
            <w:pPr>
              <w:pStyle w:val="4"/>
            </w:pPr>
          </w:p>
          <w:p w14:paraId="0481BDB8"/>
          <w:p w14:paraId="7EFAA7D2">
            <w:pPr>
              <w:pStyle w:val="4"/>
            </w:pPr>
          </w:p>
          <w:p w14:paraId="798484ED"/>
          <w:p w14:paraId="148E4A7E">
            <w:pPr>
              <w:pStyle w:val="4"/>
            </w:pPr>
          </w:p>
          <w:p w14:paraId="0B598256"/>
          <w:p w14:paraId="2CD76A4D">
            <w:pPr>
              <w:pStyle w:val="4"/>
            </w:pPr>
          </w:p>
          <w:p w14:paraId="270E3B3D"/>
          <w:p w14:paraId="3EEEA645">
            <w:pPr>
              <w:pStyle w:val="4"/>
            </w:pPr>
          </w:p>
          <w:p w14:paraId="36D9AA70"/>
          <w:p w14:paraId="0D4DF748">
            <w:pPr>
              <w:pStyle w:val="4"/>
            </w:pPr>
          </w:p>
          <w:p w14:paraId="71FF8B40"/>
          <w:p w14:paraId="66273B0D">
            <w:pPr>
              <w:pStyle w:val="4"/>
            </w:pPr>
          </w:p>
          <w:p w14:paraId="2BEE4A09"/>
          <w:p w14:paraId="14098804">
            <w:pPr>
              <w:pStyle w:val="4"/>
            </w:pPr>
          </w:p>
        </w:tc>
        <w:tc>
          <w:tcPr>
            <w:tcW w:w="4937" w:type="dxa"/>
          </w:tcPr>
          <w:p w14:paraId="0F9FB1BE">
            <w:pPr>
              <w:adjustRightInd w:val="0"/>
              <w:snapToGrid w:val="0"/>
              <w:spacing w:line="440" w:lineRule="exact"/>
              <w:contextualSpacing/>
            </w:pPr>
          </w:p>
        </w:tc>
      </w:tr>
    </w:tbl>
    <w:p w14:paraId="45B24907">
      <w:pPr>
        <w:adjustRightInd w:val="0"/>
        <w:snapToGrid w:val="0"/>
        <w:spacing w:line="440" w:lineRule="exact"/>
        <w:contextualSpacing/>
      </w:pPr>
    </w:p>
    <w:p w14:paraId="5EE27234"/>
    <w:p w14:paraId="785300F1">
      <w:pPr>
        <w:pStyle w:val="2"/>
      </w:pPr>
    </w:p>
    <w:p w14:paraId="761F019E">
      <w:pPr>
        <w:pStyle w:val="3"/>
      </w:pPr>
    </w:p>
    <w:p w14:paraId="68E651B5"/>
    <w:p w14:paraId="138B7DC5">
      <w:pPr>
        <w:pStyle w:val="2"/>
      </w:pPr>
    </w:p>
    <w:p w14:paraId="10ECF702">
      <w:pPr>
        <w:pStyle w:val="3"/>
      </w:pPr>
    </w:p>
    <w:p w14:paraId="57124096">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（六）具有履行合同所必需的专业技术能力承诺书</w:t>
      </w:r>
    </w:p>
    <w:p w14:paraId="4518C460">
      <w:pPr>
        <w:spacing w:line="360" w:lineRule="auto"/>
        <w:ind w:firstLine="480" w:firstLineChars="200"/>
        <w:rPr>
          <w:rFonts w:ascii="宋体" w:hAnsi="宋体" w:cs="宋体"/>
          <w:sz w:val="24"/>
        </w:rPr>
      </w:pPr>
    </w:p>
    <w:p w14:paraId="1D76DA5C">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3EB242C5">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项目采购活动，现承诺具有履行合同所必需的专业技术能力，如有虚假承诺，愿承担一切法律责任。</w:t>
      </w:r>
    </w:p>
    <w:p w14:paraId="4B9DD8D7">
      <w:pPr>
        <w:spacing w:line="480" w:lineRule="auto"/>
        <w:ind w:firstLine="480" w:firstLineChars="200"/>
        <w:rPr>
          <w:rFonts w:ascii="宋体" w:hAnsi="宋体" w:cs="宋体"/>
          <w:sz w:val="24"/>
        </w:rPr>
      </w:pPr>
      <w:r>
        <w:rPr>
          <w:rFonts w:hint="eastAsia" w:ascii="宋体" w:hAnsi="宋体" w:cs="宋体"/>
          <w:sz w:val="24"/>
        </w:rPr>
        <w:t>特此承诺。</w:t>
      </w:r>
    </w:p>
    <w:p w14:paraId="198FF2BE">
      <w:pPr>
        <w:spacing w:line="480" w:lineRule="auto"/>
        <w:ind w:firstLine="480" w:firstLineChars="200"/>
        <w:rPr>
          <w:rFonts w:ascii="宋体" w:hAnsi="宋体" w:cs="宋体"/>
          <w:sz w:val="24"/>
        </w:rPr>
      </w:pPr>
    </w:p>
    <w:p w14:paraId="6C3ABFE9">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7975DF10">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3D170619">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0313D766">
      <w:pPr>
        <w:rPr>
          <w:rFonts w:ascii="宋体" w:hAnsi="宋体" w:cs="宋体"/>
          <w:sz w:val="24"/>
        </w:rPr>
      </w:pPr>
    </w:p>
    <w:p w14:paraId="6EF9CAFC">
      <w:pPr>
        <w:pStyle w:val="13"/>
        <w:rPr>
          <w:rFonts w:ascii="宋体" w:hAnsi="宋体"/>
          <w:kern w:val="0"/>
          <w:sz w:val="36"/>
          <w:szCs w:val="36"/>
        </w:rPr>
      </w:pPr>
    </w:p>
    <w:p w14:paraId="5AB426D0"/>
    <w:p w14:paraId="1C0DF42B">
      <w:pPr>
        <w:pStyle w:val="2"/>
      </w:pPr>
    </w:p>
    <w:p w14:paraId="2C9207F2">
      <w:pPr>
        <w:pStyle w:val="3"/>
      </w:pPr>
    </w:p>
    <w:p w14:paraId="3E378120"/>
    <w:p w14:paraId="359D1040">
      <w:pPr>
        <w:pStyle w:val="2"/>
      </w:pPr>
    </w:p>
    <w:p w14:paraId="1DBF8D23">
      <w:pPr>
        <w:pStyle w:val="3"/>
      </w:pPr>
    </w:p>
    <w:p w14:paraId="7BDBA119"/>
    <w:p w14:paraId="72B54AB4">
      <w:pPr>
        <w:pStyle w:val="2"/>
      </w:pPr>
    </w:p>
    <w:p w14:paraId="5A4D7F94">
      <w:pPr>
        <w:pStyle w:val="3"/>
      </w:pPr>
    </w:p>
    <w:p w14:paraId="598894F6">
      <w:pPr>
        <w:pStyle w:val="2"/>
      </w:pPr>
    </w:p>
    <w:p w14:paraId="0B78ACB9">
      <w:pPr>
        <w:pStyle w:val="3"/>
      </w:pPr>
    </w:p>
    <w:p w14:paraId="679F6B65"/>
    <w:p w14:paraId="2CA95E2F">
      <w:pPr>
        <w:pStyle w:val="2"/>
      </w:pPr>
    </w:p>
    <w:p w14:paraId="393361E2">
      <w:pPr>
        <w:pStyle w:val="3"/>
      </w:pPr>
    </w:p>
    <w:p w14:paraId="6D1F0946"/>
    <w:p w14:paraId="647E6F18">
      <w:pPr>
        <w:pStyle w:val="2"/>
      </w:pPr>
    </w:p>
    <w:p w14:paraId="2AC74C47">
      <w:pPr>
        <w:pStyle w:val="3"/>
      </w:pPr>
    </w:p>
    <w:p w14:paraId="3991B33E"/>
    <w:p w14:paraId="3DE206D0">
      <w:pPr>
        <w:pStyle w:val="3"/>
      </w:pPr>
    </w:p>
    <w:p w14:paraId="0B5E1CAF">
      <w:pPr>
        <w:pStyle w:val="13"/>
        <w:rPr>
          <w:rFonts w:ascii="宋体" w:hAnsi="宋体"/>
          <w:sz w:val="36"/>
          <w:szCs w:val="36"/>
        </w:rPr>
      </w:pPr>
      <w:r>
        <w:rPr>
          <w:rFonts w:hint="eastAsia" w:ascii="宋体" w:hAnsi="宋体"/>
          <w:kern w:val="0"/>
          <w:sz w:val="36"/>
          <w:szCs w:val="36"/>
        </w:rPr>
        <w:t>（七）投标函</w:t>
      </w:r>
    </w:p>
    <w:p w14:paraId="5E25876C">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1B9E1AE8">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4296D0B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759465CE">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7557D20C">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4AFA67B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54062103">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33ED97B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28119CC">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4A897EB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3339B6B5">
      <w:pPr>
        <w:adjustRightInd w:val="0"/>
        <w:snapToGrid w:val="0"/>
        <w:spacing w:line="440" w:lineRule="exact"/>
        <w:contextualSpacing/>
        <w:rPr>
          <w:rFonts w:ascii="宋体" w:hAnsi="宋体"/>
          <w:sz w:val="24"/>
        </w:rPr>
      </w:pPr>
    </w:p>
    <w:p w14:paraId="718CF950">
      <w:pPr>
        <w:spacing w:line="360" w:lineRule="auto"/>
        <w:rPr>
          <w:rFonts w:ascii="宋体" w:hAnsi="宋体"/>
          <w:sz w:val="22"/>
        </w:rPr>
      </w:pPr>
    </w:p>
    <w:p w14:paraId="6578BC71">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0805994C">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274F490">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BAB2CD3">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4F80807B">
      <w:pPr>
        <w:adjustRightInd w:val="0"/>
        <w:snapToGrid w:val="0"/>
        <w:spacing w:line="500" w:lineRule="exact"/>
        <w:contextualSpacing/>
        <w:rPr>
          <w:rFonts w:ascii="宋体" w:hAnsi="宋体"/>
          <w:sz w:val="22"/>
        </w:rPr>
      </w:pPr>
    </w:p>
    <w:p w14:paraId="6B77B1FE">
      <w:pPr>
        <w:spacing w:line="340" w:lineRule="exact"/>
        <w:jc w:val="left"/>
        <w:rPr>
          <w:rFonts w:ascii="宋体" w:hAnsi="宋体"/>
          <w:b/>
          <w:sz w:val="32"/>
        </w:rPr>
      </w:pPr>
    </w:p>
    <w:p w14:paraId="292489A8">
      <w:pPr>
        <w:adjustRightInd w:val="0"/>
        <w:snapToGrid w:val="0"/>
        <w:spacing w:line="440" w:lineRule="exact"/>
        <w:contextualSpacing/>
        <w:rPr>
          <w:rFonts w:ascii="宋体" w:hAnsi="宋体"/>
        </w:rPr>
      </w:pPr>
    </w:p>
    <w:p w14:paraId="03FDE064">
      <w:pPr>
        <w:pStyle w:val="4"/>
        <w:rPr>
          <w:rFonts w:ascii="宋体" w:hAnsi="宋体"/>
        </w:rPr>
      </w:pPr>
    </w:p>
    <w:p w14:paraId="6D5B79EB">
      <w:pPr>
        <w:rPr>
          <w:rFonts w:ascii="宋体" w:hAnsi="宋体"/>
        </w:rPr>
      </w:pPr>
    </w:p>
    <w:p w14:paraId="12703960">
      <w:pPr>
        <w:pStyle w:val="4"/>
      </w:pPr>
    </w:p>
    <w:p w14:paraId="7A70B483"/>
    <w:p w14:paraId="3417454B">
      <w:pPr>
        <w:pStyle w:val="2"/>
      </w:pPr>
    </w:p>
    <w:p w14:paraId="03BB977A">
      <w:pPr>
        <w:pStyle w:val="3"/>
      </w:pPr>
    </w:p>
    <w:p w14:paraId="19905ECB"/>
    <w:p w14:paraId="559C23EE">
      <w:pPr>
        <w:spacing w:line="340" w:lineRule="exact"/>
        <w:jc w:val="left"/>
        <w:rPr>
          <w:rFonts w:ascii="宋体" w:hAnsi="宋体"/>
          <w:b/>
          <w:sz w:val="36"/>
          <w:szCs w:val="36"/>
        </w:rPr>
      </w:pPr>
    </w:p>
    <w:p w14:paraId="4F800C84">
      <w:pPr>
        <w:spacing w:line="340" w:lineRule="exact"/>
        <w:jc w:val="center"/>
        <w:rPr>
          <w:rFonts w:ascii="宋体" w:hAnsi="宋体" w:cs="宋体"/>
          <w:b/>
          <w:sz w:val="36"/>
          <w:szCs w:val="36"/>
        </w:rPr>
      </w:pPr>
      <w:r>
        <w:rPr>
          <w:rFonts w:hint="eastAsia" w:ascii="宋体" w:hAnsi="宋体" w:cs="宋体"/>
          <w:b/>
          <w:sz w:val="36"/>
          <w:szCs w:val="36"/>
        </w:rPr>
        <w:t>（八）投标报价表</w:t>
      </w:r>
    </w:p>
    <w:p w14:paraId="490A7160">
      <w:pPr>
        <w:spacing w:line="340" w:lineRule="exact"/>
        <w:jc w:val="center"/>
        <w:rPr>
          <w:rFonts w:ascii="宋体" w:hAnsi="宋体" w:cs="宋体"/>
          <w:b/>
          <w:sz w:val="32"/>
        </w:rPr>
      </w:pPr>
    </w:p>
    <w:p w14:paraId="386409A4">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40E8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21CD654E">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01B4AB0">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277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73B79592">
            <w:pPr>
              <w:pStyle w:val="2"/>
              <w:adjustRightInd w:val="0"/>
              <w:snapToGrid w:val="0"/>
              <w:spacing w:line="440" w:lineRule="exact"/>
              <w:contextualSpacing/>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rPr>
              <w:t>2025年度退休返聘人员雇主责任险购买项目</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按90人一年保费计算）</w:t>
            </w:r>
          </w:p>
        </w:tc>
        <w:tc>
          <w:tcPr>
            <w:tcW w:w="5412" w:type="dxa"/>
            <w:tcBorders>
              <w:top w:val="single" w:color="auto" w:sz="4" w:space="0"/>
              <w:left w:val="single" w:color="auto" w:sz="4" w:space="0"/>
              <w:bottom w:val="single" w:color="auto" w:sz="4" w:space="0"/>
              <w:right w:val="single" w:color="auto" w:sz="4" w:space="0"/>
            </w:tcBorders>
            <w:vAlign w:val="center"/>
          </w:tcPr>
          <w:p w14:paraId="2F29EEE0">
            <w:pPr>
              <w:pStyle w:val="35"/>
              <w:spacing w:before="0" w:after="0" w:line="500" w:lineRule="exact"/>
              <w:ind w:firstLine="0"/>
              <w:rPr>
                <w:rFonts w:ascii="宋体" w:hAnsi="宋体" w:cs="宋体"/>
              </w:rPr>
            </w:pPr>
            <w:r>
              <w:rPr>
                <w:rFonts w:hint="eastAsia" w:ascii="宋体" w:hAnsi="宋体" w:cs="宋体"/>
              </w:rPr>
              <w:t>大写：</w:t>
            </w:r>
          </w:p>
          <w:p w14:paraId="4603F03A">
            <w:pPr>
              <w:pStyle w:val="35"/>
              <w:spacing w:before="0" w:after="0" w:line="500" w:lineRule="exact"/>
              <w:ind w:firstLine="0"/>
              <w:rPr>
                <w:rFonts w:ascii="宋体" w:hAnsi="宋体" w:cs="宋体"/>
                <w:kern w:val="2"/>
              </w:rPr>
            </w:pPr>
            <w:r>
              <w:rPr>
                <w:rFonts w:hint="eastAsia" w:ascii="宋体" w:hAnsi="宋体" w:cs="宋体"/>
              </w:rPr>
              <w:t>小写：                          （人民币）</w:t>
            </w:r>
          </w:p>
        </w:tc>
      </w:tr>
      <w:tr w14:paraId="1B7D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74D1097E">
            <w:pPr>
              <w:pStyle w:val="2"/>
              <w:adjustRightInd w:val="0"/>
              <w:snapToGrid w:val="0"/>
              <w:spacing w:line="440" w:lineRule="exact"/>
              <w:contextualSpacing/>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单价，每人每年保费</w:t>
            </w:r>
          </w:p>
        </w:tc>
        <w:tc>
          <w:tcPr>
            <w:tcW w:w="5412" w:type="dxa"/>
            <w:tcBorders>
              <w:top w:val="single" w:color="auto" w:sz="4" w:space="0"/>
              <w:left w:val="single" w:color="auto" w:sz="4" w:space="0"/>
              <w:bottom w:val="single" w:color="auto" w:sz="4" w:space="0"/>
              <w:right w:val="single" w:color="auto" w:sz="4" w:space="0"/>
            </w:tcBorders>
            <w:vAlign w:val="center"/>
          </w:tcPr>
          <w:p w14:paraId="37A6A45C">
            <w:pPr>
              <w:pStyle w:val="35"/>
              <w:spacing w:before="0" w:after="0" w:line="500" w:lineRule="exact"/>
              <w:ind w:firstLine="0"/>
              <w:rPr>
                <w:rFonts w:hint="eastAsia" w:ascii="宋体" w:hAnsi="宋体" w:cs="宋体"/>
              </w:rPr>
            </w:pPr>
          </w:p>
        </w:tc>
      </w:tr>
      <w:tr w14:paraId="3742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65D3D9B2">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1C4CD8D8">
            <w:pPr>
              <w:pStyle w:val="2"/>
              <w:adjustRightInd w:val="0"/>
              <w:snapToGrid w:val="0"/>
              <w:spacing w:line="440" w:lineRule="exact"/>
              <w:contextualSpacing/>
              <w:rPr>
                <w:rFonts w:ascii="宋体" w:hAnsi="宋体" w:eastAsia="宋体" w:cs="宋体"/>
                <w:kern w:val="2"/>
                <w:sz w:val="24"/>
                <w:szCs w:val="24"/>
              </w:rPr>
            </w:pPr>
          </w:p>
        </w:tc>
      </w:tr>
    </w:tbl>
    <w:p w14:paraId="479EBE20">
      <w:pPr>
        <w:adjustRightInd w:val="0"/>
        <w:snapToGrid w:val="0"/>
        <w:spacing w:line="500" w:lineRule="exact"/>
        <w:contextualSpacing/>
        <w:rPr>
          <w:rFonts w:ascii="宋体" w:hAnsi="宋体" w:cs="宋体"/>
          <w:bCs/>
          <w:snapToGrid w:val="0"/>
          <w:kern w:val="0"/>
          <w:sz w:val="24"/>
        </w:rPr>
      </w:pPr>
    </w:p>
    <w:p w14:paraId="7E023F47">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49E1B90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000CFD2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79CB81F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4FF08CE8">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0B7A948B">
      <w:pPr>
        <w:pStyle w:val="2"/>
      </w:pPr>
    </w:p>
    <w:p w14:paraId="2507B36F">
      <w:pPr>
        <w:pStyle w:val="3"/>
      </w:pPr>
    </w:p>
    <w:p w14:paraId="51236AF7"/>
    <w:p w14:paraId="1E6D8F2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51B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F3F8C0E">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F3F8C0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62519A"/>
    <w:rsid w:val="30DF7E8F"/>
    <w:rsid w:val="318E7998"/>
    <w:rsid w:val="31FB3AF8"/>
    <w:rsid w:val="32542738"/>
    <w:rsid w:val="349B0B50"/>
    <w:rsid w:val="34D332FE"/>
    <w:rsid w:val="35A85D44"/>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C726B4"/>
    <w:rsid w:val="4167503B"/>
    <w:rsid w:val="41754D1F"/>
    <w:rsid w:val="41C6641D"/>
    <w:rsid w:val="41C95125"/>
    <w:rsid w:val="41F621F7"/>
    <w:rsid w:val="423E7DE4"/>
    <w:rsid w:val="424B0DFC"/>
    <w:rsid w:val="43B458B4"/>
    <w:rsid w:val="43F56786"/>
    <w:rsid w:val="441967B2"/>
    <w:rsid w:val="44DC50C3"/>
    <w:rsid w:val="456C546E"/>
    <w:rsid w:val="45977351"/>
    <w:rsid w:val="45A57BAB"/>
    <w:rsid w:val="45F06817"/>
    <w:rsid w:val="45F42EB8"/>
    <w:rsid w:val="46056344"/>
    <w:rsid w:val="464F7B16"/>
    <w:rsid w:val="467B4C8A"/>
    <w:rsid w:val="467F03FC"/>
    <w:rsid w:val="47503B46"/>
    <w:rsid w:val="48AB372A"/>
    <w:rsid w:val="48B5696C"/>
    <w:rsid w:val="48B819A3"/>
    <w:rsid w:val="4938256C"/>
    <w:rsid w:val="49AC543C"/>
    <w:rsid w:val="4A0D3596"/>
    <w:rsid w:val="4AC7359A"/>
    <w:rsid w:val="4ACD2A51"/>
    <w:rsid w:val="4B4053E3"/>
    <w:rsid w:val="4B8B339F"/>
    <w:rsid w:val="4B8D08A2"/>
    <w:rsid w:val="4BD6274F"/>
    <w:rsid w:val="4C150FBA"/>
    <w:rsid w:val="4C2279B2"/>
    <w:rsid w:val="4C472E7D"/>
    <w:rsid w:val="4C5B7215"/>
    <w:rsid w:val="4CB85CB5"/>
    <w:rsid w:val="4DF252CB"/>
    <w:rsid w:val="4E295D4C"/>
    <w:rsid w:val="4F132029"/>
    <w:rsid w:val="4F717F10"/>
    <w:rsid w:val="50113D90"/>
    <w:rsid w:val="501519DD"/>
    <w:rsid w:val="507C6263"/>
    <w:rsid w:val="508A0E56"/>
    <w:rsid w:val="510F701A"/>
    <w:rsid w:val="512B446A"/>
    <w:rsid w:val="51673008"/>
    <w:rsid w:val="5199638E"/>
    <w:rsid w:val="51BD509B"/>
    <w:rsid w:val="521A547C"/>
    <w:rsid w:val="53420941"/>
    <w:rsid w:val="537760B9"/>
    <w:rsid w:val="53D10891"/>
    <w:rsid w:val="54AC3518"/>
    <w:rsid w:val="555A0957"/>
    <w:rsid w:val="55733821"/>
    <w:rsid w:val="560560AD"/>
    <w:rsid w:val="56363D8F"/>
    <w:rsid w:val="56410E61"/>
    <w:rsid w:val="5684380C"/>
    <w:rsid w:val="5731065A"/>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75263B"/>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E633AB"/>
    <w:rsid w:val="61F801D2"/>
    <w:rsid w:val="620D46B6"/>
    <w:rsid w:val="626E3CB0"/>
    <w:rsid w:val="62E713AB"/>
    <w:rsid w:val="63473929"/>
    <w:rsid w:val="64B11C70"/>
    <w:rsid w:val="65F2258C"/>
    <w:rsid w:val="660758C0"/>
    <w:rsid w:val="6646010A"/>
    <w:rsid w:val="66A07C1E"/>
    <w:rsid w:val="66AF19DA"/>
    <w:rsid w:val="6710513C"/>
    <w:rsid w:val="675A5AE8"/>
    <w:rsid w:val="677A6507"/>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7662E"/>
    <w:rsid w:val="77F20BEE"/>
    <w:rsid w:val="77F57C6E"/>
    <w:rsid w:val="78AE4389"/>
    <w:rsid w:val="790A7E6D"/>
    <w:rsid w:val="791B5949"/>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3571</Words>
  <Characters>3947</Characters>
  <Lines>75</Lines>
  <Paragraphs>21</Paragraphs>
  <TotalTime>233</TotalTime>
  <ScaleCrop>false</ScaleCrop>
  <LinksUpToDate>false</LinksUpToDate>
  <CharactersWithSpaces>4609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2025-05-06T08:24:08Z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