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F2AB9">
      <w:pPr>
        <w:adjustRightInd w:val="0"/>
        <w:snapToGrid w:val="0"/>
        <w:spacing w:line="560" w:lineRule="exact"/>
        <w:jc w:val="center"/>
        <w:rPr>
          <w:rFonts w:ascii="宋体" w:hAnsi="宋体" w:cs="仿宋"/>
          <w:spacing w:val="28"/>
          <w:sz w:val="44"/>
          <w:szCs w:val="44"/>
        </w:rPr>
      </w:pPr>
    </w:p>
    <w:p w14:paraId="62C06DC4">
      <w:pPr>
        <w:spacing w:line="360" w:lineRule="auto"/>
        <w:jc w:val="center"/>
        <w:rPr>
          <w:rFonts w:eastAsia="楷体"/>
          <w:b/>
          <w:bCs/>
          <w:sz w:val="44"/>
          <w:szCs w:val="44"/>
        </w:rPr>
      </w:pPr>
      <w:r>
        <w:rPr>
          <w:rFonts w:hint="eastAsia" w:eastAsia="楷体"/>
          <w:b/>
          <w:bCs/>
          <w:sz w:val="44"/>
          <w:szCs w:val="44"/>
        </w:rPr>
        <w:t>扬州大学附属医院京沪高级医学中心宣传项目</w:t>
      </w:r>
    </w:p>
    <w:p w14:paraId="080C7334">
      <w:pPr>
        <w:spacing w:line="360" w:lineRule="auto"/>
        <w:jc w:val="center"/>
        <w:rPr>
          <w:rFonts w:eastAsia="楷体"/>
          <w:b/>
          <w:bCs/>
          <w:sz w:val="44"/>
          <w:szCs w:val="44"/>
        </w:rPr>
      </w:pPr>
      <w:r>
        <w:rPr>
          <w:rFonts w:hint="eastAsia" w:eastAsia="楷体"/>
          <w:b/>
          <w:bCs/>
          <w:sz w:val="44"/>
          <w:szCs w:val="44"/>
        </w:rPr>
        <w:t>院内公开谈判文件</w:t>
      </w:r>
    </w:p>
    <w:p w14:paraId="74A14095">
      <w:pPr>
        <w:adjustRightInd w:val="0"/>
        <w:snapToGrid w:val="0"/>
        <w:spacing w:line="560" w:lineRule="exact"/>
        <w:jc w:val="center"/>
        <w:rPr>
          <w:rFonts w:ascii="宋体" w:hAnsi="宋体" w:cs="仿宋"/>
          <w:spacing w:val="28"/>
          <w:sz w:val="44"/>
          <w:szCs w:val="44"/>
        </w:rPr>
      </w:pPr>
    </w:p>
    <w:p w14:paraId="6BE543CF">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179FC5F4">
      <w:pPr>
        <w:spacing w:line="360" w:lineRule="auto"/>
        <w:ind w:firstLine="848" w:firstLineChars="265"/>
        <w:jc w:val="center"/>
        <w:rPr>
          <w:rFonts w:ascii="宋体" w:hAnsi="宋体" w:cs="宋体"/>
          <w:sz w:val="32"/>
          <w:szCs w:val="32"/>
        </w:rPr>
      </w:pPr>
    </w:p>
    <w:p w14:paraId="3EA8A4E2">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0B40AE8D">
      <w:pPr>
        <w:spacing w:line="360" w:lineRule="auto"/>
        <w:ind w:firstLine="848" w:firstLineChars="265"/>
        <w:rPr>
          <w:rFonts w:ascii="宋体" w:hAnsi="宋体" w:cs="宋体"/>
          <w:sz w:val="32"/>
          <w:szCs w:val="32"/>
        </w:rPr>
      </w:pPr>
    </w:p>
    <w:p w14:paraId="3B6677C5">
      <w:pPr>
        <w:spacing w:line="360" w:lineRule="auto"/>
        <w:ind w:firstLine="3088" w:firstLineChars="965"/>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2025年</w:t>
      </w:r>
      <w:r>
        <w:rPr>
          <w:rFonts w:hint="eastAsia" w:ascii="宋体" w:hAnsi="宋体" w:cs="宋体"/>
          <w:b/>
          <w:sz w:val="32"/>
          <w:szCs w:val="32"/>
          <w:lang w:val="en-US" w:eastAsia="zh-CN"/>
        </w:rPr>
        <w:t>5</w:t>
      </w:r>
      <w:r>
        <w:rPr>
          <w:rFonts w:hint="eastAsia" w:ascii="宋体" w:hAnsi="宋体" w:cs="宋体"/>
          <w:b/>
          <w:sz w:val="32"/>
          <w:szCs w:val="32"/>
        </w:rPr>
        <w:t>月</w:t>
      </w:r>
      <w:bookmarkEnd w:id="0"/>
    </w:p>
    <w:p w14:paraId="5A2F43A0">
      <w:pPr>
        <w:jc w:val="center"/>
        <w:rPr>
          <w:rFonts w:ascii="宋体" w:hAnsi="宋体"/>
          <w:b/>
          <w:bCs/>
          <w:sz w:val="48"/>
          <w:szCs w:val="48"/>
        </w:rPr>
      </w:pPr>
    </w:p>
    <w:p w14:paraId="2644EE75">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28DF7E1C">
      <w:pPr>
        <w:pStyle w:val="16"/>
        <w:ind w:firstLine="630" w:firstLineChars="300"/>
      </w:pPr>
    </w:p>
    <w:p w14:paraId="422EE493">
      <w:pPr>
        <w:pStyle w:val="16"/>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招标邀请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4566F17E">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260290C2">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rPr>
        <w:t>7</w:t>
      </w:r>
    </w:p>
    <w:p w14:paraId="656B1BD8">
      <w:pPr>
        <w:spacing w:line="360" w:lineRule="auto"/>
        <w:ind w:firstLine="240" w:firstLineChars="100"/>
        <w:contextualSpacing/>
        <w:jc w:val="left"/>
        <w:rPr>
          <w:rFonts w:ascii="宋体" w:hAnsi="宋体"/>
          <w:bCs/>
          <w:sz w:val="24"/>
        </w:rPr>
      </w:pPr>
      <w:r>
        <w:rPr>
          <w:rFonts w:hint="eastAsia" w:ascii="宋体" w:hAnsi="宋体"/>
          <w:bCs/>
          <w:sz w:val="24"/>
        </w:rPr>
        <w:t>四、投标文件格式及附件要求</w:t>
      </w:r>
      <w:r>
        <w:rPr>
          <w:rFonts w:ascii="宋体" w:hAnsi="宋体"/>
          <w:bCs/>
          <w:sz w:val="24"/>
        </w:rPr>
        <w:t>……………………………………………………</w:t>
      </w:r>
      <w:r>
        <w:rPr>
          <w:rFonts w:hint="eastAsia" w:ascii="宋体" w:hAnsi="宋体"/>
          <w:bCs/>
          <w:sz w:val="24"/>
        </w:rPr>
        <w:t>9</w:t>
      </w:r>
    </w:p>
    <w:p w14:paraId="122AE3E4">
      <w:pPr>
        <w:spacing w:line="360" w:lineRule="auto"/>
        <w:ind w:firstLine="240" w:firstLineChars="100"/>
        <w:contextualSpacing/>
        <w:jc w:val="left"/>
        <w:rPr>
          <w:rFonts w:ascii="宋体" w:hAnsi="宋体"/>
          <w:bCs/>
          <w:sz w:val="24"/>
        </w:rPr>
      </w:pPr>
      <w:r>
        <w:rPr>
          <w:rFonts w:hint="eastAsia" w:ascii="宋体" w:hAnsi="宋体"/>
          <w:bCs/>
          <w:sz w:val="24"/>
        </w:rPr>
        <w:t>五、供应商廉洁自律承诺书</w:t>
      </w:r>
      <w:r>
        <w:rPr>
          <w:rFonts w:ascii="宋体" w:hAnsi="宋体"/>
          <w:bCs/>
          <w:sz w:val="24"/>
        </w:rPr>
        <w:t>………………………………………………………</w:t>
      </w:r>
      <w:r>
        <w:rPr>
          <w:rFonts w:hint="eastAsia" w:ascii="宋体" w:hAnsi="宋体"/>
          <w:bCs/>
          <w:sz w:val="24"/>
        </w:rPr>
        <w:t>14</w:t>
      </w:r>
    </w:p>
    <w:p w14:paraId="05BF3396">
      <w:pPr>
        <w:spacing w:line="360" w:lineRule="auto"/>
        <w:contextualSpacing/>
        <w:jc w:val="center"/>
        <w:rPr>
          <w:rFonts w:ascii="宋体" w:hAnsi="宋体"/>
          <w:bCs/>
          <w:sz w:val="24"/>
        </w:rPr>
      </w:pPr>
    </w:p>
    <w:p w14:paraId="367174C6">
      <w:pPr>
        <w:rPr>
          <w:rFonts w:ascii="宋体" w:hAnsi="宋体"/>
          <w:sz w:val="30"/>
          <w:szCs w:val="30"/>
        </w:rPr>
      </w:pPr>
    </w:p>
    <w:p w14:paraId="1AF852F4">
      <w:pPr>
        <w:spacing w:line="360" w:lineRule="auto"/>
        <w:jc w:val="center"/>
      </w:pPr>
      <w:bookmarkStart w:id="1" w:name="_Toc39744251"/>
    </w:p>
    <w:p w14:paraId="79FC9793">
      <w:pPr>
        <w:spacing w:line="360" w:lineRule="auto"/>
        <w:jc w:val="center"/>
      </w:pPr>
    </w:p>
    <w:p w14:paraId="5A5CA458">
      <w:pPr>
        <w:spacing w:line="360" w:lineRule="auto"/>
        <w:jc w:val="center"/>
      </w:pPr>
    </w:p>
    <w:p w14:paraId="73B134DF">
      <w:pPr>
        <w:spacing w:line="360" w:lineRule="auto"/>
        <w:jc w:val="center"/>
      </w:pPr>
    </w:p>
    <w:p w14:paraId="4D167550">
      <w:pPr>
        <w:spacing w:line="360" w:lineRule="auto"/>
        <w:jc w:val="center"/>
      </w:pPr>
    </w:p>
    <w:p w14:paraId="43F0D37A">
      <w:pPr>
        <w:spacing w:line="360" w:lineRule="auto"/>
        <w:jc w:val="center"/>
      </w:pPr>
    </w:p>
    <w:p w14:paraId="1B4A1629">
      <w:pPr>
        <w:spacing w:line="360" w:lineRule="auto"/>
        <w:jc w:val="center"/>
      </w:pPr>
    </w:p>
    <w:p w14:paraId="18622109">
      <w:pPr>
        <w:spacing w:line="360" w:lineRule="auto"/>
        <w:jc w:val="center"/>
      </w:pPr>
    </w:p>
    <w:p w14:paraId="0022F341">
      <w:pPr>
        <w:spacing w:line="360" w:lineRule="auto"/>
        <w:jc w:val="center"/>
      </w:pPr>
    </w:p>
    <w:p w14:paraId="451493A4">
      <w:pPr>
        <w:spacing w:line="360" w:lineRule="auto"/>
        <w:jc w:val="center"/>
      </w:pPr>
    </w:p>
    <w:p w14:paraId="0891882F">
      <w:pPr>
        <w:spacing w:line="360" w:lineRule="auto"/>
        <w:jc w:val="center"/>
      </w:pPr>
    </w:p>
    <w:p w14:paraId="123A249E">
      <w:pPr>
        <w:spacing w:line="360" w:lineRule="auto"/>
        <w:jc w:val="center"/>
      </w:pPr>
    </w:p>
    <w:p w14:paraId="1310ED94">
      <w:pPr>
        <w:spacing w:line="360" w:lineRule="auto"/>
        <w:jc w:val="center"/>
      </w:pPr>
    </w:p>
    <w:p w14:paraId="6616EBF0">
      <w:pPr>
        <w:spacing w:line="360" w:lineRule="auto"/>
        <w:jc w:val="center"/>
      </w:pPr>
    </w:p>
    <w:p w14:paraId="52B312C0">
      <w:pPr>
        <w:spacing w:line="360" w:lineRule="auto"/>
        <w:jc w:val="center"/>
      </w:pPr>
    </w:p>
    <w:p w14:paraId="4195A262">
      <w:pPr>
        <w:spacing w:line="360" w:lineRule="auto"/>
        <w:jc w:val="center"/>
      </w:pPr>
    </w:p>
    <w:p w14:paraId="3E1A2574">
      <w:pPr>
        <w:spacing w:line="360" w:lineRule="auto"/>
        <w:jc w:val="center"/>
      </w:pPr>
    </w:p>
    <w:p w14:paraId="14685A79">
      <w:pPr>
        <w:spacing w:line="360" w:lineRule="auto"/>
        <w:jc w:val="center"/>
      </w:pPr>
    </w:p>
    <w:p w14:paraId="1E8EF0B7">
      <w:pPr>
        <w:spacing w:line="360" w:lineRule="auto"/>
        <w:jc w:val="center"/>
        <w:rPr>
          <w:rFonts w:ascii="宋体" w:hAnsi="宋体" w:cs="宋体"/>
          <w:b/>
          <w:sz w:val="28"/>
          <w:szCs w:val="20"/>
        </w:rPr>
      </w:pPr>
    </w:p>
    <w:p w14:paraId="4EE48917">
      <w:pPr>
        <w:jc w:val="center"/>
        <w:rPr>
          <w:b/>
          <w:sz w:val="32"/>
          <w:szCs w:val="32"/>
        </w:rPr>
      </w:pPr>
      <w:r>
        <w:rPr>
          <w:rFonts w:hint="eastAsia"/>
          <w:b/>
          <w:sz w:val="32"/>
          <w:szCs w:val="32"/>
        </w:rPr>
        <w:t>一、</w:t>
      </w:r>
      <w:bookmarkEnd w:id="1"/>
      <w:r>
        <w:rPr>
          <w:rFonts w:hint="eastAsia"/>
          <w:b/>
          <w:sz w:val="32"/>
          <w:szCs w:val="32"/>
        </w:rPr>
        <w:t>招标邀请</w:t>
      </w:r>
    </w:p>
    <w:tbl>
      <w:tblPr>
        <w:tblStyle w:val="22"/>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41A7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26F0B437">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67E8D7D6">
            <w:pPr>
              <w:jc w:val="center"/>
              <w:rPr>
                <w:rFonts w:eastAsia="楷体"/>
                <w:b/>
                <w:bCs/>
                <w:sz w:val="44"/>
                <w:szCs w:val="44"/>
              </w:rPr>
            </w:pPr>
            <w:r>
              <w:rPr>
                <w:rFonts w:hint="eastAsia" w:ascii="宋体" w:hAnsi="宋体"/>
                <w:szCs w:val="21"/>
              </w:rPr>
              <w:t>扬州大学附属医院京沪高级医学中心宣传项目</w:t>
            </w:r>
          </w:p>
        </w:tc>
      </w:tr>
      <w:tr w14:paraId="316C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507E5ADD">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7549F1C">
            <w:pPr>
              <w:rPr>
                <w:rFonts w:ascii="宋体" w:hAnsi="宋体"/>
                <w:b/>
                <w:szCs w:val="21"/>
              </w:rPr>
            </w:pPr>
            <w:r>
              <w:rPr>
                <w:rFonts w:hint="eastAsia" w:ascii="宋体" w:hAnsi="宋体"/>
                <w:b/>
                <w:szCs w:val="21"/>
              </w:rPr>
              <w:t>扬州大学附属医院</w:t>
            </w:r>
          </w:p>
        </w:tc>
      </w:tr>
      <w:tr w14:paraId="2975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11448FD2">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180890F5">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4A23EAB5">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44F47B46">
            <w:pPr>
              <w:jc w:val="center"/>
              <w:rPr>
                <w:rFonts w:ascii="宋体" w:hAnsi="宋体"/>
                <w:szCs w:val="21"/>
              </w:rPr>
            </w:pPr>
            <w:r>
              <w:rPr>
                <w:rFonts w:hint="eastAsia" w:ascii="宋体" w:hAnsi="宋体"/>
                <w:szCs w:val="21"/>
              </w:rPr>
              <w:t>合 格</w:t>
            </w:r>
          </w:p>
        </w:tc>
      </w:tr>
      <w:tr w14:paraId="45C7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7F7178A7">
            <w:pPr>
              <w:jc w:val="center"/>
              <w:rPr>
                <w:rFonts w:ascii="宋体" w:hAnsi="宋体"/>
                <w:szCs w:val="21"/>
              </w:rPr>
            </w:pPr>
            <w:r>
              <w:rPr>
                <w:rFonts w:hint="eastAsia" w:ascii="宋体" w:hAnsi="宋体"/>
                <w:szCs w:val="21"/>
                <w:lang w:val="en-US" w:eastAsia="zh-CN"/>
              </w:rPr>
              <w:t>项目</w:t>
            </w:r>
            <w:r>
              <w:rPr>
                <w:rFonts w:hint="eastAsia" w:ascii="宋体" w:hAnsi="宋体"/>
                <w:szCs w:val="21"/>
              </w:rPr>
              <w:t>预算</w:t>
            </w:r>
          </w:p>
        </w:tc>
        <w:tc>
          <w:tcPr>
            <w:tcW w:w="1307" w:type="pct"/>
            <w:tcBorders>
              <w:top w:val="single" w:color="auto" w:sz="4" w:space="0"/>
              <w:left w:val="single" w:color="auto" w:sz="4" w:space="0"/>
              <w:bottom w:val="single" w:color="auto" w:sz="4" w:space="0"/>
              <w:right w:val="single" w:color="auto" w:sz="4" w:space="0"/>
            </w:tcBorders>
            <w:vAlign w:val="center"/>
          </w:tcPr>
          <w:p w14:paraId="4E80638D">
            <w:pPr>
              <w:spacing w:line="320" w:lineRule="exact"/>
              <w:rPr>
                <w:rFonts w:ascii="宋体" w:hAnsi="宋体"/>
                <w:szCs w:val="21"/>
              </w:rPr>
            </w:pPr>
            <w:r>
              <w:rPr>
                <w:rFonts w:hint="eastAsia" w:ascii="宋体" w:hAnsi="宋体"/>
                <w:szCs w:val="21"/>
                <w:lang w:val="en-US" w:eastAsia="zh-CN"/>
              </w:rPr>
              <w:t>48</w:t>
            </w:r>
            <w:r>
              <w:rPr>
                <w:rFonts w:hint="eastAsia" w:ascii="宋体" w:hAnsi="宋体"/>
                <w:szCs w:val="21"/>
              </w:rPr>
              <w:t>万元</w:t>
            </w:r>
          </w:p>
        </w:tc>
        <w:tc>
          <w:tcPr>
            <w:tcW w:w="885" w:type="pct"/>
            <w:gridSpan w:val="2"/>
            <w:tcBorders>
              <w:top w:val="single" w:color="auto" w:sz="4" w:space="0"/>
              <w:left w:val="single" w:color="auto" w:sz="4" w:space="0"/>
              <w:right w:val="single" w:color="auto" w:sz="4" w:space="0"/>
            </w:tcBorders>
            <w:vAlign w:val="center"/>
          </w:tcPr>
          <w:p w14:paraId="6F795BDF">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61840CDC">
            <w:pPr>
              <w:jc w:val="center"/>
              <w:rPr>
                <w:rFonts w:ascii="宋体" w:hAnsi="宋体"/>
                <w:szCs w:val="21"/>
              </w:rPr>
            </w:pPr>
            <w:r>
              <w:rPr>
                <w:rFonts w:hint="eastAsia" w:ascii="宋体" w:hAnsi="宋体"/>
                <w:szCs w:val="21"/>
              </w:rPr>
              <w:t>/</w:t>
            </w:r>
          </w:p>
        </w:tc>
      </w:tr>
      <w:tr w14:paraId="5B79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D47202B">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AD50F21">
            <w:pPr>
              <w:spacing w:line="360" w:lineRule="auto"/>
              <w:rPr>
                <w:rFonts w:ascii="宋体" w:hAnsi="宋体"/>
                <w:szCs w:val="21"/>
              </w:rPr>
            </w:pPr>
            <w:r>
              <w:rPr>
                <w:rFonts w:hint="eastAsia" w:ascii="宋体" w:hAnsi="宋体"/>
                <w:szCs w:val="21"/>
              </w:rPr>
              <w:t>投标文件正本1份，副本1份；所有投标文件的封面及封袋上都必须加盖投标单位法人公章及其法定代表人或授权委托人的签字。</w:t>
            </w:r>
          </w:p>
        </w:tc>
      </w:tr>
      <w:tr w14:paraId="19F2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3931CFCB">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D0C2D94">
            <w:pPr>
              <w:spacing w:line="360" w:lineRule="auto"/>
              <w:rPr>
                <w:rFonts w:ascii="宋体" w:hAnsi="宋体"/>
                <w:szCs w:val="21"/>
                <w:highlight w:val="yellow"/>
              </w:rPr>
            </w:pPr>
            <w:r>
              <w:rPr>
                <w:rFonts w:hint="eastAsia" w:ascii="宋体" w:hAnsi="宋体"/>
                <w:szCs w:val="21"/>
              </w:rPr>
              <w:t>2025年</w:t>
            </w:r>
            <w:r>
              <w:rPr>
                <w:rFonts w:hint="eastAsia" w:ascii="宋体" w:hAnsi="宋体"/>
                <w:szCs w:val="21"/>
                <w:lang w:val="en-US" w:eastAsia="zh-CN"/>
              </w:rPr>
              <w:t>5</w:t>
            </w:r>
            <w:r>
              <w:rPr>
                <w:rFonts w:hint="eastAsia" w:ascii="宋体" w:hAnsi="宋体"/>
                <w:szCs w:val="21"/>
              </w:rPr>
              <w:t>月1</w:t>
            </w:r>
            <w:r>
              <w:rPr>
                <w:rFonts w:hint="eastAsia" w:ascii="宋体" w:hAnsi="宋体"/>
                <w:szCs w:val="21"/>
                <w:lang w:val="en-US" w:eastAsia="zh-CN"/>
              </w:rPr>
              <w:t>9</w:t>
            </w:r>
            <w:r>
              <w:rPr>
                <w:rFonts w:hint="eastAsia" w:ascii="宋体" w:hAnsi="宋体"/>
                <w:szCs w:val="21"/>
              </w:rPr>
              <w:t>日17：00</w:t>
            </w:r>
          </w:p>
        </w:tc>
      </w:tr>
      <w:tr w14:paraId="4A8E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6D35E5E0">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0D1AC2F4">
            <w:pPr>
              <w:spacing w:line="360" w:lineRule="auto"/>
              <w:rPr>
                <w:rFonts w:ascii="宋体" w:hAnsi="宋体"/>
                <w:szCs w:val="21"/>
              </w:rPr>
            </w:pPr>
            <w:r>
              <w:rPr>
                <w:rFonts w:hint="eastAsia" w:ascii="宋体" w:hAnsi="宋体"/>
                <w:szCs w:val="21"/>
              </w:rPr>
              <w:t>扬大附院西区行政楼407办公室</w:t>
            </w:r>
          </w:p>
        </w:tc>
      </w:tr>
      <w:tr w14:paraId="1F0F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FBC42ED">
            <w:pPr>
              <w:spacing w:line="360" w:lineRule="auto"/>
              <w:jc w:val="center"/>
              <w:rPr>
                <w:rFonts w:ascii="宋体" w:hAnsi="宋体" w:eastAsia="微软雅黑"/>
                <w:szCs w:val="21"/>
              </w:rPr>
            </w:pPr>
            <w:r>
              <w:rPr>
                <w:rFonts w:hint="eastAsia" w:ascii="宋体" w:hAnsi="宋体"/>
                <w:szCs w:val="21"/>
              </w:rPr>
              <w:t>开标时间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12F1EA43">
            <w:pPr>
              <w:spacing w:line="360" w:lineRule="auto"/>
              <w:jc w:val="center"/>
              <w:rPr>
                <w:rFonts w:ascii="宋体" w:hAnsi="宋体"/>
                <w:b/>
                <w:szCs w:val="21"/>
              </w:rPr>
            </w:pPr>
            <w:r>
              <w:rPr>
                <w:rFonts w:hint="eastAsia" w:ascii="宋体" w:hAnsi="宋体"/>
                <w:b/>
                <w:szCs w:val="21"/>
              </w:rPr>
              <w:t>2025.</w:t>
            </w:r>
            <w:r>
              <w:rPr>
                <w:rFonts w:hint="eastAsia" w:ascii="宋体" w:hAnsi="宋体"/>
                <w:b/>
                <w:szCs w:val="21"/>
                <w:lang w:val="en-US" w:eastAsia="zh-CN"/>
              </w:rPr>
              <w:t>5</w:t>
            </w:r>
            <w:r>
              <w:rPr>
                <w:rFonts w:hint="eastAsia" w:ascii="宋体" w:hAnsi="宋体"/>
                <w:b/>
                <w:szCs w:val="21"/>
              </w:rPr>
              <w:t>.</w:t>
            </w:r>
            <w:r>
              <w:rPr>
                <w:rFonts w:hint="eastAsia" w:ascii="宋体" w:hAnsi="宋体"/>
                <w:b/>
                <w:szCs w:val="21"/>
                <w:lang w:val="en-US" w:eastAsia="zh-CN"/>
              </w:rPr>
              <w:t>20</w:t>
            </w:r>
            <w:r>
              <w:rPr>
                <w:rFonts w:hint="eastAsia" w:ascii="宋体" w:hAnsi="宋体"/>
                <w:b/>
                <w:szCs w:val="21"/>
              </w:rPr>
              <w:t xml:space="preserve">   </w:t>
            </w:r>
            <w:r>
              <w:rPr>
                <w:rFonts w:hint="eastAsia" w:ascii="宋体" w:hAnsi="宋体"/>
                <w:b/>
                <w:szCs w:val="21"/>
                <w:lang w:val="en-US" w:eastAsia="zh-CN"/>
              </w:rPr>
              <w:t>8</w:t>
            </w:r>
            <w:r>
              <w:rPr>
                <w:rFonts w:hint="eastAsia" w:ascii="宋体" w:hAnsi="宋体"/>
                <w:b/>
                <w:szCs w:val="21"/>
              </w:rPr>
              <w:t>：30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08568FDC">
            <w:pPr>
              <w:spacing w:line="360" w:lineRule="auto"/>
              <w:jc w:val="center"/>
              <w:rPr>
                <w:rFonts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6561E1BB">
            <w:pPr>
              <w:spacing w:line="360" w:lineRule="auto"/>
              <w:jc w:val="center"/>
              <w:rPr>
                <w:rFonts w:asciiTheme="minorEastAsia" w:hAnsiTheme="minorEastAsia" w:eastAsiaTheme="minorEastAsia"/>
                <w:szCs w:val="21"/>
              </w:rPr>
            </w:pPr>
            <w:r>
              <w:rPr>
                <w:rFonts w:hint="eastAsia" w:ascii="宋体" w:hAnsi="宋体"/>
                <w:b/>
                <w:szCs w:val="21"/>
              </w:rPr>
              <w:t>扬大附院西区行政楼407室</w:t>
            </w:r>
          </w:p>
        </w:tc>
      </w:tr>
      <w:tr w14:paraId="7507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A77D9BD">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9FA9115">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2E633642">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670D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D131A67">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EB46DD1">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6D78D05A">
      <w:pPr>
        <w:ind w:firstLine="4176" w:firstLineChars="1300"/>
        <w:rPr>
          <w:b/>
          <w:sz w:val="32"/>
          <w:szCs w:val="32"/>
        </w:rPr>
      </w:pPr>
      <w:bookmarkStart w:id="2" w:name="_Toc39744253"/>
    </w:p>
    <w:p w14:paraId="35B54AAA">
      <w:pPr>
        <w:ind w:firstLine="4176" w:firstLineChars="1300"/>
        <w:rPr>
          <w:b/>
          <w:sz w:val="32"/>
          <w:szCs w:val="32"/>
        </w:rPr>
      </w:pPr>
    </w:p>
    <w:p w14:paraId="1C21B7B4">
      <w:pPr>
        <w:ind w:firstLine="4176" w:firstLineChars="1300"/>
        <w:rPr>
          <w:b/>
          <w:sz w:val="32"/>
          <w:szCs w:val="32"/>
        </w:rPr>
      </w:pPr>
    </w:p>
    <w:p w14:paraId="5C5CE935">
      <w:pPr>
        <w:ind w:firstLine="4176" w:firstLineChars="1300"/>
        <w:rPr>
          <w:b/>
          <w:sz w:val="32"/>
          <w:szCs w:val="32"/>
        </w:rPr>
      </w:pPr>
    </w:p>
    <w:p w14:paraId="342BBA5E">
      <w:pPr>
        <w:ind w:firstLine="4176" w:firstLineChars="1300"/>
        <w:rPr>
          <w:b/>
          <w:sz w:val="32"/>
          <w:szCs w:val="32"/>
        </w:rPr>
      </w:pPr>
    </w:p>
    <w:p w14:paraId="10654A55">
      <w:pPr>
        <w:ind w:firstLine="4176" w:firstLineChars="1300"/>
        <w:rPr>
          <w:b/>
          <w:sz w:val="32"/>
          <w:szCs w:val="32"/>
        </w:rPr>
      </w:pPr>
    </w:p>
    <w:p w14:paraId="20DA9644">
      <w:pPr>
        <w:ind w:firstLine="4176" w:firstLineChars="1300"/>
        <w:rPr>
          <w:b/>
          <w:sz w:val="32"/>
          <w:szCs w:val="32"/>
        </w:rPr>
      </w:pPr>
    </w:p>
    <w:p w14:paraId="06A30D4F">
      <w:pPr>
        <w:ind w:firstLine="4176" w:firstLineChars="1300"/>
        <w:rPr>
          <w:b/>
          <w:sz w:val="32"/>
          <w:szCs w:val="32"/>
        </w:rPr>
      </w:pPr>
    </w:p>
    <w:p w14:paraId="0BF8DA2D">
      <w:pPr>
        <w:ind w:firstLine="4176" w:firstLineChars="1300"/>
        <w:rPr>
          <w:b/>
          <w:sz w:val="32"/>
          <w:szCs w:val="32"/>
        </w:rPr>
      </w:pPr>
    </w:p>
    <w:p w14:paraId="292EDFE5">
      <w:pPr>
        <w:pStyle w:val="28"/>
      </w:pPr>
    </w:p>
    <w:p w14:paraId="2139BD4F">
      <w:pPr>
        <w:jc w:val="center"/>
        <w:rPr>
          <w:b/>
          <w:sz w:val="32"/>
          <w:szCs w:val="32"/>
        </w:rPr>
      </w:pPr>
      <w:r>
        <w:rPr>
          <w:rFonts w:hint="eastAsia"/>
          <w:b/>
          <w:sz w:val="32"/>
          <w:szCs w:val="32"/>
        </w:rPr>
        <w:t>二、项目需求</w:t>
      </w:r>
    </w:p>
    <w:p w14:paraId="41D3E476">
      <w:pPr>
        <w:spacing w:line="360" w:lineRule="auto"/>
        <w:outlineLvl w:val="2"/>
        <w:rPr>
          <w:rFonts w:ascii="宋体" w:hAnsi="宋体" w:cs="宋体"/>
          <w:b/>
          <w:color w:val="000000"/>
          <w:kern w:val="0"/>
          <w:sz w:val="28"/>
          <w:szCs w:val="28"/>
        </w:rPr>
      </w:pPr>
      <w:r>
        <w:rPr>
          <w:rFonts w:hint="eastAsia" w:ascii="宋体" w:hAnsi="宋体" w:cs="宋体"/>
          <w:b/>
          <w:color w:val="000000"/>
          <w:kern w:val="0"/>
          <w:sz w:val="28"/>
          <w:szCs w:val="28"/>
        </w:rPr>
        <w:t>一、项目概况</w:t>
      </w:r>
    </w:p>
    <w:p w14:paraId="334E2838">
      <w:pPr>
        <w:spacing w:line="360" w:lineRule="auto"/>
        <w:ind w:firstLine="420" w:firstLineChars="200"/>
        <w:outlineLvl w:val="2"/>
        <w:rPr>
          <w:rFonts w:hint="eastAsia" w:ascii="宋体" w:hAnsi="宋体" w:cs="宋体"/>
          <w:kern w:val="0"/>
          <w:lang w:val="en-US" w:eastAsia="zh-CN"/>
        </w:rPr>
      </w:pPr>
      <w:r>
        <w:rPr>
          <w:rFonts w:hint="eastAsia" w:ascii="宋体" w:hAnsi="宋体" w:cs="宋体"/>
          <w:kern w:val="0"/>
          <w:lang w:val="en-US" w:eastAsia="zh-CN"/>
        </w:rPr>
        <w:t>“京沪高级医学中心”建设是2025年医院重点工作之一，旨在通过聚焦国内医疗行业顶尖的高级医疗团队的专家，以全新理念建立并实施以“病人为中心”的管理及运营机制，打造具有显著特色的区域性高级医学诊疗中心和高级医学人才培养中心，为附院高质量发展赋能。</w:t>
      </w:r>
    </w:p>
    <w:p w14:paraId="1742C1B2">
      <w:pPr>
        <w:spacing w:line="360" w:lineRule="auto"/>
        <w:ind w:firstLine="420" w:firstLineChars="200"/>
        <w:outlineLvl w:val="2"/>
        <w:rPr>
          <w:rFonts w:hint="eastAsia" w:ascii="宋体" w:hAnsi="宋体" w:cs="宋体"/>
          <w:kern w:val="0"/>
        </w:rPr>
      </w:pPr>
      <w:r>
        <w:rPr>
          <w:rFonts w:hint="eastAsia" w:ascii="宋体" w:hAnsi="宋体" w:cs="宋体"/>
          <w:kern w:val="0"/>
          <w:lang w:val="en-US" w:eastAsia="zh-CN"/>
        </w:rPr>
        <w:t>为进一步推动京沪高级医学中心实体化运营，</w:t>
      </w:r>
      <w:r>
        <w:rPr>
          <w:rFonts w:hint="default" w:ascii="宋体" w:hAnsi="宋体" w:cs="宋体"/>
          <w:kern w:val="0"/>
          <w:lang w:val="en-US" w:eastAsia="zh-CN"/>
        </w:rPr>
        <w:t>提升中心的知名度和影响力，吸引更多患者选择在京沪高级医学中心就医，</w:t>
      </w:r>
      <w:r>
        <w:rPr>
          <w:rFonts w:hint="eastAsia" w:ascii="宋体" w:hAnsi="宋体" w:cs="宋体"/>
          <w:kern w:val="0"/>
          <w:lang w:val="en-US" w:eastAsia="zh-CN"/>
        </w:rPr>
        <w:t>同时通过对中心的宣传推广，打造具有扬大附院特色的医院品牌，扩大区域影响辐射力，拟引进专业宣传策划团队，</w:t>
      </w:r>
      <w:r>
        <w:rPr>
          <w:rFonts w:hint="default" w:ascii="宋体" w:hAnsi="宋体" w:cs="宋体"/>
          <w:kern w:val="0"/>
          <w:lang w:val="en-US" w:eastAsia="zh-CN"/>
        </w:rPr>
        <w:t>开展包括社交媒体运营和网络</w:t>
      </w:r>
      <w:r>
        <w:rPr>
          <w:rFonts w:hint="eastAsia" w:ascii="宋体" w:hAnsi="宋体" w:cs="宋体"/>
          <w:kern w:val="0"/>
          <w:lang w:val="en-US" w:eastAsia="zh-CN"/>
        </w:rPr>
        <w:t>宣传推广服务等全方位系统的宣传工作</w:t>
      </w:r>
      <w:r>
        <w:rPr>
          <w:rFonts w:hint="default" w:ascii="宋体" w:hAnsi="宋体" w:cs="宋体"/>
          <w:kern w:val="0"/>
          <w:lang w:val="en-US" w:eastAsia="zh-CN"/>
        </w:rPr>
        <w:t>。</w:t>
      </w:r>
    </w:p>
    <w:p w14:paraId="4058597F">
      <w:pPr>
        <w:spacing w:line="360" w:lineRule="auto"/>
        <w:outlineLvl w:val="2"/>
        <w:rPr>
          <w:rFonts w:ascii="宋体" w:hAnsi="宋体" w:cs="宋体"/>
          <w:b/>
          <w:kern w:val="0"/>
          <w:sz w:val="28"/>
          <w:szCs w:val="28"/>
        </w:rPr>
      </w:pPr>
      <w:r>
        <w:rPr>
          <w:rFonts w:hint="eastAsia" w:ascii="宋体" w:hAnsi="宋体" w:cs="宋体"/>
          <w:b/>
          <w:kern w:val="0"/>
          <w:sz w:val="28"/>
          <w:szCs w:val="28"/>
        </w:rPr>
        <w:t xml:space="preserve">   二、项目内容</w:t>
      </w:r>
    </w:p>
    <w:p w14:paraId="0C35B0EC">
      <w:pPr>
        <w:keepNext w:val="0"/>
        <w:keepLines w:val="0"/>
        <w:pageBreakBefore w:val="0"/>
        <w:widowControl w:val="0"/>
        <w:kinsoku/>
        <w:wordWrap/>
        <w:overflowPunct/>
        <w:topLinePunct w:val="0"/>
        <w:autoSpaceDE/>
        <w:autoSpaceDN/>
        <w:bidi w:val="0"/>
        <w:adjustRightInd/>
        <w:snapToGrid/>
        <w:spacing w:line="360" w:lineRule="auto"/>
        <w:ind w:firstLine="426" w:firstLineChars="202"/>
        <w:textAlignment w:val="auto"/>
        <w:outlineLvl w:val="1"/>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（一）推广渠道</w:t>
      </w:r>
    </w:p>
    <w:p w14:paraId="74DDB5FD">
      <w:pPr>
        <w:keepNext w:val="0"/>
        <w:keepLines w:val="0"/>
        <w:pageBreakBefore w:val="0"/>
        <w:widowControl w:val="0"/>
        <w:kinsoku/>
        <w:wordWrap/>
        <w:overflowPunct/>
        <w:topLinePunct w:val="0"/>
        <w:autoSpaceDE/>
        <w:autoSpaceDN/>
        <w:bidi w:val="0"/>
        <w:adjustRightInd/>
        <w:snapToGrid/>
        <w:spacing w:line="360" w:lineRule="auto"/>
        <w:ind w:firstLine="426" w:firstLineChars="202"/>
        <w:textAlignment w:val="auto"/>
        <w:outlineLvl w:val="2"/>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1.全媒体平台</w:t>
      </w:r>
    </w:p>
    <w:p w14:paraId="5E9C7A95">
      <w:pPr>
        <w:keepNext w:val="0"/>
        <w:keepLines w:val="0"/>
        <w:pageBreakBefore w:val="0"/>
        <w:widowControl w:val="0"/>
        <w:kinsoku/>
        <w:wordWrap/>
        <w:overflowPunct/>
        <w:topLinePunct w:val="0"/>
        <w:autoSpaceDE/>
        <w:autoSpaceDN/>
        <w:bidi w:val="0"/>
        <w:adjustRightInd/>
        <w:snapToGrid/>
        <w:spacing w:line="360" w:lineRule="auto"/>
        <w:ind w:firstLine="426" w:firstLineChars="202"/>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（1）传统媒体</w:t>
      </w:r>
      <w:bookmarkStart w:id="3" w:name="OLE_LINK1"/>
      <w:r>
        <w:rPr>
          <w:rFonts w:hint="eastAsia" w:asciiTheme="minorEastAsia" w:hAnsiTheme="minorEastAsia" w:eastAsiaTheme="minorEastAsia" w:cstheme="minorEastAsia"/>
          <w:b/>
          <w:bCs/>
          <w:sz w:val="21"/>
          <w:szCs w:val="21"/>
          <w:lang w:val="en-US" w:eastAsia="zh-CN"/>
        </w:rPr>
        <w:t>：广播、电视、报刊</w:t>
      </w:r>
      <w:bookmarkEnd w:id="3"/>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sz w:val="21"/>
          <w:szCs w:val="21"/>
          <w:lang w:val="en-US" w:eastAsia="zh-CN"/>
        </w:rPr>
        <w:t>通过传统媒体平台，制作和发布京沪高级医学中心的专题节目、新闻信息、医患故事、科普知识等，扩大宣传范围。</w:t>
      </w:r>
    </w:p>
    <w:p w14:paraId="24F09757">
      <w:pPr>
        <w:keepNext w:val="0"/>
        <w:keepLines w:val="0"/>
        <w:pageBreakBefore w:val="0"/>
        <w:widowControl w:val="0"/>
        <w:kinsoku/>
        <w:wordWrap/>
        <w:overflowPunct/>
        <w:topLinePunct w:val="0"/>
        <w:autoSpaceDE/>
        <w:autoSpaceDN/>
        <w:bidi w:val="0"/>
        <w:adjustRightInd/>
        <w:snapToGrid/>
        <w:spacing w:line="360" w:lineRule="auto"/>
        <w:ind w:firstLine="426" w:firstLineChars="202"/>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（2）新媒体：</w:t>
      </w:r>
      <w:bookmarkStart w:id="4" w:name="OLE_LINK7"/>
      <w:r>
        <w:rPr>
          <w:rFonts w:hint="eastAsia" w:asciiTheme="minorEastAsia" w:hAnsiTheme="minorEastAsia" w:eastAsiaTheme="minorEastAsia" w:cstheme="minorEastAsia"/>
          <w:b/>
          <w:bCs/>
          <w:sz w:val="21"/>
          <w:szCs w:val="21"/>
          <w:lang w:val="en-US" w:eastAsia="zh-CN"/>
        </w:rPr>
        <w:t>微信公众号、微信视频号、</w:t>
      </w:r>
      <w:bookmarkStart w:id="5" w:name="OLE_LINK4"/>
      <w:r>
        <w:rPr>
          <w:rFonts w:hint="eastAsia" w:asciiTheme="minorEastAsia" w:hAnsiTheme="minorEastAsia" w:eastAsiaTheme="minorEastAsia" w:cstheme="minorEastAsia"/>
          <w:b/>
          <w:bCs/>
          <w:sz w:val="21"/>
          <w:szCs w:val="21"/>
          <w:lang w:val="en-US" w:eastAsia="zh-CN"/>
        </w:rPr>
        <w:t>抖音、快手、小红书及相关媒体客户端</w:t>
      </w:r>
      <w:bookmarkEnd w:id="5"/>
      <w:r>
        <w:rPr>
          <w:rFonts w:hint="eastAsia" w:asciiTheme="minorEastAsia" w:hAnsiTheme="minorEastAsia" w:eastAsiaTheme="minorEastAsia" w:cstheme="minorEastAsia"/>
          <w:b/>
          <w:bCs/>
          <w:sz w:val="21"/>
          <w:szCs w:val="21"/>
          <w:lang w:val="en-US" w:eastAsia="zh-CN"/>
        </w:rPr>
        <w:t>等</w:t>
      </w:r>
      <w:bookmarkEnd w:id="4"/>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sz w:val="21"/>
          <w:szCs w:val="21"/>
          <w:lang w:val="en-US" w:eastAsia="zh-CN"/>
        </w:rPr>
        <w:t>建立并持续优化高级医学中心的微信公众号、视频号，确保信息准确、丰富，并且具备良好的用户体验。利用抖音、快手、小红书及相关媒体客户端，定期发布医学中心的最新研究成果和病例分析、医疗动态、健康科普知识、专家讲座视频等，吸引用户关注和互动，树立医学中心的专业形象，提高在行业内的知名度。</w:t>
      </w:r>
    </w:p>
    <w:p w14:paraId="40B26C9B">
      <w:pPr>
        <w:keepNext w:val="0"/>
        <w:keepLines w:val="0"/>
        <w:pageBreakBefore w:val="0"/>
        <w:widowControl w:val="0"/>
        <w:kinsoku/>
        <w:wordWrap/>
        <w:overflowPunct/>
        <w:topLinePunct w:val="0"/>
        <w:autoSpaceDE/>
        <w:autoSpaceDN/>
        <w:bidi w:val="0"/>
        <w:adjustRightInd/>
        <w:snapToGrid/>
        <w:spacing w:line="360" w:lineRule="auto"/>
        <w:ind w:firstLine="426" w:firstLineChars="202"/>
        <w:textAlignment w:val="auto"/>
        <w:outlineLvl w:val="2"/>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2.特定社群</w:t>
      </w:r>
    </w:p>
    <w:p w14:paraId="22061ABB">
      <w:pPr>
        <w:keepNext w:val="0"/>
        <w:keepLines w:val="0"/>
        <w:pageBreakBefore w:val="0"/>
        <w:widowControl w:val="0"/>
        <w:kinsoku/>
        <w:wordWrap/>
        <w:overflowPunct/>
        <w:topLinePunct w:val="0"/>
        <w:autoSpaceDE/>
        <w:autoSpaceDN/>
        <w:bidi w:val="0"/>
        <w:adjustRightInd/>
        <w:snapToGrid/>
        <w:spacing w:line="360" w:lineRule="auto"/>
        <w:ind w:firstLine="426" w:firstLineChars="202"/>
        <w:textAlignment w:val="auto"/>
        <w:rPr>
          <w:rFonts w:hint="eastAsia" w:asciiTheme="minorEastAsia" w:hAnsiTheme="minorEastAsia" w:eastAsiaTheme="minorEastAsia" w:cstheme="minorEastAsia"/>
          <w:color w:val="auto"/>
          <w:sz w:val="21"/>
          <w:szCs w:val="21"/>
          <w:lang w:val="en-US" w:eastAsia="zh-CN"/>
        </w:rPr>
      </w:pPr>
      <w:bookmarkStart w:id="6" w:name="OLE_LINK5"/>
      <w:r>
        <w:rPr>
          <w:rFonts w:hint="eastAsia" w:asciiTheme="minorEastAsia" w:hAnsiTheme="minorEastAsia" w:eastAsiaTheme="minorEastAsia" w:cstheme="minorEastAsia"/>
          <w:b/>
          <w:bCs/>
          <w:color w:val="auto"/>
          <w:sz w:val="21"/>
          <w:szCs w:val="21"/>
          <w:lang w:val="en-US" w:eastAsia="zh-CN"/>
        </w:rPr>
        <w:t>（1）</w:t>
      </w:r>
      <w:bookmarkEnd w:id="6"/>
      <w:r>
        <w:rPr>
          <w:rFonts w:hint="eastAsia" w:asciiTheme="minorEastAsia" w:hAnsiTheme="minorEastAsia" w:eastAsiaTheme="minorEastAsia" w:cstheme="minorEastAsia"/>
          <w:b/>
          <w:bCs/>
          <w:color w:val="auto"/>
          <w:sz w:val="21"/>
          <w:szCs w:val="21"/>
          <w:lang w:val="en-US" w:eastAsia="zh-CN"/>
        </w:rPr>
        <w:t>患者社群。</w:t>
      </w:r>
      <w:r>
        <w:rPr>
          <w:rFonts w:hint="eastAsia" w:asciiTheme="minorEastAsia" w:hAnsiTheme="minorEastAsia" w:eastAsiaTheme="minorEastAsia" w:cstheme="minorEastAsia"/>
          <w:color w:val="auto"/>
          <w:sz w:val="21"/>
          <w:szCs w:val="21"/>
          <w:lang w:val="en-US" w:eastAsia="zh-CN"/>
        </w:rPr>
        <w:t>加入各类患者交流群、病友群等，定期分享医学中心的治疗案例、康复经验等，为患者提供帮助和支持，同时宣传医学中心的专业优势。组织线上、线下的患者交流活动，邀请医学中心的专家参与，解答患者的问题，增强患者对医学中心的信任感。</w:t>
      </w:r>
    </w:p>
    <w:p w14:paraId="4DB7C2AD">
      <w:pPr>
        <w:keepNext w:val="0"/>
        <w:keepLines w:val="0"/>
        <w:pageBreakBefore w:val="0"/>
        <w:widowControl w:val="0"/>
        <w:kinsoku/>
        <w:wordWrap/>
        <w:overflowPunct/>
        <w:topLinePunct w:val="0"/>
        <w:autoSpaceDE/>
        <w:autoSpaceDN/>
        <w:bidi w:val="0"/>
        <w:adjustRightInd/>
        <w:snapToGrid/>
        <w:spacing w:line="360" w:lineRule="auto"/>
        <w:ind w:firstLine="426" w:firstLineChars="202"/>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（2）医疗专业人士社群。</w:t>
      </w:r>
      <w:r>
        <w:rPr>
          <w:rFonts w:hint="eastAsia" w:asciiTheme="minorEastAsia" w:hAnsiTheme="minorEastAsia" w:eastAsiaTheme="minorEastAsia" w:cstheme="minorEastAsia"/>
          <w:color w:val="auto"/>
          <w:sz w:val="21"/>
          <w:szCs w:val="21"/>
          <w:lang w:val="en-US" w:eastAsia="zh-CN"/>
        </w:rPr>
        <w:t>加入医学学术群、专业论坛等，与同行交流最新的医疗技术和发展趋势，展示医学中心的科研实力和临床经验。定期举办学术研讨会、病例讨论会等活动，邀请国内外知名专家参与，提高医学中心在医疗行业内的影响力。</w:t>
      </w:r>
    </w:p>
    <w:p w14:paraId="3119AF99">
      <w:pPr>
        <w:keepNext w:val="0"/>
        <w:keepLines w:val="0"/>
        <w:pageBreakBefore w:val="0"/>
        <w:widowControl w:val="0"/>
        <w:kinsoku/>
        <w:wordWrap/>
        <w:overflowPunct/>
        <w:topLinePunct w:val="0"/>
        <w:autoSpaceDE/>
        <w:autoSpaceDN/>
        <w:bidi w:val="0"/>
        <w:adjustRightInd/>
        <w:snapToGrid/>
        <w:spacing w:line="360" w:lineRule="auto"/>
        <w:ind w:firstLine="426" w:firstLineChars="202"/>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（3）高端人群社群。</w:t>
      </w:r>
      <w:r>
        <w:rPr>
          <w:rFonts w:hint="eastAsia" w:asciiTheme="minorEastAsia" w:hAnsiTheme="minorEastAsia" w:eastAsiaTheme="minorEastAsia" w:cstheme="minorEastAsia"/>
          <w:sz w:val="21"/>
          <w:szCs w:val="21"/>
          <w:lang w:val="en-US" w:eastAsia="zh-CN"/>
        </w:rPr>
        <w:t>针对高端客户群体，如机关单位公务员、企事业单位、银行、各类商会等人群，开展专属的健康讲座、私人医生服务推广等活动，宣传医学中心的高端医疗服务和个性化健康管理方案，吸引高端客户选择医学中心。</w:t>
      </w:r>
    </w:p>
    <w:p w14:paraId="5ED649A7">
      <w:pPr>
        <w:keepNext w:val="0"/>
        <w:keepLines w:val="0"/>
        <w:pageBreakBefore w:val="0"/>
        <w:widowControl w:val="0"/>
        <w:kinsoku/>
        <w:wordWrap/>
        <w:overflowPunct/>
        <w:topLinePunct w:val="0"/>
        <w:autoSpaceDE/>
        <w:autoSpaceDN/>
        <w:bidi w:val="0"/>
        <w:adjustRightInd/>
        <w:snapToGrid/>
        <w:spacing w:line="360" w:lineRule="auto"/>
        <w:ind w:firstLine="426" w:firstLineChars="202"/>
        <w:textAlignment w:val="auto"/>
        <w:outlineLvl w:val="1"/>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（二）推广周期</w:t>
      </w:r>
    </w:p>
    <w:p w14:paraId="0A4E70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拟以1年为一推广周期，可分为预热期、开业期、持续期等三个宣传推广阶段。</w:t>
      </w:r>
    </w:p>
    <w:p w14:paraId="1589AD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1.预热期（开业前1个月）。</w:t>
      </w:r>
      <w:r>
        <w:rPr>
          <w:rFonts w:hint="eastAsia" w:asciiTheme="minorEastAsia" w:hAnsiTheme="minorEastAsia" w:eastAsiaTheme="minorEastAsia" w:cstheme="minorEastAsia"/>
          <w:sz w:val="21"/>
          <w:szCs w:val="21"/>
          <w:lang w:val="en-US" w:eastAsia="zh-CN"/>
        </w:rPr>
        <w:t>完成医学中心社交媒体账号的建立与完善。制定并发布第一批宣传内容，包括医学中心的介绍、专家团队展示、特色科室介绍等。开始在各类媒体平台上进行内容投放，提高医学中心的知名度。加入部分患者社群和医疗专业人士社群，积极参与讨论，树立良好的形象。</w:t>
      </w:r>
    </w:p>
    <w:p w14:paraId="1FD48C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2.开业期（1-3 个月）。</w:t>
      </w:r>
      <w:r>
        <w:rPr>
          <w:rFonts w:hint="eastAsia" w:asciiTheme="minorEastAsia" w:hAnsiTheme="minorEastAsia" w:eastAsiaTheme="minorEastAsia" w:cstheme="minorEastAsia"/>
          <w:sz w:val="21"/>
          <w:szCs w:val="21"/>
          <w:lang w:val="en-US" w:eastAsia="zh-CN"/>
        </w:rPr>
        <w:t>根据初期的宣传效果，调整宣传策略和内容。增加健康科普知识、患者案例分享等内容的发布频率，提高用户对医学中心的关注度和信任度。举办第一次线下患者交流活动和学术研讨会，邀请相关人士参与，扩大医学中心的影响力。进一步拓展推广渠道，加入更多的特定社群，如高端人群社群等。</w:t>
      </w:r>
    </w:p>
    <w:p w14:paraId="03C929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3.持续期（4-12 个月）。</w:t>
      </w:r>
      <w:r>
        <w:rPr>
          <w:rFonts w:hint="eastAsia" w:asciiTheme="minorEastAsia" w:hAnsiTheme="minorEastAsia" w:eastAsiaTheme="minorEastAsia" w:cstheme="minorEastAsia"/>
          <w:sz w:val="21"/>
          <w:szCs w:val="21"/>
          <w:lang w:val="en-US" w:eastAsia="zh-CN"/>
        </w:rPr>
        <w:t>持续优化和更新宣传内容，保持医学中心在各大媒体平台上的活跃度。定期举办各类线上线下活动，如健康讲座、义诊活动、学术交流等，不断提升医学中心的知名度和美誉度。加强与各类合作伙伴的沟通和合作，共同开展宣传推广活动，实现互利共赢。</w:t>
      </w:r>
    </w:p>
    <w:p w14:paraId="2AFF76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（三）推广形式</w:t>
      </w:r>
    </w:p>
    <w:p w14:paraId="2C5DF7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包括专版、图文、海报、视频、漫画、访谈、专栏、Vlog等。</w:t>
      </w:r>
    </w:p>
    <w:p w14:paraId="53ED02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1.内容创作。</w:t>
      </w:r>
      <w:r>
        <w:rPr>
          <w:rFonts w:hint="eastAsia" w:asciiTheme="minorEastAsia" w:hAnsiTheme="minorEastAsia" w:eastAsiaTheme="minorEastAsia" w:cstheme="minorEastAsia"/>
          <w:sz w:val="21"/>
          <w:szCs w:val="21"/>
          <w:lang w:val="en-US" w:eastAsia="zh-CN"/>
        </w:rPr>
        <w:t>撰写高质量的宣传文案，包括医学中心的介绍、专家团队的简介、特色科室的展示、医疗技术的科普等。制作精美的图片、视频等视觉资料，如医学中心的宣传视频、专家讲座视频、手术过程演示视频等，增强宣传的吸引力和感染力。</w:t>
      </w:r>
    </w:p>
    <w:p w14:paraId="5D0BD1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2.投放推广。</w:t>
      </w:r>
      <w:r>
        <w:rPr>
          <w:rFonts w:hint="eastAsia" w:asciiTheme="minorEastAsia" w:hAnsiTheme="minorEastAsia" w:eastAsiaTheme="minorEastAsia" w:cstheme="minorEastAsia"/>
          <w:sz w:val="21"/>
          <w:szCs w:val="21"/>
          <w:lang w:val="en-US" w:eastAsia="zh-CN"/>
        </w:rPr>
        <w:t>根据不同的推广渠道和目标受众，选择合适的形式进行投放。如在搜索引擎上投放关键词，在社交媒体平台上投放信息流，在传统媒体上投放平面内容等。通过精准的内容投放，提高医学中心的曝光率和知名度。</w:t>
      </w:r>
    </w:p>
    <w:p w14:paraId="69FAC9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3.活动策划。</w:t>
      </w:r>
      <w:r>
        <w:rPr>
          <w:rFonts w:hint="eastAsia" w:asciiTheme="minorEastAsia" w:hAnsiTheme="minorEastAsia" w:eastAsiaTheme="minorEastAsia" w:cstheme="minorEastAsia"/>
          <w:sz w:val="21"/>
          <w:szCs w:val="21"/>
          <w:lang w:val="en-US" w:eastAsia="zh-CN"/>
        </w:rPr>
        <w:t>策划并组织各类线上线下活</w:t>
      </w:r>
      <w:r>
        <w:rPr>
          <w:rFonts w:hint="eastAsia" w:asciiTheme="minorEastAsia" w:hAnsiTheme="minorEastAsia" w:eastAsiaTheme="minorEastAsia" w:cstheme="minorEastAsia"/>
          <w:sz w:val="18"/>
          <w:szCs w:val="18"/>
          <w:lang w:val="en-US" w:eastAsia="zh-CN"/>
        </w:rPr>
        <w:t>动，如健康讲座、义诊活动、学术研讨会、病例讨论会等。通过活动的举办，吸引患者和医疗专业人士的关</w:t>
      </w:r>
      <w:r>
        <w:rPr>
          <w:rFonts w:hint="eastAsia" w:asciiTheme="minorEastAsia" w:hAnsiTheme="minorEastAsia" w:eastAsiaTheme="minorEastAsia" w:cstheme="minorEastAsia"/>
          <w:sz w:val="21"/>
          <w:szCs w:val="21"/>
          <w:lang w:val="en-US" w:eastAsia="zh-CN"/>
        </w:rPr>
        <w:t>注和参与，提高医学中心的影响力和口碑。</w:t>
      </w:r>
    </w:p>
    <w:p w14:paraId="34DE64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4.口碑树立。</w:t>
      </w:r>
      <w:r>
        <w:rPr>
          <w:rFonts w:hint="eastAsia" w:asciiTheme="minorEastAsia" w:hAnsiTheme="minorEastAsia" w:eastAsiaTheme="minorEastAsia" w:cstheme="minorEastAsia"/>
          <w:sz w:val="21"/>
          <w:szCs w:val="21"/>
          <w:lang w:val="en-US" w:eastAsia="zh-CN"/>
        </w:rPr>
        <w:t>鼓励患者在各大医疗评价平台上发表对医学中心的评价，提高医学中心的信誉度。邀请行业内的知名专家为医学中心代言，增强医学中心的公信力。通过良好的口碑传播，吸引更多患者选择医学中心。</w:t>
      </w:r>
    </w:p>
    <w:p w14:paraId="260E7B6C">
      <w:pPr>
        <w:keepNext w:val="0"/>
        <w:keepLines w:val="0"/>
        <w:pageBreakBefore w:val="0"/>
        <w:widowControl w:val="0"/>
        <w:kinsoku/>
        <w:wordWrap/>
        <w:overflowPunct/>
        <w:topLinePunct w:val="0"/>
        <w:autoSpaceDE/>
        <w:autoSpaceDN/>
        <w:bidi w:val="0"/>
        <w:adjustRightInd/>
        <w:snapToGrid/>
        <w:spacing w:line="360" w:lineRule="auto"/>
        <w:ind w:firstLine="426" w:firstLineChars="202"/>
        <w:textAlignment w:val="auto"/>
        <w:outlineLvl w:val="1"/>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（四）推广内容</w:t>
      </w:r>
    </w:p>
    <w:p w14:paraId="5AEB3F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1.中心形象宣传片。</w:t>
      </w:r>
      <w:r>
        <w:rPr>
          <w:rFonts w:hint="eastAsia" w:asciiTheme="minorEastAsia" w:hAnsiTheme="minorEastAsia" w:eastAsiaTheme="minorEastAsia" w:cstheme="minorEastAsia"/>
          <w:sz w:val="21"/>
          <w:szCs w:val="21"/>
          <w:lang w:val="en-US" w:eastAsia="zh-CN"/>
        </w:rPr>
        <w:t>介绍医学中心的创办初衷、服务内容、就医环境等，让患者和公众对医学中心有一个全面的了解。</w:t>
      </w:r>
    </w:p>
    <w:p w14:paraId="3BCF64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2.专家个人IP打造。</w:t>
      </w:r>
      <w:r>
        <w:rPr>
          <w:rFonts w:hint="eastAsia" w:asciiTheme="minorEastAsia" w:hAnsiTheme="minorEastAsia" w:eastAsiaTheme="minorEastAsia" w:cstheme="minorEastAsia"/>
          <w:sz w:val="21"/>
          <w:szCs w:val="21"/>
          <w:lang w:val="en-US" w:eastAsia="zh-CN"/>
        </w:rPr>
        <w:t>展示医学中心的专家团队，包括专家简介、专业领域、学术成就等，突出医学中心的人才优势。</w:t>
      </w:r>
    </w:p>
    <w:p w14:paraId="30B86B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3.医疗技术。</w:t>
      </w:r>
      <w:r>
        <w:rPr>
          <w:rFonts w:hint="eastAsia" w:asciiTheme="minorEastAsia" w:hAnsiTheme="minorEastAsia" w:eastAsiaTheme="minorEastAsia" w:cstheme="minorEastAsia"/>
          <w:sz w:val="21"/>
          <w:szCs w:val="21"/>
          <w:lang w:val="en-US" w:eastAsia="zh-CN"/>
        </w:rPr>
        <w:t>宣传医学中心的先进医疗技术、科研成果、临床应用等，如开展的新手术、新的治疗方法等，体现医学中心的技术实力。</w:t>
      </w:r>
    </w:p>
    <w:p w14:paraId="4B24AD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4.健康科普知识。</w:t>
      </w:r>
      <w:r>
        <w:rPr>
          <w:rFonts w:hint="eastAsia" w:asciiTheme="minorEastAsia" w:hAnsiTheme="minorEastAsia" w:eastAsiaTheme="minorEastAsia" w:cstheme="minorEastAsia"/>
          <w:sz w:val="21"/>
          <w:szCs w:val="21"/>
          <w:lang w:val="en-US" w:eastAsia="zh-CN"/>
        </w:rPr>
        <w:t>发布各类健康科普知识，如疾病预防、健康生活方式、用药指导等，提高公众的健康意识和自我保健能力，同时也树立医学中心的专业形象。</w:t>
      </w:r>
    </w:p>
    <w:p w14:paraId="752EC7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5.医学人文及医患故事等。</w:t>
      </w:r>
      <w:r>
        <w:rPr>
          <w:rFonts w:hint="eastAsia" w:asciiTheme="minorEastAsia" w:hAnsiTheme="minorEastAsia" w:eastAsiaTheme="minorEastAsia" w:cstheme="minorEastAsia"/>
          <w:sz w:val="21"/>
          <w:szCs w:val="21"/>
          <w:lang w:val="en-US" w:eastAsia="zh-CN"/>
        </w:rPr>
        <w:t>分享患者的治疗案例和康复经验，让患者感受到医学中心的关爱和专业，增强患者对医学中心的信任感。</w:t>
      </w:r>
    </w:p>
    <w:p w14:paraId="120B7774">
      <w:pPr>
        <w:keepNext w:val="0"/>
        <w:keepLines w:val="0"/>
        <w:pageBreakBefore w:val="0"/>
        <w:widowControl w:val="0"/>
        <w:kinsoku/>
        <w:wordWrap/>
        <w:overflowPunct/>
        <w:topLinePunct w:val="0"/>
        <w:autoSpaceDE/>
        <w:autoSpaceDN/>
        <w:bidi w:val="0"/>
        <w:adjustRightInd/>
        <w:snapToGrid/>
        <w:spacing w:line="360" w:lineRule="auto"/>
        <w:ind w:firstLine="426" w:firstLineChars="202"/>
        <w:textAlignment w:val="auto"/>
        <w:outlineLvl w:val="1"/>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（五）其他需求</w:t>
      </w:r>
    </w:p>
    <w:p w14:paraId="77BDFD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包括</w:t>
      </w:r>
      <w:bookmarkStart w:id="7" w:name="OLE_LINK2"/>
      <w:r>
        <w:rPr>
          <w:rFonts w:hint="eastAsia" w:asciiTheme="minorEastAsia" w:hAnsiTheme="minorEastAsia" w:eastAsiaTheme="minorEastAsia" w:cstheme="minorEastAsia"/>
          <w:sz w:val="21"/>
          <w:szCs w:val="21"/>
          <w:lang w:val="en-US" w:eastAsia="zh-CN"/>
        </w:rPr>
        <w:t>合作方单位相关资质审核、服务期内的舆情监测</w:t>
      </w:r>
      <w:bookmarkEnd w:id="7"/>
      <w:r>
        <w:rPr>
          <w:rFonts w:hint="eastAsia" w:asciiTheme="minorEastAsia" w:hAnsiTheme="minorEastAsia" w:eastAsiaTheme="minorEastAsia" w:cstheme="minorEastAsia"/>
          <w:sz w:val="21"/>
          <w:szCs w:val="21"/>
          <w:lang w:val="en-US" w:eastAsia="zh-CN"/>
        </w:rPr>
        <w:t>等。</w:t>
      </w:r>
    </w:p>
    <w:p w14:paraId="191AAD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outlineLvl w:val="2"/>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1.合作方单位相关资质审核</w:t>
      </w:r>
    </w:p>
    <w:p w14:paraId="6EF07F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bookmarkStart w:id="8" w:name="OLE_LINK3"/>
      <w:r>
        <w:rPr>
          <w:rFonts w:hint="eastAsia" w:asciiTheme="minorEastAsia" w:hAnsiTheme="minorEastAsia" w:eastAsiaTheme="minorEastAsia" w:cstheme="minorEastAsia"/>
          <w:b/>
          <w:bCs/>
          <w:sz w:val="21"/>
          <w:szCs w:val="21"/>
          <w:lang w:val="en-US" w:eastAsia="zh-CN"/>
        </w:rPr>
        <w:t>（1）</w:t>
      </w:r>
      <w:bookmarkEnd w:id="8"/>
      <w:r>
        <w:rPr>
          <w:rFonts w:hint="eastAsia" w:asciiTheme="minorEastAsia" w:hAnsiTheme="minorEastAsia" w:eastAsiaTheme="minorEastAsia" w:cstheme="minorEastAsia"/>
          <w:b/>
          <w:bCs/>
          <w:sz w:val="21"/>
          <w:szCs w:val="21"/>
          <w:lang w:val="en-US" w:eastAsia="zh-CN"/>
        </w:rPr>
        <w:t>资质审核。</w:t>
      </w:r>
      <w:r>
        <w:rPr>
          <w:rFonts w:hint="eastAsia" w:asciiTheme="minorEastAsia" w:hAnsiTheme="minorEastAsia" w:eastAsiaTheme="minorEastAsia" w:cstheme="minorEastAsia"/>
          <w:sz w:val="21"/>
          <w:szCs w:val="21"/>
          <w:lang w:val="en-US" w:eastAsia="zh-CN"/>
        </w:rPr>
        <w:t>审核合作方的营业执照、资质证书、行业信誉等，确保其具备合法的经营资质和良好的信誉。</w:t>
      </w:r>
    </w:p>
    <w:p w14:paraId="37610F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（2）能力评估。</w:t>
      </w:r>
      <w:r>
        <w:rPr>
          <w:rFonts w:hint="eastAsia" w:asciiTheme="minorEastAsia" w:hAnsiTheme="minorEastAsia" w:eastAsiaTheme="minorEastAsia" w:cstheme="minorEastAsia"/>
          <w:sz w:val="21"/>
          <w:szCs w:val="21"/>
          <w:lang w:val="en-US" w:eastAsia="zh-CN"/>
        </w:rPr>
        <w:t>评估合作方的宣传能力、团队素质、过往业绩等，确保其能够满足医学中心的宣传需求。</w:t>
      </w:r>
    </w:p>
    <w:p w14:paraId="7BB1D4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（3）合同约定。</w:t>
      </w:r>
      <w:r>
        <w:rPr>
          <w:rFonts w:hint="eastAsia" w:asciiTheme="minorEastAsia" w:hAnsiTheme="minorEastAsia" w:eastAsiaTheme="minorEastAsia" w:cstheme="minorEastAsia"/>
          <w:sz w:val="21"/>
          <w:szCs w:val="21"/>
          <w:lang w:val="en-US" w:eastAsia="zh-CN"/>
        </w:rPr>
        <w:t>在合作协议中明确双方的权利和义务，包括宣传内容的审核、发布流程、效果评估等。</w:t>
      </w:r>
    </w:p>
    <w:p w14:paraId="1F88E8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outlineLvl w:val="2"/>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2.服务期内的舆情监测</w:t>
      </w:r>
    </w:p>
    <w:p w14:paraId="113205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（1）舆情监测系统。</w:t>
      </w:r>
      <w:r>
        <w:rPr>
          <w:rFonts w:hint="eastAsia" w:asciiTheme="minorEastAsia" w:hAnsiTheme="minorEastAsia" w:eastAsiaTheme="minorEastAsia" w:cstheme="minorEastAsia"/>
          <w:sz w:val="21"/>
          <w:szCs w:val="21"/>
          <w:lang w:val="en-US" w:eastAsia="zh-CN"/>
        </w:rPr>
        <w:t>利用专业的舆情监测系统，对医学中心的相关舆情进行7×24小时实时监测，覆盖微信公众号、微信视频号、抖音、快手、小红书及相关媒体客户端等。</w:t>
      </w:r>
    </w:p>
    <w:p w14:paraId="786685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（2）舆情分析报告。</w:t>
      </w:r>
      <w:r>
        <w:rPr>
          <w:rFonts w:hint="eastAsia" w:asciiTheme="minorEastAsia" w:hAnsiTheme="minorEastAsia" w:eastAsiaTheme="minorEastAsia" w:cstheme="minorEastAsia"/>
          <w:sz w:val="21"/>
          <w:szCs w:val="21"/>
          <w:lang w:val="en-US" w:eastAsia="zh-CN"/>
        </w:rPr>
        <w:t>定期生成舆情分析报告，包括舆情趋势、热点话题、媒体来源、情感分析等，为医学中心的宣传策略调整提供依据。</w:t>
      </w:r>
    </w:p>
    <w:p w14:paraId="14F0B9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ascii="宋体" w:hAnsi="宋体" w:cs="宋体"/>
          <w:b/>
          <w:bCs/>
          <w:kern w:val="0"/>
        </w:rPr>
      </w:pPr>
      <w:r>
        <w:rPr>
          <w:rFonts w:hint="eastAsia" w:asciiTheme="minorEastAsia" w:hAnsiTheme="minorEastAsia" w:eastAsiaTheme="minorEastAsia" w:cstheme="minorEastAsia"/>
          <w:b/>
          <w:bCs/>
          <w:sz w:val="21"/>
          <w:szCs w:val="21"/>
          <w:lang w:val="en-US" w:eastAsia="zh-CN"/>
        </w:rPr>
        <w:t>（3）危机预警与应对。</w:t>
      </w:r>
      <w:r>
        <w:rPr>
          <w:rFonts w:hint="eastAsia" w:asciiTheme="minorEastAsia" w:hAnsiTheme="minorEastAsia" w:eastAsiaTheme="minorEastAsia" w:cstheme="minorEastAsia"/>
          <w:sz w:val="21"/>
          <w:szCs w:val="21"/>
          <w:lang w:val="en-US" w:eastAsia="zh-CN"/>
        </w:rPr>
        <w:t>设置舆情预警机制，及时发现潜在的舆情危机，并提供危机应对建议和解决方案，降低负面影响。</w:t>
      </w:r>
    </w:p>
    <w:p w14:paraId="7D39F5EB">
      <w:pPr>
        <w:spacing w:line="360" w:lineRule="auto"/>
        <w:outlineLvl w:val="2"/>
        <w:rPr>
          <w:rFonts w:ascii="宋体" w:hAnsi="宋体" w:cs="宋体"/>
          <w:b/>
          <w:color w:val="auto"/>
          <w:kern w:val="0"/>
          <w:sz w:val="28"/>
          <w:szCs w:val="28"/>
        </w:rPr>
      </w:pPr>
      <w:r>
        <w:rPr>
          <w:rFonts w:hint="eastAsia" w:ascii="宋体" w:hAnsi="宋体" w:cs="宋体"/>
          <w:b/>
          <w:kern w:val="0"/>
          <w:sz w:val="28"/>
          <w:szCs w:val="28"/>
        </w:rPr>
        <w:t xml:space="preserve"> </w:t>
      </w:r>
      <w:r>
        <w:rPr>
          <w:rFonts w:hint="eastAsia" w:ascii="宋体" w:hAnsi="宋体" w:cs="宋体"/>
          <w:b/>
          <w:color w:val="FF0000"/>
          <w:kern w:val="0"/>
          <w:sz w:val="28"/>
          <w:szCs w:val="28"/>
        </w:rPr>
        <w:t xml:space="preserve">  </w:t>
      </w:r>
      <w:r>
        <w:rPr>
          <w:rFonts w:hint="eastAsia" w:ascii="宋体" w:hAnsi="宋体" w:cs="宋体"/>
          <w:b/>
          <w:color w:val="auto"/>
          <w:kern w:val="0"/>
          <w:sz w:val="28"/>
          <w:szCs w:val="28"/>
        </w:rPr>
        <w:t xml:space="preserve"> 五、项目售后要求</w:t>
      </w:r>
    </w:p>
    <w:p w14:paraId="7FDAE75B">
      <w:pPr>
        <w:spacing w:line="360" w:lineRule="auto"/>
        <w:ind w:firstLine="420"/>
        <w:rPr>
          <w:rFonts w:hint="eastAsia" w:ascii="宋体" w:hAnsi="宋体" w:cs="宋体"/>
          <w:color w:val="auto"/>
          <w:kern w:val="0"/>
        </w:rPr>
      </w:pPr>
      <w:r>
        <w:rPr>
          <w:rFonts w:hint="eastAsia" w:ascii="宋体" w:hAnsi="宋体" w:cs="宋体"/>
          <w:color w:val="auto"/>
          <w:kern w:val="0"/>
        </w:rPr>
        <w:t>（1）中标单位需明确一名项目经理具体负责协调相关问题。</w:t>
      </w:r>
    </w:p>
    <w:p w14:paraId="29C888B0">
      <w:pPr>
        <w:spacing w:line="360" w:lineRule="auto"/>
        <w:ind w:firstLine="420"/>
        <w:rPr>
          <w:rFonts w:hint="eastAsia" w:ascii="宋体" w:hAnsi="宋体" w:cs="宋体"/>
          <w:color w:val="auto"/>
          <w:kern w:val="0"/>
        </w:rPr>
      </w:pPr>
      <w:r>
        <w:rPr>
          <w:rFonts w:hint="eastAsia" w:ascii="宋体" w:hAnsi="宋体" w:cs="宋体"/>
          <w:color w:val="auto"/>
          <w:kern w:val="0"/>
        </w:rPr>
        <w:t>（2）中标单位需保留并提供在服务期内所拍摄的图片、视频素材。</w:t>
      </w:r>
    </w:p>
    <w:p w14:paraId="186A08CF">
      <w:pPr>
        <w:spacing w:line="360" w:lineRule="auto"/>
        <w:ind w:firstLine="420"/>
        <w:rPr>
          <w:rFonts w:hint="eastAsia" w:ascii="宋体" w:hAnsi="宋体" w:cs="宋体"/>
          <w:color w:val="auto"/>
          <w:kern w:val="0"/>
        </w:rPr>
      </w:pPr>
      <w:r>
        <w:rPr>
          <w:rFonts w:hint="eastAsia" w:ascii="宋体" w:hAnsi="宋体" w:cs="宋体"/>
          <w:color w:val="auto"/>
          <w:kern w:val="0"/>
        </w:rPr>
        <w:t>（3）中标单位需提供7×24小时应急响应服务，针对宣传内容错误、平台故障、舆情危机等问题建立分级响应机制。</w:t>
      </w:r>
    </w:p>
    <w:p w14:paraId="4A6208C8">
      <w:pPr>
        <w:spacing w:line="360" w:lineRule="auto"/>
        <w:ind w:firstLine="420"/>
        <w:rPr>
          <w:rFonts w:hint="eastAsia" w:ascii="宋体" w:hAnsi="宋体" w:cs="宋体"/>
          <w:color w:val="auto"/>
          <w:kern w:val="0"/>
        </w:rPr>
      </w:pPr>
      <w:r>
        <w:rPr>
          <w:rFonts w:hint="eastAsia" w:ascii="宋体" w:hAnsi="宋体" w:cs="宋体"/>
          <w:color w:val="auto"/>
          <w:kern w:val="0"/>
        </w:rPr>
        <w:t>（4）每两个月提交服务效果评价报告，内容持续优化，根据阶段性宣传效果，每3个月主动提供一次宣传策略优化方案。</w:t>
      </w:r>
    </w:p>
    <w:p w14:paraId="4BC032C3">
      <w:pPr>
        <w:spacing w:line="360" w:lineRule="auto"/>
        <w:ind w:firstLine="562" w:firstLineChars="200"/>
        <w:outlineLvl w:val="2"/>
        <w:rPr>
          <w:rFonts w:ascii="宋体" w:hAnsi="宋体" w:cs="宋体"/>
          <w:b/>
          <w:kern w:val="0"/>
          <w:sz w:val="28"/>
          <w:szCs w:val="28"/>
        </w:rPr>
      </w:pPr>
      <w:r>
        <w:rPr>
          <w:rFonts w:hint="eastAsia" w:ascii="宋体" w:hAnsi="宋体" w:cs="宋体"/>
          <w:b/>
          <w:kern w:val="0"/>
          <w:sz w:val="28"/>
          <w:szCs w:val="28"/>
        </w:rPr>
        <w:t>六、评分标准</w:t>
      </w:r>
    </w:p>
    <w:tbl>
      <w:tblPr>
        <w:tblStyle w:val="22"/>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8"/>
        <w:gridCol w:w="1160"/>
        <w:gridCol w:w="7628"/>
      </w:tblGrid>
      <w:tr w14:paraId="5A582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68" w:type="dxa"/>
            <w:noWrap w:val="0"/>
            <w:vAlign w:val="center"/>
          </w:tcPr>
          <w:p w14:paraId="0CFDB34F">
            <w:pPr>
              <w:rPr>
                <w:rFonts w:hint="eastAsia" w:ascii="宋体" w:hAnsi="宋体" w:cs="宋体"/>
                <w:color w:val="000000"/>
                <w:szCs w:val="21"/>
              </w:rPr>
            </w:pPr>
            <w:r>
              <w:rPr>
                <w:rFonts w:hint="eastAsia" w:ascii="宋体" w:hAnsi="宋体" w:cs="宋体"/>
                <w:color w:val="000000"/>
                <w:szCs w:val="21"/>
              </w:rPr>
              <w:t>项目</w:t>
            </w:r>
          </w:p>
        </w:tc>
        <w:tc>
          <w:tcPr>
            <w:tcW w:w="8790" w:type="dxa"/>
            <w:gridSpan w:val="2"/>
            <w:noWrap w:val="0"/>
            <w:vAlign w:val="center"/>
          </w:tcPr>
          <w:p w14:paraId="6A890F71">
            <w:pPr>
              <w:ind w:firstLine="420"/>
              <w:jc w:val="center"/>
              <w:rPr>
                <w:rFonts w:hint="eastAsia" w:ascii="宋体" w:hAnsi="宋体" w:cs="宋体"/>
                <w:color w:val="000000"/>
                <w:szCs w:val="21"/>
              </w:rPr>
            </w:pPr>
            <w:r>
              <w:rPr>
                <w:rFonts w:hint="eastAsia" w:ascii="宋体" w:hAnsi="宋体" w:cs="宋体"/>
                <w:color w:val="000000"/>
                <w:szCs w:val="21"/>
              </w:rPr>
              <w:t>评   分   标   准</w:t>
            </w:r>
          </w:p>
        </w:tc>
      </w:tr>
      <w:tr w14:paraId="79709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68" w:type="dxa"/>
            <w:noWrap w:val="0"/>
            <w:vAlign w:val="center"/>
          </w:tcPr>
          <w:p w14:paraId="50D8A037">
            <w:pPr>
              <w:jc w:val="center"/>
              <w:rPr>
                <w:rFonts w:hint="eastAsia" w:ascii="宋体" w:hAnsi="宋体" w:cs="宋体"/>
                <w:b/>
                <w:bCs/>
                <w:color w:val="000000"/>
                <w:szCs w:val="21"/>
              </w:rPr>
            </w:pPr>
            <w:r>
              <w:rPr>
                <w:rFonts w:hint="eastAsia" w:ascii="宋体" w:hAnsi="宋体" w:cs="宋体"/>
                <w:b/>
                <w:bCs/>
                <w:color w:val="000000"/>
                <w:szCs w:val="21"/>
              </w:rPr>
              <w:t>报价</w:t>
            </w:r>
          </w:p>
          <w:p w14:paraId="6092AD01">
            <w:pPr>
              <w:jc w:val="center"/>
              <w:rPr>
                <w:rFonts w:hint="eastAsia" w:ascii="宋体" w:hAnsi="宋体" w:cs="宋体"/>
                <w:b/>
                <w:bCs/>
                <w:color w:val="000000"/>
                <w:szCs w:val="21"/>
              </w:rPr>
            </w:pPr>
            <w:r>
              <w:rPr>
                <w:rFonts w:hint="eastAsia" w:ascii="宋体" w:hAnsi="宋体" w:cs="宋体"/>
                <w:b/>
                <w:bCs/>
                <w:color w:val="000000"/>
                <w:szCs w:val="21"/>
              </w:rPr>
              <w:t>（</w:t>
            </w:r>
            <w:r>
              <w:rPr>
                <w:rFonts w:hint="eastAsia" w:ascii="宋体" w:hAnsi="宋体" w:cs="宋体"/>
                <w:b/>
                <w:bCs/>
                <w:color w:val="000000"/>
                <w:szCs w:val="21"/>
                <w:lang w:val="en-US" w:eastAsia="zh-CN"/>
              </w:rPr>
              <w:t>2</w:t>
            </w:r>
            <w:r>
              <w:rPr>
                <w:rFonts w:hint="eastAsia" w:ascii="宋体" w:hAnsi="宋体" w:cs="宋体"/>
                <w:b/>
                <w:bCs/>
                <w:color w:val="000000"/>
                <w:szCs w:val="21"/>
              </w:rPr>
              <w:t>0分）</w:t>
            </w:r>
          </w:p>
        </w:tc>
        <w:tc>
          <w:tcPr>
            <w:tcW w:w="8790" w:type="dxa"/>
            <w:gridSpan w:val="2"/>
            <w:noWrap w:val="0"/>
            <w:vAlign w:val="center"/>
          </w:tcPr>
          <w:p w14:paraId="09A869F2">
            <w:pPr>
              <w:ind w:firstLine="420"/>
              <w:rPr>
                <w:rFonts w:hint="eastAsia" w:ascii="宋体" w:hAnsi="宋体" w:cs="宋体"/>
                <w:color w:val="000000"/>
                <w:szCs w:val="21"/>
              </w:rPr>
            </w:pPr>
            <w:r>
              <w:rPr>
                <w:rFonts w:hint="eastAsia" w:ascii="宋体" w:hAnsi="宋体" w:cs="宋体"/>
                <w:color w:val="000000"/>
                <w:szCs w:val="21"/>
              </w:rPr>
              <w:t>以满足招标文件要求的最低投标报价为评标基准价，得满分</w:t>
            </w:r>
            <w:r>
              <w:rPr>
                <w:rFonts w:hint="eastAsia" w:ascii="宋体" w:hAnsi="宋体" w:cs="宋体"/>
                <w:color w:val="000000"/>
                <w:szCs w:val="21"/>
                <w:lang w:val="en-US" w:eastAsia="zh-CN"/>
              </w:rPr>
              <w:t>2</w:t>
            </w:r>
            <w:r>
              <w:rPr>
                <w:rFonts w:hint="eastAsia" w:ascii="宋体" w:hAnsi="宋体" w:cs="宋体"/>
                <w:color w:val="000000"/>
                <w:szCs w:val="21"/>
              </w:rPr>
              <w:t>0分，其他报价得分=（评标基准价/其他报价）×</w:t>
            </w:r>
            <w:r>
              <w:rPr>
                <w:rFonts w:hint="eastAsia" w:ascii="宋体" w:hAnsi="宋体" w:cs="宋体"/>
                <w:color w:val="000000"/>
                <w:szCs w:val="21"/>
                <w:lang w:val="en-US" w:eastAsia="zh-CN"/>
              </w:rPr>
              <w:t>2</w:t>
            </w:r>
            <w:r>
              <w:rPr>
                <w:rFonts w:hint="eastAsia" w:ascii="宋体" w:hAnsi="宋体" w:cs="宋体"/>
                <w:color w:val="000000"/>
                <w:szCs w:val="21"/>
              </w:rPr>
              <w:t>0</w:t>
            </w:r>
            <w:r>
              <w:rPr>
                <w:rFonts w:hint="eastAsia" w:ascii="宋体" w:hAnsi="宋体" w:cs="宋体"/>
                <w:b/>
                <w:bCs/>
                <w:color w:val="000000"/>
                <w:szCs w:val="21"/>
              </w:rPr>
              <w:t>（保留两位小数）</w:t>
            </w:r>
          </w:p>
        </w:tc>
      </w:tr>
      <w:tr w14:paraId="4917C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68" w:type="dxa"/>
            <w:vMerge w:val="restart"/>
            <w:noWrap w:val="0"/>
            <w:vAlign w:val="center"/>
          </w:tcPr>
          <w:p w14:paraId="5FE5253E">
            <w:pPr>
              <w:jc w:val="center"/>
              <w:rPr>
                <w:rFonts w:ascii="宋体" w:hAnsi="宋体" w:cs="宋体"/>
                <w:b/>
                <w:bCs/>
                <w:color w:val="000000"/>
                <w:szCs w:val="21"/>
              </w:rPr>
            </w:pPr>
          </w:p>
          <w:p w14:paraId="61A3DE6F">
            <w:pPr>
              <w:jc w:val="center"/>
              <w:rPr>
                <w:rFonts w:ascii="宋体" w:hAnsi="宋体" w:cs="宋体"/>
                <w:b/>
                <w:bCs/>
                <w:color w:val="000000"/>
                <w:szCs w:val="21"/>
              </w:rPr>
            </w:pPr>
          </w:p>
          <w:p w14:paraId="6E22DA33">
            <w:pPr>
              <w:jc w:val="center"/>
              <w:rPr>
                <w:rFonts w:ascii="宋体" w:hAnsi="宋体" w:cs="宋体"/>
                <w:b/>
                <w:bCs/>
                <w:color w:val="000000"/>
                <w:szCs w:val="21"/>
              </w:rPr>
            </w:pPr>
          </w:p>
          <w:p w14:paraId="2705AB7F">
            <w:pPr>
              <w:jc w:val="center"/>
              <w:rPr>
                <w:rFonts w:ascii="宋体" w:hAnsi="宋体" w:cs="宋体"/>
                <w:b/>
                <w:bCs/>
                <w:color w:val="000000"/>
                <w:szCs w:val="21"/>
              </w:rPr>
            </w:pPr>
          </w:p>
          <w:p w14:paraId="03696068">
            <w:pPr>
              <w:jc w:val="center"/>
              <w:rPr>
                <w:rFonts w:ascii="宋体" w:hAnsi="宋体" w:cs="宋体"/>
                <w:b/>
                <w:bCs/>
                <w:color w:val="000000"/>
                <w:szCs w:val="21"/>
              </w:rPr>
            </w:pPr>
          </w:p>
          <w:p w14:paraId="44F84CF1">
            <w:pPr>
              <w:jc w:val="center"/>
              <w:rPr>
                <w:rFonts w:ascii="宋体" w:hAnsi="宋体" w:cs="宋体"/>
                <w:b/>
                <w:bCs/>
                <w:color w:val="000000"/>
                <w:szCs w:val="21"/>
              </w:rPr>
            </w:pPr>
            <w:r>
              <w:rPr>
                <w:rFonts w:hint="eastAsia" w:ascii="宋体" w:hAnsi="宋体" w:cs="宋体"/>
                <w:b/>
                <w:bCs/>
                <w:color w:val="000000"/>
                <w:szCs w:val="21"/>
              </w:rPr>
              <w:t>项目方案（40分）</w:t>
            </w:r>
          </w:p>
        </w:tc>
        <w:tc>
          <w:tcPr>
            <w:tcW w:w="1160" w:type="dxa"/>
            <w:noWrap w:val="0"/>
            <w:vAlign w:val="center"/>
          </w:tcPr>
          <w:p w14:paraId="0003E6F4">
            <w:pPr>
              <w:rPr>
                <w:rFonts w:hint="eastAsia" w:ascii="宋体" w:hAnsi="宋体" w:cs="宋体"/>
                <w:color w:val="000000"/>
                <w:szCs w:val="21"/>
              </w:rPr>
            </w:pPr>
            <w:r>
              <w:rPr>
                <w:rFonts w:hint="eastAsia" w:ascii="宋体" w:hAnsi="宋体" w:cs="宋体"/>
                <w:color w:val="000000"/>
                <w:szCs w:val="21"/>
              </w:rPr>
              <w:t>新媒体运维及产品制作方案</w:t>
            </w:r>
          </w:p>
          <w:p w14:paraId="4AA3A812">
            <w:pPr>
              <w:rPr>
                <w:rFonts w:hint="eastAsia" w:ascii="宋体" w:hAnsi="宋体" w:cs="宋体"/>
                <w:color w:val="000000"/>
                <w:szCs w:val="21"/>
              </w:rPr>
            </w:pPr>
            <w:r>
              <w:rPr>
                <w:rFonts w:hint="eastAsia" w:ascii="宋体" w:hAnsi="宋体" w:cs="宋体"/>
                <w:b/>
                <w:bCs/>
                <w:color w:val="000000"/>
                <w:szCs w:val="21"/>
              </w:rPr>
              <w:t>（10分）</w:t>
            </w:r>
          </w:p>
        </w:tc>
        <w:tc>
          <w:tcPr>
            <w:tcW w:w="7630" w:type="dxa"/>
            <w:noWrap w:val="0"/>
            <w:vAlign w:val="center"/>
          </w:tcPr>
          <w:p w14:paraId="09D3342A">
            <w:pPr>
              <w:rPr>
                <w:rFonts w:hint="eastAsia" w:ascii="宋体" w:hAnsi="宋体" w:cs="宋体"/>
                <w:b/>
                <w:bCs/>
                <w:color w:val="000000"/>
                <w:szCs w:val="21"/>
              </w:rPr>
            </w:pPr>
            <w:r>
              <w:rPr>
                <w:rFonts w:hint="eastAsia" w:ascii="宋体" w:hAnsi="宋体" w:cs="宋体"/>
                <w:b/>
                <w:bCs/>
                <w:color w:val="000000"/>
                <w:szCs w:val="21"/>
              </w:rPr>
              <w:t>针对产品制作情况（包含视频、图片、动漫等）、</w:t>
            </w:r>
            <w:r>
              <w:rPr>
                <w:rFonts w:hint="eastAsia"/>
                <w:b/>
                <w:bCs/>
                <w:color w:val="000000"/>
                <w:szCs w:val="21"/>
              </w:rPr>
              <w:t>新媒体发布建议服务</w:t>
            </w:r>
            <w:r>
              <w:rPr>
                <w:rFonts w:hint="eastAsia" w:ascii="宋体" w:hAnsi="宋体" w:cs="宋体"/>
                <w:b/>
                <w:bCs/>
                <w:color w:val="000000"/>
                <w:szCs w:val="21"/>
              </w:rPr>
              <w:t>等方面</w:t>
            </w:r>
          </w:p>
          <w:p w14:paraId="3EC79515">
            <w:pPr>
              <w:rPr>
                <w:rFonts w:hint="eastAsia"/>
                <w:color w:val="000000"/>
              </w:rPr>
            </w:pPr>
            <w:r>
              <w:rPr>
                <w:rFonts w:hint="eastAsia"/>
                <w:color w:val="000000"/>
              </w:rPr>
              <w:t>方案全面细致、科学合理，完全响应需求，技术可行性强得10分；</w:t>
            </w:r>
          </w:p>
          <w:p w14:paraId="02390AE5">
            <w:pPr>
              <w:rPr>
                <w:rFonts w:hint="eastAsia"/>
                <w:color w:val="000000"/>
              </w:rPr>
            </w:pPr>
            <w:r>
              <w:rPr>
                <w:rFonts w:hint="eastAsia"/>
                <w:color w:val="000000"/>
              </w:rPr>
              <w:t>方案基本完整，基本合理，基本响应需求，技术可行性一般得5分；</w:t>
            </w:r>
          </w:p>
          <w:p w14:paraId="3C82F571">
            <w:pPr>
              <w:rPr>
                <w:rFonts w:hint="eastAsia" w:ascii="宋体" w:hAnsi="宋体" w:cs="宋体"/>
                <w:color w:val="000000"/>
                <w:szCs w:val="21"/>
              </w:rPr>
            </w:pPr>
            <w:r>
              <w:rPr>
                <w:rFonts w:hint="eastAsia"/>
                <w:color w:val="000000"/>
              </w:rPr>
              <w:t>方案不完整、响应度低、技术可行性较低得2分；</w:t>
            </w:r>
          </w:p>
        </w:tc>
      </w:tr>
      <w:tr w14:paraId="7A597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68" w:type="dxa"/>
            <w:vMerge w:val="continue"/>
            <w:noWrap w:val="0"/>
            <w:vAlign w:val="center"/>
          </w:tcPr>
          <w:p w14:paraId="51C3112E">
            <w:pPr>
              <w:ind w:firstLine="422"/>
              <w:jc w:val="center"/>
              <w:rPr>
                <w:rFonts w:hint="eastAsia" w:ascii="宋体" w:hAnsi="宋体" w:cs="宋体"/>
                <w:b/>
                <w:bCs/>
                <w:color w:val="000000"/>
                <w:szCs w:val="21"/>
              </w:rPr>
            </w:pPr>
          </w:p>
        </w:tc>
        <w:tc>
          <w:tcPr>
            <w:tcW w:w="1160" w:type="dxa"/>
            <w:noWrap w:val="0"/>
            <w:vAlign w:val="center"/>
          </w:tcPr>
          <w:p w14:paraId="7EB91F67">
            <w:pPr>
              <w:rPr>
                <w:rFonts w:hint="eastAsia" w:ascii="宋体" w:hAnsi="宋体" w:cs="宋体"/>
                <w:color w:val="000000"/>
                <w:szCs w:val="21"/>
              </w:rPr>
            </w:pPr>
            <w:r>
              <w:rPr>
                <w:rFonts w:hint="eastAsia" w:ascii="宋体" w:hAnsi="宋体" w:cs="宋体"/>
                <w:color w:val="000000"/>
                <w:szCs w:val="21"/>
              </w:rPr>
              <w:t>全年拍摄保障及视频制作服务方案</w:t>
            </w:r>
          </w:p>
          <w:p w14:paraId="12EC12F2">
            <w:pPr>
              <w:jc w:val="center"/>
              <w:rPr>
                <w:rFonts w:hint="eastAsia" w:ascii="宋体" w:hAnsi="宋体" w:cs="宋体"/>
                <w:b/>
                <w:bCs/>
                <w:color w:val="000000"/>
                <w:szCs w:val="21"/>
              </w:rPr>
            </w:pPr>
            <w:r>
              <w:rPr>
                <w:rFonts w:hint="eastAsia" w:ascii="宋体" w:hAnsi="宋体" w:cs="宋体"/>
                <w:b/>
                <w:bCs/>
                <w:color w:val="000000"/>
                <w:szCs w:val="21"/>
              </w:rPr>
              <w:t>（</w:t>
            </w:r>
            <w:r>
              <w:rPr>
                <w:rFonts w:ascii="宋体" w:hAnsi="宋体" w:cs="宋体"/>
                <w:b/>
                <w:bCs/>
                <w:color w:val="000000"/>
                <w:szCs w:val="21"/>
              </w:rPr>
              <w:t>1</w:t>
            </w:r>
            <w:r>
              <w:rPr>
                <w:rFonts w:hint="eastAsia" w:ascii="宋体" w:hAnsi="宋体" w:cs="宋体"/>
                <w:b/>
                <w:bCs/>
                <w:color w:val="000000"/>
                <w:szCs w:val="21"/>
              </w:rPr>
              <w:t>5分）</w:t>
            </w:r>
          </w:p>
        </w:tc>
        <w:tc>
          <w:tcPr>
            <w:tcW w:w="7630" w:type="dxa"/>
            <w:noWrap w:val="0"/>
            <w:vAlign w:val="center"/>
          </w:tcPr>
          <w:p w14:paraId="4543E823">
            <w:pPr>
              <w:rPr>
                <w:rFonts w:hint="eastAsia" w:ascii="宋体" w:hAnsi="宋体" w:cs="宋体"/>
                <w:b/>
                <w:bCs/>
                <w:color w:val="000000"/>
                <w:szCs w:val="21"/>
              </w:rPr>
            </w:pPr>
            <w:r>
              <w:rPr>
                <w:rFonts w:hint="eastAsia" w:ascii="宋体" w:hAnsi="宋体" w:cs="宋体"/>
                <w:b/>
                <w:bCs/>
                <w:color w:val="000000"/>
                <w:szCs w:val="21"/>
              </w:rPr>
              <w:t>针对本项目的拍摄保障服务及视频制作的规划、创意、思路等方面</w:t>
            </w:r>
          </w:p>
          <w:p w14:paraId="14FFCEED">
            <w:pPr>
              <w:rPr>
                <w:rFonts w:hint="eastAsia" w:ascii="宋体" w:hAnsi="宋体" w:cs="宋体"/>
                <w:color w:val="000000"/>
                <w:szCs w:val="21"/>
              </w:rPr>
            </w:pPr>
            <w:r>
              <w:rPr>
                <w:rFonts w:hint="eastAsia" w:ascii="宋体" w:hAnsi="宋体" w:cs="宋体"/>
                <w:color w:val="000000"/>
                <w:szCs w:val="21"/>
              </w:rPr>
              <w:t>拍摄保障服务全面细致，拍摄方案创意新颖的，对本项目特征及理念描述详细且针对性强、可操作性强的得15分；</w:t>
            </w:r>
          </w:p>
          <w:p w14:paraId="66B5F783">
            <w:pPr>
              <w:rPr>
                <w:rFonts w:hint="eastAsia" w:ascii="宋体" w:hAnsi="宋体" w:cs="宋体"/>
                <w:color w:val="000000"/>
                <w:szCs w:val="21"/>
              </w:rPr>
            </w:pPr>
            <w:r>
              <w:rPr>
                <w:rFonts w:hint="eastAsia" w:ascii="宋体" w:hAnsi="宋体" w:cs="宋体"/>
                <w:color w:val="000000"/>
                <w:szCs w:val="21"/>
              </w:rPr>
              <w:t>拍摄保障服务较为合理，拍摄方案创意较为新颖，对本项目特征及理念描述比较详细且针对性较强、具有可操作性的得8分；</w:t>
            </w:r>
          </w:p>
          <w:p w14:paraId="02172C2E">
            <w:pPr>
              <w:rPr>
                <w:rFonts w:hint="eastAsia" w:ascii="宋体" w:hAnsi="宋体" w:cs="宋体"/>
                <w:color w:val="000000"/>
                <w:szCs w:val="21"/>
              </w:rPr>
            </w:pPr>
            <w:r>
              <w:rPr>
                <w:rFonts w:hint="eastAsia" w:ascii="宋体" w:hAnsi="宋体" w:cs="宋体"/>
                <w:color w:val="000000"/>
                <w:szCs w:val="21"/>
              </w:rPr>
              <w:t>拍摄保障服务一般，拍摄方案创意一般，对本项目特征及理念描述一般且针对性一般、存在一定的实施难度的得4分；</w:t>
            </w:r>
          </w:p>
        </w:tc>
      </w:tr>
      <w:tr w14:paraId="15195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68" w:type="dxa"/>
            <w:vMerge w:val="continue"/>
            <w:noWrap w:val="0"/>
            <w:vAlign w:val="center"/>
          </w:tcPr>
          <w:p w14:paraId="0B70188C">
            <w:pPr>
              <w:ind w:firstLine="422"/>
              <w:jc w:val="center"/>
              <w:rPr>
                <w:rFonts w:hint="eastAsia" w:ascii="宋体" w:hAnsi="宋体" w:cs="宋体"/>
                <w:b/>
                <w:bCs/>
                <w:color w:val="000000"/>
                <w:szCs w:val="21"/>
              </w:rPr>
            </w:pPr>
          </w:p>
        </w:tc>
        <w:tc>
          <w:tcPr>
            <w:tcW w:w="1160" w:type="dxa"/>
            <w:noWrap w:val="0"/>
            <w:vAlign w:val="center"/>
          </w:tcPr>
          <w:p w14:paraId="209D002E">
            <w:pPr>
              <w:jc w:val="center"/>
              <w:rPr>
                <w:rFonts w:ascii="宋体" w:hAnsi="宋体" w:cs="宋体"/>
                <w:color w:val="000000"/>
                <w:szCs w:val="21"/>
              </w:rPr>
            </w:pPr>
            <w:r>
              <w:rPr>
                <w:rFonts w:hint="eastAsia" w:ascii="宋体" w:hAnsi="宋体" w:cs="宋体"/>
                <w:color w:val="000000"/>
                <w:szCs w:val="21"/>
              </w:rPr>
              <w:t>宣传策划及推广方案</w:t>
            </w:r>
          </w:p>
          <w:p w14:paraId="32CB38D9">
            <w:pPr>
              <w:jc w:val="center"/>
              <w:rPr>
                <w:rFonts w:hint="eastAsia" w:ascii="宋体" w:hAnsi="宋体" w:cs="宋体"/>
                <w:color w:val="000000"/>
                <w:szCs w:val="21"/>
              </w:rPr>
            </w:pPr>
            <w:r>
              <w:rPr>
                <w:rFonts w:hint="eastAsia" w:ascii="宋体" w:hAnsi="宋体" w:cs="宋体"/>
                <w:b/>
                <w:bCs/>
                <w:color w:val="000000"/>
                <w:szCs w:val="21"/>
              </w:rPr>
              <w:t>（</w:t>
            </w:r>
            <w:r>
              <w:rPr>
                <w:rFonts w:ascii="宋体" w:hAnsi="宋体" w:cs="宋体"/>
                <w:b/>
                <w:bCs/>
                <w:color w:val="000000"/>
                <w:szCs w:val="21"/>
              </w:rPr>
              <w:t>1</w:t>
            </w:r>
            <w:r>
              <w:rPr>
                <w:rFonts w:hint="eastAsia" w:ascii="宋体" w:hAnsi="宋体" w:cs="宋体"/>
                <w:b/>
                <w:bCs/>
                <w:color w:val="000000"/>
                <w:szCs w:val="21"/>
              </w:rPr>
              <w:t>0分）</w:t>
            </w:r>
          </w:p>
        </w:tc>
        <w:tc>
          <w:tcPr>
            <w:tcW w:w="7630" w:type="dxa"/>
            <w:noWrap w:val="0"/>
            <w:vAlign w:val="center"/>
          </w:tcPr>
          <w:p w14:paraId="5280EB3D">
            <w:pPr>
              <w:rPr>
                <w:rFonts w:ascii="宋体" w:hAnsi="宋体" w:cs="宋体"/>
                <w:b/>
                <w:bCs/>
                <w:color w:val="000000"/>
                <w:szCs w:val="21"/>
              </w:rPr>
            </w:pPr>
            <w:r>
              <w:rPr>
                <w:rFonts w:hint="eastAsia" w:ascii="宋体" w:hAnsi="宋体" w:cs="宋体"/>
                <w:b/>
                <w:bCs/>
                <w:color w:val="000000"/>
                <w:szCs w:val="21"/>
              </w:rPr>
              <w:t>针对宣传策划及推广、宣传报道、宣传推广等方面，对全年媒体宣传推广工作进行统筹</w:t>
            </w:r>
          </w:p>
          <w:p w14:paraId="1DBAAD1B">
            <w:pPr>
              <w:rPr>
                <w:rFonts w:ascii="宋体" w:hAnsi="宋体" w:cs="宋体"/>
                <w:color w:val="000000"/>
                <w:szCs w:val="21"/>
              </w:rPr>
            </w:pPr>
            <w:r>
              <w:rPr>
                <w:rFonts w:hint="eastAsia" w:ascii="宋体" w:hAnsi="宋体" w:cs="宋体"/>
                <w:color w:val="000000"/>
                <w:szCs w:val="21"/>
              </w:rPr>
              <w:t>对采购人医疗中心宣传工作认识深刻，所制作的新闻宣传及推广方案清晰，能围绕重点工作、重大时间节点进行宣传报道，在市级、省级、国家级媒体平台推广思路清晰且具体可操作的，完全能满足采购人新闻宣传推广需求的，得10分；</w:t>
            </w:r>
          </w:p>
          <w:p w14:paraId="6ED3B3FD">
            <w:pPr>
              <w:rPr>
                <w:rFonts w:ascii="宋体" w:hAnsi="宋体" w:cs="宋体"/>
                <w:color w:val="000000"/>
                <w:szCs w:val="21"/>
              </w:rPr>
            </w:pPr>
            <w:r>
              <w:rPr>
                <w:rFonts w:hint="eastAsia" w:ascii="宋体" w:hAnsi="宋体" w:cs="宋体"/>
                <w:color w:val="000000"/>
                <w:szCs w:val="21"/>
              </w:rPr>
              <w:t>对采购人新闻宣传工作认识准确，新闻宣传及推广方案基本合理，在市级、省级、国家级媒体平台推广思路较为清晰且操作难度较小，基本满足采购人新闻宣传推广需求的，得7分；</w:t>
            </w:r>
          </w:p>
          <w:p w14:paraId="2CB24E93">
            <w:pPr>
              <w:rPr>
                <w:rFonts w:hint="eastAsia" w:ascii="宋体" w:hAnsi="宋体" w:cs="宋体"/>
                <w:b/>
                <w:bCs/>
                <w:color w:val="000000"/>
                <w:szCs w:val="21"/>
              </w:rPr>
            </w:pPr>
            <w:r>
              <w:rPr>
                <w:rFonts w:hint="eastAsia" w:ascii="宋体" w:hAnsi="宋体" w:cs="宋体"/>
                <w:color w:val="000000"/>
                <w:szCs w:val="21"/>
              </w:rPr>
              <w:t>对采购人新闻宣传工作认识不到位，新闻宣传及推广方案不清晰，合理性欠缺，在市级、省级、国家级媒体平台推广思路模糊，操作难度较大，难以满足采购人新闻宣传推广需求的，得3分。</w:t>
            </w:r>
          </w:p>
        </w:tc>
      </w:tr>
      <w:tr w14:paraId="7DCAE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68" w:type="dxa"/>
            <w:vMerge w:val="continue"/>
            <w:noWrap w:val="0"/>
            <w:vAlign w:val="center"/>
          </w:tcPr>
          <w:p w14:paraId="02878A60">
            <w:pPr>
              <w:ind w:firstLine="422"/>
              <w:jc w:val="center"/>
              <w:rPr>
                <w:rFonts w:hint="eastAsia" w:ascii="宋体" w:hAnsi="宋体" w:cs="宋体"/>
                <w:b/>
                <w:bCs/>
                <w:color w:val="000000"/>
                <w:szCs w:val="21"/>
              </w:rPr>
            </w:pPr>
          </w:p>
        </w:tc>
        <w:tc>
          <w:tcPr>
            <w:tcW w:w="1160" w:type="dxa"/>
            <w:noWrap w:val="0"/>
            <w:vAlign w:val="center"/>
          </w:tcPr>
          <w:p w14:paraId="3BE8BC6B">
            <w:pPr>
              <w:jc w:val="center"/>
              <w:rPr>
                <w:rFonts w:hint="eastAsia" w:ascii="宋体" w:hAnsi="宋体" w:cs="宋体"/>
                <w:color w:val="000000"/>
                <w:szCs w:val="21"/>
              </w:rPr>
            </w:pPr>
            <w:r>
              <w:rPr>
                <w:rFonts w:hint="eastAsia" w:ascii="宋体" w:hAnsi="宋体" w:cs="宋体"/>
                <w:color w:val="000000"/>
                <w:szCs w:val="21"/>
              </w:rPr>
              <w:t>保证措施及承诺</w:t>
            </w:r>
          </w:p>
          <w:p w14:paraId="5DB70358">
            <w:pPr>
              <w:jc w:val="center"/>
              <w:rPr>
                <w:rFonts w:hint="eastAsia" w:ascii="宋体" w:hAnsi="宋体" w:cs="宋体"/>
                <w:color w:val="000000"/>
                <w:szCs w:val="21"/>
              </w:rPr>
            </w:pPr>
            <w:r>
              <w:rPr>
                <w:rFonts w:hint="eastAsia" w:ascii="宋体" w:hAnsi="宋体" w:cs="宋体"/>
                <w:b/>
                <w:bCs/>
                <w:color w:val="000000"/>
                <w:szCs w:val="21"/>
              </w:rPr>
              <w:t>（5分）</w:t>
            </w:r>
          </w:p>
        </w:tc>
        <w:tc>
          <w:tcPr>
            <w:tcW w:w="7630" w:type="dxa"/>
            <w:noWrap w:val="0"/>
            <w:vAlign w:val="center"/>
          </w:tcPr>
          <w:p w14:paraId="1328B20D">
            <w:pPr>
              <w:rPr>
                <w:rFonts w:hint="eastAsia" w:ascii="宋体" w:hAnsi="宋体" w:cs="宋体"/>
                <w:b/>
                <w:bCs/>
                <w:color w:val="000000"/>
                <w:szCs w:val="21"/>
              </w:rPr>
            </w:pPr>
            <w:r>
              <w:rPr>
                <w:rFonts w:hint="eastAsia" w:ascii="宋体" w:hAnsi="宋体" w:cs="宋体"/>
                <w:b/>
                <w:bCs/>
                <w:color w:val="000000"/>
                <w:szCs w:val="21"/>
              </w:rPr>
              <w:t>针对以上服务项目跟进服务安排的保证措施及承诺情况：</w:t>
            </w:r>
          </w:p>
          <w:p w14:paraId="7500A05D">
            <w:pPr>
              <w:rPr>
                <w:rFonts w:hint="eastAsia" w:ascii="宋体" w:hAnsi="宋体" w:cs="宋体"/>
                <w:color w:val="000000"/>
                <w:szCs w:val="21"/>
              </w:rPr>
            </w:pPr>
            <w:r>
              <w:rPr>
                <w:rFonts w:hint="eastAsia" w:ascii="宋体" w:hAnsi="宋体" w:cs="宋体"/>
                <w:color w:val="000000"/>
                <w:szCs w:val="21"/>
              </w:rPr>
              <w:t>措施承诺科学、严密、合理，描述详细，针对性和可操作性强的，得5分；</w:t>
            </w:r>
          </w:p>
          <w:p w14:paraId="68FFF49E">
            <w:pPr>
              <w:rPr>
                <w:rFonts w:hint="eastAsia" w:ascii="宋体" w:hAnsi="宋体" w:cs="宋体"/>
                <w:color w:val="000000"/>
                <w:szCs w:val="21"/>
              </w:rPr>
            </w:pPr>
            <w:r>
              <w:rPr>
                <w:rFonts w:hint="eastAsia" w:ascii="宋体" w:hAnsi="宋体" w:cs="宋体"/>
                <w:color w:val="000000"/>
                <w:szCs w:val="21"/>
              </w:rPr>
              <w:t>措施承诺基本合理、描述一般，针对性一般、存在可操作性的，得3分；</w:t>
            </w:r>
          </w:p>
          <w:p w14:paraId="163B0F27">
            <w:pPr>
              <w:rPr>
                <w:rFonts w:hint="eastAsia" w:ascii="宋体" w:hAnsi="宋体" w:cs="宋体"/>
                <w:color w:val="000000"/>
                <w:szCs w:val="21"/>
              </w:rPr>
            </w:pPr>
            <w:r>
              <w:rPr>
                <w:rFonts w:hint="eastAsia" w:ascii="宋体" w:hAnsi="宋体" w:cs="宋体"/>
                <w:color w:val="000000"/>
                <w:szCs w:val="21"/>
              </w:rPr>
              <w:t>措施承诺具有不合理项、描述略欠缺、存在一定的实施难度的，得1分。</w:t>
            </w:r>
          </w:p>
        </w:tc>
      </w:tr>
      <w:tr w14:paraId="60B45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68" w:type="dxa"/>
            <w:noWrap w:val="0"/>
            <w:vAlign w:val="center"/>
          </w:tcPr>
          <w:p w14:paraId="57CF08D3">
            <w:pPr>
              <w:jc w:val="center"/>
              <w:rPr>
                <w:rFonts w:hint="eastAsia" w:ascii="宋体" w:hAnsi="宋体" w:cs="宋体"/>
                <w:b/>
                <w:bCs/>
                <w:color w:val="000000"/>
                <w:szCs w:val="21"/>
              </w:rPr>
            </w:pPr>
            <w:r>
              <w:rPr>
                <w:rFonts w:hint="eastAsia" w:ascii="宋体" w:hAnsi="宋体" w:cs="宋体"/>
                <w:b/>
                <w:bCs/>
                <w:color w:val="000000"/>
                <w:szCs w:val="21"/>
              </w:rPr>
              <w:t>项目组人员</w:t>
            </w:r>
          </w:p>
          <w:p w14:paraId="04561017">
            <w:pPr>
              <w:jc w:val="center"/>
              <w:rPr>
                <w:rFonts w:hint="eastAsia" w:ascii="宋体" w:hAnsi="宋体" w:cs="宋体"/>
                <w:b/>
                <w:bCs/>
                <w:color w:val="000000"/>
                <w:szCs w:val="21"/>
              </w:rPr>
            </w:pPr>
            <w:r>
              <w:rPr>
                <w:rFonts w:hint="eastAsia" w:ascii="宋体" w:hAnsi="宋体" w:cs="宋体"/>
                <w:b/>
                <w:bCs/>
                <w:color w:val="000000"/>
                <w:szCs w:val="21"/>
              </w:rPr>
              <w:t>（</w:t>
            </w:r>
            <w:r>
              <w:rPr>
                <w:rFonts w:ascii="宋体" w:hAnsi="宋体" w:cs="宋体"/>
                <w:b/>
                <w:bCs/>
                <w:color w:val="000000"/>
                <w:szCs w:val="21"/>
              </w:rPr>
              <w:t>1</w:t>
            </w:r>
            <w:r>
              <w:rPr>
                <w:rFonts w:hint="eastAsia" w:ascii="宋体" w:hAnsi="宋体" w:cs="宋体"/>
                <w:b/>
                <w:bCs/>
                <w:color w:val="000000"/>
                <w:szCs w:val="21"/>
              </w:rPr>
              <w:t>0分）</w:t>
            </w:r>
          </w:p>
        </w:tc>
        <w:tc>
          <w:tcPr>
            <w:tcW w:w="8790" w:type="dxa"/>
            <w:gridSpan w:val="2"/>
            <w:noWrap w:val="0"/>
            <w:vAlign w:val="center"/>
          </w:tcPr>
          <w:p w14:paraId="40D15A4F">
            <w:pPr>
              <w:rPr>
                <w:rFonts w:hint="eastAsia" w:ascii="宋体" w:hAnsi="宋体" w:cs="宋体"/>
                <w:color w:val="000000"/>
                <w:szCs w:val="21"/>
              </w:rPr>
            </w:pPr>
            <w:r>
              <w:rPr>
                <w:rFonts w:hint="eastAsia" w:ascii="宋体" w:hAnsi="宋体" w:cs="宋体"/>
                <w:color w:val="000000"/>
                <w:szCs w:val="21"/>
              </w:rPr>
              <w:t>1.项目组人员具有记者或编辑专业中级职称证书的，得</w:t>
            </w:r>
            <w:r>
              <w:rPr>
                <w:rFonts w:ascii="宋体" w:hAnsi="宋体" w:cs="宋体"/>
                <w:color w:val="000000"/>
                <w:szCs w:val="21"/>
              </w:rPr>
              <w:t>1</w:t>
            </w:r>
            <w:r>
              <w:rPr>
                <w:rFonts w:hint="eastAsia" w:ascii="宋体" w:hAnsi="宋体" w:cs="宋体"/>
                <w:color w:val="000000"/>
                <w:szCs w:val="21"/>
              </w:rPr>
              <w:t>分；具有副高职称证书的，得</w:t>
            </w:r>
            <w:r>
              <w:rPr>
                <w:rFonts w:ascii="宋体" w:hAnsi="宋体" w:cs="宋体"/>
                <w:color w:val="000000"/>
                <w:szCs w:val="21"/>
              </w:rPr>
              <w:t>2</w:t>
            </w:r>
            <w:r>
              <w:rPr>
                <w:rFonts w:hint="eastAsia" w:ascii="宋体" w:hAnsi="宋体" w:cs="宋体"/>
                <w:color w:val="000000"/>
                <w:szCs w:val="21"/>
              </w:rPr>
              <w:t>分，具有正高职称证书的得</w:t>
            </w:r>
            <w:r>
              <w:rPr>
                <w:rFonts w:ascii="宋体" w:hAnsi="宋体" w:cs="宋体"/>
                <w:color w:val="000000"/>
                <w:szCs w:val="21"/>
              </w:rPr>
              <w:t>3</w:t>
            </w:r>
            <w:r>
              <w:rPr>
                <w:rFonts w:hint="eastAsia" w:ascii="宋体" w:hAnsi="宋体" w:cs="宋体"/>
                <w:color w:val="000000"/>
                <w:szCs w:val="21"/>
              </w:rPr>
              <w:t>分，本项最高得4分；</w:t>
            </w:r>
          </w:p>
          <w:p w14:paraId="2A466F60">
            <w:pPr>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w:t>
            </w:r>
            <w:r>
              <w:rPr>
                <w:rFonts w:hint="eastAsia" w:ascii="宋体" w:hAnsi="宋体" w:cs="宋体"/>
                <w:color w:val="000000"/>
                <w:szCs w:val="21"/>
              </w:rPr>
              <w:t>拥有专业项目团队及明确分工，团队成员中具有3年以上医疗单位官方新媒体账号技术支持经验的记者或编辑，得</w:t>
            </w:r>
            <w:r>
              <w:rPr>
                <w:rFonts w:ascii="宋体" w:hAnsi="宋体" w:cs="宋体"/>
                <w:color w:val="000000"/>
                <w:szCs w:val="21"/>
              </w:rPr>
              <w:t>2</w:t>
            </w:r>
            <w:r>
              <w:rPr>
                <w:rFonts w:hint="eastAsia" w:ascii="宋体" w:hAnsi="宋体" w:cs="宋体"/>
                <w:color w:val="000000"/>
                <w:szCs w:val="21"/>
              </w:rPr>
              <w:t>分；团队成员中具有美术、动漫等专业背景工作人员，每有一个得</w:t>
            </w:r>
            <w:r>
              <w:rPr>
                <w:rFonts w:ascii="宋体" w:hAnsi="宋体" w:cs="宋体"/>
                <w:color w:val="000000"/>
                <w:szCs w:val="21"/>
              </w:rPr>
              <w:t>2</w:t>
            </w:r>
            <w:r>
              <w:rPr>
                <w:rFonts w:hint="eastAsia" w:ascii="宋体" w:hAnsi="宋体" w:cs="宋体"/>
                <w:color w:val="000000"/>
                <w:szCs w:val="21"/>
              </w:rPr>
              <w:t>分；满分4分；</w:t>
            </w:r>
          </w:p>
          <w:p w14:paraId="72283387">
            <w:pPr>
              <w:rPr>
                <w:rFonts w:hint="eastAsia" w:ascii="宋体" w:hAnsi="宋体" w:cs="宋体"/>
                <w:color w:val="000000"/>
                <w:szCs w:val="21"/>
              </w:rPr>
            </w:pPr>
            <w:r>
              <w:rPr>
                <w:rFonts w:hint="eastAsia" w:ascii="宋体" w:hAnsi="宋体" w:cs="宋体"/>
                <w:color w:val="000000"/>
                <w:szCs w:val="21"/>
              </w:rPr>
              <w:t>3.拥有专业项目团队及明确分工，项目组人员配有编剧、导演、拍摄、剪辑、美工等4人及以上团队成员的，且团队成员具有相关专业（编导、戏剧与影视、视频、数字媒体等）本科及以上学历的，得2分；</w:t>
            </w:r>
          </w:p>
          <w:p w14:paraId="0E62C862">
            <w:pPr>
              <w:rPr>
                <w:rFonts w:hint="eastAsia" w:ascii="宋体" w:hAnsi="宋体" w:cs="宋体"/>
                <w:b/>
                <w:color w:val="000000"/>
                <w:szCs w:val="21"/>
              </w:rPr>
            </w:pPr>
            <w:r>
              <w:rPr>
                <w:rFonts w:hint="eastAsia" w:ascii="宋体" w:hAnsi="宋体" w:cs="宋体"/>
                <w:b/>
                <w:color w:val="000000"/>
                <w:szCs w:val="21"/>
              </w:rPr>
              <w:t>注：（以上提供相关证书或者证明材料，及投标人为其缴纳近3个月任意一个月社保证明材料，</w:t>
            </w:r>
            <w:r>
              <w:rPr>
                <w:rFonts w:hint="eastAsia" w:ascii="宋体" w:hAnsi="宋体" w:cs="宋体"/>
                <w:b/>
                <w:bCs/>
                <w:color w:val="000000"/>
                <w:szCs w:val="21"/>
                <w:lang w:val="en-US" w:eastAsia="zh-CN"/>
              </w:rPr>
              <w:t>加盖单位公章</w:t>
            </w:r>
            <w:r>
              <w:rPr>
                <w:rFonts w:hint="eastAsia" w:ascii="宋体" w:hAnsi="宋体" w:cs="宋体"/>
                <w:b/>
                <w:color w:val="000000"/>
                <w:szCs w:val="21"/>
              </w:rPr>
              <w:t>）</w:t>
            </w:r>
          </w:p>
        </w:tc>
      </w:tr>
      <w:tr w14:paraId="7C908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68" w:type="dxa"/>
            <w:noWrap w:val="0"/>
            <w:vAlign w:val="center"/>
          </w:tcPr>
          <w:p w14:paraId="4B8483D9">
            <w:pPr>
              <w:jc w:val="center"/>
              <w:rPr>
                <w:rFonts w:ascii="宋体" w:hAnsi="宋体" w:cs="宋体"/>
                <w:b/>
                <w:bCs/>
                <w:color w:val="000000"/>
                <w:szCs w:val="21"/>
              </w:rPr>
            </w:pPr>
            <w:r>
              <w:rPr>
                <w:rFonts w:hint="eastAsia" w:ascii="宋体" w:hAnsi="宋体" w:cs="宋体"/>
                <w:b/>
                <w:bCs/>
                <w:color w:val="000000"/>
                <w:szCs w:val="21"/>
              </w:rPr>
              <w:t>作品展示</w:t>
            </w:r>
          </w:p>
          <w:p w14:paraId="5001CBA3">
            <w:pPr>
              <w:jc w:val="center"/>
              <w:rPr>
                <w:rFonts w:hint="eastAsia" w:ascii="宋体" w:hAnsi="宋体" w:cs="宋体"/>
                <w:b/>
                <w:bCs/>
                <w:color w:val="000000"/>
                <w:szCs w:val="21"/>
              </w:rPr>
            </w:pPr>
            <w:r>
              <w:rPr>
                <w:rFonts w:hint="eastAsia" w:ascii="宋体" w:hAnsi="宋体" w:cs="宋体"/>
                <w:b/>
                <w:bCs/>
                <w:color w:val="000000"/>
                <w:szCs w:val="21"/>
              </w:rPr>
              <w:t>（10分）</w:t>
            </w:r>
          </w:p>
        </w:tc>
        <w:tc>
          <w:tcPr>
            <w:tcW w:w="8790" w:type="dxa"/>
            <w:gridSpan w:val="2"/>
            <w:noWrap w:val="0"/>
            <w:vAlign w:val="center"/>
          </w:tcPr>
          <w:p w14:paraId="1D68A04E">
            <w:pPr>
              <w:rPr>
                <w:rFonts w:ascii="宋体" w:hAnsi="宋体" w:cs="宋体"/>
                <w:b/>
                <w:bCs/>
                <w:color w:val="000000"/>
                <w:szCs w:val="21"/>
              </w:rPr>
            </w:pPr>
            <w:r>
              <w:rPr>
                <w:rFonts w:hint="eastAsia" w:ascii="宋体" w:hAnsi="宋体" w:cs="宋体"/>
                <w:b/>
                <w:bCs/>
                <w:color w:val="000000"/>
                <w:szCs w:val="21"/>
              </w:rPr>
              <w:t>对投标人的微信发布内容、新媒体作品、汇报片或专题片进行展示。</w:t>
            </w:r>
          </w:p>
          <w:p w14:paraId="591711FF">
            <w:pPr>
              <w:rPr>
                <w:rFonts w:ascii="宋体" w:hAnsi="宋体" w:cs="宋体"/>
                <w:color w:val="000000"/>
                <w:szCs w:val="21"/>
              </w:rPr>
            </w:pPr>
            <w:r>
              <w:rPr>
                <w:rFonts w:hint="eastAsia" w:ascii="宋体" w:hAnsi="宋体" w:cs="宋体"/>
                <w:color w:val="000000"/>
                <w:szCs w:val="21"/>
              </w:rPr>
              <w:t>1.排版样式与内容相匹配、配色和谐、便于阅读，根据内容采用合适的交互式样式，加入svg交互式、漫画、海报等设计形式，阅读体验感强，得3分；</w:t>
            </w:r>
          </w:p>
          <w:p w14:paraId="3076F733">
            <w:pPr>
              <w:rPr>
                <w:rFonts w:ascii="宋体" w:hAnsi="宋体" w:cs="宋体"/>
                <w:color w:val="000000"/>
                <w:szCs w:val="21"/>
              </w:rPr>
            </w:pPr>
            <w:r>
              <w:rPr>
                <w:rFonts w:hint="eastAsia" w:ascii="宋体" w:hAnsi="宋体" w:cs="宋体"/>
                <w:color w:val="000000"/>
                <w:szCs w:val="21"/>
              </w:rPr>
              <w:t>排版样式与内容基本匹配，完整呈现，无特别设计呈现，阅读体验一般，得1分；</w:t>
            </w:r>
          </w:p>
          <w:p w14:paraId="6168D44A">
            <w:pPr>
              <w:rPr>
                <w:rFonts w:ascii="宋体" w:hAnsi="宋体" w:cs="宋体"/>
                <w:color w:val="000000"/>
                <w:szCs w:val="21"/>
              </w:rPr>
            </w:pPr>
            <w:r>
              <w:rPr>
                <w:rFonts w:hint="eastAsia" w:ascii="宋体" w:hAnsi="宋体" w:cs="宋体"/>
                <w:color w:val="000000"/>
                <w:szCs w:val="21"/>
              </w:rPr>
              <w:t>无排版设计、无设计元素，内容呈现千篇一律，不便于阅读，不得分。</w:t>
            </w:r>
          </w:p>
          <w:p w14:paraId="59FA533E">
            <w:pPr>
              <w:rPr>
                <w:rFonts w:ascii="宋体" w:hAnsi="宋体" w:cs="宋体"/>
                <w:color w:val="000000"/>
                <w:szCs w:val="21"/>
              </w:rPr>
            </w:pPr>
            <w:r>
              <w:rPr>
                <w:rFonts w:hint="eastAsia" w:ascii="宋体" w:hAnsi="宋体" w:cs="宋体"/>
                <w:color w:val="000000"/>
                <w:szCs w:val="21"/>
              </w:rPr>
              <w:t>2.漫画风格与宣传内容相匹配，主题明确，图文分布合理，色彩搭配和谐，具有一定的诙谐性，得3分；</w:t>
            </w:r>
          </w:p>
          <w:p w14:paraId="38D16A03">
            <w:pPr>
              <w:rPr>
                <w:rFonts w:ascii="宋体" w:hAnsi="宋体" w:cs="宋体"/>
                <w:color w:val="000000"/>
                <w:szCs w:val="21"/>
              </w:rPr>
            </w:pPr>
            <w:r>
              <w:rPr>
                <w:rFonts w:hint="eastAsia" w:ascii="宋体" w:hAnsi="宋体" w:cs="宋体"/>
                <w:color w:val="000000"/>
                <w:szCs w:val="21"/>
              </w:rPr>
              <w:t>漫画内容与主题基本匹配，文字、图画内容兼具，得1分；</w:t>
            </w:r>
          </w:p>
          <w:p w14:paraId="265E8802">
            <w:pPr>
              <w:rPr>
                <w:rFonts w:ascii="宋体" w:hAnsi="宋体" w:cs="宋体"/>
                <w:color w:val="000000"/>
                <w:szCs w:val="21"/>
              </w:rPr>
            </w:pPr>
            <w:r>
              <w:rPr>
                <w:rFonts w:hint="eastAsia" w:ascii="宋体" w:hAnsi="宋体" w:cs="宋体"/>
                <w:color w:val="000000"/>
                <w:szCs w:val="21"/>
              </w:rPr>
              <w:t>漫画主题不明，绘制粗糙，不得分。</w:t>
            </w:r>
          </w:p>
          <w:p w14:paraId="00E80F1E">
            <w:pPr>
              <w:rPr>
                <w:rFonts w:ascii="宋体" w:hAnsi="宋体" w:cs="宋体"/>
                <w:color w:val="000000"/>
                <w:szCs w:val="21"/>
              </w:rPr>
            </w:pPr>
            <w:r>
              <w:rPr>
                <w:rFonts w:hint="eastAsia" w:ascii="宋体" w:hAnsi="宋体" w:cs="宋体"/>
                <w:color w:val="000000"/>
                <w:szCs w:val="21"/>
              </w:rPr>
              <w:t>3.样片需为宣传视频，主题明确，逻辑清晰，色彩丰富，构图精美，动画流畅，意境优美，包含解说词、配音、动效包装等必要内容，各种呈现方式比重合理。评委根据各投标人提供的样片进行评分。</w:t>
            </w:r>
          </w:p>
          <w:p w14:paraId="149DB407">
            <w:pPr>
              <w:rPr>
                <w:rFonts w:ascii="宋体" w:hAnsi="宋体" w:cs="宋体"/>
                <w:color w:val="000000"/>
                <w:szCs w:val="21"/>
              </w:rPr>
            </w:pPr>
            <w:r>
              <w:rPr>
                <w:rFonts w:hint="eastAsia" w:ascii="宋体" w:hAnsi="宋体" w:cs="宋体"/>
                <w:color w:val="000000"/>
                <w:szCs w:val="21"/>
              </w:rPr>
              <w:t>样片内容与主题匹配、配色和谐、逻辑清晰、构图精美，动画流畅，意境优美，包含解说词、配音、动效包装等必要内容的得4分；</w:t>
            </w:r>
          </w:p>
          <w:p w14:paraId="77DB4329">
            <w:pPr>
              <w:rPr>
                <w:rFonts w:ascii="宋体" w:hAnsi="宋体" w:cs="宋体"/>
                <w:color w:val="000000"/>
                <w:szCs w:val="21"/>
              </w:rPr>
            </w:pPr>
            <w:r>
              <w:rPr>
                <w:rFonts w:hint="eastAsia" w:ascii="宋体" w:hAnsi="宋体" w:cs="宋体"/>
                <w:color w:val="000000"/>
                <w:szCs w:val="21"/>
              </w:rPr>
              <w:t>样片内容与主题基本匹配、配色基本和谐、逻辑较为清晰、构图清楚但存在瑕疵。动画基本流畅，解说词、配音、动效包装等必要内容有所欠缺的得1分；</w:t>
            </w:r>
          </w:p>
          <w:p w14:paraId="4D1CD4B8">
            <w:pPr>
              <w:rPr>
                <w:rFonts w:hint="eastAsia" w:ascii="宋体" w:hAnsi="宋体" w:cs="宋体"/>
                <w:color w:val="000000"/>
                <w:szCs w:val="21"/>
              </w:rPr>
            </w:pPr>
            <w:r>
              <w:rPr>
                <w:rFonts w:hint="eastAsia" w:ascii="宋体" w:hAnsi="宋体" w:cs="宋体"/>
                <w:color w:val="000000"/>
                <w:szCs w:val="21"/>
              </w:rPr>
              <w:t>样片内容不满足要求不得分。</w:t>
            </w:r>
          </w:p>
        </w:tc>
      </w:tr>
      <w:tr w14:paraId="29CC6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68" w:type="dxa"/>
            <w:noWrap w:val="0"/>
            <w:vAlign w:val="center"/>
          </w:tcPr>
          <w:p w14:paraId="6954B660">
            <w:pPr>
              <w:jc w:val="center"/>
              <w:rPr>
                <w:rFonts w:ascii="宋体" w:hAnsi="宋体" w:cs="宋体"/>
                <w:b/>
                <w:bCs/>
                <w:color w:val="000000"/>
                <w:szCs w:val="21"/>
              </w:rPr>
            </w:pPr>
            <w:r>
              <w:rPr>
                <w:rFonts w:hint="eastAsia" w:ascii="宋体" w:hAnsi="宋体" w:cs="宋体"/>
                <w:b/>
                <w:bCs/>
                <w:color w:val="000000"/>
                <w:szCs w:val="21"/>
              </w:rPr>
              <w:t>作品层次</w:t>
            </w:r>
          </w:p>
          <w:p w14:paraId="08429B89">
            <w:pPr>
              <w:jc w:val="center"/>
              <w:rPr>
                <w:rFonts w:hint="eastAsia" w:ascii="宋体" w:hAnsi="宋体" w:cs="宋体"/>
                <w:b/>
                <w:bCs/>
                <w:color w:val="000000"/>
                <w:szCs w:val="21"/>
              </w:rPr>
            </w:pPr>
            <w:r>
              <w:rPr>
                <w:rFonts w:hint="eastAsia" w:ascii="宋体" w:hAnsi="宋体" w:cs="宋体"/>
                <w:b/>
                <w:bCs/>
                <w:color w:val="000000"/>
                <w:szCs w:val="21"/>
              </w:rPr>
              <w:t>（1</w:t>
            </w:r>
            <w:r>
              <w:rPr>
                <w:rFonts w:ascii="宋体" w:hAnsi="宋体" w:cs="宋体"/>
                <w:b/>
                <w:bCs/>
                <w:color w:val="000000"/>
                <w:szCs w:val="21"/>
              </w:rPr>
              <w:t>0</w:t>
            </w:r>
            <w:r>
              <w:rPr>
                <w:rFonts w:hint="eastAsia" w:ascii="宋体" w:hAnsi="宋体" w:cs="宋体"/>
                <w:b/>
                <w:bCs/>
                <w:color w:val="000000"/>
                <w:szCs w:val="21"/>
              </w:rPr>
              <w:t>分）</w:t>
            </w:r>
          </w:p>
        </w:tc>
        <w:tc>
          <w:tcPr>
            <w:tcW w:w="8790" w:type="dxa"/>
            <w:gridSpan w:val="2"/>
            <w:noWrap w:val="0"/>
            <w:vAlign w:val="center"/>
          </w:tcPr>
          <w:p w14:paraId="423B244F">
            <w:pP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w:t>
            </w:r>
            <w:r>
              <w:rPr>
                <w:rFonts w:hint="eastAsia" w:ascii="宋体" w:hAnsi="宋体" w:cs="宋体"/>
                <w:color w:val="000000"/>
                <w:szCs w:val="21"/>
              </w:rPr>
              <w:t>所运营的新媒体账号、制作的新媒体（漫画、短视频、动漫等）作品在省以上比赛中获奖的，提供获奖证书或相关文件材料，省级获奖有一项得1分、国家级获奖有一项得2分；此项满分3分</w:t>
            </w:r>
            <w:r>
              <w:rPr>
                <w:rFonts w:hint="eastAsia" w:ascii="宋体" w:hAnsi="宋体" w:cs="宋体"/>
                <w:b/>
                <w:bCs/>
                <w:color w:val="000000"/>
                <w:szCs w:val="21"/>
              </w:rPr>
              <w:t>（提供证书</w:t>
            </w:r>
            <w:r>
              <w:rPr>
                <w:rFonts w:hint="eastAsia" w:ascii="宋体" w:hAnsi="宋体" w:cs="宋体"/>
                <w:b/>
                <w:bCs/>
                <w:color w:val="000000"/>
                <w:szCs w:val="21"/>
                <w:lang w:val="en-US" w:eastAsia="zh-CN"/>
              </w:rPr>
              <w:t>复印件加盖单位公章</w:t>
            </w:r>
            <w:r>
              <w:rPr>
                <w:rFonts w:hint="eastAsia" w:ascii="宋体" w:hAnsi="宋体" w:cs="宋体"/>
                <w:b/>
                <w:bCs/>
                <w:color w:val="000000"/>
                <w:szCs w:val="21"/>
              </w:rPr>
              <w:t>）</w:t>
            </w:r>
          </w:p>
          <w:p w14:paraId="551AA4A0">
            <w:pPr>
              <w:rPr>
                <w:rFonts w:hint="eastAsia" w:ascii="宋体" w:hAnsi="宋体" w:cs="宋体"/>
                <w:color w:val="000000"/>
                <w:szCs w:val="21"/>
              </w:rPr>
            </w:pPr>
            <w:r>
              <w:rPr>
                <w:rFonts w:hint="eastAsia" w:ascii="宋体" w:hAnsi="宋体" w:cs="宋体"/>
                <w:color w:val="000000"/>
                <w:szCs w:val="21"/>
              </w:rPr>
              <w:t>2</w:t>
            </w:r>
            <w:r>
              <w:rPr>
                <w:rFonts w:ascii="宋体" w:hAnsi="宋体" w:cs="宋体"/>
                <w:color w:val="000000"/>
                <w:szCs w:val="21"/>
              </w:rPr>
              <w:t>.</w:t>
            </w:r>
            <w:r>
              <w:rPr>
                <w:rFonts w:hint="eastAsia" w:ascii="宋体" w:hAnsi="宋体" w:cs="宋体"/>
                <w:color w:val="000000"/>
                <w:szCs w:val="21"/>
              </w:rPr>
              <w:t>所制作的视频在省级及国家级比赛中获奖的（动漫、短视频、微电影、微视频），提供获奖证书或相关文件材料，省级获奖有一部得1分、国家级获奖有一部得2分；此项满分4分</w:t>
            </w:r>
            <w:r>
              <w:rPr>
                <w:rFonts w:hint="eastAsia" w:ascii="宋体" w:hAnsi="宋体" w:cs="宋体"/>
                <w:b/>
                <w:bCs/>
                <w:color w:val="000000"/>
                <w:szCs w:val="21"/>
              </w:rPr>
              <w:t>（提供证书</w:t>
            </w:r>
            <w:r>
              <w:rPr>
                <w:rFonts w:hint="eastAsia" w:ascii="宋体" w:hAnsi="宋体" w:cs="宋体"/>
                <w:b/>
                <w:bCs/>
                <w:color w:val="000000"/>
                <w:szCs w:val="21"/>
                <w:lang w:val="en-US" w:eastAsia="zh-CN"/>
              </w:rPr>
              <w:t>复印件加盖单位公章</w:t>
            </w:r>
            <w:r>
              <w:rPr>
                <w:rFonts w:hint="eastAsia" w:ascii="宋体" w:hAnsi="宋体" w:cs="宋体"/>
                <w:b/>
                <w:bCs/>
                <w:color w:val="000000"/>
                <w:szCs w:val="21"/>
              </w:rPr>
              <w:t>）</w:t>
            </w:r>
          </w:p>
          <w:p w14:paraId="2E2891A6">
            <w:pPr>
              <w:rPr>
                <w:rFonts w:hint="eastAsia" w:ascii="宋体" w:hAnsi="宋体" w:cs="宋体"/>
                <w:color w:val="000000"/>
                <w:szCs w:val="21"/>
              </w:rPr>
            </w:pPr>
            <w:r>
              <w:rPr>
                <w:rFonts w:hint="eastAsia" w:ascii="宋体" w:hAnsi="宋体" w:cs="宋体"/>
                <w:color w:val="000000"/>
                <w:szCs w:val="21"/>
              </w:rPr>
              <w:t>3</w:t>
            </w:r>
            <w:r>
              <w:rPr>
                <w:rFonts w:ascii="宋体" w:hAnsi="宋体" w:cs="宋体"/>
                <w:color w:val="000000"/>
                <w:szCs w:val="21"/>
              </w:rPr>
              <w:t>.</w:t>
            </w:r>
            <w:r>
              <w:rPr>
                <w:rFonts w:hint="eastAsia" w:ascii="宋体" w:hAnsi="宋体" w:cs="宋体"/>
                <w:color w:val="000000"/>
                <w:szCs w:val="21"/>
              </w:rPr>
              <w:t>有报道被推荐至人民日报头版、新华社电、新华每日电讯、央视新闻联播、新华日报头版的，提供报道版面或链接，有一则得1分；此项满分3分。</w:t>
            </w:r>
            <w:r>
              <w:rPr>
                <w:rFonts w:hint="eastAsia" w:ascii="宋体" w:hAnsi="宋体" w:cs="宋体"/>
                <w:b/>
                <w:bCs/>
                <w:color w:val="000000"/>
                <w:szCs w:val="21"/>
              </w:rPr>
              <w:t>（提供证明材料</w:t>
            </w:r>
            <w:r>
              <w:rPr>
                <w:rFonts w:hint="eastAsia" w:ascii="宋体" w:hAnsi="宋体" w:cs="宋体"/>
                <w:b/>
                <w:bCs/>
                <w:color w:val="000000"/>
                <w:szCs w:val="21"/>
                <w:lang w:val="en-US" w:eastAsia="zh-CN"/>
              </w:rPr>
              <w:t>加盖单位公章</w:t>
            </w:r>
            <w:r>
              <w:rPr>
                <w:rFonts w:hint="eastAsia" w:ascii="宋体" w:hAnsi="宋体" w:cs="宋体"/>
                <w:b/>
                <w:bCs/>
                <w:color w:val="000000"/>
                <w:szCs w:val="21"/>
              </w:rPr>
              <w:t>）</w:t>
            </w:r>
          </w:p>
        </w:tc>
      </w:tr>
      <w:tr w14:paraId="0B48F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68" w:type="dxa"/>
            <w:noWrap w:val="0"/>
            <w:vAlign w:val="center"/>
          </w:tcPr>
          <w:p w14:paraId="7E37429F">
            <w:pPr>
              <w:jc w:val="center"/>
              <w:rPr>
                <w:rFonts w:hint="eastAsia" w:ascii="宋体" w:hAnsi="宋体" w:cs="宋体"/>
                <w:b/>
                <w:bCs/>
                <w:color w:val="000000"/>
                <w:szCs w:val="21"/>
              </w:rPr>
            </w:pPr>
            <w:r>
              <w:rPr>
                <w:rFonts w:hint="eastAsia" w:ascii="宋体" w:hAnsi="宋体" w:cs="宋体"/>
                <w:b/>
                <w:bCs/>
                <w:color w:val="000000"/>
                <w:szCs w:val="21"/>
              </w:rPr>
              <w:t>售后服务</w:t>
            </w:r>
          </w:p>
          <w:p w14:paraId="3AED3717">
            <w:pPr>
              <w:jc w:val="center"/>
              <w:rPr>
                <w:rFonts w:hint="eastAsia" w:ascii="宋体" w:hAnsi="宋体" w:cs="宋体"/>
                <w:b/>
                <w:bCs/>
                <w:color w:val="000000"/>
                <w:szCs w:val="21"/>
              </w:rPr>
            </w:pPr>
            <w:r>
              <w:rPr>
                <w:rFonts w:hint="eastAsia" w:ascii="宋体" w:hAnsi="宋体" w:cs="宋体"/>
                <w:b/>
                <w:bCs/>
                <w:color w:val="000000"/>
                <w:szCs w:val="21"/>
              </w:rPr>
              <w:t>（5分）</w:t>
            </w:r>
          </w:p>
        </w:tc>
        <w:tc>
          <w:tcPr>
            <w:tcW w:w="8790" w:type="dxa"/>
            <w:gridSpan w:val="2"/>
            <w:noWrap w:val="0"/>
            <w:vAlign w:val="center"/>
          </w:tcPr>
          <w:p w14:paraId="1C05CD84">
            <w:pPr>
              <w:rPr>
                <w:rFonts w:hint="eastAsia" w:ascii="宋体" w:hAnsi="宋体" w:cs="宋体"/>
                <w:color w:val="000000"/>
                <w:szCs w:val="21"/>
              </w:rPr>
            </w:pPr>
            <w:r>
              <w:rPr>
                <w:rFonts w:hint="eastAsia" w:ascii="宋体" w:hAnsi="宋体" w:cs="宋体"/>
                <w:color w:val="000000"/>
                <w:szCs w:val="21"/>
              </w:rPr>
              <w:t>1、有完善合理的售后服务体系和服务方案得3分；售后服务体系和服务方案较合理的得2分；售后服务体系和服务方案基本合理的得1分。未提供的不得分。</w:t>
            </w:r>
          </w:p>
          <w:p w14:paraId="023E4487">
            <w:pPr>
              <w:rPr>
                <w:rFonts w:hint="eastAsia" w:ascii="宋体" w:hAnsi="宋体" w:cs="宋体"/>
                <w:color w:val="000000"/>
                <w:szCs w:val="21"/>
              </w:rPr>
            </w:pPr>
            <w:r>
              <w:rPr>
                <w:rFonts w:hint="eastAsia" w:ascii="宋体" w:hAnsi="宋体" w:cs="宋体"/>
                <w:color w:val="000000"/>
                <w:szCs w:val="21"/>
              </w:rPr>
              <w:t>2、投标人承诺设有24小时客户服务热线的得2分；不承诺不得分。</w:t>
            </w:r>
          </w:p>
          <w:p w14:paraId="47D3A13C">
            <w:pPr>
              <w:rPr>
                <w:rFonts w:hint="eastAsia" w:ascii="宋体" w:hAnsi="宋体" w:cs="宋体"/>
                <w:b/>
                <w:color w:val="000000"/>
                <w:szCs w:val="21"/>
              </w:rPr>
            </w:pPr>
            <w:r>
              <w:rPr>
                <w:rFonts w:hint="eastAsia" w:ascii="宋体" w:hAnsi="宋体" w:cs="宋体"/>
                <w:b/>
                <w:bCs/>
                <w:color w:val="000000"/>
                <w:szCs w:val="21"/>
              </w:rPr>
              <w:t>（提供承诺函</w:t>
            </w:r>
            <w:r>
              <w:rPr>
                <w:rFonts w:hint="eastAsia" w:ascii="宋体" w:hAnsi="宋体" w:cs="宋体"/>
                <w:b/>
                <w:bCs/>
                <w:color w:val="000000"/>
                <w:szCs w:val="21"/>
                <w:lang w:val="en-US" w:eastAsia="zh-CN"/>
              </w:rPr>
              <w:t>加盖单位公章</w:t>
            </w:r>
            <w:r>
              <w:rPr>
                <w:rFonts w:hint="eastAsia" w:ascii="宋体" w:hAnsi="宋体" w:cs="宋体"/>
                <w:b/>
                <w:bCs/>
                <w:color w:val="000000"/>
                <w:szCs w:val="21"/>
              </w:rPr>
              <w:t>，格式自拟）</w:t>
            </w:r>
          </w:p>
        </w:tc>
      </w:tr>
      <w:tr w14:paraId="4B80C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168" w:type="dxa"/>
            <w:noWrap w:val="0"/>
            <w:vAlign w:val="center"/>
          </w:tcPr>
          <w:p w14:paraId="0E04F510">
            <w:pPr>
              <w:jc w:val="center"/>
              <w:rPr>
                <w:rFonts w:hint="eastAsia" w:ascii="宋体" w:hAnsi="宋体" w:cs="宋体"/>
                <w:b/>
                <w:bCs/>
                <w:color w:val="000000"/>
                <w:szCs w:val="21"/>
              </w:rPr>
            </w:pPr>
            <w:r>
              <w:rPr>
                <w:rFonts w:hint="eastAsia" w:ascii="宋体" w:hAnsi="宋体" w:cs="宋体"/>
                <w:b/>
                <w:bCs/>
                <w:color w:val="000000"/>
                <w:szCs w:val="21"/>
              </w:rPr>
              <w:t>业绩</w:t>
            </w:r>
          </w:p>
          <w:p w14:paraId="038E6622">
            <w:pPr>
              <w:jc w:val="center"/>
              <w:rPr>
                <w:rFonts w:hint="eastAsia" w:ascii="宋体" w:hAnsi="宋体" w:cs="宋体"/>
                <w:b/>
                <w:bCs/>
                <w:color w:val="000000"/>
                <w:szCs w:val="21"/>
              </w:rPr>
            </w:pPr>
            <w:r>
              <w:rPr>
                <w:rFonts w:hint="eastAsia" w:ascii="宋体" w:hAnsi="宋体" w:cs="宋体"/>
                <w:b/>
                <w:bCs/>
                <w:color w:val="000000"/>
                <w:szCs w:val="21"/>
              </w:rPr>
              <w:t>（5分）</w:t>
            </w:r>
          </w:p>
        </w:tc>
        <w:tc>
          <w:tcPr>
            <w:tcW w:w="8790" w:type="dxa"/>
            <w:gridSpan w:val="2"/>
            <w:noWrap w:val="0"/>
            <w:vAlign w:val="center"/>
          </w:tcPr>
          <w:p w14:paraId="231E38F8">
            <w:pPr>
              <w:rPr>
                <w:rFonts w:hint="eastAsia" w:ascii="宋体" w:hAnsi="宋体" w:cs="宋体"/>
                <w:color w:val="000000"/>
                <w:szCs w:val="21"/>
              </w:rPr>
            </w:pPr>
            <w:r>
              <w:rPr>
                <w:rFonts w:hint="eastAsia" w:ascii="宋体" w:hAnsi="宋体" w:cs="宋体"/>
                <w:color w:val="000000"/>
                <w:szCs w:val="21"/>
              </w:rPr>
              <w:t>投标人自202</w:t>
            </w:r>
            <w:r>
              <w:rPr>
                <w:rFonts w:hint="eastAsia" w:ascii="宋体" w:hAnsi="宋体" w:cs="宋体"/>
                <w:color w:val="000000"/>
                <w:szCs w:val="21"/>
                <w:lang w:val="en-US" w:eastAsia="zh-CN"/>
              </w:rPr>
              <w:t>2</w:t>
            </w:r>
            <w:r>
              <w:rPr>
                <w:rFonts w:hint="eastAsia" w:ascii="宋体" w:hAnsi="宋体" w:cs="宋体"/>
                <w:color w:val="000000"/>
                <w:szCs w:val="21"/>
              </w:rPr>
              <w:t>年1月1日以来承担过类似项目业绩的，有一项得1分，</w:t>
            </w:r>
            <w:r>
              <w:rPr>
                <w:rFonts w:hint="eastAsia" w:ascii="宋体" w:hAnsi="宋体" w:cs="宋体"/>
                <w:b/>
                <w:color w:val="000000"/>
                <w:szCs w:val="21"/>
              </w:rPr>
              <w:t>本项最高得5分</w:t>
            </w:r>
            <w:r>
              <w:rPr>
                <w:rFonts w:hint="eastAsia" w:ascii="宋体" w:hAnsi="宋体" w:cs="宋体"/>
                <w:color w:val="000000"/>
                <w:szCs w:val="21"/>
              </w:rPr>
              <w:t>。</w:t>
            </w:r>
          </w:p>
          <w:p w14:paraId="113E5B35">
            <w:pPr>
              <w:rPr>
                <w:rFonts w:hint="eastAsia" w:ascii="宋体" w:hAnsi="宋体" w:cs="宋体"/>
                <w:b/>
                <w:bCs/>
                <w:color w:val="000000"/>
                <w:szCs w:val="21"/>
              </w:rPr>
            </w:pPr>
            <w:r>
              <w:rPr>
                <w:rFonts w:hint="eastAsia" w:ascii="宋体" w:hAnsi="宋体" w:cs="宋体"/>
                <w:b/>
                <w:color w:val="000000"/>
                <w:szCs w:val="21"/>
              </w:rPr>
              <w:t>（以合同签订的时间为准，提供合同复印件</w:t>
            </w:r>
            <w:r>
              <w:rPr>
                <w:rFonts w:hint="eastAsia" w:ascii="宋体" w:hAnsi="宋体" w:cs="宋体"/>
                <w:b/>
                <w:bCs/>
                <w:color w:val="000000"/>
                <w:szCs w:val="21"/>
                <w:lang w:val="en-US" w:eastAsia="zh-CN"/>
              </w:rPr>
              <w:t>加盖单位公章</w:t>
            </w:r>
            <w:r>
              <w:rPr>
                <w:rFonts w:hint="eastAsia" w:ascii="宋体" w:hAnsi="宋体" w:cs="宋体"/>
                <w:b/>
                <w:color w:val="000000"/>
                <w:szCs w:val="21"/>
              </w:rPr>
              <w:t>。）</w:t>
            </w:r>
          </w:p>
        </w:tc>
      </w:tr>
    </w:tbl>
    <w:p w14:paraId="01672859">
      <w:pPr>
        <w:pStyle w:val="6"/>
      </w:pPr>
    </w:p>
    <w:p w14:paraId="69431E65">
      <w:pPr>
        <w:jc w:val="center"/>
        <w:rPr>
          <w:b/>
          <w:sz w:val="32"/>
          <w:szCs w:val="32"/>
        </w:rPr>
      </w:pPr>
    </w:p>
    <w:p w14:paraId="6BEE03FF">
      <w:pPr>
        <w:jc w:val="center"/>
        <w:rPr>
          <w:b/>
          <w:sz w:val="32"/>
          <w:szCs w:val="32"/>
        </w:rPr>
      </w:pPr>
    </w:p>
    <w:p w14:paraId="0C0975D7">
      <w:pPr>
        <w:jc w:val="center"/>
        <w:rPr>
          <w:b/>
          <w:sz w:val="32"/>
          <w:szCs w:val="32"/>
        </w:rPr>
      </w:pPr>
    </w:p>
    <w:p w14:paraId="008C9651">
      <w:pPr>
        <w:jc w:val="center"/>
        <w:rPr>
          <w:b/>
          <w:sz w:val="32"/>
          <w:szCs w:val="32"/>
        </w:rPr>
      </w:pPr>
    </w:p>
    <w:p w14:paraId="1D2BD9D8">
      <w:pPr>
        <w:jc w:val="center"/>
        <w:rPr>
          <w:rFonts w:hint="eastAsia"/>
          <w:b/>
          <w:sz w:val="32"/>
          <w:szCs w:val="32"/>
          <w:lang w:val="en-US" w:eastAsia="zh-CN"/>
        </w:rPr>
      </w:pPr>
    </w:p>
    <w:p w14:paraId="7138D088">
      <w:pPr>
        <w:jc w:val="center"/>
        <w:rPr>
          <w:rFonts w:hint="eastAsia"/>
          <w:b/>
          <w:sz w:val="32"/>
          <w:szCs w:val="32"/>
          <w:lang w:val="en-US" w:eastAsia="zh-CN"/>
        </w:rPr>
      </w:pPr>
    </w:p>
    <w:p w14:paraId="24637295">
      <w:pPr>
        <w:jc w:val="center"/>
        <w:rPr>
          <w:rFonts w:hint="eastAsia"/>
          <w:b/>
          <w:sz w:val="32"/>
          <w:szCs w:val="32"/>
          <w:lang w:val="en-US" w:eastAsia="zh-CN"/>
        </w:rPr>
      </w:pPr>
    </w:p>
    <w:p w14:paraId="4E49AADE">
      <w:pPr>
        <w:rPr>
          <w:b/>
          <w:sz w:val="32"/>
          <w:szCs w:val="32"/>
        </w:rPr>
      </w:pPr>
      <w:bookmarkStart w:id="13" w:name="_GoBack"/>
      <w:bookmarkEnd w:id="13"/>
    </w:p>
    <w:p w14:paraId="6534C2AA">
      <w:pPr>
        <w:jc w:val="center"/>
        <w:rPr>
          <w:b/>
          <w:sz w:val="32"/>
          <w:szCs w:val="32"/>
        </w:rPr>
      </w:pPr>
      <w:r>
        <w:rPr>
          <w:rFonts w:hint="eastAsia"/>
          <w:b/>
          <w:sz w:val="32"/>
          <w:szCs w:val="32"/>
        </w:rPr>
        <w:t>三、投标人须知</w:t>
      </w:r>
      <w:bookmarkEnd w:id="2"/>
    </w:p>
    <w:p w14:paraId="54A6E7C5">
      <w:pPr>
        <w:ind w:firstLine="562" w:firstLineChars="200"/>
        <w:rPr>
          <w:b/>
          <w:sz w:val="28"/>
          <w:szCs w:val="28"/>
        </w:rPr>
      </w:pPr>
      <w:r>
        <w:rPr>
          <w:rFonts w:hint="eastAsia"/>
          <w:b/>
          <w:sz w:val="28"/>
          <w:szCs w:val="28"/>
        </w:rPr>
        <w:t>（一）编制要求</w:t>
      </w:r>
    </w:p>
    <w:p w14:paraId="37BE0BFF">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1、投标人应在仔细阅读院内公开</w:t>
      </w:r>
      <w:r>
        <w:rPr>
          <w:rFonts w:hint="eastAsia" w:ascii="宋体" w:hAnsi="宋体"/>
          <w:szCs w:val="21"/>
          <w:lang w:val="en-US" w:eastAsia="zh-CN"/>
        </w:rPr>
        <w:t>谈判</w:t>
      </w:r>
      <w:r>
        <w:rPr>
          <w:rFonts w:hint="eastAsia" w:ascii="宋体" w:hAnsi="宋体"/>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140B0381">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2、投标人在收到院内公开谈判文件后，若有疑问应以书面形式（包括书面文字、传真、电子邮件等）在规定时间前向招标人提出。招标人将所有问题集中后在统一答复所有投标人。</w:t>
      </w:r>
    </w:p>
    <w:p w14:paraId="55597496">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3、明确标明“正本”或“副本”字样，一旦正本和副本有差异，以正本为准。所有投标资料均需A4纸打印，按照院内公开谈判文件规定的顺序装订。</w:t>
      </w:r>
    </w:p>
    <w:p w14:paraId="2C5A7308">
      <w:pPr>
        <w:ind w:firstLine="562" w:firstLineChars="200"/>
        <w:rPr>
          <w:b/>
          <w:sz w:val="28"/>
          <w:szCs w:val="28"/>
        </w:rPr>
      </w:pPr>
      <w:bookmarkStart w:id="9" w:name="_Toc39744254"/>
      <w:r>
        <w:rPr>
          <w:rFonts w:hint="eastAsia"/>
          <w:b/>
          <w:sz w:val="28"/>
          <w:szCs w:val="28"/>
        </w:rPr>
        <w:t>（二）资格审查要求</w:t>
      </w:r>
      <w:bookmarkEnd w:id="9"/>
    </w:p>
    <w:p w14:paraId="669FE618">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1、资格审查方式为资格后审。</w:t>
      </w:r>
    </w:p>
    <w:p w14:paraId="61AE8AA9">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3D3B8C72">
      <w:pPr>
        <w:adjustRightInd w:val="0"/>
        <w:snapToGrid w:val="0"/>
        <w:spacing w:line="440" w:lineRule="exact"/>
        <w:ind w:left="424" w:leftChars="202" w:right="531" w:rightChars="253" w:firstLine="457" w:firstLineChars="218"/>
        <w:contextualSpacing/>
        <w:rPr>
          <w:rFonts w:ascii="宋体" w:hAnsi="宋体"/>
          <w:szCs w:val="21"/>
        </w:rPr>
      </w:pPr>
      <w:bookmarkStart w:id="10" w:name="_Toc39744256"/>
      <w:r>
        <w:rPr>
          <w:rFonts w:hint="eastAsia" w:ascii="宋体" w:hAnsi="宋体"/>
          <w:szCs w:val="21"/>
        </w:rPr>
        <w:t>投标人资质要求。承担本项目能力和资格的有关资格证明材料。</w:t>
      </w:r>
    </w:p>
    <w:p w14:paraId="4160FB67">
      <w:pPr>
        <w:adjustRightInd w:val="0"/>
        <w:snapToGrid w:val="0"/>
        <w:spacing w:line="440" w:lineRule="exact"/>
        <w:ind w:left="424" w:leftChars="202" w:right="531" w:rightChars="253" w:firstLine="457" w:firstLineChars="218"/>
        <w:contextualSpacing/>
        <w:rPr>
          <w:rFonts w:ascii="宋体" w:hAnsi="宋体"/>
          <w:szCs w:val="21"/>
        </w:rPr>
      </w:pPr>
      <w:r>
        <w:rPr>
          <w:rFonts w:hint="eastAsia" w:ascii="宋体" w:hAnsi="宋体"/>
          <w:szCs w:val="21"/>
        </w:rPr>
        <w:t>(1)由工商局签发的投标人工商营业执照副本复印件(加盖公章);</w:t>
      </w:r>
    </w:p>
    <w:p w14:paraId="61511FBC">
      <w:pPr>
        <w:adjustRightInd w:val="0"/>
        <w:snapToGrid w:val="0"/>
        <w:spacing w:line="440" w:lineRule="exact"/>
        <w:ind w:left="424" w:leftChars="202" w:right="531" w:rightChars="253" w:firstLine="457" w:firstLineChars="218"/>
        <w:contextualSpacing/>
        <w:rPr>
          <w:rFonts w:ascii="宋体" w:hAnsi="宋体"/>
          <w:szCs w:val="21"/>
        </w:rPr>
      </w:pPr>
      <w:r>
        <w:rPr>
          <w:rFonts w:hint="eastAsia" w:ascii="宋体" w:hAnsi="宋体"/>
          <w:szCs w:val="21"/>
        </w:rPr>
        <w:t>(2)服务能力:投标方必须具备实施项目开展和提供后续服务的能力，需提供人员、设备配置清单及服务承诺(格式自拟)。</w:t>
      </w:r>
    </w:p>
    <w:p w14:paraId="2A79F5EC">
      <w:pPr>
        <w:adjustRightInd w:val="0"/>
        <w:snapToGrid w:val="0"/>
        <w:spacing w:line="440" w:lineRule="exact"/>
        <w:ind w:left="424" w:leftChars="202" w:right="531" w:rightChars="253" w:firstLine="457" w:firstLineChars="218"/>
        <w:contextualSpacing/>
        <w:rPr>
          <w:rFonts w:ascii="宋体" w:hAnsi="宋体"/>
          <w:szCs w:val="21"/>
        </w:rPr>
      </w:pPr>
      <w:r>
        <w:rPr>
          <w:rFonts w:hint="eastAsia" w:ascii="宋体" w:hAnsi="宋体"/>
          <w:szCs w:val="21"/>
        </w:rPr>
        <w:t>(3)202</w:t>
      </w:r>
      <w:r>
        <w:rPr>
          <w:rFonts w:hint="eastAsia" w:ascii="宋体" w:hAnsi="宋体"/>
          <w:szCs w:val="21"/>
          <w:lang w:val="en-US" w:eastAsia="zh-CN"/>
        </w:rPr>
        <w:t>2</w:t>
      </w:r>
      <w:r>
        <w:rPr>
          <w:rFonts w:hint="eastAsia" w:ascii="宋体" w:hAnsi="宋体"/>
          <w:szCs w:val="21"/>
        </w:rPr>
        <w:t>年1月1日以来完成相关项目一览表:4)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14:paraId="548DA4E9">
      <w:pPr>
        <w:adjustRightInd w:val="0"/>
        <w:snapToGrid w:val="0"/>
        <w:spacing w:line="440" w:lineRule="exact"/>
        <w:ind w:left="424" w:leftChars="202" w:right="531" w:rightChars="253" w:firstLine="332" w:firstLineChars="118"/>
        <w:contextualSpacing/>
        <w:rPr>
          <w:b/>
          <w:sz w:val="28"/>
          <w:szCs w:val="28"/>
        </w:rPr>
      </w:pPr>
      <w:r>
        <w:rPr>
          <w:rFonts w:hint="eastAsia"/>
          <w:b/>
          <w:sz w:val="28"/>
          <w:szCs w:val="28"/>
        </w:rPr>
        <w:t>（三）投标文件要求</w:t>
      </w:r>
      <w:bookmarkEnd w:id="10"/>
    </w:p>
    <w:p w14:paraId="395FF2B5">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47C68320">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4B907F32">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（1）针对本项目院内公开</w:t>
      </w:r>
      <w:r>
        <w:rPr>
          <w:rFonts w:hint="eastAsia" w:ascii="宋体" w:hAnsi="宋体"/>
          <w:szCs w:val="21"/>
          <w:lang w:val="en-US" w:eastAsia="zh-CN"/>
        </w:rPr>
        <w:t>谈判</w:t>
      </w:r>
      <w:r>
        <w:rPr>
          <w:rFonts w:hint="eastAsia" w:ascii="宋体" w:hAnsi="宋体"/>
          <w:szCs w:val="21"/>
        </w:rPr>
        <w:t>的授权委托书；</w:t>
      </w:r>
    </w:p>
    <w:p w14:paraId="525C8A30">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71CC884E">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1085F3AD">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由社保部门出具的投标人为授权委托人及院内公开谈判经办人缴纳的</w:t>
      </w:r>
      <w:r>
        <w:rPr>
          <w:rFonts w:hint="eastAsia" w:ascii="宋体" w:hAnsi="宋体"/>
          <w:b/>
          <w:szCs w:val="21"/>
        </w:rPr>
        <w:t>近三个月中任意一个月</w:t>
      </w:r>
      <w:r>
        <w:rPr>
          <w:rFonts w:hint="eastAsia" w:ascii="宋体" w:hAnsi="宋体"/>
          <w:szCs w:val="21"/>
        </w:rPr>
        <w:t>养老保险费用的证明材料；</w:t>
      </w:r>
    </w:p>
    <w:p w14:paraId="0F231E93">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p>
    <w:p w14:paraId="7448C598">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738121D9">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4CCF332E">
      <w:pPr>
        <w:adjustRightInd w:val="0"/>
        <w:snapToGrid w:val="0"/>
        <w:spacing w:line="440" w:lineRule="exact"/>
        <w:ind w:left="422" w:leftChars="201" w:right="531" w:rightChars="253" w:firstLine="249" w:firstLineChars="119"/>
        <w:contextualSpacing/>
        <w:rPr>
          <w:rFonts w:ascii="宋体" w:hAnsi="宋体"/>
          <w:szCs w:val="21"/>
        </w:rPr>
      </w:pPr>
      <w:r>
        <w:rPr>
          <w:rFonts w:hint="eastAsia" w:ascii="宋体" w:hAnsi="宋体"/>
          <w:bCs/>
          <w:szCs w:val="21"/>
        </w:rPr>
        <w:t>（3）</w:t>
      </w:r>
      <w:r>
        <w:rPr>
          <w:rFonts w:hint="eastAsia" w:ascii="宋体" w:hAnsi="宋体"/>
          <w:szCs w:val="21"/>
        </w:rPr>
        <w:t>投标报价</w:t>
      </w:r>
    </w:p>
    <w:p w14:paraId="47C0E27A">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以上投标文件组成及报价要求将作为否决投标单位标书的重要条件。</w:t>
      </w:r>
    </w:p>
    <w:p w14:paraId="12511C9C">
      <w:pPr>
        <w:ind w:firstLine="562" w:firstLineChars="200"/>
        <w:rPr>
          <w:b/>
          <w:sz w:val="28"/>
          <w:szCs w:val="28"/>
        </w:rPr>
      </w:pPr>
      <w:bookmarkStart w:id="11" w:name="_Toc39744257"/>
      <w:r>
        <w:rPr>
          <w:rFonts w:hint="eastAsia"/>
          <w:b/>
          <w:sz w:val="28"/>
          <w:szCs w:val="28"/>
        </w:rPr>
        <w:t>（四）开标、</w:t>
      </w:r>
      <w:bookmarkEnd w:id="11"/>
      <w:r>
        <w:rPr>
          <w:rFonts w:hint="eastAsia"/>
          <w:b/>
          <w:sz w:val="28"/>
          <w:szCs w:val="28"/>
        </w:rPr>
        <w:t>评标</w:t>
      </w:r>
    </w:p>
    <w:p w14:paraId="2439902D">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1C47BF67">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4DCD5423">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（1）投标文件不响应院内公开谈判文件要求的；</w:t>
      </w:r>
    </w:p>
    <w:p w14:paraId="378C5F25">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27ABE3C5">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7C603CFB">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4A01494E">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w:t>
      </w:r>
      <w:r>
        <w:rPr>
          <w:rFonts w:hint="eastAsia" w:ascii="宋体" w:hAnsi="宋体"/>
          <w:szCs w:val="21"/>
          <w:lang w:val="en-US" w:eastAsia="zh-CN"/>
        </w:rPr>
        <w:t>附属医院</w:t>
      </w:r>
      <w:r>
        <w:rPr>
          <w:rFonts w:hint="eastAsia" w:ascii="宋体" w:hAnsi="宋体"/>
          <w:szCs w:val="21"/>
        </w:rPr>
        <w:t>采购管理办法，组成项目评标小组。严格按招标文件，公平、公正、科学、严谨地对投标文件进行综合评定。</w:t>
      </w:r>
    </w:p>
    <w:p w14:paraId="7EA3159D">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5、院内公开</w:t>
      </w:r>
      <w:r>
        <w:rPr>
          <w:rFonts w:hint="eastAsia" w:ascii="宋体" w:hAnsi="宋体"/>
          <w:szCs w:val="21"/>
          <w:lang w:val="en-US" w:eastAsia="zh-CN"/>
        </w:rPr>
        <w:t>谈判</w:t>
      </w:r>
      <w:r>
        <w:rPr>
          <w:rFonts w:hint="eastAsia" w:ascii="宋体" w:hAnsi="宋体"/>
          <w:szCs w:val="21"/>
        </w:rPr>
        <w:t>程序：</w:t>
      </w:r>
    </w:p>
    <w:p w14:paraId="316E8ECD">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w:t>
      </w:r>
      <w:r>
        <w:rPr>
          <w:rFonts w:hint="eastAsia" w:ascii="宋体" w:hAnsi="宋体"/>
          <w:b/>
          <w:szCs w:val="21"/>
          <w:lang w:val="en-US" w:eastAsia="zh-CN"/>
        </w:rPr>
        <w:t>方案介绍</w:t>
      </w:r>
      <w:r>
        <w:rPr>
          <w:rFonts w:hint="eastAsia" w:ascii="宋体" w:hAnsi="宋体"/>
          <w:b/>
          <w:szCs w:val="21"/>
        </w:rPr>
        <w:t>、院内谈判；（3）二次报价；（4）综合评分。</w:t>
      </w:r>
    </w:p>
    <w:p w14:paraId="68FC5F03">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26592B64">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rPr>
        <w:t>符合部门要求的基础上，评分排名第一的单位中标。</w:t>
      </w:r>
      <w:bookmarkStart w:id="12" w:name="_Toc39744258"/>
    </w:p>
    <w:p w14:paraId="1557B42E">
      <w:pPr>
        <w:pStyle w:val="28"/>
      </w:pPr>
    </w:p>
    <w:p w14:paraId="55436D3B">
      <w:pPr>
        <w:pStyle w:val="28"/>
      </w:pPr>
    </w:p>
    <w:p w14:paraId="542C206D">
      <w:pPr>
        <w:pStyle w:val="28"/>
      </w:pPr>
    </w:p>
    <w:p w14:paraId="3A61D386">
      <w:pPr>
        <w:pStyle w:val="28"/>
      </w:pPr>
    </w:p>
    <w:p w14:paraId="33C0C9AE">
      <w:pPr>
        <w:pStyle w:val="28"/>
      </w:pPr>
    </w:p>
    <w:p w14:paraId="74B6B13A">
      <w:pPr>
        <w:pStyle w:val="28"/>
      </w:pPr>
    </w:p>
    <w:p w14:paraId="49967CE6">
      <w:pPr>
        <w:pStyle w:val="28"/>
      </w:pPr>
    </w:p>
    <w:p w14:paraId="72D3F73B">
      <w:pPr>
        <w:pStyle w:val="28"/>
      </w:pPr>
    </w:p>
    <w:p w14:paraId="27CCF0B3">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四、投标文件格式及附件要求</w:t>
      </w:r>
      <w:bookmarkEnd w:id="12"/>
    </w:p>
    <w:p w14:paraId="03AD9856">
      <w:pPr>
        <w:jc w:val="center"/>
        <w:rPr>
          <w:b/>
          <w:sz w:val="36"/>
          <w:szCs w:val="36"/>
        </w:rPr>
      </w:pPr>
    </w:p>
    <w:p w14:paraId="12FE2169">
      <w:pPr>
        <w:jc w:val="center"/>
        <w:rPr>
          <w:rFonts w:ascii="宋体" w:hAnsi="宋体"/>
          <w:b/>
          <w:sz w:val="36"/>
          <w:szCs w:val="36"/>
          <w:u w:val="single"/>
        </w:rPr>
      </w:pPr>
      <w:r>
        <w:rPr>
          <w:rFonts w:hint="eastAsia"/>
          <w:b/>
          <w:sz w:val="36"/>
          <w:szCs w:val="36"/>
        </w:rPr>
        <w:t>目录</w:t>
      </w:r>
    </w:p>
    <w:p w14:paraId="7760451B">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245F3A2B">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00ACECA5">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28A0D84E">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3、由社保部门出具的投标人为经办人及投标报名项目负责人缴纳的近三个月养老保险费用的证明材料（任意一个月）；</w:t>
      </w:r>
    </w:p>
    <w:p w14:paraId="3010C011">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4、投标单位不在供应商被“信用中国”网站（www.creditchina.gov.cn）、“中国政府采购网"(www.ccgp.gov.cn)列入失信被执行人、重大税收违法案件当事人名单、政府采购严重违法失信行为记录名单的截图，并盖章。</w:t>
      </w:r>
    </w:p>
    <w:p w14:paraId="40A46804">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0EB158C7">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6320890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2、授权委托书</w:t>
      </w:r>
    </w:p>
    <w:p w14:paraId="390B4402">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3、投标报价</w:t>
      </w:r>
    </w:p>
    <w:p w14:paraId="052E4CC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4、供应商廉洁自律承诺书</w:t>
      </w:r>
    </w:p>
    <w:p w14:paraId="418210A8">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（三）其他（格式自拟）</w:t>
      </w:r>
    </w:p>
    <w:p w14:paraId="3FC2DEA8">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1、服务承诺书</w:t>
      </w:r>
    </w:p>
    <w:p w14:paraId="15E99FE2">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2、相关项目合同</w:t>
      </w:r>
    </w:p>
    <w:p w14:paraId="1408936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3、服务方案</w:t>
      </w:r>
    </w:p>
    <w:p w14:paraId="22B3DD15">
      <w:pPr>
        <w:pStyle w:val="28"/>
      </w:pPr>
    </w:p>
    <w:p w14:paraId="1E69C575">
      <w:pPr>
        <w:pStyle w:val="28"/>
      </w:pPr>
    </w:p>
    <w:p w14:paraId="0EF58346">
      <w:pPr>
        <w:pStyle w:val="28"/>
      </w:pPr>
    </w:p>
    <w:p w14:paraId="6C605D82">
      <w:pPr>
        <w:adjustRightInd w:val="0"/>
        <w:snapToGrid w:val="0"/>
        <w:spacing w:line="440" w:lineRule="exact"/>
        <w:ind w:left="424" w:leftChars="202" w:firstLine="371" w:firstLineChars="177"/>
        <w:contextualSpacing/>
        <w:rPr>
          <w:rFonts w:ascii="宋体" w:hAnsi="宋体"/>
          <w:bCs/>
          <w:szCs w:val="21"/>
        </w:rPr>
      </w:pPr>
    </w:p>
    <w:p w14:paraId="4F43F724">
      <w:pPr>
        <w:pStyle w:val="6"/>
      </w:pPr>
    </w:p>
    <w:p w14:paraId="293679DC">
      <w:pPr>
        <w:pStyle w:val="6"/>
      </w:pPr>
    </w:p>
    <w:p w14:paraId="0FDF1532">
      <w:pPr>
        <w:pStyle w:val="10"/>
        <w:rPr>
          <w:rFonts w:ascii="黑体" w:hAnsi="Times New Roman" w:eastAsia="黑体"/>
          <w:b/>
          <w:sz w:val="36"/>
        </w:rPr>
      </w:pPr>
    </w:p>
    <w:p w14:paraId="73DE7224">
      <w:pPr>
        <w:pStyle w:val="10"/>
        <w:rPr>
          <w:rFonts w:ascii="黑体" w:hAnsi="Times New Roman" w:eastAsia="黑体"/>
          <w:b/>
          <w:sz w:val="36"/>
        </w:rPr>
      </w:pPr>
    </w:p>
    <w:p w14:paraId="6D35A4E5">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7EF3E0FD">
      <w:pPr>
        <w:pStyle w:val="10"/>
        <w:jc w:val="center"/>
        <w:rPr>
          <w:rFonts w:asciiTheme="minorEastAsia" w:hAnsiTheme="minorEastAsia" w:eastAsiaTheme="minorEastAsia"/>
          <w:b/>
          <w:sz w:val="24"/>
          <w:szCs w:val="24"/>
        </w:rPr>
      </w:pPr>
    </w:p>
    <w:p w14:paraId="09449F7B">
      <w:pPr>
        <w:pStyle w:val="10"/>
        <w:spacing w:line="480" w:lineRule="auto"/>
        <w:ind w:firstLine="42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的法定代表人，现授权委托我单位的(姓名)          为我公司代理人。代理人在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项目院内公开谈判活动中所签署的一切文件和处理与之有关的一切事务，我均予以承认。</w:t>
      </w:r>
    </w:p>
    <w:p w14:paraId="487AEDA9">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07E82452">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20B495F8">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2F39477B">
      <w:pPr>
        <w:pStyle w:val="10"/>
        <w:spacing w:line="480" w:lineRule="auto"/>
        <w:ind w:firstLine="360" w:firstLineChars="150"/>
        <w:rPr>
          <w:rFonts w:asciiTheme="minorEastAsia" w:hAnsiTheme="minorEastAsia" w:eastAsiaTheme="minorEastAsia"/>
          <w:sz w:val="24"/>
          <w:szCs w:val="24"/>
        </w:rPr>
      </w:pPr>
    </w:p>
    <w:p w14:paraId="2E025CDB">
      <w:pPr>
        <w:pStyle w:val="10"/>
        <w:spacing w:line="480" w:lineRule="auto"/>
        <w:ind w:firstLine="6600" w:firstLineChars="27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7A514AD4">
      <w:pPr>
        <w:pStyle w:val="10"/>
        <w:spacing w:line="480" w:lineRule="auto"/>
        <w:ind w:firstLine="420"/>
        <w:rPr>
          <w:rFonts w:asciiTheme="minorEastAsia" w:hAnsiTheme="minorEastAsia" w:eastAsiaTheme="minorEastAsia"/>
          <w:sz w:val="24"/>
          <w:szCs w:val="24"/>
        </w:rPr>
      </w:pPr>
    </w:p>
    <w:p w14:paraId="7A41CF25">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5A25AD01">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03A338F7">
      <w:pPr>
        <w:spacing w:line="400" w:lineRule="exact"/>
        <w:ind w:firstLine="480" w:firstLineChars="200"/>
        <w:rPr>
          <w:rFonts w:ascii="宋体" w:hAnsi="宋体"/>
          <w:sz w:val="24"/>
        </w:rPr>
      </w:pPr>
    </w:p>
    <w:p w14:paraId="756A516A">
      <w:pPr>
        <w:spacing w:line="400" w:lineRule="exact"/>
        <w:rPr>
          <w:rFonts w:ascii="宋体" w:hAnsi="宋体"/>
          <w:sz w:val="28"/>
        </w:rPr>
      </w:pPr>
    </w:p>
    <w:p w14:paraId="33EA839D">
      <w:pPr>
        <w:spacing w:line="400" w:lineRule="exact"/>
        <w:rPr>
          <w:rFonts w:ascii="宋体" w:hAnsi="宋体"/>
          <w:sz w:val="28"/>
        </w:rPr>
      </w:pPr>
    </w:p>
    <w:p w14:paraId="1065AD6C">
      <w:pPr>
        <w:spacing w:line="500" w:lineRule="exact"/>
        <w:jc w:val="center"/>
        <w:rPr>
          <w:rFonts w:ascii="黑体" w:eastAsia="黑体"/>
          <w:b/>
          <w:bCs/>
          <w:sz w:val="36"/>
          <w:szCs w:val="36"/>
        </w:rPr>
      </w:pPr>
    </w:p>
    <w:p w14:paraId="61B5636C">
      <w:pPr>
        <w:pStyle w:val="10"/>
        <w:jc w:val="center"/>
        <w:rPr>
          <w:rFonts w:ascii="黑体" w:hAnsi="Times New Roman" w:eastAsia="黑体"/>
          <w:b/>
          <w:sz w:val="36"/>
        </w:rPr>
      </w:pPr>
    </w:p>
    <w:p w14:paraId="435B6233">
      <w:pPr>
        <w:pStyle w:val="10"/>
        <w:rPr>
          <w:rFonts w:ascii="黑体" w:eastAsia="黑体"/>
          <w:b/>
          <w:bCs/>
          <w:sz w:val="36"/>
          <w:szCs w:val="36"/>
        </w:rPr>
      </w:pPr>
    </w:p>
    <w:p w14:paraId="4C07B266">
      <w:pPr>
        <w:pStyle w:val="11"/>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15CA73E1">
      <w:pPr>
        <w:spacing w:line="540" w:lineRule="exact"/>
      </w:pPr>
    </w:p>
    <w:p w14:paraId="3CDAC871">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3E7C3816">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院内公开谈判，并接受对我公司的资格审查，我公司承诺：根据贵单位提出的资格审查合格条件标准和要求，本公司没有因骗取中标或者严重违约以及发生重大质量、安全生产事故等问题，被有关部门暂停投标资格并在暂停期内。</w:t>
      </w:r>
    </w:p>
    <w:p w14:paraId="6789C56D">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511C66D8">
      <w:pPr>
        <w:pStyle w:val="11"/>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0772FBBB">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7C20D6BA">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20D6208D">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31264EB4">
      <w:pPr>
        <w:adjustRightInd w:val="0"/>
        <w:snapToGrid w:val="0"/>
        <w:spacing w:line="700" w:lineRule="exact"/>
        <w:ind w:left="424" w:leftChars="202" w:right="531" w:rightChars="253" w:firstLine="424" w:firstLineChars="177"/>
        <w:contextualSpacing/>
        <w:rPr>
          <w:rFonts w:ascii="宋体" w:hAnsi="宋体"/>
          <w:sz w:val="24"/>
        </w:rPr>
      </w:pPr>
    </w:p>
    <w:p w14:paraId="083342FA">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01A83645">
      <w:pPr>
        <w:pStyle w:val="11"/>
        <w:widowControl/>
        <w:spacing w:line="540" w:lineRule="exact"/>
        <w:ind w:left="5250" w:leftChars="0"/>
        <w:jc w:val="center"/>
        <w:rPr>
          <w:rFonts w:hAnsi="宋体"/>
          <w:szCs w:val="32"/>
        </w:rPr>
      </w:pPr>
    </w:p>
    <w:p w14:paraId="1CA90900">
      <w:pPr>
        <w:pStyle w:val="11"/>
        <w:widowControl/>
        <w:spacing w:line="540" w:lineRule="exact"/>
        <w:ind w:left="5250" w:leftChars="0"/>
        <w:jc w:val="center"/>
        <w:rPr>
          <w:rFonts w:ascii="宋体" w:hAnsi="宋体" w:eastAsia="宋体"/>
          <w:szCs w:val="32"/>
        </w:rPr>
      </w:pPr>
    </w:p>
    <w:p w14:paraId="3BD6CBA3">
      <w:pPr>
        <w:pStyle w:val="11"/>
        <w:widowControl/>
        <w:spacing w:line="540" w:lineRule="exact"/>
        <w:ind w:left="5250" w:leftChars="0"/>
        <w:jc w:val="center"/>
        <w:rPr>
          <w:rFonts w:ascii="宋体" w:hAnsi="宋体" w:eastAsia="宋体"/>
          <w:szCs w:val="32"/>
        </w:rPr>
      </w:pPr>
    </w:p>
    <w:p w14:paraId="6D1BA1DC">
      <w:pPr>
        <w:pStyle w:val="11"/>
        <w:widowControl/>
        <w:spacing w:line="540" w:lineRule="exact"/>
        <w:ind w:left="5250" w:leftChars="0"/>
        <w:jc w:val="center"/>
        <w:rPr>
          <w:rFonts w:ascii="宋体" w:hAnsi="宋体" w:eastAsia="宋体"/>
          <w:szCs w:val="32"/>
        </w:rPr>
      </w:pPr>
    </w:p>
    <w:p w14:paraId="4C6074D2">
      <w:pPr>
        <w:pStyle w:val="11"/>
        <w:widowControl/>
        <w:spacing w:line="540" w:lineRule="exact"/>
        <w:ind w:left="5250" w:leftChars="0"/>
        <w:jc w:val="center"/>
        <w:rPr>
          <w:rFonts w:ascii="宋体" w:hAnsi="宋体" w:eastAsia="宋体"/>
          <w:szCs w:val="32"/>
        </w:rPr>
      </w:pPr>
    </w:p>
    <w:p w14:paraId="0ABA9F24">
      <w:pPr>
        <w:pStyle w:val="11"/>
        <w:widowControl/>
        <w:spacing w:line="540" w:lineRule="exact"/>
        <w:ind w:left="5250" w:leftChars="0"/>
        <w:jc w:val="center"/>
        <w:rPr>
          <w:rFonts w:ascii="宋体" w:hAnsi="宋体" w:eastAsia="宋体"/>
          <w:szCs w:val="32"/>
        </w:rPr>
      </w:pPr>
    </w:p>
    <w:p w14:paraId="55714C90">
      <w:pPr>
        <w:rPr>
          <w:rFonts w:ascii="宋体" w:hAnsi="宋体"/>
          <w:szCs w:val="32"/>
        </w:rPr>
      </w:pPr>
      <w:r>
        <w:rPr>
          <w:rFonts w:hint="eastAsia" w:ascii="宋体" w:hAnsi="宋体"/>
          <w:szCs w:val="32"/>
        </w:rPr>
        <w:br w:type="page"/>
      </w:r>
    </w:p>
    <w:p w14:paraId="2489F2FD">
      <w:pPr>
        <w:spacing w:line="360" w:lineRule="auto"/>
        <w:ind w:firstLine="3975" w:firstLineChars="1100"/>
        <w:rPr>
          <w:rFonts w:ascii="宋体" w:hAnsi="宋体"/>
          <w:b/>
          <w:sz w:val="36"/>
          <w:szCs w:val="36"/>
        </w:rPr>
      </w:pPr>
      <w:r>
        <w:rPr>
          <w:rFonts w:hint="eastAsia" w:ascii="宋体" w:hAnsi="宋体"/>
          <w:b/>
          <w:sz w:val="36"/>
          <w:szCs w:val="36"/>
        </w:rPr>
        <w:t>投标函</w:t>
      </w:r>
    </w:p>
    <w:p w14:paraId="5C0C1498">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282636FF">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项目的院内公开谈判文件，遵照扬州大学附属医院采购管理暂行办法，我单位经研究上述院内公开询价文件的投标须知、合同条件、技术规范、和其他有关文件后，我方投标报价为</w:t>
      </w:r>
    </w:p>
    <w:p w14:paraId="43E0847F">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 xml:space="preserve"> </w:t>
      </w:r>
      <w:r>
        <w:rPr>
          <w:rFonts w:hint="eastAsia" w:ascii="宋体" w:hAnsi="宋体"/>
          <w:bCs/>
          <w:sz w:val="24"/>
          <w:u w:val="single"/>
        </w:rPr>
        <w:t xml:space="preserve">       万元</w:t>
      </w:r>
      <w:r>
        <w:rPr>
          <w:rFonts w:hint="eastAsia" w:ascii="宋体" w:hAnsi="宋体"/>
          <w:bCs/>
          <w:sz w:val="24"/>
        </w:rPr>
        <w:t>。</w:t>
      </w:r>
    </w:p>
    <w:p w14:paraId="1DC18020">
      <w:pPr>
        <w:spacing w:line="360" w:lineRule="auto"/>
        <w:rPr>
          <w:rFonts w:ascii="宋体" w:hAnsi="宋体"/>
          <w:bCs/>
          <w:sz w:val="24"/>
        </w:rPr>
      </w:pPr>
    </w:p>
    <w:p w14:paraId="0BF8E3EE">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37DD3743">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7F3EDF8C">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77F45A5C">
      <w:pPr>
        <w:jc w:val="center"/>
        <w:rPr>
          <w:rFonts w:ascii="宋体" w:hAnsi="宋体"/>
          <w:b/>
          <w:sz w:val="24"/>
        </w:rPr>
      </w:pPr>
      <w:r>
        <w:rPr>
          <w:rFonts w:hint="eastAsia" w:ascii="宋体" w:hAnsi="宋体"/>
          <w:sz w:val="24"/>
        </w:rPr>
        <w:br w:type="page"/>
      </w:r>
    </w:p>
    <w:p w14:paraId="6307876E">
      <w:pPr>
        <w:jc w:val="center"/>
        <w:rPr>
          <w:rFonts w:ascii="宋体" w:hAnsi="宋体"/>
          <w:b/>
          <w:sz w:val="36"/>
          <w:szCs w:val="36"/>
        </w:rPr>
      </w:pPr>
      <w:r>
        <w:rPr>
          <w:rFonts w:hint="eastAsia" w:ascii="宋体" w:hAnsi="宋体"/>
          <w:b/>
          <w:sz w:val="36"/>
          <w:szCs w:val="36"/>
        </w:rPr>
        <w:t>投标报价</w:t>
      </w:r>
    </w:p>
    <w:p w14:paraId="16731B03">
      <w:pPr>
        <w:jc w:val="center"/>
        <w:rPr>
          <w:rFonts w:ascii="宋体" w:hAnsi="宋体"/>
          <w:b/>
          <w:sz w:val="24"/>
        </w:rPr>
      </w:pPr>
    </w:p>
    <w:tbl>
      <w:tblPr>
        <w:tblStyle w:val="22"/>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0A22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7B5958C5">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485CA0D5">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365F269C">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4F2797F0">
            <w:pPr>
              <w:jc w:val="center"/>
              <w:rPr>
                <w:rFonts w:ascii="宋体" w:hAnsi="宋体"/>
                <w:b/>
                <w:sz w:val="28"/>
                <w:szCs w:val="28"/>
              </w:rPr>
            </w:pPr>
            <w:r>
              <w:rPr>
                <w:rFonts w:hint="eastAsia" w:ascii="宋体" w:hAnsi="宋体"/>
                <w:b/>
                <w:sz w:val="28"/>
                <w:szCs w:val="28"/>
              </w:rPr>
              <w:t>报价</w:t>
            </w:r>
          </w:p>
        </w:tc>
      </w:tr>
      <w:tr w14:paraId="0B62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D60295E">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5EF10D22">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39193D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8A3C0FB">
            <w:pPr>
              <w:jc w:val="center"/>
              <w:rPr>
                <w:rFonts w:ascii="宋体" w:hAnsi="宋体"/>
                <w:sz w:val="24"/>
              </w:rPr>
            </w:pPr>
          </w:p>
        </w:tc>
      </w:tr>
      <w:tr w14:paraId="4EEE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EEAC783">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76FFA861">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4BC18BC">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C01F617">
            <w:pPr>
              <w:jc w:val="center"/>
              <w:rPr>
                <w:rFonts w:ascii="宋体" w:hAnsi="宋体"/>
                <w:sz w:val="24"/>
              </w:rPr>
            </w:pPr>
          </w:p>
        </w:tc>
      </w:tr>
      <w:tr w14:paraId="089F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88E9005">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66493E0E">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EC63591">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F42BA84">
            <w:pPr>
              <w:jc w:val="center"/>
              <w:rPr>
                <w:rFonts w:ascii="宋体" w:hAnsi="宋体"/>
                <w:sz w:val="24"/>
              </w:rPr>
            </w:pPr>
          </w:p>
        </w:tc>
      </w:tr>
      <w:tr w14:paraId="63A2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E237502">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53C46967">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65A377C">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3EE90041">
            <w:pPr>
              <w:jc w:val="left"/>
              <w:rPr>
                <w:rFonts w:ascii="宋体" w:hAnsi="宋体"/>
                <w:sz w:val="24"/>
              </w:rPr>
            </w:pPr>
          </w:p>
        </w:tc>
      </w:tr>
      <w:tr w14:paraId="33E8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D86C09E">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2A5EEE5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CDC1DE1">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A6059A4">
            <w:pPr>
              <w:jc w:val="left"/>
              <w:rPr>
                <w:rFonts w:ascii="宋体" w:hAnsi="宋体"/>
                <w:sz w:val="24"/>
              </w:rPr>
            </w:pPr>
          </w:p>
        </w:tc>
      </w:tr>
      <w:tr w14:paraId="5035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A9F22D0">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361788A2">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A92FB1E">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CAF324F">
            <w:pPr>
              <w:jc w:val="left"/>
              <w:rPr>
                <w:rFonts w:ascii="宋体" w:hAnsi="宋体"/>
                <w:sz w:val="24"/>
              </w:rPr>
            </w:pPr>
          </w:p>
        </w:tc>
      </w:tr>
      <w:tr w14:paraId="7FCC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78C582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5F6307C">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24144E7">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7D8E6EEA">
            <w:pPr>
              <w:jc w:val="left"/>
              <w:rPr>
                <w:rFonts w:ascii="宋体" w:hAnsi="宋体"/>
                <w:sz w:val="24"/>
              </w:rPr>
            </w:pPr>
          </w:p>
        </w:tc>
      </w:tr>
      <w:tr w14:paraId="3ECD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52E8EF0">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3FF4D1FE">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0F9F4D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8A5FD7F">
            <w:pPr>
              <w:jc w:val="center"/>
              <w:rPr>
                <w:rFonts w:ascii="宋体" w:hAnsi="宋体"/>
                <w:sz w:val="24"/>
              </w:rPr>
            </w:pPr>
          </w:p>
        </w:tc>
      </w:tr>
      <w:tr w14:paraId="4DB8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44140A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6201970">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791126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7B06BAA">
            <w:pPr>
              <w:jc w:val="center"/>
              <w:rPr>
                <w:rFonts w:ascii="宋体" w:hAnsi="宋体"/>
                <w:sz w:val="24"/>
              </w:rPr>
            </w:pPr>
          </w:p>
        </w:tc>
      </w:tr>
      <w:tr w14:paraId="6159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FF86675">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0F95E35">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F085EBB">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0A0570A">
            <w:pPr>
              <w:jc w:val="center"/>
              <w:rPr>
                <w:rFonts w:ascii="宋体" w:hAnsi="宋体"/>
                <w:sz w:val="24"/>
              </w:rPr>
            </w:pPr>
          </w:p>
        </w:tc>
      </w:tr>
      <w:tr w14:paraId="362F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4B9DD59">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68005E9">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1A33A32">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67ED32A">
            <w:pPr>
              <w:jc w:val="center"/>
              <w:rPr>
                <w:rFonts w:ascii="宋体" w:hAnsi="宋体"/>
                <w:sz w:val="24"/>
              </w:rPr>
            </w:pPr>
          </w:p>
        </w:tc>
      </w:tr>
      <w:tr w14:paraId="7F3A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FFE2D31">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6A8B36B1">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06CDEDE">
            <w:pPr>
              <w:jc w:val="center"/>
              <w:rPr>
                <w:rFonts w:ascii="宋体" w:hAnsi="宋体"/>
                <w:sz w:val="24"/>
              </w:rPr>
            </w:pPr>
          </w:p>
          <w:p w14:paraId="57CADBC9">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6D28A095">
            <w:pPr>
              <w:jc w:val="center"/>
              <w:rPr>
                <w:rFonts w:ascii="宋体" w:hAnsi="宋体"/>
                <w:sz w:val="24"/>
              </w:rPr>
            </w:pPr>
          </w:p>
        </w:tc>
      </w:tr>
      <w:tr w14:paraId="3C4C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680C21B">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3DD6645">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2A58080D">
            <w:pPr>
              <w:jc w:val="center"/>
              <w:rPr>
                <w:rFonts w:ascii="宋体" w:hAnsi="宋体"/>
                <w:b/>
                <w:sz w:val="24"/>
              </w:rPr>
            </w:pPr>
          </w:p>
        </w:tc>
      </w:tr>
    </w:tbl>
    <w:p w14:paraId="4A4DA2FF">
      <w:pPr>
        <w:jc w:val="center"/>
        <w:rPr>
          <w:rFonts w:ascii="宋体" w:hAnsi="宋体"/>
          <w:b/>
          <w:sz w:val="24"/>
        </w:rPr>
      </w:pPr>
    </w:p>
    <w:p w14:paraId="6642CAEC">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0813D7EA">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70E084DF">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7DFCC8B0">
      <w:pPr>
        <w:jc w:val="center"/>
        <w:rPr>
          <w:rFonts w:ascii="宋体" w:hAnsi="宋体"/>
          <w:b/>
          <w:sz w:val="24"/>
        </w:rPr>
      </w:pPr>
    </w:p>
    <w:p w14:paraId="079769F4">
      <w:pPr>
        <w:jc w:val="center"/>
        <w:rPr>
          <w:rFonts w:ascii="宋体" w:hAnsi="宋体"/>
          <w:b/>
          <w:sz w:val="24"/>
        </w:rPr>
      </w:pPr>
    </w:p>
    <w:p w14:paraId="08EADB96">
      <w:pPr>
        <w:rPr>
          <w:rFonts w:ascii="宋体" w:hAnsi="宋体"/>
          <w:b/>
          <w:sz w:val="24"/>
        </w:rPr>
      </w:pPr>
    </w:p>
    <w:p w14:paraId="1C539F84">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35A5B7DE">
      <w:pPr>
        <w:rPr>
          <w:rFonts w:ascii="楷体_GB2312" w:eastAsia="楷体_GB2312"/>
        </w:rPr>
      </w:pPr>
    </w:p>
    <w:p w14:paraId="28AD28BE">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扬州大学附属医院                 项目院内公开</w:t>
      </w:r>
      <w:r>
        <w:rPr>
          <w:rFonts w:hint="eastAsia" w:asciiTheme="minorEastAsia" w:hAnsiTheme="minorEastAsia" w:eastAsiaTheme="minorEastAsia"/>
          <w:bCs/>
          <w:sz w:val="24"/>
          <w:lang w:val="en-US" w:eastAsia="zh-CN"/>
        </w:rPr>
        <w:t>谈判</w:t>
      </w:r>
      <w:r>
        <w:rPr>
          <w:rFonts w:hint="eastAsia" w:asciiTheme="minorEastAsia" w:hAnsiTheme="minorEastAsia" w:eastAsiaTheme="minorEastAsia"/>
          <w:bCs/>
          <w:sz w:val="24"/>
        </w:rPr>
        <w:t>是实行公开、公平、公正的阳光工程，给予了每个供应商平等竞争的机会。作为参与此次院内公开谈判活动的承包商,我公司现郑重作出以下承诺：</w:t>
      </w:r>
    </w:p>
    <w:p w14:paraId="3B10FF01">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一、遵守《中华人民共和国政府采购法》及省、市有关政府采购的各项法律、法规和制度以及《扬州大学附属医院采购管理暂行办法》的规定。</w:t>
      </w:r>
    </w:p>
    <w:p w14:paraId="5E7AEF85">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3B30BDD3">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56C5EF1A">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1ADA2B8A">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617F02CC">
      <w:pPr>
        <w:pStyle w:val="12"/>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607B2E58">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45CAD2DE">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405F7923">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090062F2">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785A8011">
      <w:pPr>
        <w:pStyle w:val="7"/>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2025年    月   日</w:t>
      </w:r>
    </w:p>
    <w:p w14:paraId="5A2EDD0D">
      <w:pPr>
        <w:jc w:val="center"/>
        <w:rPr>
          <w:rFonts w:ascii="宋体" w:hAnsi="宋体"/>
          <w:b/>
          <w:sz w:val="24"/>
        </w:rPr>
      </w:pPr>
    </w:p>
    <w:p w14:paraId="2555CB79">
      <w:pPr>
        <w:rPr>
          <w:sz w:val="24"/>
        </w:rPr>
      </w:pPr>
    </w:p>
    <w:p w14:paraId="675A4230">
      <w:pPr>
        <w:pStyle w:val="6"/>
      </w:pPr>
    </w:p>
    <w:p w14:paraId="5CE59D2D">
      <w:pPr>
        <w:pStyle w:val="6"/>
      </w:pPr>
    </w:p>
    <w:p w14:paraId="7777795E">
      <w:pPr>
        <w:pStyle w:val="6"/>
      </w:pPr>
    </w:p>
    <w:p w14:paraId="038D5B36">
      <w:pPr>
        <w:pStyle w:val="6"/>
      </w:pPr>
    </w:p>
    <w:p w14:paraId="1B490FD9">
      <w:pPr>
        <w:spacing w:line="340" w:lineRule="exact"/>
        <w:jc w:val="center"/>
        <w:rPr>
          <w:rFonts w:eastAsia="楷体"/>
          <w:b/>
          <w:bCs/>
          <w:sz w:val="30"/>
          <w:szCs w:val="30"/>
        </w:rPr>
      </w:pPr>
      <w:r>
        <w:rPr>
          <w:rFonts w:hint="eastAsia" w:eastAsia="楷体"/>
          <w:b/>
          <w:bCs/>
          <w:sz w:val="30"/>
          <w:szCs w:val="30"/>
        </w:rPr>
        <w:t>扬州大学附属医院京沪高级医学中心宣传项目服务</w:t>
      </w:r>
      <w:r>
        <w:rPr>
          <w:rFonts w:eastAsia="楷体"/>
          <w:b/>
          <w:bCs/>
          <w:sz w:val="30"/>
          <w:szCs w:val="30"/>
        </w:rPr>
        <w:t>合同</w:t>
      </w:r>
    </w:p>
    <w:p w14:paraId="60751F15">
      <w:pPr>
        <w:spacing w:line="360" w:lineRule="auto"/>
        <w:ind w:firstLine="420" w:firstLineChars="200"/>
        <w:textAlignment w:val="baseline"/>
        <w:rPr>
          <w:rFonts w:ascii="宋体" w:hAnsi="宋体"/>
          <w:szCs w:val="21"/>
        </w:rPr>
      </w:pPr>
      <w:r>
        <w:rPr>
          <w:rFonts w:ascii="宋体" w:hAnsi="宋体"/>
          <w:szCs w:val="21"/>
        </w:rPr>
        <w:t>合同编号：</w:t>
      </w:r>
    </w:p>
    <w:p w14:paraId="20E1512A">
      <w:pPr>
        <w:spacing w:line="360" w:lineRule="auto"/>
        <w:ind w:firstLine="420" w:firstLineChars="200"/>
        <w:textAlignment w:val="baseline"/>
        <w:rPr>
          <w:rFonts w:ascii="宋体" w:hAnsi="宋体"/>
          <w:szCs w:val="21"/>
        </w:rPr>
      </w:pPr>
      <w:r>
        <w:rPr>
          <w:rFonts w:ascii="宋体" w:hAnsi="宋体"/>
          <w:szCs w:val="21"/>
        </w:rPr>
        <w:t xml:space="preserve">甲方：                        </w:t>
      </w:r>
    </w:p>
    <w:p w14:paraId="2F68F127">
      <w:pPr>
        <w:spacing w:line="360" w:lineRule="auto"/>
        <w:ind w:firstLine="420" w:firstLineChars="200"/>
        <w:textAlignment w:val="baseline"/>
        <w:rPr>
          <w:rFonts w:ascii="宋体" w:hAnsi="宋体"/>
          <w:szCs w:val="21"/>
        </w:rPr>
      </w:pPr>
      <w:r>
        <w:rPr>
          <w:rFonts w:ascii="宋体" w:hAnsi="宋体"/>
          <w:szCs w:val="21"/>
        </w:rPr>
        <w:t xml:space="preserve">乙方：                                  </w:t>
      </w:r>
    </w:p>
    <w:p w14:paraId="2C7ADEA9">
      <w:pPr>
        <w:spacing w:line="360" w:lineRule="auto"/>
        <w:ind w:firstLine="420" w:firstLineChars="200"/>
        <w:textAlignment w:val="baseline"/>
        <w:rPr>
          <w:rFonts w:ascii="宋体" w:hAnsi="宋体"/>
          <w:szCs w:val="21"/>
        </w:rPr>
      </w:pPr>
      <w:r>
        <w:rPr>
          <w:rFonts w:ascii="宋体" w:hAnsi="宋体"/>
          <w:szCs w:val="21"/>
        </w:rPr>
        <w:t>根据《中华人民共和国民法典》等相关法律法规的规定，甲乙双方在平等自愿、互利互惠的基础上，为明确双方权利义务，经双方协商一致，特签订以下合同条款。</w:t>
      </w:r>
    </w:p>
    <w:p w14:paraId="3FB111FD">
      <w:pPr>
        <w:spacing w:line="360" w:lineRule="auto"/>
        <w:ind w:firstLine="420" w:firstLineChars="200"/>
        <w:textAlignment w:val="baseline"/>
        <w:rPr>
          <w:rFonts w:ascii="宋体" w:hAnsi="宋体"/>
          <w:szCs w:val="21"/>
        </w:rPr>
      </w:pPr>
      <w:r>
        <w:rPr>
          <w:rFonts w:ascii="宋体" w:hAnsi="宋体"/>
          <w:szCs w:val="21"/>
        </w:rPr>
        <w:t>一、</w:t>
      </w:r>
      <w:r>
        <w:rPr>
          <w:rFonts w:hint="eastAsia" w:ascii="宋体" w:hAnsi="宋体"/>
          <w:szCs w:val="21"/>
        </w:rPr>
        <w:t>服务费用、内容和要求</w:t>
      </w:r>
    </w:p>
    <w:p w14:paraId="62F949D8">
      <w:pPr>
        <w:spacing w:line="360" w:lineRule="auto"/>
        <w:ind w:firstLine="420" w:firstLineChars="200"/>
        <w:textAlignment w:val="baseline"/>
        <w:rPr>
          <w:rFonts w:ascii="宋体" w:hAnsi="宋体"/>
          <w:szCs w:val="21"/>
        </w:rPr>
      </w:pPr>
      <w:r>
        <w:rPr>
          <w:rFonts w:hint="eastAsia" w:ascii="宋体" w:hAnsi="宋体"/>
          <w:szCs w:val="21"/>
        </w:rPr>
        <w:t>1、乙方为甲方提供</w:t>
      </w:r>
      <w:r>
        <w:rPr>
          <w:rFonts w:hint="eastAsia" w:ascii="宋体" w:hAnsi="宋体" w:cs="Times New Roman"/>
          <w:szCs w:val="21"/>
        </w:rPr>
        <w:t>医院京沪高级医学中心宣传</w:t>
      </w:r>
      <w:r>
        <w:rPr>
          <w:rFonts w:hint="eastAsia" w:ascii="宋体" w:hAnsi="宋体"/>
          <w:szCs w:val="21"/>
        </w:rPr>
        <w:t>服务，按时、按质、按量完成相关事宜，详见招标文件。</w:t>
      </w:r>
    </w:p>
    <w:p w14:paraId="3069F6B3">
      <w:pPr>
        <w:spacing w:line="360" w:lineRule="auto"/>
        <w:ind w:firstLine="420" w:firstLineChars="200"/>
        <w:textAlignment w:val="baseline"/>
        <w:rPr>
          <w:rFonts w:ascii="宋体" w:hAnsi="宋体"/>
          <w:szCs w:val="21"/>
        </w:rPr>
      </w:pPr>
      <w:r>
        <w:rPr>
          <w:rFonts w:hint="eastAsia" w:ascii="宋体" w:hAnsi="宋体"/>
          <w:szCs w:val="21"/>
        </w:rPr>
        <w:t>2、服务费用总计¥</w:t>
      </w:r>
      <w:r>
        <w:rPr>
          <w:rFonts w:ascii="宋体" w:hAnsi="宋体"/>
          <w:szCs w:val="21"/>
        </w:rPr>
        <w:t xml:space="preserve">      </w:t>
      </w:r>
      <w:r>
        <w:rPr>
          <w:rFonts w:hint="eastAsia" w:ascii="宋体" w:hAnsi="宋体"/>
          <w:szCs w:val="21"/>
        </w:rPr>
        <w:t xml:space="preserve">元（大写：人民币 </w:t>
      </w:r>
      <w:r>
        <w:rPr>
          <w:rFonts w:ascii="宋体" w:hAnsi="宋体"/>
          <w:szCs w:val="21"/>
        </w:rPr>
        <w:t xml:space="preserve">          </w:t>
      </w:r>
      <w:r>
        <w:rPr>
          <w:rFonts w:hint="eastAsia" w:ascii="宋体" w:hAnsi="宋体"/>
          <w:szCs w:val="21"/>
        </w:rPr>
        <w:t>元整）。</w:t>
      </w:r>
    </w:p>
    <w:p w14:paraId="40159569">
      <w:pPr>
        <w:spacing w:line="360" w:lineRule="auto"/>
        <w:ind w:firstLine="420" w:firstLineChars="200"/>
        <w:textAlignment w:val="baseline"/>
        <w:rPr>
          <w:rFonts w:ascii="宋体" w:hAnsi="宋体"/>
          <w:szCs w:val="21"/>
        </w:rPr>
      </w:pPr>
      <w:r>
        <w:rPr>
          <w:rFonts w:hint="eastAsia" w:ascii="宋体" w:hAnsi="宋体"/>
          <w:szCs w:val="21"/>
        </w:rPr>
        <w:t>二、服务周期</w:t>
      </w:r>
    </w:p>
    <w:p w14:paraId="4AF3A3A6">
      <w:pPr>
        <w:spacing w:line="360" w:lineRule="auto"/>
        <w:ind w:firstLine="420" w:firstLineChars="200"/>
        <w:textAlignment w:val="baseline"/>
        <w:rPr>
          <w:rFonts w:ascii="宋体" w:hAnsi="宋体"/>
          <w:szCs w:val="21"/>
        </w:rPr>
      </w:pPr>
      <w:r>
        <w:rPr>
          <w:rFonts w:hint="eastAsia" w:ascii="宋体" w:hAnsi="宋体"/>
          <w:szCs w:val="21"/>
        </w:rPr>
        <w:t xml:space="preserve">自合同生效之日期起，本项目合同生效后 </w:t>
      </w:r>
      <w:r>
        <w:rPr>
          <w:rFonts w:hint="eastAsia" w:ascii="宋体" w:hAnsi="宋体"/>
          <w:color w:val="FF0000"/>
          <w:szCs w:val="21"/>
        </w:rPr>
        <w:t>一年</w:t>
      </w:r>
      <w:r>
        <w:rPr>
          <w:rFonts w:hint="eastAsia" w:ascii="宋体" w:hAnsi="宋体"/>
          <w:szCs w:val="21"/>
        </w:rPr>
        <w:t xml:space="preserve"> 。</w:t>
      </w:r>
    </w:p>
    <w:p w14:paraId="0A8596E9">
      <w:pPr>
        <w:spacing w:line="360" w:lineRule="auto"/>
        <w:ind w:firstLine="420" w:firstLineChars="200"/>
        <w:textAlignment w:val="baseline"/>
        <w:rPr>
          <w:rFonts w:ascii="宋体" w:hAnsi="宋体"/>
          <w:szCs w:val="21"/>
        </w:rPr>
      </w:pPr>
      <w:r>
        <w:rPr>
          <w:rFonts w:ascii="宋体" w:hAnsi="宋体"/>
          <w:szCs w:val="21"/>
        </w:rPr>
        <w:t>三、结算及付款方式</w:t>
      </w:r>
    </w:p>
    <w:p w14:paraId="034F2BE4">
      <w:pPr>
        <w:spacing w:line="360" w:lineRule="auto"/>
        <w:ind w:firstLine="420" w:firstLineChars="200"/>
        <w:textAlignment w:val="baseline"/>
        <w:rPr>
          <w:rFonts w:ascii="宋体" w:hAnsi="宋体"/>
          <w:color w:val="FF0000"/>
          <w:szCs w:val="21"/>
        </w:rPr>
      </w:pPr>
      <w:r>
        <w:rPr>
          <w:rFonts w:hint="eastAsia" w:ascii="宋体" w:hAnsi="宋体"/>
          <w:color w:val="FF0000"/>
          <w:szCs w:val="21"/>
        </w:rPr>
        <w:t>合同签订后不付预付款。项目服务</w:t>
      </w:r>
      <w:r>
        <w:rPr>
          <w:rFonts w:hint="eastAsia" w:ascii="宋体" w:hAnsi="宋体"/>
          <w:color w:val="FF0000"/>
          <w:szCs w:val="21"/>
          <w:lang w:val="en-US" w:eastAsia="zh-CN"/>
        </w:rPr>
        <w:t>满半年支付50%费用</w:t>
      </w:r>
      <w:r>
        <w:rPr>
          <w:rFonts w:hint="eastAsia" w:ascii="宋体" w:hAnsi="宋体"/>
          <w:color w:val="FF0000"/>
          <w:szCs w:val="21"/>
        </w:rPr>
        <w:t>，</w:t>
      </w:r>
      <w:r>
        <w:rPr>
          <w:rFonts w:hint="eastAsia" w:ascii="宋体" w:hAnsi="宋体"/>
          <w:color w:val="FF0000"/>
          <w:szCs w:val="21"/>
          <w:lang w:val="en-US" w:eastAsia="zh-CN"/>
        </w:rPr>
        <w:t>服务期满考核合格后</w:t>
      </w:r>
      <w:r>
        <w:rPr>
          <w:rFonts w:hint="eastAsia" w:ascii="宋体" w:hAnsi="宋体"/>
          <w:color w:val="FF0000"/>
          <w:szCs w:val="21"/>
        </w:rPr>
        <w:t>甲方向乙方支付</w:t>
      </w:r>
      <w:r>
        <w:rPr>
          <w:rFonts w:hint="eastAsia" w:ascii="宋体" w:hAnsi="宋体"/>
          <w:color w:val="FF0000"/>
          <w:szCs w:val="21"/>
          <w:lang w:val="en-US" w:eastAsia="zh-CN"/>
        </w:rPr>
        <w:t>剩余</w:t>
      </w:r>
      <w:r>
        <w:rPr>
          <w:rFonts w:hint="eastAsia" w:ascii="宋体" w:hAnsi="宋体"/>
          <w:color w:val="FF0000"/>
          <w:szCs w:val="21"/>
        </w:rPr>
        <w:t>合同金额。</w:t>
      </w:r>
    </w:p>
    <w:p w14:paraId="160CD0FC">
      <w:pPr>
        <w:spacing w:line="360" w:lineRule="auto"/>
        <w:ind w:firstLine="420" w:firstLineChars="200"/>
        <w:textAlignment w:val="baseline"/>
        <w:rPr>
          <w:rFonts w:ascii="宋体" w:hAnsi="宋体"/>
          <w:szCs w:val="21"/>
        </w:rPr>
      </w:pPr>
      <w:r>
        <w:rPr>
          <w:rFonts w:hint="eastAsia" w:ascii="宋体" w:hAnsi="宋体"/>
          <w:szCs w:val="21"/>
        </w:rPr>
        <w:t>四</w:t>
      </w:r>
      <w:r>
        <w:rPr>
          <w:rFonts w:ascii="宋体" w:hAnsi="宋体"/>
          <w:szCs w:val="21"/>
        </w:rPr>
        <w:t>、风险责任的承担</w:t>
      </w:r>
    </w:p>
    <w:p w14:paraId="15AD6F11">
      <w:pPr>
        <w:spacing w:line="360" w:lineRule="auto"/>
        <w:ind w:firstLine="420" w:firstLineChars="200"/>
        <w:textAlignment w:val="baseline"/>
        <w:rPr>
          <w:rFonts w:ascii="宋体" w:hAnsi="宋体"/>
          <w:szCs w:val="21"/>
        </w:rPr>
      </w:pPr>
      <w:r>
        <w:rPr>
          <w:rFonts w:ascii="宋体" w:hAnsi="宋体"/>
          <w:szCs w:val="21"/>
        </w:rPr>
        <w:t>1、在履行本合同的过程中，确因在现有水平和条件下难以克服的技术困难，导致本项目部分或全部失败所造成的损失，风险全部责任由乙方承担。</w:t>
      </w:r>
    </w:p>
    <w:p w14:paraId="0B0D458C">
      <w:pPr>
        <w:spacing w:line="360" w:lineRule="auto"/>
        <w:ind w:firstLine="420" w:firstLineChars="200"/>
        <w:textAlignment w:val="baseline"/>
        <w:rPr>
          <w:rFonts w:ascii="宋体" w:hAnsi="宋体"/>
          <w:szCs w:val="21"/>
        </w:rPr>
      </w:pPr>
      <w:r>
        <w:rPr>
          <w:rFonts w:ascii="宋体" w:hAnsi="宋体"/>
          <w:szCs w:val="21"/>
        </w:rPr>
        <w:t>2、如果乙方、甲方中任何一方因为不可抗力而使合同履行受阻时，经双方协商，履行合同的期限可适当延长。</w:t>
      </w:r>
    </w:p>
    <w:p w14:paraId="057900A5">
      <w:pPr>
        <w:spacing w:line="360" w:lineRule="auto"/>
        <w:ind w:firstLine="420" w:firstLineChars="200"/>
        <w:textAlignment w:val="baseline"/>
        <w:rPr>
          <w:rFonts w:ascii="宋体" w:hAnsi="宋体"/>
          <w:szCs w:val="21"/>
        </w:rPr>
      </w:pPr>
      <w:r>
        <w:rPr>
          <w:rFonts w:ascii="宋体" w:hAnsi="宋体"/>
          <w:szCs w:val="21"/>
        </w:rPr>
        <w:t>3、如因乙方破产或经营状况恶化、本项目团队发生重大变化而丧失或可能丧失合同履行能力，甲方有权终止部分或全部合同。</w:t>
      </w:r>
    </w:p>
    <w:p w14:paraId="646491B5">
      <w:pPr>
        <w:spacing w:line="360" w:lineRule="auto"/>
        <w:ind w:firstLine="420" w:firstLineChars="200"/>
        <w:textAlignment w:val="baseline"/>
        <w:rPr>
          <w:rFonts w:ascii="宋体" w:hAnsi="宋体"/>
          <w:szCs w:val="21"/>
        </w:rPr>
      </w:pPr>
      <w:r>
        <w:rPr>
          <w:rFonts w:hint="eastAsia" w:ascii="宋体" w:hAnsi="宋体"/>
          <w:szCs w:val="21"/>
        </w:rPr>
        <w:t>六</w:t>
      </w:r>
      <w:r>
        <w:rPr>
          <w:rFonts w:ascii="宋体" w:hAnsi="宋体"/>
          <w:szCs w:val="21"/>
        </w:rPr>
        <w:t>、违约责任</w:t>
      </w:r>
    </w:p>
    <w:p w14:paraId="08482C76">
      <w:pPr>
        <w:spacing w:line="360" w:lineRule="auto"/>
        <w:ind w:firstLine="420" w:firstLineChars="200"/>
        <w:textAlignment w:val="baseline"/>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如乙方不能按本合同约定如期提供服务或服务质量不达标，视为乙方违约，乙方须向甲方支付违约金，违约金的计算办法为每延迟一天按合同额的1%计算，不足一天按一天计算，由甲方在应付款项内扣除。</w:t>
      </w:r>
    </w:p>
    <w:p w14:paraId="7696670B">
      <w:pPr>
        <w:spacing w:line="360" w:lineRule="auto"/>
        <w:ind w:firstLine="420" w:firstLineChars="200"/>
        <w:textAlignment w:val="baseline"/>
        <w:rPr>
          <w:rFonts w:ascii="宋体" w:hAnsi="宋体"/>
          <w:szCs w:val="21"/>
        </w:rPr>
      </w:pPr>
      <w:r>
        <w:rPr>
          <w:rFonts w:hint="eastAsia" w:ascii="宋体" w:hAnsi="宋体"/>
          <w:szCs w:val="21"/>
        </w:rPr>
        <w:t>2、甲方未按本合同规定如期如数付款，每逾期一天按应付金额的1%计算向乙方支付违约金，不足一天按一天计算。</w:t>
      </w:r>
    </w:p>
    <w:p w14:paraId="488B6662">
      <w:pPr>
        <w:spacing w:line="360" w:lineRule="auto"/>
        <w:ind w:firstLine="420" w:firstLineChars="200"/>
        <w:textAlignment w:val="baseline"/>
        <w:rPr>
          <w:rFonts w:ascii="宋体" w:hAnsi="宋体"/>
          <w:szCs w:val="21"/>
        </w:rPr>
      </w:pPr>
      <w:r>
        <w:rPr>
          <w:rFonts w:hint="eastAsia" w:ascii="宋体" w:hAnsi="宋体"/>
          <w:szCs w:val="21"/>
        </w:rPr>
        <w:t>3、违约金额超过合同总额的20％时，合同立即终止执行，守约方有权提出索赔，双方将在法律规定的范围内处理善后事宜。</w:t>
      </w:r>
    </w:p>
    <w:p w14:paraId="368E53F6">
      <w:pPr>
        <w:spacing w:line="360" w:lineRule="auto"/>
        <w:ind w:firstLine="420" w:firstLineChars="200"/>
        <w:textAlignment w:val="baseline"/>
        <w:rPr>
          <w:rFonts w:ascii="宋体" w:hAnsi="宋体"/>
          <w:szCs w:val="21"/>
        </w:rPr>
      </w:pPr>
      <w:r>
        <w:rPr>
          <w:rFonts w:hint="eastAsia" w:ascii="宋体" w:hAnsi="宋体"/>
          <w:szCs w:val="21"/>
        </w:rPr>
        <w:t>4、如果违约方在收到守约方正式书面通知的违约金额两周内没有答复，则守约方提出的违约金额将视为被违约方接受。</w:t>
      </w:r>
    </w:p>
    <w:p w14:paraId="3B12E4C2">
      <w:pPr>
        <w:spacing w:line="360" w:lineRule="auto"/>
        <w:ind w:firstLine="420" w:firstLineChars="200"/>
        <w:textAlignment w:val="baseline"/>
        <w:rPr>
          <w:rFonts w:ascii="宋体" w:hAnsi="宋体"/>
          <w:szCs w:val="21"/>
        </w:rPr>
      </w:pPr>
      <w:r>
        <w:rPr>
          <w:rFonts w:hint="eastAsia" w:ascii="宋体" w:hAnsi="宋体"/>
          <w:szCs w:val="21"/>
        </w:rPr>
        <w:t>5、如甲方未按照合同规定支付相应款项，乙方有权暂停服务，直至甲方支付相关款项。</w:t>
      </w:r>
    </w:p>
    <w:p w14:paraId="562C714E">
      <w:pPr>
        <w:spacing w:line="360" w:lineRule="auto"/>
        <w:ind w:firstLine="420" w:firstLineChars="200"/>
        <w:textAlignment w:val="baseline"/>
        <w:rPr>
          <w:rFonts w:ascii="宋体" w:hAnsi="宋体"/>
          <w:szCs w:val="21"/>
        </w:rPr>
      </w:pPr>
      <w:r>
        <w:rPr>
          <w:rFonts w:hint="eastAsia" w:ascii="宋体" w:hAnsi="宋体"/>
          <w:szCs w:val="21"/>
        </w:rPr>
        <w:t>七</w:t>
      </w:r>
      <w:r>
        <w:rPr>
          <w:rFonts w:ascii="宋体" w:hAnsi="宋体"/>
          <w:szCs w:val="21"/>
        </w:rPr>
        <w:t>、不可抗力</w:t>
      </w:r>
    </w:p>
    <w:p w14:paraId="320E4DE2">
      <w:pPr>
        <w:spacing w:line="360" w:lineRule="auto"/>
        <w:ind w:firstLine="420" w:firstLineChars="200"/>
        <w:textAlignment w:val="baseline"/>
        <w:rPr>
          <w:rFonts w:ascii="宋体" w:hAnsi="宋体"/>
          <w:szCs w:val="21"/>
        </w:rPr>
      </w:pPr>
      <w:r>
        <w:rPr>
          <w:rFonts w:ascii="宋体" w:hAnsi="宋体"/>
          <w:szCs w:val="21"/>
        </w:rPr>
        <w:t>合同履行过程中出现不可抗力情形，致使一方或双方不能履行合同约定条款时，不能履行方应在不可抗力情形发生之日起 3日内向对方书面通知，在取得合法机关有效证明后，根据不可抗力对合同履行的影响程度，经另一方同意后，履行方可延期履行、部分履行或不履行合同义务，并可根据情况部分或全部免除履行方责任。</w:t>
      </w:r>
    </w:p>
    <w:p w14:paraId="258D2CC1">
      <w:pPr>
        <w:spacing w:line="360" w:lineRule="auto"/>
        <w:ind w:firstLine="420" w:firstLineChars="200"/>
        <w:textAlignment w:val="baseline"/>
        <w:rPr>
          <w:rFonts w:ascii="宋体" w:hAnsi="宋体"/>
          <w:szCs w:val="21"/>
        </w:rPr>
      </w:pPr>
      <w:r>
        <w:rPr>
          <w:rFonts w:hint="eastAsia" w:ascii="宋体" w:hAnsi="宋体"/>
          <w:szCs w:val="21"/>
        </w:rPr>
        <w:t>八</w:t>
      </w:r>
      <w:r>
        <w:rPr>
          <w:rFonts w:ascii="宋体" w:hAnsi="宋体"/>
          <w:szCs w:val="21"/>
        </w:rPr>
        <w:t>、保密约定</w:t>
      </w:r>
    </w:p>
    <w:p w14:paraId="495A415B">
      <w:pPr>
        <w:spacing w:line="360" w:lineRule="auto"/>
        <w:ind w:firstLine="420" w:firstLineChars="200"/>
        <w:textAlignment w:val="baseline"/>
        <w:rPr>
          <w:rFonts w:ascii="宋体" w:hAnsi="宋体"/>
          <w:szCs w:val="21"/>
        </w:rPr>
      </w:pPr>
      <w:r>
        <w:rPr>
          <w:rFonts w:ascii="宋体" w:hAnsi="宋体"/>
          <w:szCs w:val="21"/>
        </w:rPr>
        <w:t>乙方不得向任何第三方泄漏在履行本协议过程中所了解或接触到的甲方的商业秘密及其他机密资料和信息。本保密条款在本协议期满或终止后继续有效。</w:t>
      </w:r>
    </w:p>
    <w:p w14:paraId="6E09F7AA">
      <w:pPr>
        <w:spacing w:line="360" w:lineRule="auto"/>
        <w:ind w:firstLine="420" w:firstLineChars="200"/>
        <w:textAlignment w:val="baseline"/>
        <w:rPr>
          <w:rFonts w:ascii="宋体" w:hAnsi="宋体"/>
          <w:szCs w:val="21"/>
        </w:rPr>
      </w:pPr>
      <w:r>
        <w:rPr>
          <w:rFonts w:hint="eastAsia" w:ascii="宋体" w:hAnsi="宋体"/>
          <w:szCs w:val="21"/>
        </w:rPr>
        <w:t>九</w:t>
      </w:r>
      <w:r>
        <w:rPr>
          <w:rFonts w:ascii="宋体" w:hAnsi="宋体"/>
          <w:szCs w:val="21"/>
        </w:rPr>
        <w:t>、税费</w:t>
      </w:r>
    </w:p>
    <w:p w14:paraId="141173B6">
      <w:pPr>
        <w:spacing w:line="360" w:lineRule="auto"/>
        <w:ind w:firstLine="420" w:firstLineChars="200"/>
        <w:textAlignment w:val="baseline"/>
        <w:rPr>
          <w:rFonts w:ascii="宋体" w:hAnsi="宋体"/>
          <w:szCs w:val="21"/>
        </w:rPr>
      </w:pPr>
      <w:r>
        <w:rPr>
          <w:rFonts w:ascii="宋体" w:hAnsi="宋体"/>
          <w:szCs w:val="21"/>
        </w:rPr>
        <w:t>本项目发生的一切税费均由乙方负担。</w:t>
      </w:r>
    </w:p>
    <w:p w14:paraId="4C498276">
      <w:pPr>
        <w:spacing w:line="360" w:lineRule="auto"/>
        <w:ind w:firstLine="420" w:firstLineChars="200"/>
        <w:textAlignment w:val="baseline"/>
        <w:rPr>
          <w:rFonts w:ascii="宋体" w:hAnsi="宋体"/>
          <w:szCs w:val="21"/>
        </w:rPr>
      </w:pPr>
      <w:r>
        <w:rPr>
          <w:rFonts w:ascii="宋体" w:hAnsi="宋体"/>
          <w:szCs w:val="21"/>
        </w:rPr>
        <w:t>十、争议解决方法</w:t>
      </w:r>
    </w:p>
    <w:p w14:paraId="7908D7DC">
      <w:pPr>
        <w:spacing w:line="360" w:lineRule="auto"/>
        <w:ind w:firstLine="420" w:firstLineChars="200"/>
        <w:textAlignment w:val="baseline"/>
        <w:rPr>
          <w:rFonts w:ascii="宋体" w:hAnsi="宋体"/>
          <w:szCs w:val="21"/>
        </w:rPr>
      </w:pPr>
      <w:r>
        <w:rPr>
          <w:rFonts w:ascii="宋体" w:hAnsi="宋体"/>
          <w:szCs w:val="21"/>
        </w:rPr>
        <w:t>1、凡有关本合同或执行本合同中发生的争端，双方应通过友好协商，妥善解决。如通过协商仍不能解决时，可向扬州市仲裁委员会申请仲裁。</w:t>
      </w:r>
    </w:p>
    <w:p w14:paraId="7B333B56">
      <w:pPr>
        <w:spacing w:line="360" w:lineRule="auto"/>
        <w:ind w:firstLine="420" w:firstLineChars="200"/>
        <w:textAlignment w:val="baseline"/>
        <w:rPr>
          <w:rFonts w:ascii="宋体" w:hAnsi="宋体"/>
          <w:szCs w:val="21"/>
        </w:rPr>
      </w:pPr>
      <w:r>
        <w:rPr>
          <w:rFonts w:ascii="宋体" w:hAnsi="宋体"/>
          <w:szCs w:val="21"/>
        </w:rPr>
        <w:t>2、在仲裁期间，除正在进行仲裁的部分外，合同其他部分应继续执行。</w:t>
      </w:r>
    </w:p>
    <w:p w14:paraId="652089E7">
      <w:pPr>
        <w:spacing w:line="360" w:lineRule="auto"/>
        <w:ind w:firstLine="420" w:firstLineChars="200"/>
        <w:textAlignment w:val="baseline"/>
        <w:rPr>
          <w:rFonts w:ascii="宋体" w:hAnsi="宋体"/>
          <w:szCs w:val="21"/>
        </w:rPr>
      </w:pPr>
      <w:r>
        <w:rPr>
          <w:rFonts w:ascii="宋体" w:hAnsi="宋体"/>
          <w:szCs w:val="21"/>
        </w:rPr>
        <w:t>十一、转让</w:t>
      </w:r>
    </w:p>
    <w:p w14:paraId="365F75E5">
      <w:pPr>
        <w:spacing w:line="360" w:lineRule="auto"/>
        <w:ind w:firstLine="420" w:firstLineChars="200"/>
        <w:textAlignment w:val="baseline"/>
        <w:rPr>
          <w:rFonts w:ascii="宋体" w:hAnsi="宋体"/>
          <w:szCs w:val="21"/>
        </w:rPr>
      </w:pPr>
      <w:r>
        <w:rPr>
          <w:rFonts w:ascii="宋体" w:hAnsi="宋体"/>
          <w:szCs w:val="21"/>
        </w:rPr>
        <w:t>除甲方事先书面同意外，乙方不得部分转让或全部转让其应履行的合同义务。</w:t>
      </w:r>
    </w:p>
    <w:p w14:paraId="7F5E7D2E">
      <w:pPr>
        <w:spacing w:line="360" w:lineRule="auto"/>
        <w:ind w:firstLine="420" w:firstLineChars="200"/>
        <w:textAlignment w:val="baseline"/>
        <w:rPr>
          <w:rFonts w:ascii="宋体" w:hAnsi="宋体"/>
          <w:szCs w:val="21"/>
        </w:rPr>
      </w:pPr>
      <w:r>
        <w:rPr>
          <w:rFonts w:ascii="宋体" w:hAnsi="宋体"/>
          <w:szCs w:val="21"/>
        </w:rPr>
        <w:t>十</w:t>
      </w:r>
      <w:r>
        <w:rPr>
          <w:rFonts w:hint="eastAsia" w:ascii="宋体" w:hAnsi="宋体"/>
          <w:szCs w:val="21"/>
        </w:rPr>
        <w:t>二</w:t>
      </w:r>
      <w:r>
        <w:rPr>
          <w:rFonts w:ascii="宋体" w:hAnsi="宋体"/>
          <w:szCs w:val="21"/>
        </w:rPr>
        <w:t>、其它约定事项</w:t>
      </w:r>
    </w:p>
    <w:p w14:paraId="10E80816">
      <w:pPr>
        <w:spacing w:line="360" w:lineRule="auto"/>
        <w:ind w:firstLine="420" w:firstLineChars="200"/>
        <w:textAlignment w:val="baseline"/>
        <w:rPr>
          <w:rFonts w:ascii="宋体" w:hAnsi="宋体"/>
          <w:szCs w:val="21"/>
        </w:rPr>
      </w:pPr>
      <w:r>
        <w:rPr>
          <w:rFonts w:ascii="宋体" w:hAnsi="宋体"/>
          <w:szCs w:val="21"/>
        </w:rPr>
        <w:t>1、乙方在签订合同前须缴纳中标金额10%的履约保证金至甲方指定账户，乙方拒绝缴纳的视为放弃中标资格</w:t>
      </w:r>
      <w:r>
        <w:rPr>
          <w:rFonts w:hint="eastAsia" w:ascii="宋体" w:hAnsi="宋体"/>
          <w:szCs w:val="21"/>
        </w:rPr>
        <w:t>（验收合格后不计利息退还）</w:t>
      </w:r>
      <w:r>
        <w:rPr>
          <w:rFonts w:ascii="宋体" w:hAnsi="宋体"/>
          <w:szCs w:val="21"/>
        </w:rPr>
        <w:t>。</w:t>
      </w:r>
    </w:p>
    <w:p w14:paraId="0F20ACBE">
      <w:pPr>
        <w:spacing w:line="360" w:lineRule="auto"/>
        <w:ind w:firstLine="420" w:firstLineChars="200"/>
        <w:textAlignment w:val="baseline"/>
        <w:rPr>
          <w:rFonts w:ascii="宋体" w:hAnsi="宋体"/>
          <w:szCs w:val="21"/>
        </w:rPr>
      </w:pPr>
      <w:r>
        <w:rPr>
          <w:rFonts w:ascii="宋体" w:hAnsi="宋体"/>
          <w:szCs w:val="21"/>
        </w:rPr>
        <w:t>2、本项目招标文件、乙方投标文件及乙方各项承诺都作为本合同的附件，具有同样法律效力。</w:t>
      </w:r>
    </w:p>
    <w:p w14:paraId="24E540ED">
      <w:pPr>
        <w:spacing w:line="360" w:lineRule="auto"/>
        <w:ind w:firstLine="420" w:firstLineChars="200"/>
        <w:textAlignment w:val="baseline"/>
        <w:rPr>
          <w:rFonts w:ascii="宋体" w:hAnsi="宋体"/>
          <w:szCs w:val="21"/>
        </w:rPr>
      </w:pPr>
      <w:r>
        <w:rPr>
          <w:rFonts w:ascii="宋体" w:hAnsi="宋体"/>
          <w:szCs w:val="21"/>
        </w:rPr>
        <w:t>3、本合同自双方签字、盖章后起生效。</w:t>
      </w:r>
    </w:p>
    <w:p w14:paraId="546D1673">
      <w:pPr>
        <w:spacing w:line="360" w:lineRule="auto"/>
        <w:ind w:firstLine="420" w:firstLineChars="200"/>
        <w:textAlignment w:val="baseline"/>
        <w:rPr>
          <w:rFonts w:ascii="宋体" w:hAnsi="宋体"/>
          <w:szCs w:val="21"/>
        </w:rPr>
      </w:pPr>
      <w:r>
        <w:rPr>
          <w:rFonts w:ascii="宋体" w:hAnsi="宋体"/>
          <w:szCs w:val="21"/>
        </w:rPr>
        <w:t>4、合同</w:t>
      </w:r>
      <w:r>
        <w:rPr>
          <w:rFonts w:hint="eastAsia" w:ascii="宋体" w:hAnsi="宋体" w:cs="宋体"/>
          <w:kern w:val="0"/>
          <w:szCs w:val="21"/>
        </w:rPr>
        <w:t>一式肆份，甲、乙双方各执贰份</w:t>
      </w:r>
      <w:r>
        <w:rPr>
          <w:rFonts w:ascii="宋体" w:hAnsi="宋体"/>
          <w:szCs w:val="21"/>
        </w:rPr>
        <w:t>。</w:t>
      </w:r>
    </w:p>
    <w:p w14:paraId="3A2E0688">
      <w:pPr>
        <w:spacing w:line="360" w:lineRule="auto"/>
        <w:ind w:firstLine="420" w:firstLineChars="200"/>
        <w:textAlignment w:val="baseline"/>
        <w:rPr>
          <w:rFonts w:ascii="宋体" w:hAnsi="宋体"/>
          <w:szCs w:val="21"/>
        </w:rPr>
      </w:pPr>
      <w:r>
        <w:rPr>
          <w:rFonts w:ascii="宋体" w:hAnsi="宋体"/>
          <w:szCs w:val="21"/>
        </w:rPr>
        <w:t>5、其他未尽事宜，甲乙双方共同协商解决。</w:t>
      </w:r>
    </w:p>
    <w:p w14:paraId="29B0EA00">
      <w:pPr>
        <w:spacing w:line="360" w:lineRule="auto"/>
        <w:ind w:firstLine="420" w:firstLineChars="200"/>
        <w:textAlignment w:val="baseline"/>
        <w:rPr>
          <w:rFonts w:ascii="宋体" w:hAnsi="宋体"/>
          <w:szCs w:val="21"/>
        </w:rPr>
      </w:pPr>
    </w:p>
    <w:p w14:paraId="41875270">
      <w:pPr>
        <w:spacing w:line="360" w:lineRule="auto"/>
        <w:ind w:firstLine="420" w:firstLineChars="200"/>
        <w:textAlignment w:val="baseline"/>
        <w:rPr>
          <w:rFonts w:ascii="宋体" w:hAnsi="宋体"/>
          <w:szCs w:val="21"/>
        </w:rPr>
      </w:pPr>
      <w:r>
        <w:rPr>
          <w:rFonts w:ascii="宋体" w:hAnsi="宋体"/>
          <w:szCs w:val="21"/>
        </w:rPr>
        <w:t>甲方（</w:t>
      </w:r>
      <w:r>
        <w:rPr>
          <w:rFonts w:hint="eastAsia" w:ascii="宋体" w:hAnsi="宋体"/>
          <w:szCs w:val="21"/>
        </w:rPr>
        <w:t>盖</w:t>
      </w:r>
      <w:r>
        <w:rPr>
          <w:rFonts w:ascii="宋体" w:hAnsi="宋体"/>
          <w:szCs w:val="21"/>
        </w:rPr>
        <w:t>章）：</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乙方（盖章）：</w:t>
      </w:r>
    </w:p>
    <w:p w14:paraId="17EBE3BA">
      <w:pPr>
        <w:adjustRightInd w:val="0"/>
        <w:snapToGrid w:val="0"/>
        <w:spacing w:line="340" w:lineRule="exact"/>
        <w:ind w:left="-420" w:leftChars="-200" w:right="-313" w:rightChars="-149" w:firstLine="840" w:firstLineChars="400"/>
        <w:contextualSpacing/>
        <w:rPr>
          <w:rFonts w:ascii="宋体" w:hAnsi="宋体" w:cs="宋体"/>
          <w:kern w:val="0"/>
          <w:szCs w:val="21"/>
        </w:rPr>
      </w:pPr>
      <w:r>
        <w:rPr>
          <w:rFonts w:hint="eastAsia" w:ascii="宋体" w:hAnsi="宋体" w:cs="宋体"/>
          <w:kern w:val="0"/>
          <w:szCs w:val="21"/>
        </w:rPr>
        <w:t>法定代表人：                       法定代表人：</w:t>
      </w:r>
    </w:p>
    <w:p w14:paraId="3437397B">
      <w:pPr>
        <w:adjustRightInd w:val="0"/>
        <w:snapToGrid w:val="0"/>
        <w:spacing w:line="340" w:lineRule="exact"/>
        <w:ind w:left="-420" w:leftChars="-200" w:right="-313" w:rightChars="-149" w:firstLine="840" w:firstLineChars="400"/>
        <w:contextualSpacing/>
        <w:rPr>
          <w:rFonts w:ascii="宋体" w:hAnsi="宋体" w:cs="宋体"/>
          <w:kern w:val="0"/>
          <w:szCs w:val="21"/>
        </w:rPr>
      </w:pPr>
      <w:r>
        <w:rPr>
          <w:rFonts w:hint="eastAsia" w:ascii="宋体" w:hAnsi="宋体" w:cs="宋体"/>
          <w:kern w:val="0"/>
          <w:szCs w:val="21"/>
        </w:rPr>
        <w:t>（或授权签约人）：                （或授权签约人）：</w:t>
      </w:r>
    </w:p>
    <w:p w14:paraId="309F75E1">
      <w:pPr>
        <w:spacing w:line="360" w:lineRule="auto"/>
        <w:ind w:firstLine="420" w:firstLineChars="200"/>
        <w:textAlignment w:val="baseline"/>
        <w:rPr>
          <w:rFonts w:ascii="宋体" w:hAnsi="宋体"/>
          <w:szCs w:val="21"/>
        </w:rPr>
      </w:pPr>
      <w:r>
        <w:rPr>
          <w:rFonts w:ascii="宋体" w:hAnsi="宋体"/>
          <w:szCs w:val="21"/>
        </w:rPr>
        <w:t xml:space="preserve">日期：2025年   月   日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日期：2025年   月   日      </w:t>
      </w:r>
    </w:p>
    <w:p w14:paraId="76B111A3">
      <w:pPr>
        <w:adjustRightInd w:val="0"/>
        <w:snapToGrid w:val="0"/>
        <w:spacing w:line="340" w:lineRule="exact"/>
        <w:ind w:left="-420" w:leftChars="-200" w:right="-313" w:rightChars="-149" w:firstLine="420" w:firstLineChars="200"/>
        <w:contextualSpacing/>
        <w:rPr>
          <w:rFonts w:ascii="宋体" w:hAnsi="宋体" w:cs="宋体"/>
          <w:kern w:val="0"/>
          <w:szCs w:val="21"/>
        </w:rPr>
      </w:pPr>
    </w:p>
    <w:p w14:paraId="3004CB71">
      <w:pPr>
        <w:pStyle w:val="8"/>
        <w:numPr>
          <w:ilvl w:val="0"/>
          <w:numId w:val="0"/>
        </w:numPr>
        <w:ind w:right="-313" w:rightChars="-149"/>
        <w:jc w:val="center"/>
        <w:rPr>
          <w:rFonts w:ascii="宋体" w:hAnsi="宋体" w:cs="宋体"/>
          <w:b/>
          <w:bCs/>
          <w:kern w:val="36"/>
          <w:sz w:val="36"/>
          <w:szCs w:val="36"/>
        </w:rPr>
      </w:pPr>
    </w:p>
    <w:p w14:paraId="0D4C8F9D">
      <w:pPr>
        <w:pStyle w:val="8"/>
        <w:numPr>
          <w:ilvl w:val="0"/>
          <w:numId w:val="0"/>
        </w:numPr>
        <w:ind w:right="-313" w:rightChars="-149"/>
        <w:jc w:val="center"/>
        <w:rPr>
          <w:rFonts w:ascii="宋体" w:hAnsi="宋体" w:cs="宋体"/>
          <w:b/>
          <w:bCs/>
          <w:kern w:val="36"/>
          <w:sz w:val="36"/>
          <w:szCs w:val="36"/>
        </w:rPr>
      </w:pPr>
      <w:r>
        <w:rPr>
          <w:rFonts w:hint="eastAsia" w:ascii="宋体" w:hAnsi="宋体" w:cs="宋体"/>
          <w:b/>
          <w:bCs/>
          <w:kern w:val="36"/>
          <w:sz w:val="36"/>
          <w:szCs w:val="36"/>
        </w:rPr>
        <w:t>廉洁合作协议</w:t>
      </w:r>
    </w:p>
    <w:p w14:paraId="614E582C">
      <w:pPr>
        <w:adjustRightInd w:val="0"/>
        <w:snapToGrid w:val="0"/>
        <w:spacing w:line="340" w:lineRule="exact"/>
        <w:ind w:left="-420" w:leftChars="-200" w:right="-313" w:rightChars="-149" w:firstLine="420" w:firstLineChars="200"/>
        <w:contextualSpacing/>
        <w:rPr>
          <w:rFonts w:ascii="宋体" w:hAnsi="宋体" w:cs="宋体"/>
          <w:b/>
          <w:kern w:val="0"/>
          <w:szCs w:val="21"/>
        </w:rPr>
      </w:pPr>
      <w:r>
        <w:rPr>
          <w:rFonts w:hint="eastAsia" w:ascii="宋体" w:hAnsi="宋体" w:cs="宋体"/>
          <w:kern w:val="0"/>
          <w:szCs w:val="21"/>
        </w:rPr>
        <w:t>甲方名称：</w:t>
      </w:r>
      <w:r>
        <w:rPr>
          <w:rFonts w:hint="eastAsia" w:ascii="宋体" w:hAnsi="宋体" w:cs="宋体"/>
          <w:b/>
          <w:bCs/>
          <w:kern w:val="0"/>
          <w:szCs w:val="21"/>
        </w:rPr>
        <w:t>扬州大学附属医院</w:t>
      </w:r>
    </w:p>
    <w:p w14:paraId="6D9375C9">
      <w:pPr>
        <w:adjustRightInd w:val="0"/>
        <w:snapToGrid w:val="0"/>
        <w:spacing w:line="340" w:lineRule="exact"/>
        <w:ind w:left="-420" w:leftChars="-200" w:right="-313" w:rightChars="-149" w:firstLine="420" w:firstLineChars="200"/>
        <w:contextualSpacing/>
        <w:rPr>
          <w:rFonts w:ascii="宋体" w:hAnsi="宋体" w:cs="宋体"/>
          <w:b/>
          <w:bCs/>
          <w:kern w:val="0"/>
          <w:szCs w:val="21"/>
        </w:rPr>
      </w:pPr>
      <w:r>
        <w:rPr>
          <w:rFonts w:hint="eastAsia" w:ascii="宋体" w:hAnsi="宋体" w:cs="宋体"/>
          <w:kern w:val="0"/>
          <w:szCs w:val="21"/>
        </w:rPr>
        <w:t>乙方名称：</w:t>
      </w:r>
    </w:p>
    <w:p w14:paraId="2F625297">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在甲乙双方订立、履行合同过程中，为保持廉洁自律的工作作风，防止各种不正当行为的发生，甲乙双方订立协议如下：</w:t>
      </w:r>
    </w:p>
    <w:p w14:paraId="1B4B6008">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一、甲乙双方应当自觉遵守国家、地方法律法规以及本协议的约定，在合同的订立、履行过程中廉洁自律。</w:t>
      </w:r>
    </w:p>
    <w:p w14:paraId="0212CC81">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二、甲方工作人员严禁进行商业目的的统方，不得以任何形式向乙方索要和收受个人回扣等好处费。</w:t>
      </w:r>
    </w:p>
    <w:p w14:paraId="10864C05">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三、甲方工作人员应当保持与乙方的正常业务交往，不得接受乙方的礼金、有价证券和贵重物品，不得在乙方报销任何应由其个人承担的费用。</w:t>
      </w:r>
    </w:p>
    <w:p w14:paraId="12319B5D">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四、甲方工作人员不得参加可能对公正开展业务有影响的宴请和娱乐活动。如甲方工作人员确因实际情况须参加宴请、进行娱乐活动的，须事先报上一级批准。</w:t>
      </w:r>
    </w:p>
    <w:p w14:paraId="3527DAD1">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五、甲方工作人员不得要求或者接受乙方为其住房装修、婚丧嫁娶、家属和子女的工作安排以及出国等提供方便。</w:t>
      </w:r>
    </w:p>
    <w:p w14:paraId="0A2EFFC8">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六、乙方不得接受甲方工作人员介绍的家属或者亲友从事与合同相关的业务。</w:t>
      </w:r>
    </w:p>
    <w:p w14:paraId="76DA0E99">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424E9C15">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八、乙方如发现甲方工作人员有违反上述协议者，应向甲方举报（甲方举报接待部门：监督检查室；举报电话：        ）。甲方不得找任何借口对乙方进行报复。甲方对举报属实和严格遵守廉洁协议的乙方，在同等条件下优先考虑与乙方继续合作。</w:t>
      </w:r>
    </w:p>
    <w:p w14:paraId="0A58049C">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九、甲方发现乙方有违反本协议或者采用不正当的手段行贿甲方工作人员等不正当竞争行为的，甲方有权解除合同。</w:t>
      </w:r>
    </w:p>
    <w:p w14:paraId="111E77AB">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十、本廉洁协议作为合同的附件，与合同具有同等法律效力。经协议双方签署后立即生效。</w:t>
      </w:r>
    </w:p>
    <w:p w14:paraId="5DB034B6">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十一、本协议一式肆份，甲、乙双方各执贰份，从签订之日起生效。</w:t>
      </w:r>
    </w:p>
    <w:p w14:paraId="42A8582A">
      <w:pPr>
        <w:pStyle w:val="8"/>
        <w:numPr>
          <w:ilvl w:val="0"/>
          <w:numId w:val="0"/>
        </w:numPr>
        <w:ind w:left="779" w:leftChars="200" w:right="-313" w:rightChars="-149" w:hanging="359" w:hangingChars="171"/>
        <w:rPr>
          <w:rFonts w:ascii="宋体" w:hAnsi="宋体"/>
          <w:szCs w:val="21"/>
        </w:rPr>
      </w:pPr>
    </w:p>
    <w:p w14:paraId="2BA2C5AA">
      <w:pPr>
        <w:adjustRightInd w:val="0"/>
        <w:snapToGrid w:val="0"/>
        <w:spacing w:line="440" w:lineRule="exact"/>
        <w:ind w:left="-420" w:leftChars="-200" w:right="-313" w:rightChars="-149" w:firstLine="420" w:firstLineChars="200"/>
        <w:contextualSpacing/>
        <w:rPr>
          <w:rFonts w:ascii="宋体" w:hAnsi="宋体" w:cs="宋体"/>
          <w:b/>
          <w:kern w:val="0"/>
          <w:szCs w:val="21"/>
        </w:rPr>
      </w:pPr>
      <w:r>
        <w:rPr>
          <w:rFonts w:hint="eastAsia" w:ascii="宋体" w:hAnsi="宋体" w:cs="宋体"/>
          <w:kern w:val="0"/>
          <w:szCs w:val="21"/>
        </w:rPr>
        <w:t>甲方：（盖章）</w:t>
      </w:r>
      <w:r>
        <w:rPr>
          <w:rFonts w:hint="eastAsia" w:ascii="宋体" w:hAnsi="宋体" w:cs="宋体"/>
          <w:b/>
          <w:kern w:val="0"/>
          <w:szCs w:val="21"/>
        </w:rPr>
        <w:t>扬州大学附属医院</w:t>
      </w:r>
      <w:r>
        <w:rPr>
          <w:rFonts w:hint="eastAsia" w:ascii="宋体" w:hAnsi="宋体" w:cs="宋体"/>
          <w:kern w:val="0"/>
          <w:szCs w:val="21"/>
        </w:rPr>
        <w:t xml:space="preserve">       乙方：（盖章）</w:t>
      </w:r>
    </w:p>
    <w:p w14:paraId="3EE94441">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法定代表人：                         法定代表人：</w:t>
      </w:r>
    </w:p>
    <w:p w14:paraId="7181D31D">
      <w:pPr>
        <w:adjustRightInd w:val="0"/>
        <w:snapToGrid w:val="0"/>
        <w:spacing w:line="340" w:lineRule="exact"/>
        <w:ind w:left="-420" w:leftChars="-200" w:right="-313" w:rightChars="-149" w:firstLine="420" w:firstLineChars="200"/>
        <w:contextualSpacing/>
        <w:rPr>
          <w:rFonts w:ascii="宋体" w:hAnsi="宋体" w:cs="宋体"/>
          <w:kern w:val="0"/>
          <w:szCs w:val="21"/>
        </w:rPr>
      </w:pPr>
      <w:r>
        <w:rPr>
          <w:rFonts w:hint="eastAsia" w:ascii="宋体" w:hAnsi="宋体" w:cs="宋体"/>
          <w:kern w:val="0"/>
          <w:szCs w:val="21"/>
        </w:rPr>
        <w:t>（或授权签约人）：                  （或授权签约人）：</w:t>
      </w:r>
    </w:p>
    <w:p w14:paraId="70C1176E">
      <w:pPr>
        <w:pStyle w:val="14"/>
        <w:ind w:right="-313" w:rightChars="-149"/>
        <w:rPr>
          <w:rFonts w:ascii="宋体" w:hAnsi="宋体" w:cs="宋体"/>
          <w:sz w:val="21"/>
          <w:szCs w:val="21"/>
        </w:rPr>
      </w:pPr>
    </w:p>
    <w:p w14:paraId="6A0C99E4">
      <w:r>
        <w:rPr>
          <w:rFonts w:hint="eastAsia" w:ascii="宋体" w:hAnsi="宋体" w:cs="宋体"/>
          <w:kern w:val="0"/>
          <w:szCs w:val="21"/>
        </w:rPr>
        <w:t>日期:2025年   月   日                日期：2025年   月   日</w:t>
      </w:r>
    </w:p>
    <w:p w14:paraId="59DBDB89">
      <w:pPr>
        <w:pStyle w:val="6"/>
      </w:pPr>
    </w:p>
    <w:p w14:paraId="6BB25714">
      <w:pPr>
        <w:pStyle w:val="6"/>
      </w:pPr>
    </w:p>
    <w:p w14:paraId="7260A9D1">
      <w:pPr>
        <w:pStyle w:val="6"/>
      </w:pPr>
    </w:p>
    <w:p w14:paraId="4FF30D68">
      <w:pPr>
        <w:pStyle w:val="6"/>
      </w:pPr>
    </w:p>
    <w:p w14:paraId="3A6908A5">
      <w:pPr>
        <w:spacing w:line="360" w:lineRule="auto"/>
        <w:jc w:val="both"/>
        <w:rPr>
          <w:rFonts w:eastAsia="楷体"/>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356A11A3">
        <w:pPr>
          <w:pStyle w:val="14"/>
          <w:jc w:val="center"/>
        </w:pPr>
        <w:r>
          <w:fldChar w:fldCharType="begin"/>
        </w:r>
        <w:r>
          <w:instrText xml:space="preserve">PAGE   \* MERGEFORMAT</w:instrText>
        </w:r>
        <w:r>
          <w:fldChar w:fldCharType="separate"/>
        </w:r>
        <w:r>
          <w:rPr>
            <w:lang w:val="zh-CN"/>
          </w:rPr>
          <w:t>8</w:t>
        </w:r>
        <w:r>
          <w:rPr>
            <w:lang w:val="zh-CN"/>
          </w:rPr>
          <w:fldChar w:fldCharType="end"/>
        </w:r>
      </w:p>
    </w:sdtContent>
  </w:sdt>
  <w:p w14:paraId="6EDD3DA3">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BD28B"/>
    <w:multiLevelType w:val="singleLevel"/>
    <w:tmpl w:val="B65BD28B"/>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zNWIxMjExZDFiZjdkNzkyY2YwZTU2YWJhYzY1MTYifQ=="/>
  </w:docVars>
  <w:rsids>
    <w:rsidRoot w:val="004B6C46"/>
    <w:rsid w:val="00000BF9"/>
    <w:rsid w:val="0000270E"/>
    <w:rsid w:val="0000425E"/>
    <w:rsid w:val="000058AF"/>
    <w:rsid w:val="00006F20"/>
    <w:rsid w:val="000077B3"/>
    <w:rsid w:val="00010637"/>
    <w:rsid w:val="000106D7"/>
    <w:rsid w:val="00015063"/>
    <w:rsid w:val="00015440"/>
    <w:rsid w:val="00017A0A"/>
    <w:rsid w:val="000211A7"/>
    <w:rsid w:val="00023EE4"/>
    <w:rsid w:val="000251B0"/>
    <w:rsid w:val="00027A9E"/>
    <w:rsid w:val="00031E4A"/>
    <w:rsid w:val="000324B6"/>
    <w:rsid w:val="000342A5"/>
    <w:rsid w:val="0003700B"/>
    <w:rsid w:val="00041B7A"/>
    <w:rsid w:val="00041BA1"/>
    <w:rsid w:val="00042874"/>
    <w:rsid w:val="000430AB"/>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00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5535"/>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468A4"/>
    <w:rsid w:val="00152C2A"/>
    <w:rsid w:val="00153F6A"/>
    <w:rsid w:val="00155B28"/>
    <w:rsid w:val="0015741C"/>
    <w:rsid w:val="00160F65"/>
    <w:rsid w:val="00162243"/>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4DBD"/>
    <w:rsid w:val="001F57B3"/>
    <w:rsid w:val="00201CF9"/>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3D2"/>
    <w:rsid w:val="00284D1D"/>
    <w:rsid w:val="00285D3E"/>
    <w:rsid w:val="00285E69"/>
    <w:rsid w:val="00287508"/>
    <w:rsid w:val="00291B7B"/>
    <w:rsid w:val="00295864"/>
    <w:rsid w:val="00296FA7"/>
    <w:rsid w:val="002A31E8"/>
    <w:rsid w:val="002A3D2D"/>
    <w:rsid w:val="002A407D"/>
    <w:rsid w:val="002B1280"/>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B23"/>
    <w:rsid w:val="00351765"/>
    <w:rsid w:val="003525C6"/>
    <w:rsid w:val="003541C5"/>
    <w:rsid w:val="00354287"/>
    <w:rsid w:val="003549F0"/>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5738F"/>
    <w:rsid w:val="0045770F"/>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29F6"/>
    <w:rsid w:val="00483498"/>
    <w:rsid w:val="00484905"/>
    <w:rsid w:val="00484CED"/>
    <w:rsid w:val="00485F44"/>
    <w:rsid w:val="00486ED1"/>
    <w:rsid w:val="00490046"/>
    <w:rsid w:val="00490712"/>
    <w:rsid w:val="00490D83"/>
    <w:rsid w:val="004916F3"/>
    <w:rsid w:val="00494DAF"/>
    <w:rsid w:val="004963E9"/>
    <w:rsid w:val="00497FF3"/>
    <w:rsid w:val="004A3256"/>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2218"/>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B74D4"/>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262D3"/>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A7FB6"/>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5A42"/>
    <w:rsid w:val="00727C39"/>
    <w:rsid w:val="00730EE1"/>
    <w:rsid w:val="007315AA"/>
    <w:rsid w:val="00733436"/>
    <w:rsid w:val="00734924"/>
    <w:rsid w:val="0073609B"/>
    <w:rsid w:val="0073705E"/>
    <w:rsid w:val="00742C2C"/>
    <w:rsid w:val="00742E50"/>
    <w:rsid w:val="007457FD"/>
    <w:rsid w:val="0075035E"/>
    <w:rsid w:val="0075332B"/>
    <w:rsid w:val="00753A07"/>
    <w:rsid w:val="0075695D"/>
    <w:rsid w:val="007574E9"/>
    <w:rsid w:val="00761227"/>
    <w:rsid w:val="00763D7D"/>
    <w:rsid w:val="00764D37"/>
    <w:rsid w:val="00764D8E"/>
    <w:rsid w:val="00766160"/>
    <w:rsid w:val="00770E16"/>
    <w:rsid w:val="00771D22"/>
    <w:rsid w:val="00774CC5"/>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6D7"/>
    <w:rsid w:val="007E6E4D"/>
    <w:rsid w:val="007E6EEE"/>
    <w:rsid w:val="007E728A"/>
    <w:rsid w:val="007E78B1"/>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1473"/>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0C26"/>
    <w:rsid w:val="008C1C42"/>
    <w:rsid w:val="008C1EBA"/>
    <w:rsid w:val="008C27D9"/>
    <w:rsid w:val="008C32BE"/>
    <w:rsid w:val="008C3EB3"/>
    <w:rsid w:val="008C4DC6"/>
    <w:rsid w:val="008C4F39"/>
    <w:rsid w:val="008C56BC"/>
    <w:rsid w:val="008C5BD3"/>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264A6"/>
    <w:rsid w:val="009303C1"/>
    <w:rsid w:val="009337DA"/>
    <w:rsid w:val="0093404B"/>
    <w:rsid w:val="00935621"/>
    <w:rsid w:val="00940DF1"/>
    <w:rsid w:val="009413FF"/>
    <w:rsid w:val="00942348"/>
    <w:rsid w:val="00945472"/>
    <w:rsid w:val="009455EF"/>
    <w:rsid w:val="00946902"/>
    <w:rsid w:val="00950394"/>
    <w:rsid w:val="00950D08"/>
    <w:rsid w:val="0095417E"/>
    <w:rsid w:val="00954E8D"/>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265"/>
    <w:rsid w:val="00A07CB1"/>
    <w:rsid w:val="00A07CFF"/>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57F4D"/>
    <w:rsid w:val="00A637CA"/>
    <w:rsid w:val="00A7229B"/>
    <w:rsid w:val="00A733BB"/>
    <w:rsid w:val="00A75763"/>
    <w:rsid w:val="00A76451"/>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642"/>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5E8F"/>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3AEC"/>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30A4B"/>
    <w:rsid w:val="00C43F09"/>
    <w:rsid w:val="00C45E59"/>
    <w:rsid w:val="00C504CE"/>
    <w:rsid w:val="00C5230C"/>
    <w:rsid w:val="00C564C2"/>
    <w:rsid w:val="00C5688F"/>
    <w:rsid w:val="00C569C1"/>
    <w:rsid w:val="00C5765C"/>
    <w:rsid w:val="00C61FAF"/>
    <w:rsid w:val="00C62657"/>
    <w:rsid w:val="00C626BF"/>
    <w:rsid w:val="00C65931"/>
    <w:rsid w:val="00C66EF6"/>
    <w:rsid w:val="00C67621"/>
    <w:rsid w:val="00C6769B"/>
    <w:rsid w:val="00C7145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B613F"/>
    <w:rsid w:val="00CC0F77"/>
    <w:rsid w:val="00CC2C9D"/>
    <w:rsid w:val="00CC334C"/>
    <w:rsid w:val="00CC3556"/>
    <w:rsid w:val="00CC37AF"/>
    <w:rsid w:val="00CC3EC7"/>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1A24"/>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0D71"/>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6549"/>
    <w:rsid w:val="00D77761"/>
    <w:rsid w:val="00D81E33"/>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43C3"/>
    <w:rsid w:val="00DD5611"/>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0E57"/>
    <w:rsid w:val="00F71CCC"/>
    <w:rsid w:val="00F73483"/>
    <w:rsid w:val="00F736DB"/>
    <w:rsid w:val="00F7565F"/>
    <w:rsid w:val="00F76DBA"/>
    <w:rsid w:val="00F7707C"/>
    <w:rsid w:val="00F82E64"/>
    <w:rsid w:val="00F8431A"/>
    <w:rsid w:val="00F869F0"/>
    <w:rsid w:val="00F90213"/>
    <w:rsid w:val="00F916AA"/>
    <w:rsid w:val="00F92509"/>
    <w:rsid w:val="00F9257C"/>
    <w:rsid w:val="00F934B0"/>
    <w:rsid w:val="00F952BC"/>
    <w:rsid w:val="00F95844"/>
    <w:rsid w:val="00F96766"/>
    <w:rsid w:val="00F979B8"/>
    <w:rsid w:val="00FA08E7"/>
    <w:rsid w:val="00FA0BA1"/>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452806"/>
    <w:rsid w:val="1E8C625D"/>
    <w:rsid w:val="1EE97BD3"/>
    <w:rsid w:val="1FB321FD"/>
    <w:rsid w:val="20473BA3"/>
    <w:rsid w:val="24903D54"/>
    <w:rsid w:val="2564223C"/>
    <w:rsid w:val="27475E96"/>
    <w:rsid w:val="29AC0C5F"/>
    <w:rsid w:val="2A7028F9"/>
    <w:rsid w:val="2B0A6292"/>
    <w:rsid w:val="2EAF0755"/>
    <w:rsid w:val="34C91EAC"/>
    <w:rsid w:val="35F8791E"/>
    <w:rsid w:val="3A8E54FA"/>
    <w:rsid w:val="41ED07ED"/>
    <w:rsid w:val="46574ACA"/>
    <w:rsid w:val="4A1240B3"/>
    <w:rsid w:val="4D2A7712"/>
    <w:rsid w:val="4E462DBA"/>
    <w:rsid w:val="4F2B257A"/>
    <w:rsid w:val="50AD662D"/>
    <w:rsid w:val="517E2641"/>
    <w:rsid w:val="55FE375F"/>
    <w:rsid w:val="59C546D8"/>
    <w:rsid w:val="5B603A70"/>
    <w:rsid w:val="5D8C204C"/>
    <w:rsid w:val="602042D5"/>
    <w:rsid w:val="639F1B94"/>
    <w:rsid w:val="66AE269A"/>
    <w:rsid w:val="68580655"/>
    <w:rsid w:val="68CC51B9"/>
    <w:rsid w:val="69BD3298"/>
    <w:rsid w:val="69FA3B9E"/>
    <w:rsid w:val="6EC41959"/>
    <w:rsid w:val="71A45F17"/>
    <w:rsid w:val="734A47CF"/>
    <w:rsid w:val="763527EB"/>
    <w:rsid w:val="775213D7"/>
    <w:rsid w:val="775F5EBE"/>
    <w:rsid w:val="7E6C1254"/>
    <w:rsid w:val="7EA83406"/>
    <w:rsid w:val="7F6A1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qFormat/>
    <w:uiPriority w:val="0"/>
    <w:pPr>
      <w:keepNext/>
      <w:spacing w:line="360" w:lineRule="auto"/>
      <w:jc w:val="center"/>
      <w:outlineLvl w:val="0"/>
    </w:pPr>
    <w:rPr>
      <w:rFonts w:ascii="宋体" w:hAnsi="宋体" w:cs="宋体"/>
      <w:b/>
      <w:sz w:val="28"/>
      <w:szCs w:val="20"/>
    </w:rPr>
  </w:style>
  <w:style w:type="paragraph" w:styleId="3">
    <w:name w:val="heading 3"/>
    <w:basedOn w:val="1"/>
    <w:next w:val="1"/>
    <w:link w:val="30"/>
    <w:semiHidden/>
    <w:unhideWhenUsed/>
    <w:qFormat/>
    <w:uiPriority w:val="0"/>
    <w:pPr>
      <w:keepNext/>
      <w:keepLines/>
      <w:spacing w:before="260" w:after="260" w:line="412" w:lineRule="auto"/>
      <w:outlineLvl w:val="2"/>
    </w:pPr>
    <w:rPr>
      <w:rFonts w:cs="宋体"/>
      <w:b/>
      <w:sz w:val="32"/>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pPr>
  </w:style>
  <w:style w:type="paragraph" w:styleId="5">
    <w:name w:val="annotation text"/>
    <w:basedOn w:val="1"/>
    <w:link w:val="31"/>
    <w:semiHidden/>
    <w:unhideWhenUsed/>
    <w:qFormat/>
    <w:uiPriority w:val="99"/>
    <w:pPr>
      <w:jc w:val="left"/>
    </w:pPr>
  </w:style>
  <w:style w:type="paragraph" w:styleId="6">
    <w:name w:val="Body Text"/>
    <w:basedOn w:val="1"/>
    <w:link w:val="35"/>
    <w:semiHidden/>
    <w:unhideWhenUsed/>
    <w:qFormat/>
    <w:uiPriority w:val="99"/>
    <w:pPr>
      <w:jc w:val="left"/>
    </w:pPr>
    <w:rPr>
      <w:rFonts w:ascii="楷体_GB2312" w:hAnsi="华文楷体" w:eastAsia="楷体_GB2312"/>
      <w:sz w:val="28"/>
      <w:szCs w:val="28"/>
    </w:rPr>
  </w:style>
  <w:style w:type="paragraph" w:styleId="7">
    <w:name w:val="Body Text Indent"/>
    <w:basedOn w:val="1"/>
    <w:link w:val="36"/>
    <w:semiHidden/>
    <w:unhideWhenUsed/>
    <w:qFormat/>
    <w:uiPriority w:val="99"/>
    <w:pPr>
      <w:spacing w:after="120"/>
      <w:ind w:left="420" w:leftChars="200"/>
    </w:pPr>
  </w:style>
  <w:style w:type="paragraph" w:styleId="8">
    <w:name w:val="List Bullet 2"/>
    <w:basedOn w:val="1"/>
    <w:unhideWhenUsed/>
    <w:qFormat/>
    <w:uiPriority w:val="99"/>
    <w:pPr>
      <w:numPr>
        <w:ilvl w:val="0"/>
        <w:numId w:val="1"/>
      </w:numPr>
      <w:contextualSpacing/>
    </w:pPr>
    <w:rPr>
      <w:rFonts w:ascii="Times New Roman" w:hAnsi="Times New Roman"/>
      <w:szCs w:val="22"/>
    </w:rPr>
  </w:style>
  <w:style w:type="paragraph" w:styleId="9">
    <w:name w:val="index 4"/>
    <w:basedOn w:val="1"/>
    <w:next w:val="1"/>
    <w:qFormat/>
    <w:uiPriority w:val="99"/>
    <w:pPr>
      <w:ind w:left="600" w:leftChars="600"/>
    </w:pPr>
    <w:rPr>
      <w:rFonts w:ascii="等线" w:hAnsi="等线" w:eastAsia="等线" w:cs="等线"/>
      <w:szCs w:val="21"/>
    </w:rPr>
  </w:style>
  <w:style w:type="paragraph" w:styleId="10">
    <w:name w:val="Plain Text"/>
    <w:basedOn w:val="1"/>
    <w:link w:val="39"/>
    <w:unhideWhenUsed/>
    <w:qFormat/>
    <w:uiPriority w:val="99"/>
    <w:rPr>
      <w:rFonts w:ascii="宋体" w:hAnsi="Courier New" w:cs="Courier New"/>
      <w:szCs w:val="21"/>
    </w:rPr>
  </w:style>
  <w:style w:type="paragraph" w:styleId="11">
    <w:name w:val="Date"/>
    <w:basedOn w:val="1"/>
    <w:next w:val="1"/>
    <w:link w:val="37"/>
    <w:semiHidden/>
    <w:unhideWhenUsed/>
    <w:qFormat/>
    <w:uiPriority w:val="99"/>
    <w:pPr>
      <w:ind w:left="100" w:leftChars="2500"/>
    </w:pPr>
    <w:rPr>
      <w:rFonts w:eastAsia="楷体_GB2312"/>
      <w:b/>
      <w:bCs/>
      <w:sz w:val="32"/>
    </w:rPr>
  </w:style>
  <w:style w:type="paragraph" w:styleId="12">
    <w:name w:val="Body Text Indent 2"/>
    <w:basedOn w:val="1"/>
    <w:link w:val="38"/>
    <w:semiHidden/>
    <w:unhideWhenUsed/>
    <w:qFormat/>
    <w:uiPriority w:val="99"/>
    <w:pPr>
      <w:spacing w:after="120" w:line="480" w:lineRule="auto"/>
      <w:ind w:left="420" w:leftChars="200"/>
    </w:pPr>
  </w:style>
  <w:style w:type="paragraph" w:styleId="13">
    <w:name w:val="Balloon Text"/>
    <w:basedOn w:val="1"/>
    <w:link w:val="41"/>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296"/>
      </w:tabs>
      <w:spacing w:line="360" w:lineRule="auto"/>
    </w:pPr>
  </w:style>
  <w:style w:type="paragraph" w:styleId="17">
    <w:name w:val="Body Text 2"/>
    <w:basedOn w:val="1"/>
    <w:link w:val="57"/>
    <w:semiHidden/>
    <w:unhideWhenUsed/>
    <w:qFormat/>
    <w:uiPriority w:val="99"/>
    <w:pPr>
      <w:spacing w:after="120" w:line="480" w:lineRule="auto"/>
    </w:pPr>
  </w:style>
  <w:style w:type="paragraph" w:styleId="18">
    <w:name w:val="Normal (Web)"/>
    <w:basedOn w:val="1"/>
    <w:unhideWhenUsed/>
    <w:qFormat/>
    <w:uiPriority w:val="0"/>
    <w:pPr>
      <w:spacing w:before="100" w:beforeAutospacing="1" w:after="100" w:afterAutospacing="1"/>
      <w:jc w:val="left"/>
    </w:pPr>
    <w:rPr>
      <w:kern w:val="0"/>
      <w:sz w:val="24"/>
      <w:szCs w:val="20"/>
    </w:rPr>
  </w:style>
  <w:style w:type="paragraph" w:styleId="19">
    <w:name w:val="Title"/>
    <w:basedOn w:val="1"/>
    <w:link w:val="34"/>
    <w:qFormat/>
    <w:uiPriority w:val="99"/>
    <w:pPr>
      <w:adjustRightInd w:val="0"/>
      <w:spacing w:before="240" w:after="60" w:line="420" w:lineRule="atLeast"/>
      <w:jc w:val="center"/>
      <w:outlineLvl w:val="0"/>
    </w:pPr>
    <w:rPr>
      <w:rFonts w:ascii="Arial" w:hAnsi="Arial"/>
      <w:b/>
      <w:kern w:val="0"/>
      <w:sz w:val="32"/>
      <w:szCs w:val="20"/>
    </w:rPr>
  </w:style>
  <w:style w:type="paragraph" w:styleId="20">
    <w:name w:val="annotation subject"/>
    <w:basedOn w:val="5"/>
    <w:next w:val="5"/>
    <w:link w:val="40"/>
    <w:semiHidden/>
    <w:unhideWhenUsed/>
    <w:qFormat/>
    <w:uiPriority w:val="99"/>
    <w:rPr>
      <w:b/>
      <w:bCs/>
    </w:rPr>
  </w:style>
  <w:style w:type="paragraph" w:styleId="21">
    <w:name w:val="Body Text First Indent 2"/>
    <w:basedOn w:val="7"/>
    <w:qFormat/>
    <w:uiPriority w:val="0"/>
    <w:pPr>
      <w:tabs>
        <w:tab w:val="left" w:pos="0"/>
        <w:tab w:val="left" w:pos="993"/>
        <w:tab w:val="left" w:pos="1134"/>
      </w:tabs>
      <w:ind w:firstLine="420"/>
    </w:pPr>
    <w:rPr>
      <w:rFonts w:ascii="Times New Roman" w:hAnsi="Times New Roman"/>
    </w:rPr>
  </w:style>
  <w:style w:type="table" w:styleId="23">
    <w:name w:val="Table Grid"/>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basedOn w:val="24"/>
    <w:semiHidden/>
    <w:unhideWhenUsed/>
    <w:qFormat/>
    <w:uiPriority w:val="99"/>
    <w:rPr>
      <w:color w:val="800080" w:themeColor="followedHyperlink"/>
      <w:u w:val="single"/>
    </w:rPr>
  </w:style>
  <w:style w:type="character" w:styleId="26">
    <w:name w:val="Hyperlink"/>
    <w:unhideWhenUsed/>
    <w:qFormat/>
    <w:uiPriority w:val="99"/>
    <w:rPr>
      <w:color w:val="0000FF"/>
      <w:u w:val="single"/>
    </w:rPr>
  </w:style>
  <w:style w:type="character" w:styleId="27">
    <w:name w:val="annotation reference"/>
    <w:semiHidden/>
    <w:unhideWhenUsed/>
    <w:qFormat/>
    <w:uiPriority w:val="0"/>
    <w:rPr>
      <w:sz w:val="21"/>
      <w:szCs w:val="21"/>
    </w:rPr>
  </w:style>
  <w:style w:type="paragraph" w:customStyle="1" w:styleId="28">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29">
    <w:name w:val="标题 1 Char"/>
    <w:basedOn w:val="24"/>
    <w:link w:val="2"/>
    <w:qFormat/>
    <w:uiPriority w:val="0"/>
    <w:rPr>
      <w:rFonts w:ascii="宋体" w:hAnsi="宋体" w:eastAsia="宋体" w:cs="宋体"/>
      <w:b/>
      <w:sz w:val="28"/>
      <w:szCs w:val="20"/>
    </w:rPr>
  </w:style>
  <w:style w:type="character" w:customStyle="1" w:styleId="30">
    <w:name w:val="标题 3 Char"/>
    <w:basedOn w:val="24"/>
    <w:link w:val="3"/>
    <w:semiHidden/>
    <w:qFormat/>
    <w:uiPriority w:val="0"/>
    <w:rPr>
      <w:rFonts w:ascii="Calibri" w:hAnsi="Calibri" w:eastAsia="宋体" w:cs="宋体"/>
      <w:b/>
      <w:sz w:val="32"/>
      <w:szCs w:val="20"/>
    </w:rPr>
  </w:style>
  <w:style w:type="character" w:customStyle="1" w:styleId="31">
    <w:name w:val="批注文字 Char"/>
    <w:basedOn w:val="24"/>
    <w:link w:val="5"/>
    <w:semiHidden/>
    <w:qFormat/>
    <w:uiPriority w:val="99"/>
    <w:rPr>
      <w:rFonts w:ascii="Calibri" w:hAnsi="Calibri" w:eastAsia="宋体" w:cs="Times New Roman"/>
      <w:szCs w:val="24"/>
    </w:rPr>
  </w:style>
  <w:style w:type="character" w:customStyle="1" w:styleId="32">
    <w:name w:val="页眉 Char"/>
    <w:basedOn w:val="24"/>
    <w:link w:val="15"/>
    <w:qFormat/>
    <w:uiPriority w:val="99"/>
    <w:rPr>
      <w:rFonts w:ascii="Calibri" w:hAnsi="Calibri" w:eastAsia="宋体" w:cs="Times New Roman"/>
      <w:sz w:val="18"/>
      <w:szCs w:val="18"/>
    </w:rPr>
  </w:style>
  <w:style w:type="character" w:customStyle="1" w:styleId="33">
    <w:name w:val="页脚 Char"/>
    <w:basedOn w:val="24"/>
    <w:link w:val="14"/>
    <w:qFormat/>
    <w:uiPriority w:val="99"/>
    <w:rPr>
      <w:rFonts w:ascii="Calibri" w:hAnsi="Calibri" w:eastAsia="宋体" w:cs="Times New Roman"/>
      <w:sz w:val="18"/>
      <w:szCs w:val="18"/>
    </w:rPr>
  </w:style>
  <w:style w:type="character" w:customStyle="1" w:styleId="34">
    <w:name w:val="标题 Char"/>
    <w:basedOn w:val="24"/>
    <w:link w:val="19"/>
    <w:qFormat/>
    <w:uiPriority w:val="99"/>
    <w:rPr>
      <w:rFonts w:ascii="Arial" w:hAnsi="Arial" w:eastAsia="宋体" w:cs="Times New Roman"/>
      <w:b/>
      <w:kern w:val="0"/>
      <w:sz w:val="32"/>
      <w:szCs w:val="20"/>
    </w:rPr>
  </w:style>
  <w:style w:type="character" w:customStyle="1" w:styleId="35">
    <w:name w:val="正文文本 Char"/>
    <w:basedOn w:val="24"/>
    <w:link w:val="6"/>
    <w:semiHidden/>
    <w:qFormat/>
    <w:uiPriority w:val="99"/>
    <w:rPr>
      <w:rFonts w:ascii="楷体_GB2312" w:hAnsi="华文楷体" w:eastAsia="楷体_GB2312" w:cs="Times New Roman"/>
      <w:sz w:val="28"/>
      <w:szCs w:val="28"/>
    </w:rPr>
  </w:style>
  <w:style w:type="character" w:customStyle="1" w:styleId="36">
    <w:name w:val="正文文本缩进 Char"/>
    <w:basedOn w:val="24"/>
    <w:link w:val="7"/>
    <w:semiHidden/>
    <w:qFormat/>
    <w:uiPriority w:val="99"/>
    <w:rPr>
      <w:rFonts w:ascii="Calibri" w:hAnsi="Calibri" w:eastAsia="宋体" w:cs="Times New Roman"/>
      <w:szCs w:val="24"/>
    </w:rPr>
  </w:style>
  <w:style w:type="character" w:customStyle="1" w:styleId="37">
    <w:name w:val="日期 Char"/>
    <w:basedOn w:val="24"/>
    <w:link w:val="11"/>
    <w:semiHidden/>
    <w:qFormat/>
    <w:uiPriority w:val="99"/>
    <w:rPr>
      <w:rFonts w:ascii="Calibri" w:hAnsi="Calibri" w:eastAsia="楷体_GB2312" w:cs="Times New Roman"/>
      <w:b/>
      <w:bCs/>
      <w:sz w:val="32"/>
      <w:szCs w:val="24"/>
    </w:rPr>
  </w:style>
  <w:style w:type="character" w:customStyle="1" w:styleId="38">
    <w:name w:val="正文文本缩进 2 Char"/>
    <w:basedOn w:val="24"/>
    <w:link w:val="12"/>
    <w:semiHidden/>
    <w:qFormat/>
    <w:uiPriority w:val="99"/>
    <w:rPr>
      <w:rFonts w:ascii="Calibri" w:hAnsi="Calibri" w:eastAsia="宋体" w:cs="Times New Roman"/>
      <w:szCs w:val="24"/>
    </w:rPr>
  </w:style>
  <w:style w:type="character" w:customStyle="1" w:styleId="39">
    <w:name w:val="纯文本 Char"/>
    <w:basedOn w:val="24"/>
    <w:link w:val="10"/>
    <w:qFormat/>
    <w:uiPriority w:val="99"/>
    <w:rPr>
      <w:rFonts w:ascii="宋体" w:hAnsi="Courier New" w:eastAsia="宋体" w:cs="Courier New"/>
      <w:szCs w:val="21"/>
    </w:rPr>
  </w:style>
  <w:style w:type="character" w:customStyle="1" w:styleId="40">
    <w:name w:val="批注主题 Char"/>
    <w:basedOn w:val="31"/>
    <w:link w:val="20"/>
    <w:semiHidden/>
    <w:qFormat/>
    <w:uiPriority w:val="99"/>
    <w:rPr>
      <w:rFonts w:ascii="Calibri" w:hAnsi="Calibri" w:eastAsia="宋体" w:cs="Times New Roman"/>
      <w:b/>
      <w:bCs/>
      <w:szCs w:val="24"/>
    </w:rPr>
  </w:style>
  <w:style w:type="character" w:customStyle="1" w:styleId="41">
    <w:name w:val="批注框文本 Char"/>
    <w:basedOn w:val="24"/>
    <w:link w:val="13"/>
    <w:semiHidden/>
    <w:qFormat/>
    <w:uiPriority w:val="99"/>
    <w:rPr>
      <w:rFonts w:ascii="Calibri" w:hAnsi="Calibri" w:eastAsia="宋体" w:cs="Times New Roman"/>
      <w:sz w:val="18"/>
      <w:szCs w:val="18"/>
    </w:rPr>
  </w:style>
  <w:style w:type="paragraph" w:styleId="42">
    <w:name w:val="List Paragraph"/>
    <w:basedOn w:val="1"/>
    <w:qFormat/>
    <w:uiPriority w:val="34"/>
    <w:pPr>
      <w:ind w:firstLine="420" w:firstLineChars="200"/>
    </w:pPr>
    <w:rPr>
      <w:szCs w:val="20"/>
    </w:rPr>
  </w:style>
  <w:style w:type="paragraph" w:customStyle="1" w:styleId="43">
    <w:name w:val="Char Char1 Char Char Char Char Char Char"/>
    <w:basedOn w:val="1"/>
    <w:qFormat/>
    <w:uiPriority w:val="99"/>
    <w:pPr>
      <w:widowControl/>
      <w:spacing w:after="160" w:line="240" w:lineRule="exact"/>
      <w:jc w:val="left"/>
    </w:pPr>
    <w:rPr>
      <w:szCs w:val="20"/>
    </w:rPr>
  </w:style>
  <w:style w:type="paragraph" w:customStyle="1" w:styleId="44">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
    <w:name w:val="列出段落1"/>
    <w:basedOn w:val="1"/>
    <w:qFormat/>
    <w:uiPriority w:val="99"/>
    <w:pPr>
      <w:ind w:firstLine="420" w:firstLineChars="200"/>
    </w:pPr>
  </w:style>
  <w:style w:type="paragraph" w:customStyle="1" w:styleId="46">
    <w:name w:val="Char"/>
    <w:basedOn w:val="1"/>
    <w:qFormat/>
    <w:uiPriority w:val="99"/>
    <w:pPr>
      <w:widowControl/>
      <w:spacing w:after="160" w:line="240" w:lineRule="exact"/>
      <w:jc w:val="left"/>
    </w:pPr>
  </w:style>
  <w:style w:type="paragraph" w:customStyle="1" w:styleId="47">
    <w:name w:val="正文_2"/>
    <w:qFormat/>
    <w:uiPriority w:val="99"/>
    <w:rPr>
      <w:rFonts w:ascii="Calibri" w:hAnsi="Calibri" w:eastAsia="宋体" w:cs="Times New Roman"/>
      <w:sz w:val="21"/>
      <w:szCs w:val="22"/>
      <w:lang w:val="en-US" w:eastAsia="zh-CN" w:bidi="ar-SA"/>
    </w:rPr>
  </w:style>
  <w:style w:type="paragraph" w:customStyle="1" w:styleId="48">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9">
    <w:name w:val="标题 Char1"/>
    <w:basedOn w:val="24"/>
    <w:qFormat/>
    <w:uiPriority w:val="10"/>
    <w:rPr>
      <w:rFonts w:hint="default" w:asciiTheme="majorHAnsi" w:hAnsiTheme="majorHAnsi" w:cstheme="majorBidi"/>
      <w:b/>
      <w:bCs/>
      <w:kern w:val="2"/>
      <w:sz w:val="32"/>
      <w:szCs w:val="32"/>
    </w:rPr>
  </w:style>
  <w:style w:type="character" w:customStyle="1" w:styleId="50">
    <w:name w:val="批注文字 Char1"/>
    <w:basedOn w:val="24"/>
    <w:semiHidden/>
    <w:qFormat/>
    <w:uiPriority w:val="99"/>
    <w:rPr>
      <w:kern w:val="2"/>
      <w:sz w:val="21"/>
      <w:szCs w:val="24"/>
    </w:rPr>
  </w:style>
  <w:style w:type="character" w:customStyle="1" w:styleId="51">
    <w:name w:val="批注主题 Char1"/>
    <w:basedOn w:val="50"/>
    <w:semiHidden/>
    <w:qFormat/>
    <w:uiPriority w:val="99"/>
    <w:rPr>
      <w:b/>
      <w:bCs/>
      <w:kern w:val="2"/>
      <w:sz w:val="21"/>
      <w:szCs w:val="24"/>
    </w:rPr>
  </w:style>
  <w:style w:type="paragraph" w:customStyle="1" w:styleId="52">
    <w:name w:val="TOC 标题1"/>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66091" w:themeColor="accent1" w:themeShade="BF"/>
      <w:kern w:val="0"/>
      <w:sz w:val="32"/>
      <w:szCs w:val="32"/>
    </w:rPr>
  </w:style>
  <w:style w:type="character" w:customStyle="1" w:styleId="53">
    <w:name w:val="Blockquote Char Char"/>
    <w:link w:val="54"/>
    <w:qFormat/>
    <w:uiPriority w:val="0"/>
    <w:rPr>
      <w:sz w:val="24"/>
    </w:rPr>
  </w:style>
  <w:style w:type="paragraph" w:customStyle="1" w:styleId="54">
    <w:name w:val="Blockquote"/>
    <w:basedOn w:val="1"/>
    <w:link w:val="53"/>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6">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7">
    <w:name w:val="正文文本 2 Char"/>
    <w:basedOn w:val="24"/>
    <w:link w:val="17"/>
    <w:semiHidden/>
    <w:qFormat/>
    <w:uiPriority w:val="99"/>
    <w:rPr>
      <w:rFonts w:ascii="Calibri" w:hAnsi="Calibri" w:eastAsia="宋体" w:cs="Times New Roman"/>
      <w:kern w:val="2"/>
      <w:sz w:val="21"/>
      <w:szCs w:val="24"/>
    </w:rPr>
  </w:style>
  <w:style w:type="character" w:customStyle="1" w:styleId="58">
    <w:name w:val="NormalCharacter"/>
    <w:qFormat/>
    <w:uiPriority w:val="0"/>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0">
    <w:name w:val="宋体小四正文"/>
    <w:basedOn w:val="1"/>
    <w:link w:val="61"/>
    <w:qFormat/>
    <w:uiPriority w:val="0"/>
    <w:pPr>
      <w:spacing w:line="360" w:lineRule="auto"/>
      <w:ind w:firstLine="200" w:firstLineChars="200"/>
    </w:pPr>
    <w:rPr>
      <w:rFonts w:ascii="宋体" w:hAnsi="宋体" w:cstheme="minorBidi"/>
      <w:color w:val="000000" w:themeColor="text1"/>
      <w:sz w:val="24"/>
      <w:szCs w:val="28"/>
    </w:rPr>
  </w:style>
  <w:style w:type="character" w:customStyle="1" w:styleId="61">
    <w:name w:val="宋体小四正文 字符"/>
    <w:basedOn w:val="24"/>
    <w:link w:val="60"/>
    <w:qFormat/>
    <w:uiPriority w:val="0"/>
    <w:rPr>
      <w:rFonts w:ascii="宋体" w:hAnsi="宋体" w:eastAsia="宋体"/>
      <w:color w:val="000000" w:themeColor="text1"/>
      <w:kern w:val="2"/>
      <w:sz w:val="24"/>
      <w:szCs w:val="28"/>
    </w:rPr>
  </w:style>
  <w:style w:type="paragraph" w:customStyle="1" w:styleId="62">
    <w:name w:val="Normal Indent1"/>
    <w:basedOn w:val="1"/>
    <w:qFormat/>
    <w:uiPriority w:val="0"/>
    <w:pPr>
      <w:ind w:firstLine="420" w:firstLineChars="200"/>
    </w:pPr>
  </w:style>
  <w:style w:type="character" w:customStyle="1" w:styleId="63">
    <w:name w:val="页脚 Char1"/>
    <w:qFormat/>
    <w:uiPriority w:val="99"/>
    <w:rPr>
      <w:sz w:val="18"/>
      <w:szCs w:val="18"/>
    </w:rPr>
  </w:style>
  <w:style w:type="character" w:customStyle="1" w:styleId="64">
    <w:name w:val="NormalCharacter1"/>
    <w:qFormat/>
    <w:uiPriority w:val="0"/>
    <w:rPr>
      <w:rFonts w:asciiTheme="minorHAnsi" w:hAnsiTheme="minorHAnsi" w:eastAsiaTheme="minorEastAsia" w:cstheme="minorBidi"/>
      <w:kern w:val="2"/>
      <w:sz w:val="21"/>
      <w:szCs w:val="22"/>
      <w:lang w:val="en-US" w:eastAsia="zh-CN" w:bidi="ar-SA"/>
    </w:rPr>
  </w:style>
  <w:style w:type="paragraph" w:customStyle="1" w:styleId="65">
    <w:name w:val="引文目录标题1"/>
    <w:basedOn w:val="1"/>
    <w:next w:val="1"/>
    <w:unhideWhenUsed/>
    <w:qFormat/>
    <w:uiPriority w:val="99"/>
    <w:pPr>
      <w:spacing w:before="120"/>
    </w:pPr>
    <w:rPr>
      <w:rFonts w:ascii="Cambria" w:hAnsi="Cambria" w:eastAsia="等线"/>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19</Pages>
  <Words>9455</Words>
  <Characters>9624</Characters>
  <Lines>71</Lines>
  <Paragraphs>20</Paragraphs>
  <TotalTime>471</TotalTime>
  <ScaleCrop>false</ScaleCrop>
  <LinksUpToDate>false</LinksUpToDate>
  <CharactersWithSpaces>10042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2022-05-05T23:35:00Z</dcterms:created>
  <dc:creator>未定义</dc:creator>
  <cp:lastModifiedBy>张长君</cp:lastModifiedBy>
  <cp:lastPrinted>2020-05-07T09:24:00Z</cp:lastPrinted>
  <dcterms:modified xsi:type="dcterms:W3CDTF">2025-05-12T07:29:43Z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FED2082C63CB469DBC4A5FFE1C1B0A9F</vt:lpwstr>
  </property>
  <property fmtid="{D5CDD505-2E9C-101B-9397-08002B2CF9AE}" pid="4" name="KSOTemplateDocerSaveRecord">
    <vt:lpwstr>eyJoZGlkIjoiN2Y4ZDNhMDVmNDIzOTA1MDMwMTAyNmQxZjFhNzlmNGYiLCJ1c2VySWQiOiIxMjEwNDIxMzA4In0=</vt:lpwstr>
  </property>
</Properties>
</file>