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50579">
      <w:pPr>
        <w:adjustRightInd w:val="0"/>
        <w:snapToGrid w:val="0"/>
        <w:spacing w:line="560" w:lineRule="exact"/>
        <w:jc w:val="center"/>
        <w:rPr>
          <w:rFonts w:ascii="宋体" w:hAnsi="宋体" w:cs="仿宋"/>
          <w:spacing w:val="28"/>
          <w:sz w:val="44"/>
          <w:szCs w:val="44"/>
        </w:rPr>
      </w:pPr>
    </w:p>
    <w:p w14:paraId="49F8DDFE">
      <w:pPr>
        <w:jc w:val="center"/>
        <w:rPr>
          <w:rFonts w:hint="eastAsia" w:ascii="宋体" w:hAnsi="宋体" w:cs="宋体"/>
          <w:b/>
          <w:bCs/>
          <w:sz w:val="48"/>
          <w:szCs w:val="48"/>
        </w:rPr>
      </w:pPr>
      <w:r>
        <w:rPr>
          <w:rFonts w:hint="eastAsia" w:ascii="宋体" w:hAnsi="宋体" w:cs="宋体"/>
          <w:b/>
          <w:bCs/>
          <w:sz w:val="48"/>
          <w:szCs w:val="48"/>
        </w:rPr>
        <w:t>扬州大学附属医院京沪高级医学中心电动窗帘纱帘、隔帘、卷帘采购安装项目</w:t>
      </w:r>
    </w:p>
    <w:p w14:paraId="415F1439">
      <w:pPr>
        <w:jc w:val="center"/>
        <w:rPr>
          <w:rFonts w:ascii="宋体" w:hAnsi="宋体" w:cs="宋体"/>
          <w:b/>
          <w:bCs/>
          <w:sz w:val="48"/>
          <w:szCs w:val="48"/>
        </w:rPr>
      </w:pPr>
      <w:r>
        <w:rPr>
          <w:rFonts w:hint="eastAsia" w:ascii="宋体" w:hAnsi="宋体" w:cs="宋体"/>
          <w:b/>
          <w:bCs/>
          <w:sz w:val="48"/>
          <w:szCs w:val="48"/>
        </w:rPr>
        <w:t>院内公开谈判文件</w:t>
      </w:r>
    </w:p>
    <w:p w14:paraId="790B9DFF">
      <w:pPr>
        <w:adjustRightInd w:val="0"/>
        <w:snapToGrid w:val="0"/>
        <w:spacing w:line="560" w:lineRule="exact"/>
        <w:jc w:val="center"/>
        <w:rPr>
          <w:rFonts w:ascii="宋体" w:hAnsi="宋体" w:cs="仿宋"/>
          <w:spacing w:val="28"/>
          <w:sz w:val="44"/>
          <w:szCs w:val="44"/>
        </w:rPr>
      </w:pPr>
    </w:p>
    <w:p w14:paraId="0A6B73AB">
      <w:pPr>
        <w:adjustRightInd w:val="0"/>
        <w:snapToGrid w:val="0"/>
        <w:spacing w:line="360" w:lineRule="auto"/>
        <w:jc w:val="center"/>
        <w:rPr>
          <w:rFonts w:eastAsia="黑体"/>
          <w:b/>
          <w:snapToGrid w:val="0"/>
          <w:sz w:val="72"/>
        </w:rPr>
      </w:pPr>
      <w:r>
        <w:drawing>
          <wp:inline distT="0" distB="0" distL="114300" distR="114300">
            <wp:extent cx="5480685" cy="4157345"/>
            <wp:effectExtent l="0" t="0" r="5715" b="14605"/>
            <wp:docPr id="1"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08345747129441"/>
                    <pic:cNvPicPr>
                      <a:picLocks noChangeAspect="1"/>
                    </pic:cNvPicPr>
                  </pic:nvPicPr>
                  <pic:blipFill>
                    <a:blip r:embed="rId6" cstate="print"/>
                    <a:stretch>
                      <a:fillRect/>
                    </a:stretch>
                  </pic:blipFill>
                  <pic:spPr>
                    <a:xfrm>
                      <a:off x="0" y="0"/>
                      <a:ext cx="5480685" cy="4157345"/>
                    </a:xfrm>
                    <a:prstGeom prst="rect">
                      <a:avLst/>
                    </a:prstGeom>
                    <a:noFill/>
                    <a:ln>
                      <a:noFill/>
                    </a:ln>
                  </pic:spPr>
                </pic:pic>
              </a:graphicData>
            </a:graphic>
          </wp:inline>
        </w:drawing>
      </w:r>
    </w:p>
    <w:p w14:paraId="7ABAEA02">
      <w:pPr>
        <w:spacing w:line="360" w:lineRule="auto"/>
        <w:ind w:firstLine="848" w:firstLineChars="265"/>
        <w:jc w:val="center"/>
        <w:rPr>
          <w:rFonts w:ascii="宋体" w:hAnsi="宋体" w:cs="宋体"/>
          <w:sz w:val="32"/>
          <w:szCs w:val="32"/>
        </w:rPr>
      </w:pPr>
    </w:p>
    <w:p w14:paraId="69EC3182">
      <w:pPr>
        <w:spacing w:line="360" w:lineRule="auto"/>
        <w:jc w:val="center"/>
        <w:rPr>
          <w:rFonts w:ascii="宋体" w:hAnsi="宋体" w:cs="宋体"/>
          <w:b/>
          <w:sz w:val="32"/>
          <w:szCs w:val="32"/>
        </w:rPr>
      </w:pPr>
      <w:r>
        <w:rPr>
          <w:rFonts w:hint="eastAsia" w:ascii="宋体" w:hAnsi="宋体" w:cs="宋体"/>
          <w:sz w:val="32"/>
          <w:szCs w:val="32"/>
        </w:rPr>
        <w:t>采   购  人：</w:t>
      </w:r>
      <w:r>
        <w:rPr>
          <w:rFonts w:hint="eastAsia" w:ascii="宋体" w:hAnsi="宋体" w:cs="宋体"/>
          <w:b/>
          <w:sz w:val="32"/>
          <w:szCs w:val="32"/>
        </w:rPr>
        <w:t>扬州大学附属医院</w:t>
      </w:r>
    </w:p>
    <w:p w14:paraId="381EF017">
      <w:pPr>
        <w:spacing w:line="360" w:lineRule="auto"/>
        <w:ind w:firstLine="848" w:firstLineChars="265"/>
        <w:jc w:val="center"/>
        <w:rPr>
          <w:rFonts w:ascii="宋体" w:hAnsi="宋体" w:cs="宋体"/>
          <w:sz w:val="32"/>
          <w:szCs w:val="32"/>
        </w:rPr>
      </w:pPr>
    </w:p>
    <w:p w14:paraId="1B9BF7FB">
      <w:pPr>
        <w:spacing w:line="360" w:lineRule="auto"/>
        <w:jc w:val="center"/>
        <w:rPr>
          <w:rFonts w:ascii="宋体" w:hAnsi="宋体" w:cs="宋体"/>
          <w:sz w:val="32"/>
          <w:szCs w:val="32"/>
        </w:rPr>
      </w:pPr>
      <w:r>
        <w:rPr>
          <w:rFonts w:hint="eastAsia" w:ascii="宋体" w:hAnsi="宋体" w:cs="宋体"/>
          <w:sz w:val="32"/>
          <w:szCs w:val="32"/>
        </w:rPr>
        <w:t>发 放 日 期：</w:t>
      </w:r>
      <w:bookmarkStart w:id="0" w:name="EB59c3faf64f2a4bd092a206fb1d0c3c03"/>
      <w:r>
        <w:rPr>
          <w:rFonts w:hint="eastAsia" w:ascii="宋体" w:hAnsi="宋体" w:cs="宋体"/>
          <w:b/>
          <w:sz w:val="32"/>
          <w:szCs w:val="32"/>
        </w:rPr>
        <w:t>2025年</w:t>
      </w:r>
      <w:r>
        <w:rPr>
          <w:rFonts w:hint="eastAsia" w:ascii="宋体" w:hAnsi="宋体" w:cs="宋体"/>
          <w:b/>
          <w:sz w:val="32"/>
          <w:szCs w:val="32"/>
          <w:lang w:val="en-US" w:eastAsia="zh-CN"/>
        </w:rPr>
        <w:t>5</w:t>
      </w:r>
      <w:r>
        <w:rPr>
          <w:rFonts w:hint="eastAsia" w:ascii="宋体" w:hAnsi="宋体" w:cs="宋体"/>
          <w:b/>
          <w:sz w:val="32"/>
          <w:szCs w:val="32"/>
        </w:rPr>
        <w:t>月</w:t>
      </w:r>
      <w:bookmarkEnd w:id="0"/>
    </w:p>
    <w:p w14:paraId="5D501653">
      <w:pPr>
        <w:jc w:val="center"/>
        <w:rPr>
          <w:rFonts w:ascii="宋体" w:hAnsi="宋体"/>
          <w:b/>
          <w:bCs/>
          <w:sz w:val="48"/>
          <w:szCs w:val="48"/>
        </w:rPr>
      </w:pPr>
    </w:p>
    <w:p w14:paraId="67BE12EF">
      <w:pPr>
        <w:spacing w:line="360" w:lineRule="auto"/>
        <w:ind w:firstLine="4200" w:firstLineChars="1400"/>
        <w:rPr>
          <w:rFonts w:ascii="宋体" w:hAnsi="宋体"/>
          <w:b/>
          <w:bCs/>
          <w:sz w:val="36"/>
          <w:szCs w:val="36"/>
        </w:rPr>
      </w:pPr>
      <w:r>
        <w:rPr>
          <w:rFonts w:hint="eastAsia" w:ascii="宋体" w:hAnsi="宋体"/>
          <w:sz w:val="30"/>
          <w:szCs w:val="30"/>
        </w:rPr>
        <w:br w:type="page"/>
      </w:r>
      <w:r>
        <w:rPr>
          <w:rFonts w:hint="eastAsia" w:ascii="宋体" w:hAnsi="宋体"/>
          <w:b/>
          <w:bCs/>
          <w:sz w:val="36"/>
          <w:szCs w:val="36"/>
        </w:rPr>
        <w:t>目  录</w:t>
      </w:r>
    </w:p>
    <w:p w14:paraId="675DD7B5">
      <w:pPr>
        <w:pStyle w:val="20"/>
        <w:ind w:firstLine="630" w:firstLineChars="300"/>
      </w:pPr>
    </w:p>
    <w:p w14:paraId="1637E05A">
      <w:pPr>
        <w:pStyle w:val="20"/>
        <w:ind w:firstLine="240" w:firstLineChars="100"/>
        <w:contextualSpacing/>
        <w:jc w:val="left"/>
        <w:rPr>
          <w:rFonts w:asciiTheme="minorEastAsia" w:hAnsiTheme="minorEastAsia" w:eastAsiaTheme="minorEastAsia"/>
          <w:sz w:val="24"/>
        </w:rPr>
      </w:pPr>
      <w:r>
        <w:rPr>
          <w:rFonts w:asciiTheme="minorEastAsia" w:hAnsiTheme="minorEastAsia" w:eastAsiaTheme="minorEastAsia"/>
          <w:sz w:val="24"/>
        </w:rPr>
        <w:t>一、</w:t>
      </w:r>
      <w:r>
        <w:rPr>
          <w:rFonts w:hint="eastAsia" w:asciiTheme="minorEastAsia" w:hAnsiTheme="minorEastAsia" w:eastAsiaTheme="minorEastAsia"/>
          <w:sz w:val="24"/>
        </w:rPr>
        <w:t>招标邀请</w:t>
      </w:r>
      <w:r>
        <w:rPr>
          <w:rFonts w:asciiTheme="minorEastAsia" w:hAnsiTheme="minorEastAsia" w:eastAsiaTheme="minorEastAsia"/>
          <w:sz w:val="24"/>
        </w:rPr>
        <w:t>………………………………………………………………………</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_Toc39744251 \h </w:instrText>
      </w:r>
      <w:r>
        <w:rPr>
          <w:rFonts w:asciiTheme="minorEastAsia" w:hAnsiTheme="minorEastAsia" w:eastAsiaTheme="minorEastAsia"/>
          <w:sz w:val="24"/>
        </w:rPr>
        <w:fldChar w:fldCharType="separate"/>
      </w:r>
      <w:r>
        <w:rPr>
          <w:rFonts w:asciiTheme="minorEastAsia" w:hAnsiTheme="minorEastAsia" w:eastAsiaTheme="minorEastAsia"/>
          <w:sz w:val="24"/>
        </w:rPr>
        <w:t>2</w:t>
      </w:r>
      <w:r>
        <w:rPr>
          <w:rFonts w:asciiTheme="minorEastAsia" w:hAnsiTheme="minorEastAsia" w:eastAsiaTheme="minorEastAsia"/>
          <w:sz w:val="24"/>
        </w:rPr>
        <w:fldChar w:fldCharType="end"/>
      </w:r>
    </w:p>
    <w:p w14:paraId="7EACB3C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二、项目需求</w:t>
      </w:r>
      <w:r>
        <w:rPr>
          <w:rFonts w:asciiTheme="minorEastAsia" w:hAnsiTheme="minorEastAsia" w:eastAsiaTheme="minorEastAsia"/>
          <w:sz w:val="24"/>
        </w:rPr>
        <w:t>………………………………………………………………………</w:t>
      </w:r>
      <w:r>
        <w:rPr>
          <w:rFonts w:hint="eastAsia" w:asciiTheme="minorEastAsia" w:hAnsiTheme="minorEastAsia" w:eastAsiaTheme="minorEastAsia"/>
          <w:sz w:val="24"/>
        </w:rPr>
        <w:t>3</w:t>
      </w:r>
    </w:p>
    <w:p w14:paraId="2B43D75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投标人须知……………………………………………………………………</w:t>
      </w:r>
      <w:r>
        <w:rPr>
          <w:rFonts w:hint="eastAsia" w:asciiTheme="minorEastAsia" w:hAnsiTheme="minorEastAsia" w:eastAsiaTheme="minorEastAsia"/>
          <w:sz w:val="24"/>
        </w:rPr>
        <w:t>4</w:t>
      </w:r>
    </w:p>
    <w:p w14:paraId="63CA17AD">
      <w:pPr>
        <w:spacing w:line="360" w:lineRule="auto"/>
        <w:ind w:firstLine="240" w:firstLineChars="100"/>
        <w:contextualSpacing/>
        <w:jc w:val="left"/>
        <w:rPr>
          <w:rFonts w:ascii="宋体" w:hAnsi="宋体"/>
          <w:bCs/>
          <w:sz w:val="24"/>
        </w:rPr>
      </w:pPr>
      <w:r>
        <w:rPr>
          <w:rFonts w:hint="eastAsia" w:ascii="宋体" w:hAnsi="宋体"/>
          <w:bCs/>
          <w:sz w:val="24"/>
        </w:rPr>
        <w:t>四、投标文件格式及附件要求</w:t>
      </w:r>
      <w:r>
        <w:rPr>
          <w:rFonts w:ascii="宋体" w:hAnsi="宋体"/>
          <w:bCs/>
          <w:sz w:val="24"/>
        </w:rPr>
        <w:t>……………………………………………………</w:t>
      </w:r>
      <w:r>
        <w:rPr>
          <w:rFonts w:hint="eastAsia" w:ascii="宋体" w:hAnsi="宋体"/>
          <w:bCs/>
          <w:sz w:val="24"/>
        </w:rPr>
        <w:t>7</w:t>
      </w:r>
    </w:p>
    <w:p w14:paraId="09900219">
      <w:pPr>
        <w:spacing w:line="360" w:lineRule="auto"/>
        <w:ind w:firstLine="240" w:firstLineChars="100"/>
        <w:contextualSpacing/>
        <w:jc w:val="left"/>
        <w:rPr>
          <w:rFonts w:ascii="宋体" w:hAnsi="宋体"/>
          <w:bCs/>
          <w:sz w:val="24"/>
        </w:rPr>
      </w:pPr>
      <w:r>
        <w:rPr>
          <w:rFonts w:hint="eastAsia" w:ascii="宋体" w:hAnsi="宋体"/>
          <w:bCs/>
          <w:sz w:val="24"/>
        </w:rPr>
        <w:t>五、供应商廉洁自律承诺书</w:t>
      </w:r>
      <w:r>
        <w:rPr>
          <w:rFonts w:ascii="宋体" w:hAnsi="宋体"/>
          <w:bCs/>
          <w:sz w:val="24"/>
        </w:rPr>
        <w:t>………………………………………………………</w:t>
      </w:r>
      <w:r>
        <w:rPr>
          <w:rFonts w:hint="eastAsia" w:ascii="宋体" w:hAnsi="宋体"/>
          <w:bCs/>
          <w:sz w:val="24"/>
        </w:rPr>
        <w:t>12</w:t>
      </w:r>
    </w:p>
    <w:p w14:paraId="29A19B2B">
      <w:pPr>
        <w:spacing w:line="360" w:lineRule="auto"/>
        <w:contextualSpacing/>
        <w:jc w:val="center"/>
        <w:rPr>
          <w:rFonts w:ascii="宋体" w:hAnsi="宋体"/>
          <w:bCs/>
          <w:sz w:val="24"/>
        </w:rPr>
      </w:pPr>
    </w:p>
    <w:p w14:paraId="7CE53448">
      <w:pPr>
        <w:rPr>
          <w:rFonts w:ascii="宋体" w:hAnsi="宋体"/>
          <w:sz w:val="30"/>
          <w:szCs w:val="30"/>
        </w:rPr>
      </w:pPr>
    </w:p>
    <w:p w14:paraId="18626B7B">
      <w:pPr>
        <w:spacing w:line="360" w:lineRule="auto"/>
        <w:jc w:val="center"/>
      </w:pPr>
      <w:bookmarkStart w:id="1" w:name="_Toc39744251"/>
    </w:p>
    <w:p w14:paraId="7F3811EB">
      <w:pPr>
        <w:spacing w:line="360" w:lineRule="auto"/>
        <w:jc w:val="center"/>
      </w:pPr>
    </w:p>
    <w:p w14:paraId="35BCFFA0">
      <w:pPr>
        <w:spacing w:line="360" w:lineRule="auto"/>
        <w:jc w:val="center"/>
      </w:pPr>
    </w:p>
    <w:p w14:paraId="33FDFEEF">
      <w:pPr>
        <w:spacing w:line="360" w:lineRule="auto"/>
        <w:jc w:val="center"/>
      </w:pPr>
    </w:p>
    <w:p w14:paraId="184D0A90">
      <w:pPr>
        <w:spacing w:line="360" w:lineRule="auto"/>
        <w:jc w:val="center"/>
      </w:pPr>
    </w:p>
    <w:p w14:paraId="54F9C286">
      <w:pPr>
        <w:spacing w:line="360" w:lineRule="auto"/>
        <w:jc w:val="center"/>
      </w:pPr>
    </w:p>
    <w:p w14:paraId="70F134FC">
      <w:pPr>
        <w:spacing w:line="360" w:lineRule="auto"/>
        <w:jc w:val="center"/>
      </w:pPr>
    </w:p>
    <w:p w14:paraId="62F64995">
      <w:pPr>
        <w:spacing w:line="360" w:lineRule="auto"/>
        <w:jc w:val="center"/>
      </w:pPr>
    </w:p>
    <w:p w14:paraId="34806EDC">
      <w:pPr>
        <w:spacing w:line="360" w:lineRule="auto"/>
        <w:jc w:val="center"/>
      </w:pPr>
    </w:p>
    <w:p w14:paraId="3C6AF79A">
      <w:pPr>
        <w:spacing w:line="360" w:lineRule="auto"/>
        <w:jc w:val="center"/>
      </w:pPr>
    </w:p>
    <w:p w14:paraId="4E76E0FB">
      <w:pPr>
        <w:spacing w:line="360" w:lineRule="auto"/>
        <w:jc w:val="center"/>
      </w:pPr>
    </w:p>
    <w:p w14:paraId="5909B7BA">
      <w:pPr>
        <w:spacing w:line="360" w:lineRule="auto"/>
        <w:jc w:val="center"/>
      </w:pPr>
    </w:p>
    <w:p w14:paraId="692D340C">
      <w:pPr>
        <w:spacing w:line="360" w:lineRule="auto"/>
        <w:jc w:val="center"/>
      </w:pPr>
    </w:p>
    <w:p w14:paraId="48910A44">
      <w:pPr>
        <w:spacing w:line="360" w:lineRule="auto"/>
        <w:jc w:val="center"/>
      </w:pPr>
    </w:p>
    <w:p w14:paraId="3F0DAA9A">
      <w:pPr>
        <w:spacing w:line="360" w:lineRule="auto"/>
        <w:jc w:val="center"/>
      </w:pPr>
    </w:p>
    <w:p w14:paraId="5E399C85">
      <w:pPr>
        <w:spacing w:line="360" w:lineRule="auto"/>
        <w:jc w:val="center"/>
      </w:pPr>
    </w:p>
    <w:p w14:paraId="102B1C91">
      <w:pPr>
        <w:spacing w:line="360" w:lineRule="auto"/>
        <w:jc w:val="center"/>
      </w:pPr>
    </w:p>
    <w:p w14:paraId="6458346A">
      <w:pPr>
        <w:spacing w:line="360" w:lineRule="auto"/>
        <w:jc w:val="center"/>
      </w:pPr>
    </w:p>
    <w:p w14:paraId="1DD016A5">
      <w:pPr>
        <w:rPr>
          <w:rFonts w:ascii="宋体" w:hAnsi="宋体" w:cs="宋体"/>
          <w:b/>
          <w:sz w:val="28"/>
          <w:szCs w:val="20"/>
        </w:rPr>
      </w:pPr>
      <w:r>
        <w:rPr>
          <w:rFonts w:ascii="宋体" w:hAnsi="宋体" w:cs="宋体"/>
          <w:b/>
          <w:sz w:val="28"/>
          <w:szCs w:val="20"/>
        </w:rPr>
        <w:br w:type="page"/>
      </w:r>
    </w:p>
    <w:p w14:paraId="33FC294E">
      <w:pPr>
        <w:pStyle w:val="17"/>
      </w:pPr>
    </w:p>
    <w:p w14:paraId="3BBE89D6">
      <w:pPr>
        <w:keepNext w:val="0"/>
        <w:keepLines w:val="0"/>
        <w:pageBreakBefore w:val="0"/>
        <w:widowControl w:val="0"/>
        <w:kinsoku/>
        <w:wordWrap/>
        <w:overflowPunct/>
        <w:topLinePunct w:val="0"/>
        <w:autoSpaceDE/>
        <w:autoSpaceDN/>
        <w:bidi w:val="0"/>
        <w:adjustRightInd/>
        <w:snapToGrid/>
        <w:jc w:val="center"/>
        <w:textAlignment w:val="auto"/>
        <w:outlineLvl w:val="0"/>
        <w:rPr>
          <w:b/>
          <w:sz w:val="32"/>
          <w:szCs w:val="32"/>
        </w:rPr>
      </w:pPr>
      <w:r>
        <w:rPr>
          <w:rFonts w:hint="eastAsia"/>
          <w:b/>
          <w:sz w:val="32"/>
          <w:szCs w:val="32"/>
        </w:rPr>
        <w:t>一、</w:t>
      </w:r>
      <w:bookmarkEnd w:id="1"/>
      <w:r>
        <w:rPr>
          <w:rFonts w:hint="eastAsia"/>
          <w:b/>
          <w:sz w:val="32"/>
          <w:szCs w:val="32"/>
        </w:rPr>
        <w:t>谈判邀请</w:t>
      </w:r>
    </w:p>
    <w:tbl>
      <w:tblPr>
        <w:tblStyle w:val="26"/>
        <w:tblW w:w="4997"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2172"/>
        <w:gridCol w:w="864"/>
        <w:gridCol w:w="604"/>
        <w:gridCol w:w="235"/>
        <w:gridCol w:w="3163"/>
      </w:tblGrid>
      <w:tr w14:paraId="2305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6C2981FF">
            <w:pPr>
              <w:jc w:val="center"/>
              <w:rPr>
                <w:rFonts w:ascii="宋体" w:hAnsi="宋体"/>
                <w:szCs w:val="21"/>
              </w:rPr>
            </w:pPr>
            <w:r>
              <w:rPr>
                <w:rFonts w:hint="eastAsia" w:ascii="宋体" w:hAnsi="宋体"/>
                <w:szCs w:val="21"/>
              </w:rPr>
              <w:t>项目名称</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336B89D5">
            <w:pPr>
              <w:jc w:val="center"/>
              <w:rPr>
                <w:rFonts w:hint="eastAsia" w:ascii="宋体" w:hAnsi="宋体"/>
                <w:szCs w:val="21"/>
              </w:rPr>
            </w:pPr>
            <w:r>
              <w:rPr>
                <w:rFonts w:hint="eastAsia" w:ascii="宋体" w:hAnsi="宋体"/>
                <w:szCs w:val="21"/>
              </w:rPr>
              <w:t>扬州大学附属医院</w:t>
            </w:r>
          </w:p>
          <w:p w14:paraId="7A7FCDC2">
            <w:pPr>
              <w:jc w:val="center"/>
              <w:rPr>
                <w:rFonts w:ascii="宋体" w:hAnsi="宋体"/>
                <w:szCs w:val="21"/>
              </w:rPr>
            </w:pPr>
            <w:r>
              <w:rPr>
                <w:rFonts w:hint="eastAsia" w:ascii="宋体" w:hAnsi="宋体"/>
                <w:szCs w:val="21"/>
              </w:rPr>
              <w:t>京沪高级医学中心电动窗帘纱帘、隔帘、卷帘采购安装项目</w:t>
            </w:r>
          </w:p>
        </w:tc>
      </w:tr>
      <w:tr w14:paraId="7406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7EF63E14">
            <w:pPr>
              <w:jc w:val="center"/>
              <w:rPr>
                <w:rFonts w:ascii="宋体" w:hAnsi="宋体"/>
                <w:szCs w:val="21"/>
              </w:rPr>
            </w:pPr>
            <w:r>
              <w:rPr>
                <w:rFonts w:hint="eastAsia" w:ascii="宋体" w:hAnsi="宋体"/>
                <w:szCs w:val="21"/>
              </w:rPr>
              <w:t>服务地点</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36E39688">
            <w:pPr>
              <w:rPr>
                <w:rFonts w:hint="eastAsia" w:ascii="宋体" w:hAnsi="宋体" w:eastAsia="宋体"/>
                <w:b/>
                <w:szCs w:val="21"/>
                <w:lang w:val="en-US" w:eastAsia="zh-CN"/>
              </w:rPr>
            </w:pPr>
            <w:r>
              <w:rPr>
                <w:rFonts w:hint="eastAsia" w:ascii="宋体" w:hAnsi="宋体"/>
                <w:bCs/>
                <w:szCs w:val="21"/>
              </w:rPr>
              <w:t>扬州大学附属医院</w:t>
            </w:r>
            <w:r>
              <w:rPr>
                <w:rFonts w:hint="eastAsia" w:ascii="宋体" w:hAnsi="宋体"/>
                <w:bCs/>
                <w:szCs w:val="21"/>
                <w:lang w:val="en-US" w:eastAsia="zh-CN"/>
              </w:rPr>
              <w:t>十二病区</w:t>
            </w:r>
          </w:p>
        </w:tc>
      </w:tr>
      <w:tr w14:paraId="53DB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71" w:type="pct"/>
            <w:tcBorders>
              <w:top w:val="single" w:color="auto" w:sz="4" w:space="0"/>
              <w:left w:val="single" w:color="auto" w:sz="4" w:space="0"/>
              <w:bottom w:val="single" w:color="auto" w:sz="4" w:space="0"/>
              <w:right w:val="single" w:color="auto" w:sz="4" w:space="0"/>
            </w:tcBorders>
            <w:vAlign w:val="center"/>
          </w:tcPr>
          <w:p w14:paraId="19C16387">
            <w:pPr>
              <w:jc w:val="center"/>
              <w:rPr>
                <w:rFonts w:ascii="宋体" w:hAnsi="宋体"/>
                <w:szCs w:val="21"/>
              </w:rPr>
            </w:pPr>
            <w:r>
              <w:rPr>
                <w:rFonts w:hint="eastAsia" w:ascii="宋体" w:hAnsi="宋体"/>
                <w:szCs w:val="21"/>
              </w:rPr>
              <w:t>承包方式</w:t>
            </w:r>
          </w:p>
        </w:tc>
        <w:tc>
          <w:tcPr>
            <w:tcW w:w="1274" w:type="pct"/>
            <w:tcBorders>
              <w:top w:val="single" w:color="auto" w:sz="4" w:space="0"/>
              <w:left w:val="single" w:color="auto" w:sz="4" w:space="0"/>
              <w:bottom w:val="single" w:color="auto" w:sz="4" w:space="0"/>
              <w:right w:val="single" w:color="auto" w:sz="4" w:space="0"/>
            </w:tcBorders>
            <w:vAlign w:val="center"/>
          </w:tcPr>
          <w:p w14:paraId="7DF98A3D">
            <w:pPr>
              <w:spacing w:line="320" w:lineRule="exact"/>
              <w:rPr>
                <w:rFonts w:ascii="宋体" w:hAnsi="宋体"/>
                <w:szCs w:val="21"/>
              </w:rPr>
            </w:pPr>
            <w:r>
              <w:rPr>
                <w:rFonts w:hint="eastAsia" w:ascii="宋体" w:hAnsi="宋体"/>
                <w:szCs w:val="21"/>
              </w:rPr>
              <w:t>/</w:t>
            </w:r>
          </w:p>
        </w:tc>
        <w:tc>
          <w:tcPr>
            <w:tcW w:w="861" w:type="pct"/>
            <w:gridSpan w:val="2"/>
            <w:tcBorders>
              <w:top w:val="single" w:color="auto" w:sz="4" w:space="0"/>
              <w:left w:val="single" w:color="auto" w:sz="4" w:space="0"/>
              <w:bottom w:val="single" w:color="auto" w:sz="4" w:space="0"/>
              <w:right w:val="single" w:color="auto" w:sz="4" w:space="0"/>
            </w:tcBorders>
            <w:vAlign w:val="center"/>
          </w:tcPr>
          <w:p w14:paraId="3C30A5C1">
            <w:pPr>
              <w:jc w:val="center"/>
              <w:rPr>
                <w:rFonts w:ascii="宋体" w:hAnsi="宋体"/>
                <w:szCs w:val="21"/>
              </w:rPr>
            </w:pPr>
            <w:r>
              <w:rPr>
                <w:rFonts w:hint="eastAsia" w:ascii="宋体" w:hAnsi="宋体"/>
                <w:szCs w:val="21"/>
              </w:rPr>
              <w:t>质量标准</w:t>
            </w:r>
          </w:p>
        </w:tc>
        <w:tc>
          <w:tcPr>
            <w:tcW w:w="1993" w:type="pct"/>
            <w:gridSpan w:val="2"/>
            <w:tcBorders>
              <w:top w:val="single" w:color="auto" w:sz="4" w:space="0"/>
              <w:left w:val="single" w:color="auto" w:sz="4" w:space="0"/>
              <w:bottom w:val="single" w:color="auto" w:sz="4" w:space="0"/>
              <w:right w:val="single" w:color="auto" w:sz="4" w:space="0"/>
            </w:tcBorders>
            <w:vAlign w:val="center"/>
          </w:tcPr>
          <w:p w14:paraId="4546E612">
            <w:pPr>
              <w:jc w:val="center"/>
              <w:rPr>
                <w:rFonts w:ascii="宋体" w:hAnsi="宋体"/>
                <w:szCs w:val="21"/>
              </w:rPr>
            </w:pPr>
            <w:r>
              <w:rPr>
                <w:rFonts w:hint="eastAsia" w:ascii="宋体" w:hAnsi="宋体"/>
                <w:szCs w:val="21"/>
              </w:rPr>
              <w:t>合 格</w:t>
            </w:r>
          </w:p>
        </w:tc>
      </w:tr>
      <w:tr w14:paraId="7BDE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51255E89">
            <w:pPr>
              <w:jc w:val="center"/>
              <w:rPr>
                <w:rFonts w:ascii="宋体" w:hAnsi="宋体"/>
                <w:color w:val="auto"/>
                <w:szCs w:val="21"/>
              </w:rPr>
            </w:pPr>
            <w:r>
              <w:rPr>
                <w:rFonts w:hint="eastAsia" w:ascii="宋体" w:hAnsi="宋体"/>
                <w:color w:val="auto"/>
                <w:szCs w:val="21"/>
              </w:rPr>
              <w:t>预算价</w:t>
            </w:r>
          </w:p>
        </w:tc>
        <w:tc>
          <w:tcPr>
            <w:tcW w:w="1274" w:type="pct"/>
            <w:tcBorders>
              <w:top w:val="single" w:color="auto" w:sz="4" w:space="0"/>
              <w:left w:val="single" w:color="auto" w:sz="4" w:space="0"/>
              <w:bottom w:val="single" w:color="auto" w:sz="4" w:space="0"/>
              <w:right w:val="single" w:color="auto" w:sz="4" w:space="0"/>
            </w:tcBorders>
            <w:vAlign w:val="center"/>
          </w:tcPr>
          <w:p w14:paraId="17A0D40E">
            <w:pPr>
              <w:spacing w:line="320" w:lineRule="exact"/>
              <w:rPr>
                <w:rFonts w:ascii="宋体" w:hAnsi="宋体"/>
                <w:color w:val="auto"/>
                <w:szCs w:val="21"/>
              </w:rPr>
            </w:pPr>
            <w:r>
              <w:rPr>
                <w:rFonts w:hint="eastAsia" w:ascii="宋体" w:hAnsi="宋体"/>
                <w:color w:val="auto"/>
                <w:szCs w:val="21"/>
                <w:lang w:val="en-US" w:eastAsia="zh-CN"/>
              </w:rPr>
              <w:t>15</w:t>
            </w:r>
            <w:r>
              <w:rPr>
                <w:rFonts w:hint="eastAsia" w:ascii="宋体" w:hAnsi="宋体"/>
                <w:color w:val="auto"/>
                <w:szCs w:val="21"/>
              </w:rPr>
              <w:t>万</w:t>
            </w:r>
          </w:p>
        </w:tc>
        <w:tc>
          <w:tcPr>
            <w:tcW w:w="861" w:type="pct"/>
            <w:gridSpan w:val="2"/>
            <w:tcBorders>
              <w:top w:val="single" w:color="auto" w:sz="4" w:space="0"/>
              <w:left w:val="single" w:color="auto" w:sz="4" w:space="0"/>
              <w:right w:val="single" w:color="auto" w:sz="4" w:space="0"/>
            </w:tcBorders>
            <w:vAlign w:val="center"/>
          </w:tcPr>
          <w:p w14:paraId="14F87CE0">
            <w:pPr>
              <w:jc w:val="center"/>
              <w:rPr>
                <w:rFonts w:ascii="宋体" w:hAnsi="宋体"/>
                <w:szCs w:val="21"/>
              </w:rPr>
            </w:pPr>
            <w:r>
              <w:rPr>
                <w:rFonts w:hint="eastAsia" w:ascii="宋体" w:hAnsi="宋体"/>
                <w:szCs w:val="21"/>
              </w:rPr>
              <w:t>标书工本费</w:t>
            </w:r>
          </w:p>
        </w:tc>
        <w:tc>
          <w:tcPr>
            <w:tcW w:w="1993" w:type="pct"/>
            <w:gridSpan w:val="2"/>
            <w:tcBorders>
              <w:top w:val="single" w:color="auto" w:sz="4" w:space="0"/>
              <w:left w:val="single" w:color="auto" w:sz="4" w:space="0"/>
              <w:bottom w:val="single" w:color="auto" w:sz="4" w:space="0"/>
              <w:right w:val="single" w:color="auto" w:sz="4" w:space="0"/>
            </w:tcBorders>
            <w:vAlign w:val="center"/>
          </w:tcPr>
          <w:p w14:paraId="09358737">
            <w:pPr>
              <w:jc w:val="center"/>
              <w:rPr>
                <w:rFonts w:ascii="宋体" w:hAnsi="宋体"/>
                <w:szCs w:val="21"/>
              </w:rPr>
            </w:pPr>
            <w:r>
              <w:rPr>
                <w:rFonts w:hint="eastAsia" w:ascii="宋体" w:hAnsi="宋体"/>
                <w:szCs w:val="21"/>
              </w:rPr>
              <w:t>/</w:t>
            </w:r>
          </w:p>
        </w:tc>
      </w:tr>
      <w:tr w14:paraId="2325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4545F4FC">
            <w:pPr>
              <w:jc w:val="center"/>
              <w:rPr>
                <w:rFonts w:ascii="宋体" w:hAnsi="宋体"/>
                <w:szCs w:val="21"/>
              </w:rPr>
            </w:pPr>
            <w:r>
              <w:rPr>
                <w:rFonts w:hint="eastAsia"/>
                <w:szCs w:val="21"/>
              </w:rPr>
              <w:t>投标文件要求</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09268D26">
            <w:pPr>
              <w:spacing w:line="360" w:lineRule="auto"/>
              <w:rPr>
                <w:rFonts w:ascii="宋体" w:hAnsi="宋体"/>
                <w:szCs w:val="21"/>
              </w:rPr>
            </w:pPr>
            <w:r>
              <w:rPr>
                <w:rFonts w:hint="eastAsia" w:ascii="宋体" w:hAnsi="宋体"/>
                <w:szCs w:val="21"/>
              </w:rPr>
              <w:t>投标文件正本1份，副本4份；所有投标文件的封面及封袋上都必须加盖投标单位法人公章及其法定代表人或授权委托人的签字。</w:t>
            </w:r>
          </w:p>
        </w:tc>
      </w:tr>
      <w:tr w14:paraId="30FA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0476A5F5">
            <w:pPr>
              <w:jc w:val="center"/>
              <w:rPr>
                <w:rFonts w:ascii="宋体" w:hAnsi="宋体"/>
                <w:color w:val="auto"/>
                <w:szCs w:val="21"/>
              </w:rPr>
            </w:pPr>
            <w:r>
              <w:rPr>
                <w:rFonts w:hint="eastAsia" w:ascii="宋体" w:hAnsi="宋体"/>
                <w:color w:val="auto"/>
                <w:szCs w:val="21"/>
              </w:rPr>
              <w:t>建设周期</w:t>
            </w:r>
          </w:p>
        </w:tc>
        <w:tc>
          <w:tcPr>
            <w:tcW w:w="1274" w:type="pct"/>
            <w:tcBorders>
              <w:top w:val="single" w:color="auto" w:sz="4" w:space="0"/>
              <w:left w:val="single" w:color="auto" w:sz="4" w:space="0"/>
              <w:bottom w:val="single" w:color="auto" w:sz="4" w:space="0"/>
              <w:right w:val="single" w:color="auto" w:sz="4" w:space="0"/>
            </w:tcBorders>
            <w:vAlign w:val="center"/>
          </w:tcPr>
          <w:p w14:paraId="075CF432">
            <w:pPr>
              <w:spacing w:line="320" w:lineRule="exact"/>
              <w:jc w:val="center"/>
              <w:rPr>
                <w:rFonts w:ascii="宋体" w:hAnsi="宋体"/>
                <w:color w:val="auto"/>
                <w:szCs w:val="21"/>
              </w:rPr>
            </w:pPr>
            <w:r>
              <w:rPr>
                <w:rFonts w:hint="eastAsia" w:ascii="宋体" w:hAnsi="宋体"/>
                <w:b/>
                <w:bCs/>
                <w:color w:val="auto"/>
                <w:szCs w:val="21"/>
                <w:lang w:val="en-US" w:eastAsia="zh-CN"/>
              </w:rPr>
              <w:t>15</w:t>
            </w:r>
            <w:r>
              <w:rPr>
                <w:rFonts w:hint="eastAsia" w:ascii="宋体" w:hAnsi="宋体"/>
                <w:b/>
                <w:bCs/>
                <w:color w:val="auto"/>
                <w:szCs w:val="21"/>
              </w:rPr>
              <w:t>个日历天</w:t>
            </w:r>
          </w:p>
        </w:tc>
        <w:tc>
          <w:tcPr>
            <w:tcW w:w="861" w:type="pct"/>
            <w:gridSpan w:val="2"/>
            <w:tcBorders>
              <w:top w:val="single" w:color="auto" w:sz="4" w:space="0"/>
              <w:left w:val="single" w:color="auto" w:sz="4" w:space="0"/>
              <w:right w:val="single" w:color="auto" w:sz="4" w:space="0"/>
            </w:tcBorders>
            <w:vAlign w:val="center"/>
          </w:tcPr>
          <w:p w14:paraId="2576E2FC">
            <w:pPr>
              <w:jc w:val="center"/>
              <w:rPr>
                <w:rFonts w:ascii="宋体" w:hAnsi="宋体"/>
                <w:color w:val="auto"/>
                <w:szCs w:val="21"/>
                <w:highlight w:val="none"/>
              </w:rPr>
            </w:pPr>
            <w:r>
              <w:rPr>
                <w:rFonts w:hint="eastAsia" w:ascii="宋体" w:hAnsi="宋体"/>
                <w:color w:val="auto"/>
                <w:szCs w:val="21"/>
                <w:highlight w:val="none"/>
              </w:rPr>
              <w:t>付款方式</w:t>
            </w:r>
          </w:p>
        </w:tc>
        <w:tc>
          <w:tcPr>
            <w:tcW w:w="1993" w:type="pct"/>
            <w:gridSpan w:val="2"/>
            <w:tcBorders>
              <w:top w:val="single" w:color="auto" w:sz="4" w:space="0"/>
              <w:left w:val="single" w:color="auto" w:sz="4" w:space="0"/>
              <w:bottom w:val="single" w:color="auto" w:sz="4" w:space="0"/>
              <w:right w:val="single" w:color="auto" w:sz="4" w:space="0"/>
            </w:tcBorders>
            <w:vAlign w:val="center"/>
          </w:tcPr>
          <w:p w14:paraId="6FA5974A">
            <w:pPr>
              <w:jc w:val="left"/>
              <w:rPr>
                <w:rFonts w:ascii="宋体" w:hAnsi="宋体"/>
                <w:color w:val="auto"/>
                <w:szCs w:val="21"/>
                <w:highlight w:val="none"/>
              </w:rPr>
            </w:pPr>
            <w:r>
              <w:rPr>
                <w:rFonts w:hint="eastAsia" w:ascii="宋体" w:hAnsi="宋体"/>
                <w:b/>
                <w:bCs/>
                <w:color w:val="auto"/>
                <w:szCs w:val="21"/>
                <w:highlight w:val="none"/>
              </w:rPr>
              <w:t>合同签订后电动窗帘</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电动</w:t>
            </w:r>
            <w:r>
              <w:rPr>
                <w:rFonts w:hint="eastAsia" w:ascii="宋体" w:hAnsi="宋体"/>
                <w:b/>
                <w:bCs/>
                <w:color w:val="auto"/>
                <w:szCs w:val="21"/>
                <w:highlight w:val="none"/>
              </w:rPr>
              <w:t>纱帘、隔帘、卷帘制作完毕安装结束，甲方一次性验收合格后，乙方可开具正规增值税票据交由甲方办理付款手续，甲方凭手续齐全的单据向乙方支付合同总价的</w:t>
            </w:r>
            <w:r>
              <w:rPr>
                <w:rFonts w:hint="eastAsia" w:ascii="宋体" w:hAnsi="宋体"/>
                <w:b/>
                <w:bCs/>
                <w:color w:val="auto"/>
                <w:szCs w:val="21"/>
                <w:highlight w:val="none"/>
                <w:lang w:val="en-US" w:eastAsia="zh-CN"/>
              </w:rPr>
              <w:t>100</w:t>
            </w:r>
            <w:r>
              <w:rPr>
                <w:rFonts w:hint="eastAsia" w:ascii="宋体" w:hAnsi="宋体"/>
                <w:b/>
                <w:bCs/>
                <w:color w:val="auto"/>
                <w:szCs w:val="21"/>
                <w:highlight w:val="none"/>
              </w:rPr>
              <w:t>%货款</w:t>
            </w:r>
            <w:r>
              <w:rPr>
                <w:rFonts w:hint="eastAsia" w:ascii="宋体" w:hAnsi="宋体"/>
                <w:b/>
                <w:bCs/>
                <w:color w:val="auto"/>
                <w:szCs w:val="21"/>
                <w:highlight w:val="none"/>
                <w:lang w:eastAsia="zh-CN"/>
              </w:rPr>
              <w:t>。</w:t>
            </w:r>
            <w:r>
              <w:rPr>
                <w:rFonts w:hint="eastAsia" w:ascii="宋体" w:hAnsi="宋体"/>
                <w:b/>
                <w:bCs/>
                <w:color w:val="auto"/>
                <w:szCs w:val="21"/>
                <w:highlight w:val="none"/>
              </w:rPr>
              <w:t>（以上均不计息）。</w:t>
            </w:r>
          </w:p>
        </w:tc>
      </w:tr>
      <w:tr w14:paraId="1E1C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2E0F8806">
            <w:pPr>
              <w:jc w:val="center"/>
              <w:rPr>
                <w:rFonts w:hint="default" w:ascii="宋体" w:hAnsi="宋体" w:eastAsia="宋体"/>
                <w:color w:val="auto"/>
                <w:szCs w:val="21"/>
                <w:lang w:val="en-US" w:eastAsia="zh-CN"/>
              </w:rPr>
            </w:pPr>
            <w:r>
              <w:rPr>
                <w:rFonts w:hint="eastAsia" w:ascii="宋体" w:hAnsi="宋体"/>
                <w:color w:val="auto"/>
                <w:szCs w:val="21"/>
                <w:lang w:val="en-US" w:eastAsia="zh-CN"/>
              </w:rPr>
              <w:t>履约保证金</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6BF51A9B">
            <w:pPr>
              <w:jc w:val="left"/>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中标单位签订合同前需缴纳合同价的10%履约保证金，待项目质保期后无息退还。</w:t>
            </w:r>
          </w:p>
        </w:tc>
      </w:tr>
      <w:tr w14:paraId="44F1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71" w:type="pct"/>
            <w:tcBorders>
              <w:top w:val="single" w:color="auto" w:sz="4" w:space="0"/>
              <w:left w:val="single" w:color="auto" w:sz="4" w:space="0"/>
              <w:bottom w:val="single" w:color="auto" w:sz="4" w:space="0"/>
              <w:right w:val="single" w:color="auto" w:sz="4" w:space="0"/>
            </w:tcBorders>
            <w:vAlign w:val="center"/>
          </w:tcPr>
          <w:p w14:paraId="45345A7A">
            <w:pPr>
              <w:spacing w:line="360" w:lineRule="auto"/>
              <w:jc w:val="center"/>
              <w:rPr>
                <w:rFonts w:ascii="宋体" w:hAnsi="宋体"/>
                <w:color w:val="auto"/>
                <w:szCs w:val="21"/>
              </w:rPr>
            </w:pPr>
            <w:r>
              <w:rPr>
                <w:rFonts w:hint="eastAsia" w:ascii="宋体" w:hAnsi="宋体"/>
                <w:color w:val="auto"/>
                <w:szCs w:val="21"/>
              </w:rPr>
              <w:t>报名截止时间</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5D94AB83">
            <w:pPr>
              <w:spacing w:line="360" w:lineRule="auto"/>
              <w:rPr>
                <w:rFonts w:ascii="宋体" w:hAnsi="宋体"/>
                <w:color w:val="auto"/>
                <w:szCs w:val="21"/>
                <w:highlight w:val="yellow"/>
              </w:rPr>
            </w:pPr>
            <w:r>
              <w:rPr>
                <w:rFonts w:hint="eastAsia" w:ascii="宋体" w:hAnsi="宋体"/>
                <w:color w:val="auto"/>
                <w:szCs w:val="21"/>
              </w:rPr>
              <w:t>2025年</w:t>
            </w:r>
            <w:r>
              <w:rPr>
                <w:rFonts w:hint="eastAsia" w:ascii="宋体" w:hAnsi="宋体"/>
                <w:color w:val="auto"/>
                <w:szCs w:val="21"/>
                <w:lang w:val="en-US" w:eastAsia="zh-CN"/>
              </w:rPr>
              <w:t>5</w:t>
            </w:r>
            <w:r>
              <w:rPr>
                <w:rFonts w:hint="eastAsia" w:ascii="宋体" w:hAnsi="宋体"/>
                <w:color w:val="auto"/>
                <w:szCs w:val="21"/>
              </w:rPr>
              <w:t>月</w:t>
            </w:r>
            <w:r>
              <w:rPr>
                <w:rFonts w:hint="eastAsia" w:ascii="宋体" w:hAnsi="宋体"/>
                <w:color w:val="auto"/>
                <w:szCs w:val="21"/>
                <w:lang w:val="en-US" w:eastAsia="zh-CN"/>
              </w:rPr>
              <w:t>25</w:t>
            </w:r>
            <w:r>
              <w:rPr>
                <w:rFonts w:hint="eastAsia" w:ascii="宋体" w:hAnsi="宋体"/>
                <w:color w:val="auto"/>
                <w:szCs w:val="21"/>
              </w:rPr>
              <w:t>日17：00</w:t>
            </w:r>
          </w:p>
        </w:tc>
      </w:tr>
      <w:tr w14:paraId="5082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871" w:type="pct"/>
            <w:tcBorders>
              <w:top w:val="single" w:color="auto" w:sz="4" w:space="0"/>
              <w:left w:val="single" w:color="auto" w:sz="4" w:space="0"/>
              <w:bottom w:val="single" w:color="auto" w:sz="4" w:space="0"/>
              <w:right w:val="single" w:color="auto" w:sz="4" w:space="0"/>
            </w:tcBorders>
            <w:vAlign w:val="center"/>
          </w:tcPr>
          <w:p w14:paraId="52D02DCC">
            <w:pPr>
              <w:spacing w:line="360" w:lineRule="auto"/>
              <w:jc w:val="center"/>
              <w:rPr>
                <w:rFonts w:ascii="宋体" w:hAnsi="宋体"/>
                <w:szCs w:val="21"/>
              </w:rPr>
            </w:pPr>
            <w:r>
              <w:rPr>
                <w:rFonts w:hint="eastAsia" w:ascii="宋体" w:hAnsi="宋体"/>
                <w:szCs w:val="21"/>
              </w:rPr>
              <w:t>文件递交地址</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25623272">
            <w:pPr>
              <w:spacing w:line="360" w:lineRule="auto"/>
              <w:rPr>
                <w:rFonts w:ascii="宋体" w:hAnsi="宋体"/>
                <w:szCs w:val="21"/>
              </w:rPr>
            </w:pPr>
            <w:r>
              <w:rPr>
                <w:rFonts w:hint="eastAsia" w:ascii="宋体" w:hAnsi="宋体"/>
                <w:szCs w:val="21"/>
              </w:rPr>
              <w:t>扬大附院西区行政楼</w:t>
            </w:r>
            <w:r>
              <w:rPr>
                <w:rFonts w:hint="eastAsia" w:ascii="宋体" w:hAnsi="宋体"/>
                <w:szCs w:val="21"/>
                <w:lang w:val="en-US" w:eastAsia="zh-CN"/>
              </w:rPr>
              <w:t>412</w:t>
            </w:r>
            <w:r>
              <w:rPr>
                <w:rFonts w:hint="eastAsia" w:ascii="宋体" w:hAnsi="宋体"/>
                <w:szCs w:val="21"/>
              </w:rPr>
              <w:t>会议室</w:t>
            </w:r>
          </w:p>
        </w:tc>
      </w:tr>
      <w:tr w14:paraId="56A2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05139CF8">
            <w:pPr>
              <w:spacing w:line="360" w:lineRule="auto"/>
              <w:jc w:val="center"/>
              <w:rPr>
                <w:rFonts w:ascii="宋体" w:hAnsi="宋体" w:eastAsia="微软雅黑"/>
                <w:color w:val="FF0000"/>
                <w:szCs w:val="21"/>
              </w:rPr>
            </w:pPr>
            <w:r>
              <w:rPr>
                <w:rFonts w:hint="eastAsia" w:ascii="宋体" w:hAnsi="宋体"/>
                <w:color w:val="FF0000"/>
                <w:szCs w:val="21"/>
              </w:rPr>
              <w:t>招标时间</w:t>
            </w:r>
          </w:p>
        </w:tc>
        <w:tc>
          <w:tcPr>
            <w:tcW w:w="1781" w:type="pct"/>
            <w:gridSpan w:val="2"/>
            <w:tcBorders>
              <w:top w:val="single" w:color="auto" w:sz="4" w:space="0"/>
              <w:left w:val="single" w:color="auto" w:sz="4" w:space="0"/>
              <w:bottom w:val="single" w:color="auto" w:sz="4" w:space="0"/>
              <w:right w:val="single" w:color="auto" w:sz="4" w:space="0"/>
            </w:tcBorders>
            <w:vAlign w:val="center"/>
          </w:tcPr>
          <w:p w14:paraId="2B8563A6">
            <w:pPr>
              <w:spacing w:line="360" w:lineRule="auto"/>
              <w:jc w:val="center"/>
              <w:rPr>
                <w:rFonts w:ascii="宋体" w:hAnsi="宋体"/>
                <w:color w:val="FF0000"/>
                <w:szCs w:val="21"/>
              </w:rPr>
            </w:pPr>
            <w:r>
              <w:rPr>
                <w:rFonts w:hint="eastAsia" w:ascii="宋体" w:hAnsi="宋体"/>
                <w:color w:val="FF0000"/>
                <w:szCs w:val="21"/>
              </w:rPr>
              <w:t>2025年</w:t>
            </w:r>
            <w:r>
              <w:rPr>
                <w:rFonts w:hint="eastAsia" w:ascii="宋体" w:hAnsi="宋体"/>
                <w:color w:val="FF0000"/>
                <w:szCs w:val="21"/>
                <w:lang w:val="en-US" w:eastAsia="zh-CN"/>
              </w:rPr>
              <w:t>5</w:t>
            </w:r>
            <w:r>
              <w:rPr>
                <w:rFonts w:hint="eastAsia" w:ascii="宋体" w:hAnsi="宋体"/>
                <w:color w:val="FF0000"/>
                <w:szCs w:val="21"/>
              </w:rPr>
              <w:t>月</w:t>
            </w:r>
            <w:r>
              <w:rPr>
                <w:rFonts w:hint="eastAsia" w:ascii="宋体" w:hAnsi="宋体"/>
                <w:color w:val="FF0000"/>
                <w:szCs w:val="21"/>
                <w:lang w:val="en-US" w:eastAsia="zh-CN"/>
              </w:rPr>
              <w:t>26</w:t>
            </w:r>
            <w:r>
              <w:rPr>
                <w:rFonts w:hint="eastAsia" w:ascii="宋体" w:hAnsi="宋体"/>
                <w:color w:val="FF0000"/>
                <w:szCs w:val="21"/>
              </w:rPr>
              <w:t>日</w:t>
            </w:r>
            <w:r>
              <w:rPr>
                <w:rFonts w:hint="eastAsia" w:ascii="宋体" w:hAnsi="宋体"/>
                <w:color w:val="FF0000"/>
                <w:szCs w:val="21"/>
                <w:lang w:val="en-US" w:eastAsia="zh-CN"/>
              </w:rPr>
              <w:t>14：30</w:t>
            </w:r>
            <w:r>
              <w:rPr>
                <w:rFonts w:hint="eastAsia" w:ascii="宋体" w:hAnsi="宋体"/>
                <w:color w:val="FF0000"/>
                <w:szCs w:val="21"/>
              </w:rPr>
              <w:t>：</w:t>
            </w:r>
            <w:r>
              <w:rPr>
                <w:rFonts w:hint="eastAsia" w:ascii="宋体" w:hAnsi="宋体"/>
                <w:color w:val="FF0000"/>
                <w:szCs w:val="21"/>
                <w:lang w:val="en-US" w:eastAsia="zh-CN"/>
              </w:rPr>
              <w:t>0</w:t>
            </w:r>
            <w:r>
              <w:rPr>
                <w:rFonts w:hint="eastAsia" w:ascii="宋体" w:hAnsi="宋体"/>
                <w:color w:val="FF0000"/>
                <w:szCs w:val="21"/>
              </w:rPr>
              <w:t>0</w:t>
            </w:r>
          </w:p>
        </w:tc>
        <w:tc>
          <w:tcPr>
            <w:tcW w:w="492" w:type="pct"/>
            <w:gridSpan w:val="2"/>
            <w:tcBorders>
              <w:top w:val="single" w:color="auto" w:sz="4" w:space="0"/>
              <w:left w:val="single" w:color="auto" w:sz="4" w:space="0"/>
              <w:bottom w:val="single" w:color="auto" w:sz="4" w:space="0"/>
              <w:right w:val="single" w:color="auto" w:sz="4" w:space="0"/>
            </w:tcBorders>
            <w:vAlign w:val="center"/>
          </w:tcPr>
          <w:p w14:paraId="66606CE6">
            <w:pPr>
              <w:spacing w:line="360" w:lineRule="auto"/>
              <w:jc w:val="center"/>
              <w:rPr>
                <w:rFonts w:ascii="宋体" w:hAnsi="宋体"/>
                <w:color w:val="FF0000"/>
                <w:szCs w:val="21"/>
              </w:rPr>
            </w:pPr>
            <w:r>
              <w:rPr>
                <w:rFonts w:hint="eastAsia" w:ascii="宋体" w:hAnsi="宋体"/>
                <w:color w:val="FF0000"/>
                <w:szCs w:val="21"/>
              </w:rPr>
              <w:t>地点</w:t>
            </w:r>
          </w:p>
        </w:tc>
        <w:tc>
          <w:tcPr>
            <w:tcW w:w="1855" w:type="pct"/>
            <w:tcBorders>
              <w:top w:val="single" w:color="auto" w:sz="4" w:space="0"/>
              <w:left w:val="single" w:color="auto" w:sz="4" w:space="0"/>
              <w:bottom w:val="single" w:color="auto" w:sz="4" w:space="0"/>
              <w:right w:val="single" w:color="auto" w:sz="4" w:space="0"/>
            </w:tcBorders>
            <w:vAlign w:val="center"/>
          </w:tcPr>
          <w:p w14:paraId="37A0E836">
            <w:pPr>
              <w:spacing w:line="360" w:lineRule="auto"/>
              <w:jc w:val="center"/>
              <w:rPr>
                <w:rFonts w:asciiTheme="minorEastAsia" w:hAnsiTheme="minorEastAsia" w:eastAsiaTheme="minorEastAsia"/>
                <w:color w:val="FF0000"/>
                <w:szCs w:val="21"/>
              </w:rPr>
            </w:pPr>
            <w:r>
              <w:rPr>
                <w:rFonts w:hint="eastAsia" w:ascii="宋体" w:hAnsi="宋体"/>
                <w:b/>
                <w:color w:val="FF0000"/>
                <w:szCs w:val="21"/>
              </w:rPr>
              <w:t>扬大附院西区行政楼</w:t>
            </w:r>
            <w:r>
              <w:rPr>
                <w:rFonts w:hint="eastAsia" w:ascii="宋体" w:hAnsi="宋体"/>
                <w:b/>
                <w:color w:val="FF0000"/>
                <w:szCs w:val="21"/>
                <w:lang w:val="en-US" w:eastAsia="zh-CN"/>
              </w:rPr>
              <w:t>407</w:t>
            </w:r>
            <w:r>
              <w:rPr>
                <w:rFonts w:hint="eastAsia" w:ascii="宋体" w:hAnsi="宋体"/>
                <w:b/>
                <w:color w:val="FF0000"/>
                <w:szCs w:val="21"/>
              </w:rPr>
              <w:t>会议室</w:t>
            </w:r>
          </w:p>
        </w:tc>
      </w:tr>
      <w:tr w14:paraId="5F3D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3A7E76A1">
            <w:pPr>
              <w:spacing w:line="360" w:lineRule="auto"/>
              <w:jc w:val="center"/>
              <w:rPr>
                <w:rFonts w:ascii="宋体" w:hAnsi="宋体"/>
                <w:szCs w:val="21"/>
              </w:rPr>
            </w:pPr>
            <w:r>
              <w:rPr>
                <w:rFonts w:hint="eastAsia" w:ascii="宋体" w:hAnsi="宋体"/>
                <w:szCs w:val="21"/>
              </w:rPr>
              <w:t>联系方式</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C07244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联系人：张老师   联系电话：0514-82099552</w:t>
            </w:r>
            <w:bookmarkStart w:id="17" w:name="_GoBack"/>
            <w:bookmarkEnd w:id="17"/>
          </w:p>
          <w:p w14:paraId="521E515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地址：扬大附院西区行政楼403办公室</w:t>
            </w:r>
          </w:p>
        </w:tc>
      </w:tr>
      <w:tr w14:paraId="3D98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5045A3D4">
            <w:pPr>
              <w:spacing w:line="360" w:lineRule="auto"/>
              <w:jc w:val="center"/>
              <w:rPr>
                <w:rFonts w:ascii="宋体" w:hAnsi="宋体"/>
                <w:szCs w:val="21"/>
              </w:rPr>
            </w:pPr>
            <w:r>
              <w:rPr>
                <w:rFonts w:hint="eastAsia" w:ascii="宋体" w:hAnsi="宋体"/>
                <w:szCs w:val="21"/>
              </w:rPr>
              <w:t>备注</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05DABB3">
            <w:pPr>
              <w:spacing w:line="360" w:lineRule="auto"/>
              <w:ind w:firstLine="422" w:firstLineChars="200"/>
              <w:jc w:val="left"/>
              <w:rPr>
                <w:rFonts w:ascii="宋体" w:hAnsi="宋体" w:cs="宋体"/>
                <w:b/>
                <w:bCs/>
                <w:szCs w:val="21"/>
              </w:rPr>
            </w:pPr>
            <w:r>
              <w:rPr>
                <w:rFonts w:hint="eastAsia" w:ascii="宋体" w:hAnsi="宋体" w:cs="宋体"/>
                <w:b/>
                <w:bCs/>
                <w:szCs w:val="21"/>
              </w:rPr>
              <w:t>本项目不接受分包及转包；</w:t>
            </w:r>
          </w:p>
          <w:p w14:paraId="34F6304F">
            <w:pPr>
              <w:spacing w:line="360" w:lineRule="auto"/>
              <w:ind w:firstLine="422" w:firstLineChars="200"/>
              <w:jc w:val="left"/>
              <w:rPr>
                <w:rFonts w:ascii="宋体" w:hAnsi="宋体" w:cs="宋体"/>
                <w:szCs w:val="21"/>
              </w:rPr>
            </w:pPr>
            <w:r>
              <w:rPr>
                <w:rFonts w:hint="eastAsia" w:ascii="宋体" w:hAnsi="宋体" w:cs="宋体"/>
                <w:b/>
                <w:bCs/>
                <w:szCs w:val="21"/>
              </w:rPr>
              <w:t>未提供格式的投标人自拟。</w:t>
            </w:r>
          </w:p>
        </w:tc>
      </w:tr>
    </w:tbl>
    <w:p w14:paraId="6D2C9E1F">
      <w:pPr>
        <w:ind w:firstLine="4176" w:firstLineChars="1300"/>
        <w:rPr>
          <w:b/>
          <w:sz w:val="32"/>
          <w:szCs w:val="32"/>
        </w:rPr>
      </w:pPr>
      <w:bookmarkStart w:id="2" w:name="_Toc39744253"/>
    </w:p>
    <w:p w14:paraId="03E9D960">
      <w:pPr>
        <w:ind w:firstLine="4176" w:firstLineChars="1300"/>
        <w:rPr>
          <w:b/>
          <w:sz w:val="32"/>
          <w:szCs w:val="32"/>
        </w:rPr>
      </w:pPr>
    </w:p>
    <w:p w14:paraId="7D66F88E">
      <w:pPr>
        <w:ind w:firstLine="4176" w:firstLineChars="1300"/>
        <w:rPr>
          <w:b/>
          <w:sz w:val="32"/>
          <w:szCs w:val="32"/>
        </w:rPr>
      </w:pPr>
    </w:p>
    <w:p w14:paraId="33EFD1A1">
      <w:pPr>
        <w:ind w:firstLine="4176" w:firstLineChars="1300"/>
        <w:rPr>
          <w:b/>
          <w:sz w:val="32"/>
          <w:szCs w:val="32"/>
        </w:rPr>
      </w:pPr>
    </w:p>
    <w:p w14:paraId="6C551EB6">
      <w:pPr>
        <w:ind w:firstLine="4176" w:firstLineChars="1300"/>
        <w:rPr>
          <w:b/>
          <w:sz w:val="32"/>
          <w:szCs w:val="32"/>
        </w:rPr>
      </w:pPr>
    </w:p>
    <w:p w14:paraId="72B02CCB">
      <w:r>
        <w:br w:type="page"/>
      </w:r>
    </w:p>
    <w:p w14:paraId="6E8582F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二、项目需求</w:t>
      </w:r>
    </w:p>
    <w:p w14:paraId="6FD888E2">
      <w:pPr>
        <w:spacing w:line="440" w:lineRule="exact"/>
        <w:ind w:left="372" w:leftChars="177" w:right="124" w:rightChars="59" w:firstLine="569" w:firstLineChars="236"/>
        <w:contextualSpacing/>
        <w:rPr>
          <w:b/>
          <w:bCs w:val="0"/>
          <w:sz w:val="24"/>
          <w:szCs w:val="24"/>
        </w:rPr>
      </w:pPr>
      <w:r>
        <w:rPr>
          <w:rFonts w:hint="eastAsia"/>
          <w:b/>
          <w:bCs w:val="0"/>
          <w:sz w:val="24"/>
          <w:szCs w:val="24"/>
        </w:rPr>
        <w:t>一、项目内容</w:t>
      </w:r>
    </w:p>
    <w:p w14:paraId="6B4F96FD">
      <w:pPr>
        <w:adjustRightInd w:val="0"/>
        <w:spacing w:line="440" w:lineRule="exact"/>
        <w:ind w:left="372" w:leftChars="177" w:firstLine="480" w:firstLineChars="200"/>
        <w:contextualSpacing/>
        <w:rPr>
          <w:rFonts w:hint="eastAsia"/>
          <w:sz w:val="24"/>
          <w:szCs w:val="24"/>
        </w:rPr>
      </w:pPr>
      <w:r>
        <w:rPr>
          <w:rFonts w:hint="eastAsia"/>
          <w:sz w:val="24"/>
          <w:szCs w:val="24"/>
        </w:rPr>
        <w:t>扬州大学附属医院西区医院对12病区进行提升改造，</w:t>
      </w:r>
      <w:r>
        <w:rPr>
          <w:rFonts w:hint="eastAsia" w:cs="宋体"/>
          <w:color w:val="000000"/>
          <w:sz w:val="24"/>
          <w:szCs w:val="24"/>
        </w:rPr>
        <w:t>需对</w:t>
      </w:r>
      <w:r>
        <w:rPr>
          <w:rFonts w:hint="eastAsia"/>
          <w:sz w:val="24"/>
          <w:szCs w:val="24"/>
        </w:rPr>
        <w:t>京沪高级医学中心</w:t>
      </w:r>
      <w:r>
        <w:rPr>
          <w:rFonts w:hint="eastAsia"/>
          <w:sz w:val="24"/>
          <w:szCs w:val="24"/>
          <w:lang w:val="en-US" w:eastAsia="zh-CN"/>
        </w:rPr>
        <w:t>病房电动窗帘纱帘、隔帘、卷帘采购安装项目</w:t>
      </w:r>
      <w:r>
        <w:rPr>
          <w:rFonts w:hint="eastAsia" w:cs="宋体"/>
          <w:color w:val="000000"/>
          <w:sz w:val="24"/>
          <w:szCs w:val="24"/>
        </w:rPr>
        <w:t>进行</w:t>
      </w:r>
      <w:r>
        <w:rPr>
          <w:rFonts w:hint="eastAsia" w:cs="宋体"/>
          <w:color w:val="000000"/>
          <w:sz w:val="24"/>
          <w:szCs w:val="24"/>
          <w:lang w:val="en-US" w:eastAsia="zh-CN"/>
        </w:rPr>
        <w:t>定制、</w:t>
      </w:r>
      <w:r>
        <w:rPr>
          <w:rFonts w:hint="eastAsia" w:cs="宋体"/>
          <w:color w:val="000000"/>
          <w:sz w:val="24"/>
          <w:szCs w:val="24"/>
        </w:rPr>
        <w:t>制作和安装</w:t>
      </w:r>
      <w:r>
        <w:rPr>
          <w:rFonts w:hint="eastAsia"/>
          <w:sz w:val="24"/>
          <w:szCs w:val="24"/>
        </w:rPr>
        <w:t>。本次项目包括按照设计要求、国家最新规范标准，对</w:t>
      </w:r>
      <w:r>
        <w:rPr>
          <w:rFonts w:hint="eastAsia"/>
          <w:sz w:val="24"/>
          <w:szCs w:val="24"/>
          <w:lang w:val="en-US" w:eastAsia="zh-CN"/>
        </w:rPr>
        <w:t>电动窗帘纱帘、隔帘、卷帘</w:t>
      </w:r>
      <w:r>
        <w:rPr>
          <w:rFonts w:hint="eastAsia"/>
          <w:sz w:val="24"/>
          <w:szCs w:val="24"/>
        </w:rPr>
        <w:t>等进行</w:t>
      </w:r>
      <w:r>
        <w:rPr>
          <w:rFonts w:hint="eastAsia"/>
          <w:sz w:val="24"/>
          <w:szCs w:val="24"/>
          <w:lang w:val="en-US" w:eastAsia="zh-CN"/>
        </w:rPr>
        <w:t>定制制作安装</w:t>
      </w:r>
      <w:r>
        <w:rPr>
          <w:rFonts w:hint="eastAsia"/>
          <w:sz w:val="24"/>
          <w:szCs w:val="24"/>
        </w:rPr>
        <w:t>及配套服务</w:t>
      </w:r>
      <w:r>
        <w:rPr>
          <w:rFonts w:hint="eastAsia"/>
          <w:sz w:val="24"/>
          <w:szCs w:val="24"/>
          <w:lang w:eastAsia="zh-CN"/>
        </w:rPr>
        <w:t>，</w:t>
      </w:r>
      <w:r>
        <w:rPr>
          <w:rFonts w:hint="eastAsia"/>
          <w:sz w:val="24"/>
          <w:szCs w:val="24"/>
          <w:lang w:val="en-US" w:eastAsia="zh-CN"/>
        </w:rPr>
        <w:t>其中19间病房包含窗帘、纱帘、轨道、电机，其余房间包含窗帘、轨道等，详见平面图</w:t>
      </w:r>
      <w:r>
        <w:rPr>
          <w:rFonts w:hint="eastAsia"/>
          <w:sz w:val="24"/>
          <w:szCs w:val="24"/>
        </w:rPr>
        <w:t>。</w:t>
      </w:r>
      <w:r>
        <w:rPr>
          <w:rFonts w:hint="eastAsia"/>
          <w:b/>
          <w:bCs/>
          <w:sz w:val="24"/>
          <w:szCs w:val="24"/>
        </w:rPr>
        <w:t>本项目为交钥匙工程，本次采购包括</w:t>
      </w:r>
      <w:r>
        <w:rPr>
          <w:rFonts w:hint="eastAsia"/>
          <w:b/>
          <w:bCs/>
          <w:sz w:val="24"/>
          <w:szCs w:val="24"/>
          <w:lang w:val="en-US" w:eastAsia="zh-CN"/>
        </w:rPr>
        <w:t>原窗帘纱帘、隔帘、卷帘</w:t>
      </w:r>
      <w:r>
        <w:rPr>
          <w:rFonts w:hint="eastAsia"/>
          <w:b/>
          <w:bCs/>
          <w:sz w:val="24"/>
          <w:szCs w:val="24"/>
        </w:rPr>
        <w:t>的</w:t>
      </w:r>
      <w:r>
        <w:rPr>
          <w:rFonts w:hint="eastAsia"/>
          <w:b/>
          <w:bCs/>
          <w:sz w:val="24"/>
          <w:szCs w:val="24"/>
          <w:lang w:val="en-US" w:eastAsia="zh-CN"/>
        </w:rPr>
        <w:t>定制、安装、</w:t>
      </w:r>
      <w:r>
        <w:rPr>
          <w:rFonts w:hint="eastAsia"/>
          <w:b/>
          <w:bCs/>
          <w:sz w:val="24"/>
          <w:szCs w:val="24"/>
        </w:rPr>
        <w:t>选型设计、供货、运输、卸货、施工安全防护</w:t>
      </w:r>
      <w:r>
        <w:rPr>
          <w:rFonts w:hint="eastAsia"/>
          <w:b/>
          <w:bCs/>
          <w:sz w:val="24"/>
          <w:szCs w:val="24"/>
          <w:lang w:val="en-US" w:eastAsia="zh-CN"/>
        </w:rPr>
        <w:t>等服务。</w:t>
      </w:r>
    </w:p>
    <w:p w14:paraId="38C63DD0">
      <w:pPr>
        <w:spacing w:line="440" w:lineRule="exact"/>
        <w:ind w:left="372" w:leftChars="177" w:right="124" w:rightChars="59" w:firstLine="569" w:firstLineChars="236"/>
        <w:contextualSpacing/>
        <w:rPr>
          <w:b/>
          <w:bCs w:val="0"/>
          <w:sz w:val="24"/>
          <w:szCs w:val="24"/>
        </w:rPr>
      </w:pPr>
      <w:r>
        <w:rPr>
          <w:rFonts w:hint="eastAsia"/>
          <w:b/>
          <w:bCs w:val="0"/>
          <w:sz w:val="24"/>
          <w:szCs w:val="24"/>
        </w:rPr>
        <w:t>二、</w:t>
      </w:r>
      <w:r>
        <w:rPr>
          <w:rFonts w:hint="eastAsia"/>
          <w:b/>
          <w:bCs w:val="0"/>
          <w:sz w:val="24"/>
          <w:szCs w:val="24"/>
          <w:lang w:val="en-US" w:eastAsia="zh-CN"/>
        </w:rPr>
        <w:t>相关</w:t>
      </w:r>
      <w:r>
        <w:rPr>
          <w:rFonts w:hint="eastAsia"/>
          <w:b/>
          <w:bCs w:val="0"/>
          <w:sz w:val="24"/>
          <w:szCs w:val="24"/>
        </w:rPr>
        <w:t>要求</w:t>
      </w:r>
    </w:p>
    <w:p w14:paraId="49AF12FB">
      <w:pPr>
        <w:spacing w:line="440" w:lineRule="exact"/>
        <w:ind w:left="372" w:leftChars="177" w:right="124" w:rightChars="59" w:firstLine="566" w:firstLineChars="236"/>
        <w:contextualSpacing/>
        <w:rPr>
          <w:rFonts w:hint="default"/>
          <w:b w:val="0"/>
          <w:bCs w:val="0"/>
          <w:sz w:val="24"/>
          <w:szCs w:val="24"/>
          <w:lang w:val="en-US" w:eastAsia="zh-CN"/>
        </w:rPr>
      </w:pPr>
      <w:r>
        <w:rPr>
          <w:rFonts w:hint="eastAsia"/>
          <w:b w:val="0"/>
          <w:bCs w:val="0"/>
          <w:sz w:val="24"/>
          <w:szCs w:val="24"/>
          <w:lang w:val="en-US" w:eastAsia="zh-CN"/>
        </w:rPr>
        <w:t>1.工期要求</w:t>
      </w:r>
      <w:r>
        <w:rPr>
          <w:rFonts w:hint="eastAsia" w:eastAsia="宋体"/>
          <w:b w:val="0"/>
          <w:bCs w:val="0"/>
          <w:sz w:val="24"/>
          <w:szCs w:val="24"/>
          <w:lang w:val="en-US" w:eastAsia="zh-CN"/>
        </w:rPr>
        <w:t>：经甲方确认同意后，15</w:t>
      </w:r>
      <w:r>
        <w:rPr>
          <w:rFonts w:hint="eastAsia" w:eastAsia="宋体"/>
          <w:b w:val="0"/>
          <w:bCs w:val="0"/>
          <w:sz w:val="24"/>
          <w:szCs w:val="24"/>
        </w:rPr>
        <w:t>个日历天</w:t>
      </w:r>
    </w:p>
    <w:p w14:paraId="2633AD6D">
      <w:pPr>
        <w:spacing w:line="440" w:lineRule="exact"/>
        <w:ind w:left="372" w:leftChars="177" w:right="124" w:rightChars="59" w:firstLine="597" w:firstLineChars="249"/>
        <w:contextualSpacing/>
        <w:rPr>
          <w:rFonts w:hint="eastAsia" w:eastAsia="宋体"/>
          <w:b w:val="0"/>
          <w:bCs w:val="0"/>
          <w:sz w:val="24"/>
          <w:szCs w:val="24"/>
          <w:lang w:val="en-US" w:eastAsia="zh-CN"/>
        </w:rPr>
      </w:pPr>
      <w:r>
        <w:rPr>
          <w:rFonts w:hint="eastAsia"/>
          <w:b w:val="0"/>
          <w:bCs w:val="0"/>
          <w:sz w:val="24"/>
          <w:szCs w:val="24"/>
          <w:lang w:val="en-US" w:eastAsia="zh-CN"/>
        </w:rPr>
        <w:t>2</w:t>
      </w:r>
      <w:r>
        <w:rPr>
          <w:rFonts w:hint="eastAsia" w:eastAsia="宋体"/>
          <w:b w:val="0"/>
          <w:bCs w:val="0"/>
          <w:sz w:val="24"/>
          <w:szCs w:val="24"/>
          <w:lang w:val="en-US" w:eastAsia="zh-CN"/>
        </w:rPr>
        <w:t>.甲方提供形式、规格、图纸仅供参考。</w:t>
      </w:r>
    </w:p>
    <w:p w14:paraId="0C284292">
      <w:pPr>
        <w:spacing w:line="440" w:lineRule="exact"/>
        <w:ind w:left="372" w:leftChars="177" w:right="124" w:rightChars="59" w:firstLine="566" w:firstLineChars="236"/>
        <w:contextualSpacing/>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3.保修期：2年</w:t>
      </w:r>
    </w:p>
    <w:p w14:paraId="43A7C6A5">
      <w:pPr>
        <w:spacing w:line="440" w:lineRule="exact"/>
        <w:ind w:left="372" w:leftChars="177" w:right="124" w:rightChars="59" w:firstLine="566" w:firstLineChars="236"/>
        <w:contextualSpacing/>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4</w:t>
      </w:r>
      <w:r>
        <w:rPr>
          <w:rFonts w:hint="default" w:eastAsia="宋体" w:cs="Times New Roman"/>
          <w:b w:val="0"/>
          <w:bCs w:val="0"/>
          <w:sz w:val="24"/>
          <w:szCs w:val="24"/>
          <w:lang w:val="en-US" w:eastAsia="zh-CN"/>
        </w:rPr>
        <w:t>.</w:t>
      </w:r>
      <w:r>
        <w:rPr>
          <w:rFonts w:hint="eastAsia"/>
          <w:b w:val="0"/>
          <w:bCs w:val="0"/>
          <w:sz w:val="24"/>
          <w:szCs w:val="24"/>
        </w:rPr>
        <w:t>乙方</w:t>
      </w:r>
      <w:r>
        <w:rPr>
          <w:rFonts w:hint="default" w:eastAsia="宋体" w:cs="Times New Roman"/>
          <w:b w:val="0"/>
          <w:bCs w:val="0"/>
          <w:sz w:val="24"/>
          <w:szCs w:val="24"/>
          <w:lang w:val="en-US" w:eastAsia="zh-CN"/>
        </w:rPr>
        <w:t>为确保所投货物质保期结束后正常使用、维护，需向</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提供的备品备件及专用工具、提供的货物应是全新、未使用过的原装合格正品。安装前中标人需自行清洗一次。</w:t>
      </w:r>
    </w:p>
    <w:p w14:paraId="2434DF82">
      <w:pPr>
        <w:spacing w:line="440" w:lineRule="exact"/>
        <w:ind w:left="372" w:leftChars="177" w:right="124" w:rightChars="59" w:firstLine="566" w:firstLineChars="236"/>
        <w:contextualSpacing/>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5.</w:t>
      </w:r>
      <w:r>
        <w:rPr>
          <w:rFonts w:hint="default" w:eastAsia="宋体" w:cs="Times New Roman"/>
          <w:b w:val="0"/>
          <w:bCs w:val="0"/>
          <w:sz w:val="24"/>
          <w:szCs w:val="24"/>
          <w:lang w:val="en-US" w:eastAsia="zh-CN"/>
        </w:rPr>
        <w:t>产品制作前，</w:t>
      </w:r>
      <w:r>
        <w:rPr>
          <w:rFonts w:hint="eastAsia"/>
          <w:b w:val="0"/>
          <w:bCs w:val="0"/>
          <w:sz w:val="24"/>
          <w:szCs w:val="24"/>
        </w:rPr>
        <w:t>乙方</w:t>
      </w:r>
      <w:r>
        <w:rPr>
          <w:rFonts w:hint="default" w:eastAsia="宋体" w:cs="Times New Roman"/>
          <w:b w:val="0"/>
          <w:bCs w:val="0"/>
          <w:sz w:val="24"/>
          <w:szCs w:val="24"/>
          <w:lang w:val="en-US" w:eastAsia="zh-CN"/>
        </w:rPr>
        <w:t>必须与</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进行充分沟通，关于窗帘的颜色、款式设计等方面。需严格按</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要求执行提供全部的技术资料，包括国家有关部门的材质检测报告等文书等；对于要求提供的证明材料，</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有权在合同签订前、供货前，针对任何采购产品要求中标人进行参数验证，检测费用由中标人承担；若验证结果显示产品不符合招标文件及投标文件要求，</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有权解除合同并要求赔偿。</w:t>
      </w:r>
    </w:p>
    <w:p w14:paraId="39078922">
      <w:pPr>
        <w:spacing w:line="440" w:lineRule="exact"/>
        <w:ind w:left="372" w:leftChars="177" w:right="124" w:rightChars="59" w:firstLine="566" w:firstLineChars="236"/>
        <w:contextualSpacing/>
        <w:rPr>
          <w:b w:val="0"/>
          <w:bCs w:val="0"/>
          <w:sz w:val="24"/>
          <w:szCs w:val="24"/>
        </w:rPr>
      </w:pPr>
      <w:r>
        <w:rPr>
          <w:rFonts w:hint="eastAsia"/>
          <w:b w:val="0"/>
          <w:bCs w:val="0"/>
          <w:sz w:val="24"/>
          <w:szCs w:val="24"/>
          <w:lang w:val="en-US" w:eastAsia="zh-CN"/>
        </w:rPr>
        <w:t>6.</w:t>
      </w:r>
      <w:r>
        <w:rPr>
          <w:rFonts w:hint="eastAsia"/>
          <w:b w:val="0"/>
          <w:bCs w:val="0"/>
          <w:sz w:val="24"/>
          <w:szCs w:val="24"/>
        </w:rPr>
        <w:t>乙方在施工时要确保安全生产、文明施工、疫情防控，杜绝各类不良事件的发生，因不规范施工管理造成的后果，一切责任由乙方承担。</w:t>
      </w:r>
    </w:p>
    <w:p w14:paraId="65620275">
      <w:pPr>
        <w:spacing w:line="440" w:lineRule="exact"/>
        <w:ind w:left="372" w:leftChars="177" w:right="124" w:rightChars="59" w:firstLine="597" w:firstLineChars="249"/>
        <w:contextualSpacing/>
        <w:rPr>
          <w:rFonts w:hint="default"/>
          <w:lang w:val="en-US" w:eastAsia="zh-CN"/>
        </w:rPr>
      </w:pPr>
      <w:r>
        <w:rPr>
          <w:rFonts w:hint="eastAsia" w:eastAsia="宋体"/>
          <w:b w:val="0"/>
          <w:bCs w:val="0"/>
          <w:sz w:val="24"/>
          <w:szCs w:val="24"/>
          <w:lang w:val="en-US" w:eastAsia="zh-CN"/>
        </w:rPr>
        <w:t>7.因施工的特殊性，施工要严格控噪音防止干扰住院病人，施工期间严格按照监理管理要求同装饰单位进行配合作业。</w:t>
      </w:r>
    </w:p>
    <w:p w14:paraId="55831F18">
      <w:pPr>
        <w:rPr>
          <w:rFonts w:hint="eastAsia"/>
          <w:b/>
          <w:bCs w:val="0"/>
          <w:sz w:val="24"/>
          <w:szCs w:val="24"/>
          <w:lang w:val="en-US" w:eastAsia="zh-CN"/>
        </w:rPr>
      </w:pPr>
      <w:r>
        <w:rPr>
          <w:rFonts w:hint="eastAsia"/>
          <w:b/>
          <w:bCs w:val="0"/>
          <w:sz w:val="24"/>
          <w:szCs w:val="24"/>
          <w:lang w:val="en-US" w:eastAsia="zh-CN"/>
        </w:rPr>
        <w:br w:type="page"/>
      </w:r>
    </w:p>
    <w:p w14:paraId="0656EEB1">
      <w:pPr>
        <w:spacing w:line="440" w:lineRule="exact"/>
        <w:ind w:left="372" w:leftChars="177" w:right="124" w:rightChars="59" w:firstLine="569" w:firstLineChars="236"/>
        <w:contextualSpacing/>
        <w:rPr>
          <w:rFonts w:hint="eastAsia"/>
          <w:sz w:val="24"/>
          <w:szCs w:val="24"/>
          <w:lang w:val="en-US" w:eastAsia="zh-CN"/>
        </w:rPr>
      </w:pPr>
      <w:r>
        <w:rPr>
          <w:rFonts w:hint="eastAsia"/>
          <w:b/>
          <w:bCs w:val="0"/>
          <w:sz w:val="24"/>
          <w:szCs w:val="24"/>
          <w:lang w:val="en-US" w:eastAsia="zh-CN"/>
        </w:rPr>
        <w:t>三</w:t>
      </w:r>
      <w:r>
        <w:rPr>
          <w:rFonts w:hint="eastAsia"/>
          <w:b/>
          <w:bCs w:val="0"/>
          <w:sz w:val="24"/>
          <w:szCs w:val="24"/>
        </w:rPr>
        <w:t>、</w:t>
      </w:r>
      <w:r>
        <w:rPr>
          <w:rFonts w:hint="eastAsia"/>
          <w:b/>
          <w:bCs w:val="0"/>
          <w:sz w:val="24"/>
          <w:szCs w:val="24"/>
          <w:lang w:val="en-US" w:eastAsia="zh-CN"/>
        </w:rPr>
        <w:t>技术</w:t>
      </w:r>
      <w:r>
        <w:rPr>
          <w:rFonts w:hint="eastAsia"/>
          <w:b/>
          <w:bCs w:val="0"/>
          <w:sz w:val="24"/>
          <w:szCs w:val="24"/>
        </w:rPr>
        <w:t>要求</w:t>
      </w:r>
    </w:p>
    <w:tbl>
      <w:tblPr>
        <w:tblStyle w:val="26"/>
        <w:tblW w:w="88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0"/>
        <w:gridCol w:w="766"/>
        <w:gridCol w:w="699"/>
        <w:gridCol w:w="716"/>
        <w:gridCol w:w="876"/>
        <w:gridCol w:w="3534"/>
        <w:gridCol w:w="1545"/>
      </w:tblGrid>
      <w:tr w14:paraId="094A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928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328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品名</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A77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单位</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4A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数量</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87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规格</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4FF6">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bookmarkStart w:id="3" w:name="OLE_LINK7"/>
            <w:r>
              <w:rPr>
                <w:rFonts w:hint="eastAsia" w:ascii="宋体" w:hAnsi="宋体" w:cs="宋体"/>
                <w:i w:val="0"/>
                <w:iCs w:val="0"/>
                <w:color w:val="000000"/>
                <w:kern w:val="0"/>
                <w:sz w:val="22"/>
                <w:szCs w:val="22"/>
                <w:u w:val="none"/>
                <w:lang w:val="en-US" w:eastAsia="zh-CN" w:bidi="ar"/>
              </w:rPr>
              <w:t>技术参数要求</w:t>
            </w:r>
            <w:bookmarkEnd w:id="3"/>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01B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cs="宋体"/>
                <w:i w:val="0"/>
                <w:iCs w:val="0"/>
                <w:color w:val="000000"/>
                <w:kern w:val="0"/>
                <w:sz w:val="22"/>
                <w:szCs w:val="22"/>
                <w:u w:val="none"/>
                <w:lang w:val="en-US" w:eastAsia="zh-CN" w:bidi="ar"/>
              </w:rPr>
              <w:t>参考款式</w:t>
            </w:r>
          </w:p>
        </w:tc>
      </w:tr>
      <w:tr w14:paraId="347F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3"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B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37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CE5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8B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600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DC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成品高度3m，窗帘褶皱1:2</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20A2">
            <w:pPr>
              <w:adjustRightInd w:val="0"/>
              <w:snapToGrid w:val="0"/>
              <w:spacing w:line="360" w:lineRule="auto"/>
              <w:jc w:val="left"/>
              <w:rPr>
                <w:rFonts w:hint="eastAsia" w:asciiTheme="minorEastAsia" w:hAnsiTheme="minorEastAsia" w:eastAsiaTheme="minorEastAsia" w:cstheme="minorEastAsia"/>
                <w:sz w:val="22"/>
                <w:szCs w:val="22"/>
                <w:lang w:val="en-US" w:eastAsia="zh-CN"/>
              </w:rPr>
            </w:pPr>
            <w:bookmarkStart w:id="4" w:name="OLE_LINK10"/>
            <w:r>
              <w:rPr>
                <w:rFonts w:hint="eastAsia" w:asciiTheme="minorEastAsia" w:hAnsiTheme="minorEastAsia" w:eastAsiaTheme="minorEastAsia" w:cstheme="minorEastAsia"/>
                <w:sz w:val="22"/>
                <w:szCs w:val="22"/>
              </w:rPr>
              <w:t>面料为奶米色提花雪尼尔，花型可自由选择，结实耐用。有良好的隔音</w:t>
            </w:r>
            <w:r>
              <w:rPr>
                <w:rFonts w:hint="eastAsia" w:asciiTheme="minorEastAsia" w:hAnsiTheme="minorEastAsia" w:eastAsiaTheme="minorEastAsia" w:cstheme="minorEastAsia"/>
                <w:sz w:val="22"/>
                <w:szCs w:val="22"/>
                <w:lang w:val="en-US" w:eastAsia="zh-CN"/>
              </w:rPr>
              <w:t>效果。</w:t>
            </w:r>
            <w:bookmarkEnd w:id="4"/>
          </w:p>
          <w:p w14:paraId="45CD5346">
            <w:pPr>
              <w:adjustRightInd w:val="0"/>
              <w:snapToGrid w:val="0"/>
              <w:spacing w:line="360" w:lineRule="auto"/>
              <w:jc w:val="left"/>
              <w:rPr>
                <w:rFonts w:hint="eastAsia" w:ascii="宋体" w:hAnsi="宋体" w:eastAsia="宋体" w:cs="宋体"/>
                <w:i w:val="0"/>
                <w:iCs w:val="0"/>
                <w:color w:val="000000"/>
                <w:sz w:val="22"/>
                <w:szCs w:val="22"/>
                <w:u w:val="none"/>
              </w:rPr>
            </w:pPr>
            <w:r>
              <w:rPr>
                <w:rFonts w:hint="eastAsia"/>
                <w:szCs w:val="21"/>
                <w:lang w:val="en-US" w:eastAsia="zh-CN"/>
              </w:rPr>
              <w:t>1.</w:t>
            </w:r>
            <w:r>
              <w:rPr>
                <w:rFonts w:hint="eastAsia" w:ascii="宋体" w:hAnsi="宋体" w:eastAsia="宋体" w:cs="宋体"/>
                <w:i w:val="0"/>
                <w:iCs w:val="0"/>
                <w:color w:val="000000"/>
                <w:kern w:val="0"/>
                <w:sz w:val="22"/>
                <w:szCs w:val="22"/>
                <w:u w:val="none"/>
                <w:lang w:val="en-US" w:eastAsia="zh-CN" w:bidi="ar"/>
              </w:rPr>
              <w:t>材质：100%聚酯纤维；依据FZ/T01057-2007</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27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80645</wp:posOffset>
                  </wp:positionV>
                  <wp:extent cx="901065" cy="2470150"/>
                  <wp:effectExtent l="0" t="0" r="13335" b="635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7"/>
                          <a:stretch>
                            <a:fillRect/>
                          </a:stretch>
                        </pic:blipFill>
                        <pic:spPr>
                          <a:xfrm>
                            <a:off x="0" y="0"/>
                            <a:ext cx="901065" cy="2470150"/>
                          </a:xfrm>
                          <a:prstGeom prst="rect">
                            <a:avLst/>
                          </a:prstGeom>
                          <a:noFill/>
                          <a:ln>
                            <a:noFill/>
                          </a:ln>
                        </pic:spPr>
                      </pic:pic>
                    </a:graphicData>
                  </a:graphic>
                </wp:anchor>
              </w:drawing>
            </w:r>
          </w:p>
        </w:tc>
      </w:tr>
      <w:tr w14:paraId="2DAF8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674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2172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4C5DC">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CDDB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847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5D2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380；依据GB/T4669-2008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9558">
            <w:pPr>
              <w:jc w:val="center"/>
              <w:rPr>
                <w:rFonts w:hint="eastAsia" w:ascii="宋体" w:hAnsi="宋体" w:eastAsia="宋体" w:cs="宋体"/>
                <w:i w:val="0"/>
                <w:iCs w:val="0"/>
                <w:color w:val="000000"/>
                <w:sz w:val="22"/>
                <w:szCs w:val="22"/>
                <w:u w:val="none"/>
              </w:rPr>
            </w:pPr>
          </w:p>
        </w:tc>
      </w:tr>
      <w:tr w14:paraId="5338F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5E9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E95B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0103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594F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C728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A23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★3.厚度：≥0.7MM；依据GB/T3820-1997</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62C2">
            <w:pPr>
              <w:jc w:val="center"/>
              <w:rPr>
                <w:rFonts w:hint="eastAsia" w:ascii="宋体" w:hAnsi="宋体" w:eastAsia="宋体" w:cs="宋体"/>
                <w:i w:val="0"/>
                <w:iCs w:val="0"/>
                <w:color w:val="000000"/>
                <w:sz w:val="22"/>
                <w:szCs w:val="22"/>
                <w:u w:val="none"/>
              </w:rPr>
            </w:pPr>
          </w:p>
        </w:tc>
      </w:tr>
      <w:tr w14:paraId="4C0E9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0EB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F074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D689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305CC">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F666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B5D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4.甲醛含量≤20mk/kg；依据GB/T2912.1-2009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282F">
            <w:pPr>
              <w:jc w:val="center"/>
              <w:rPr>
                <w:rFonts w:hint="eastAsia" w:ascii="宋体" w:hAnsi="宋体" w:eastAsia="宋体" w:cs="宋体"/>
                <w:i w:val="0"/>
                <w:iCs w:val="0"/>
                <w:color w:val="000000"/>
                <w:sz w:val="22"/>
                <w:szCs w:val="22"/>
                <w:u w:val="none"/>
              </w:rPr>
            </w:pPr>
          </w:p>
        </w:tc>
      </w:tr>
      <w:tr w14:paraId="1E551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515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679F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4810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9A4CB">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6385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AB7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5.PH值：4.0-7.5；依据GB/T7573-2009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A546">
            <w:pPr>
              <w:jc w:val="center"/>
              <w:rPr>
                <w:rFonts w:hint="eastAsia" w:ascii="宋体" w:hAnsi="宋体" w:eastAsia="宋体" w:cs="宋体"/>
                <w:i w:val="0"/>
                <w:iCs w:val="0"/>
                <w:color w:val="000000"/>
                <w:sz w:val="22"/>
                <w:szCs w:val="22"/>
                <w:u w:val="none"/>
              </w:rPr>
            </w:pPr>
          </w:p>
        </w:tc>
      </w:tr>
      <w:tr w14:paraId="15927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C3E6">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34DA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B501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934F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B8ED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F79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6.异味：无异味；依据GB/T18401-2010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EA72">
            <w:pPr>
              <w:jc w:val="center"/>
              <w:rPr>
                <w:rFonts w:hint="eastAsia" w:ascii="宋体" w:hAnsi="宋体" w:eastAsia="宋体" w:cs="宋体"/>
                <w:i w:val="0"/>
                <w:iCs w:val="0"/>
                <w:color w:val="000000"/>
                <w:sz w:val="22"/>
                <w:szCs w:val="22"/>
                <w:u w:val="none"/>
              </w:rPr>
            </w:pPr>
          </w:p>
        </w:tc>
      </w:tr>
      <w:tr w14:paraId="2987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508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EB9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F708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EF88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1C49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4B4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7.可分解致癌芳香胺染料（mg/kg）：禁用；依据GB/T17592-2011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3E76">
            <w:pPr>
              <w:jc w:val="center"/>
              <w:rPr>
                <w:rFonts w:hint="eastAsia" w:ascii="宋体" w:hAnsi="宋体" w:eastAsia="宋体" w:cs="宋体"/>
                <w:i w:val="0"/>
                <w:iCs w:val="0"/>
                <w:color w:val="000000"/>
                <w:sz w:val="22"/>
                <w:szCs w:val="22"/>
                <w:u w:val="none"/>
              </w:rPr>
            </w:pPr>
          </w:p>
        </w:tc>
      </w:tr>
      <w:tr w14:paraId="361A2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7FA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954E7">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8C32B">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8963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79B77">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0C2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★8.富马酸二甲酯（mg/kg）≤1mg/kg依据GB/T28190-2011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4B33C">
            <w:pPr>
              <w:jc w:val="center"/>
              <w:rPr>
                <w:rFonts w:hint="eastAsia" w:ascii="宋体" w:hAnsi="宋体" w:eastAsia="宋体" w:cs="宋体"/>
                <w:i w:val="0"/>
                <w:iCs w:val="0"/>
                <w:color w:val="000000"/>
                <w:sz w:val="22"/>
                <w:szCs w:val="22"/>
                <w:u w:val="none"/>
              </w:rPr>
            </w:pPr>
          </w:p>
        </w:tc>
      </w:tr>
      <w:tr w14:paraId="198EB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30D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CA16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0257">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2FC1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E9F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193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9.断裂强力：经向:≥1900N；纬向≥2200N；依据GB/T3923.1-2013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7ABD">
            <w:pPr>
              <w:jc w:val="center"/>
              <w:rPr>
                <w:rFonts w:hint="eastAsia" w:ascii="宋体" w:hAnsi="宋体" w:eastAsia="宋体" w:cs="宋体"/>
                <w:i w:val="0"/>
                <w:iCs w:val="0"/>
                <w:color w:val="000000"/>
                <w:sz w:val="22"/>
                <w:szCs w:val="22"/>
                <w:u w:val="none"/>
              </w:rPr>
            </w:pPr>
          </w:p>
        </w:tc>
      </w:tr>
      <w:tr w14:paraId="6360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3E0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0D99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7478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8FD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1317D">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9B1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★10.遮光率≥99%；依据FZ/T62025-2015</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615E">
            <w:pPr>
              <w:jc w:val="center"/>
              <w:rPr>
                <w:rFonts w:hint="eastAsia" w:ascii="宋体" w:hAnsi="宋体" w:eastAsia="宋体" w:cs="宋体"/>
                <w:i w:val="0"/>
                <w:iCs w:val="0"/>
                <w:color w:val="000000"/>
                <w:sz w:val="22"/>
                <w:szCs w:val="22"/>
                <w:u w:val="none"/>
              </w:rPr>
            </w:pPr>
          </w:p>
        </w:tc>
      </w:tr>
      <w:tr w14:paraId="51B0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B1270">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A4BA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3742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912A6">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13AB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B55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★11.易去污性≥3级；依据GB/T01118-2012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8C4C">
            <w:pPr>
              <w:jc w:val="center"/>
              <w:rPr>
                <w:rFonts w:hint="eastAsia" w:ascii="宋体" w:hAnsi="宋体" w:eastAsia="宋体" w:cs="宋体"/>
                <w:i w:val="0"/>
                <w:iCs w:val="0"/>
                <w:color w:val="000000"/>
                <w:sz w:val="22"/>
                <w:szCs w:val="22"/>
                <w:u w:val="none"/>
              </w:rPr>
            </w:pPr>
          </w:p>
        </w:tc>
      </w:tr>
      <w:tr w14:paraId="4847E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003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DE64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CE5C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8883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0BE8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769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★12.悬垂性60-80%；依据GB/T23329-2009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24B6">
            <w:pPr>
              <w:jc w:val="center"/>
              <w:rPr>
                <w:rFonts w:hint="eastAsia" w:ascii="宋体" w:hAnsi="宋体" w:eastAsia="宋体" w:cs="宋体"/>
                <w:i w:val="0"/>
                <w:iCs w:val="0"/>
                <w:color w:val="000000"/>
                <w:sz w:val="22"/>
                <w:szCs w:val="22"/>
                <w:u w:val="none"/>
              </w:rPr>
            </w:pPr>
          </w:p>
        </w:tc>
      </w:tr>
      <w:tr w14:paraId="60570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7"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B65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8F66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8E96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A820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7B17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E2D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★13.吸声系数：频率250HZ吸声系数≥0.2、频率500HZ 吸声系数≥0.35、频率1000HZ吸声系数≥0.45、频率2000HZ吸声系数≥0.55、频率4000HZ吸声系数≥0.65；（依据 GB/T 33620-2017标准）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2016">
            <w:pPr>
              <w:jc w:val="center"/>
              <w:rPr>
                <w:rFonts w:hint="eastAsia" w:ascii="宋体" w:hAnsi="宋体" w:eastAsia="宋体" w:cs="宋体"/>
                <w:i w:val="0"/>
                <w:iCs w:val="0"/>
                <w:color w:val="000000"/>
                <w:sz w:val="22"/>
                <w:szCs w:val="22"/>
                <w:u w:val="none"/>
              </w:rPr>
            </w:pPr>
          </w:p>
        </w:tc>
      </w:tr>
      <w:tr w14:paraId="4193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FA1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6E47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664E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369E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EB4B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3E9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★14.阻燃性能:B1级；符合GB8624-2012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DE43">
            <w:pPr>
              <w:jc w:val="center"/>
              <w:rPr>
                <w:rFonts w:hint="eastAsia" w:ascii="宋体" w:hAnsi="宋体" w:eastAsia="宋体" w:cs="宋体"/>
                <w:i w:val="0"/>
                <w:iCs w:val="0"/>
                <w:color w:val="000000"/>
                <w:sz w:val="22"/>
                <w:szCs w:val="22"/>
                <w:u w:val="none"/>
              </w:rPr>
            </w:pPr>
          </w:p>
        </w:tc>
      </w:tr>
      <w:tr w14:paraId="6E79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BCB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8E8A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5DE1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8BF16">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EB48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925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15.损毁长度:经向:≤150mm，纬向:≤150mm(依据GB/T5455-2014标准)；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15EF">
            <w:pPr>
              <w:jc w:val="center"/>
              <w:rPr>
                <w:rFonts w:hint="eastAsia" w:ascii="宋体" w:hAnsi="宋体" w:eastAsia="宋体" w:cs="宋体"/>
                <w:i w:val="0"/>
                <w:iCs w:val="0"/>
                <w:color w:val="000000"/>
                <w:sz w:val="22"/>
                <w:szCs w:val="22"/>
                <w:u w:val="none"/>
              </w:rPr>
            </w:pPr>
          </w:p>
        </w:tc>
      </w:tr>
      <w:tr w14:paraId="6CE6C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EB6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E6FE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3ED36">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4761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BC601">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166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16.续燃时间:经向:≤5s，纬向:&lt;5s(依据GB/T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DF42C">
            <w:pPr>
              <w:jc w:val="center"/>
              <w:rPr>
                <w:rFonts w:hint="eastAsia" w:ascii="宋体" w:hAnsi="宋体" w:eastAsia="宋体" w:cs="宋体"/>
                <w:i w:val="0"/>
                <w:iCs w:val="0"/>
                <w:color w:val="000000"/>
                <w:sz w:val="22"/>
                <w:szCs w:val="22"/>
                <w:u w:val="none"/>
              </w:rPr>
            </w:pPr>
          </w:p>
        </w:tc>
      </w:tr>
      <w:tr w14:paraId="65270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F6A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72E4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08915">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45356">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8623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FC1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17.阴燃时间:经向:≤15s，纬向:≤15s(依据GB/T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656C">
            <w:pPr>
              <w:jc w:val="center"/>
              <w:rPr>
                <w:rFonts w:hint="eastAsia" w:ascii="宋体" w:hAnsi="宋体" w:eastAsia="宋体" w:cs="宋体"/>
                <w:i w:val="0"/>
                <w:iCs w:val="0"/>
                <w:color w:val="000000"/>
                <w:sz w:val="22"/>
                <w:szCs w:val="22"/>
                <w:u w:val="none"/>
              </w:rPr>
            </w:pPr>
          </w:p>
        </w:tc>
      </w:tr>
      <w:tr w14:paraId="3CCCD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335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0222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B4A06">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F292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AE9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BA4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18.氧指数OI%:≥32(依据GB/T 5454-1997标准)；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752A">
            <w:pPr>
              <w:jc w:val="center"/>
              <w:rPr>
                <w:rFonts w:hint="eastAsia" w:ascii="宋体" w:hAnsi="宋体" w:eastAsia="宋体" w:cs="宋体"/>
                <w:i w:val="0"/>
                <w:iCs w:val="0"/>
                <w:color w:val="000000"/>
                <w:sz w:val="22"/>
                <w:szCs w:val="22"/>
                <w:u w:val="none"/>
              </w:rPr>
            </w:pPr>
          </w:p>
        </w:tc>
      </w:tr>
      <w:tr w14:paraId="488CF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5B2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70E1E">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289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2FC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D925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753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EFA8">
            <w:pPr>
              <w:jc w:val="center"/>
              <w:rPr>
                <w:rFonts w:hint="eastAsia" w:ascii="宋体" w:hAnsi="宋体" w:eastAsia="宋体" w:cs="宋体"/>
                <w:i w:val="0"/>
                <w:iCs w:val="0"/>
                <w:color w:val="000000"/>
                <w:sz w:val="22"/>
                <w:szCs w:val="22"/>
                <w:u w:val="none"/>
              </w:rPr>
            </w:pPr>
          </w:p>
        </w:tc>
      </w:tr>
      <w:tr w14:paraId="07462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E09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05E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遮光卷帘</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B9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69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10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94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 2.3m</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A64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1.材质：100%纤维，涂层除外；</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C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189865</wp:posOffset>
                  </wp:positionV>
                  <wp:extent cx="895350" cy="1153160"/>
                  <wp:effectExtent l="0" t="0" r="0" b="8890"/>
                  <wp:wrapNone/>
                  <wp:docPr id="37" name="图片_3"/>
                  <wp:cNvGraphicFramePr/>
                  <a:graphic xmlns:a="http://schemas.openxmlformats.org/drawingml/2006/main">
                    <a:graphicData uri="http://schemas.openxmlformats.org/drawingml/2006/picture">
                      <pic:pic xmlns:pic="http://schemas.openxmlformats.org/drawingml/2006/picture">
                        <pic:nvPicPr>
                          <pic:cNvPr id="37" name="图片_3"/>
                          <pic:cNvPicPr/>
                        </pic:nvPicPr>
                        <pic:blipFill>
                          <a:blip r:embed="rId8"/>
                          <a:stretch>
                            <a:fillRect/>
                          </a:stretch>
                        </pic:blipFill>
                        <pic:spPr>
                          <a:xfrm>
                            <a:off x="0" y="0"/>
                            <a:ext cx="895350" cy="1153160"/>
                          </a:xfrm>
                          <a:prstGeom prst="rect">
                            <a:avLst/>
                          </a:prstGeom>
                          <a:noFill/>
                          <a:ln>
                            <a:noFill/>
                          </a:ln>
                        </pic:spPr>
                      </pic:pic>
                    </a:graphicData>
                  </a:graphic>
                </wp:anchor>
              </w:drawing>
            </w:r>
          </w:p>
        </w:tc>
      </w:tr>
      <w:tr w14:paraId="5510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E01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AF17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2C27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E9A0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26BD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022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580；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43AD">
            <w:pPr>
              <w:jc w:val="center"/>
              <w:rPr>
                <w:rFonts w:hint="eastAsia" w:ascii="宋体" w:hAnsi="宋体" w:eastAsia="宋体" w:cs="宋体"/>
                <w:i w:val="0"/>
                <w:iCs w:val="0"/>
                <w:color w:val="000000"/>
                <w:sz w:val="22"/>
                <w:szCs w:val="22"/>
                <w:u w:val="none"/>
              </w:rPr>
            </w:pPr>
          </w:p>
        </w:tc>
      </w:tr>
      <w:tr w14:paraId="4DEE8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DBB7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590B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4504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AA6B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2ADE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46A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3.静电性能：静电电压:≤2000V；半衰期≤12.5S；</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BF03">
            <w:pPr>
              <w:jc w:val="center"/>
              <w:rPr>
                <w:rFonts w:hint="eastAsia" w:ascii="宋体" w:hAnsi="宋体" w:eastAsia="宋体" w:cs="宋体"/>
                <w:i w:val="0"/>
                <w:iCs w:val="0"/>
                <w:color w:val="000000"/>
                <w:sz w:val="22"/>
                <w:szCs w:val="22"/>
                <w:u w:val="none"/>
              </w:rPr>
            </w:pPr>
          </w:p>
        </w:tc>
      </w:tr>
      <w:tr w14:paraId="3E6E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BA65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8C38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E736B">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6F72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E676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B7C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4.织物密度：经向:≥205.6tex；纬向≥189.9tex；</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C9FC">
            <w:pPr>
              <w:jc w:val="center"/>
              <w:rPr>
                <w:rFonts w:hint="eastAsia" w:ascii="宋体" w:hAnsi="宋体" w:eastAsia="宋体" w:cs="宋体"/>
                <w:i w:val="0"/>
                <w:iCs w:val="0"/>
                <w:color w:val="000000"/>
                <w:sz w:val="22"/>
                <w:szCs w:val="22"/>
                <w:u w:val="none"/>
              </w:rPr>
            </w:pPr>
          </w:p>
        </w:tc>
      </w:tr>
      <w:tr w14:paraId="4F1D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C8A5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B234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1566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90AC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C5C6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9D9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5.断裂强力：经向:≥1800N；纬向≥2000N；</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1CF5">
            <w:pPr>
              <w:jc w:val="center"/>
              <w:rPr>
                <w:rFonts w:hint="eastAsia" w:ascii="宋体" w:hAnsi="宋体" w:eastAsia="宋体" w:cs="宋体"/>
                <w:i w:val="0"/>
                <w:iCs w:val="0"/>
                <w:color w:val="000000"/>
                <w:sz w:val="22"/>
                <w:szCs w:val="22"/>
                <w:u w:val="none"/>
              </w:rPr>
            </w:pPr>
          </w:p>
        </w:tc>
      </w:tr>
      <w:tr w14:paraId="6509A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8897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2DDA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4505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C3ACA">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1321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00C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B844">
            <w:pPr>
              <w:jc w:val="center"/>
              <w:rPr>
                <w:rFonts w:hint="eastAsia" w:ascii="宋体" w:hAnsi="宋体" w:eastAsia="宋体" w:cs="宋体"/>
                <w:i w:val="0"/>
                <w:iCs w:val="0"/>
                <w:color w:val="000000"/>
                <w:sz w:val="22"/>
                <w:szCs w:val="22"/>
                <w:u w:val="none"/>
              </w:rPr>
            </w:pPr>
          </w:p>
        </w:tc>
      </w:tr>
      <w:tr w14:paraId="0A1FE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93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C26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窗纱</w:t>
            </w:r>
          </w:p>
          <w:p w14:paraId="0AD230AC">
            <w:pPr>
              <w:pStyle w:val="20"/>
              <w:rPr>
                <w:rFonts w:hint="eastAsia"/>
              </w:rPr>
            </w:pP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9DB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558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450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4A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 3m，纱帘褶皱1:2</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98D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1.材质：100%聚酯纤维；依据FZ/T01057-2007</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52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884555</wp:posOffset>
                  </wp:positionV>
                  <wp:extent cx="895350" cy="1915160"/>
                  <wp:effectExtent l="0" t="0" r="0" b="8890"/>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9"/>
                          <a:stretch>
                            <a:fillRect/>
                          </a:stretch>
                        </pic:blipFill>
                        <pic:spPr>
                          <a:xfrm>
                            <a:off x="0" y="0"/>
                            <a:ext cx="895350" cy="1915160"/>
                          </a:xfrm>
                          <a:prstGeom prst="rect">
                            <a:avLst/>
                          </a:prstGeom>
                          <a:noFill/>
                          <a:ln>
                            <a:noFill/>
                          </a:ln>
                        </pic:spPr>
                      </pic:pic>
                    </a:graphicData>
                  </a:graphic>
                </wp:anchor>
              </w:drawing>
            </w:r>
          </w:p>
        </w:tc>
      </w:tr>
      <w:tr w14:paraId="76C9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85D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A08E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20FD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2121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9AA46">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EED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60；依据GB/T4669-2008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297B">
            <w:pPr>
              <w:jc w:val="center"/>
              <w:rPr>
                <w:rFonts w:hint="eastAsia" w:ascii="宋体" w:hAnsi="宋体" w:eastAsia="宋体" w:cs="宋体"/>
                <w:i w:val="0"/>
                <w:iCs w:val="0"/>
                <w:color w:val="000000"/>
                <w:sz w:val="22"/>
                <w:szCs w:val="22"/>
                <w:u w:val="none"/>
              </w:rPr>
            </w:pPr>
          </w:p>
        </w:tc>
      </w:tr>
      <w:tr w14:paraId="38460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0F9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64F6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3099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2E3C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D3EC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790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★3.厚度：≥0.4；依据GB/T3820-1997</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B719">
            <w:pPr>
              <w:jc w:val="center"/>
              <w:rPr>
                <w:rFonts w:hint="eastAsia" w:ascii="宋体" w:hAnsi="宋体" w:eastAsia="宋体" w:cs="宋体"/>
                <w:i w:val="0"/>
                <w:iCs w:val="0"/>
                <w:color w:val="000000"/>
                <w:sz w:val="22"/>
                <w:szCs w:val="22"/>
                <w:u w:val="none"/>
              </w:rPr>
            </w:pPr>
          </w:p>
        </w:tc>
      </w:tr>
      <w:tr w14:paraId="59225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8A06">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6F4F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5639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72613">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CDDC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A82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4.甲醛含量≤20mk/kg；依据GB/T2912.1-2009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2203">
            <w:pPr>
              <w:jc w:val="center"/>
              <w:rPr>
                <w:rFonts w:hint="eastAsia" w:ascii="宋体" w:hAnsi="宋体" w:eastAsia="宋体" w:cs="宋体"/>
                <w:i w:val="0"/>
                <w:iCs w:val="0"/>
                <w:color w:val="000000"/>
                <w:sz w:val="22"/>
                <w:szCs w:val="22"/>
                <w:u w:val="none"/>
              </w:rPr>
            </w:pPr>
          </w:p>
        </w:tc>
      </w:tr>
      <w:tr w14:paraId="18ABF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D6C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267AF">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A628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C398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7BC6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A05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5.PH值：4.0-7.5；依据GB/T7573-2009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4448">
            <w:pPr>
              <w:jc w:val="center"/>
              <w:rPr>
                <w:rFonts w:hint="eastAsia" w:ascii="宋体" w:hAnsi="宋体" w:eastAsia="宋体" w:cs="宋体"/>
                <w:i w:val="0"/>
                <w:iCs w:val="0"/>
                <w:color w:val="000000"/>
                <w:sz w:val="22"/>
                <w:szCs w:val="22"/>
                <w:u w:val="none"/>
              </w:rPr>
            </w:pPr>
          </w:p>
        </w:tc>
      </w:tr>
      <w:tr w14:paraId="63B86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6A9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38F4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C6D6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F9B1B">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97E39">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34F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6.异味：无异味；依据GB/T18401-2010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283B">
            <w:pPr>
              <w:jc w:val="center"/>
              <w:rPr>
                <w:rFonts w:hint="eastAsia" w:ascii="宋体" w:hAnsi="宋体" w:eastAsia="宋体" w:cs="宋体"/>
                <w:i w:val="0"/>
                <w:iCs w:val="0"/>
                <w:color w:val="000000"/>
                <w:sz w:val="22"/>
                <w:szCs w:val="22"/>
                <w:u w:val="none"/>
              </w:rPr>
            </w:pPr>
          </w:p>
        </w:tc>
      </w:tr>
      <w:tr w14:paraId="71944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18A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26F8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BA4E5">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D70B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A0879">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EF7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7.可分解致癌芳香胺染料（mg/kg）：禁用；依据GB/T17592-2011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1F46">
            <w:pPr>
              <w:jc w:val="center"/>
              <w:rPr>
                <w:rFonts w:hint="eastAsia" w:ascii="宋体" w:hAnsi="宋体" w:eastAsia="宋体" w:cs="宋体"/>
                <w:i w:val="0"/>
                <w:iCs w:val="0"/>
                <w:color w:val="000000"/>
                <w:sz w:val="22"/>
                <w:szCs w:val="22"/>
                <w:u w:val="none"/>
              </w:rPr>
            </w:pPr>
          </w:p>
        </w:tc>
      </w:tr>
      <w:tr w14:paraId="1F8DE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63A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BFC8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6B90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ECB6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AA5F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9C1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★8.富马酸二甲酯（mg/kg）≤1mg/kg依据GB/T28190-2011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365F4">
            <w:pPr>
              <w:jc w:val="center"/>
              <w:rPr>
                <w:rFonts w:hint="eastAsia" w:ascii="宋体" w:hAnsi="宋体" w:eastAsia="宋体" w:cs="宋体"/>
                <w:i w:val="0"/>
                <w:iCs w:val="0"/>
                <w:color w:val="000000"/>
                <w:sz w:val="22"/>
                <w:szCs w:val="22"/>
                <w:u w:val="none"/>
              </w:rPr>
            </w:pPr>
          </w:p>
        </w:tc>
      </w:tr>
      <w:tr w14:paraId="303D9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404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23E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D9AB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7B907">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8334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761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9.断裂强力：经向:≥460N；纬向≥850N；；依据GB/T3923.1-2013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0518">
            <w:pPr>
              <w:jc w:val="center"/>
              <w:rPr>
                <w:rFonts w:hint="eastAsia" w:ascii="宋体" w:hAnsi="宋体" w:eastAsia="宋体" w:cs="宋体"/>
                <w:i w:val="0"/>
                <w:iCs w:val="0"/>
                <w:color w:val="000000"/>
                <w:sz w:val="22"/>
                <w:szCs w:val="22"/>
                <w:u w:val="none"/>
              </w:rPr>
            </w:pPr>
          </w:p>
        </w:tc>
      </w:tr>
      <w:tr w14:paraId="05F1E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84DE">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FCE4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D0531">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35F7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C056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E0D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★10.接缝强力：经向:≥400N；纬向≥400N；依据GB/T13773.1-2008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B8086">
            <w:pPr>
              <w:jc w:val="center"/>
              <w:rPr>
                <w:rFonts w:hint="eastAsia" w:ascii="宋体" w:hAnsi="宋体" w:eastAsia="宋体" w:cs="宋体"/>
                <w:i w:val="0"/>
                <w:iCs w:val="0"/>
                <w:color w:val="000000"/>
                <w:sz w:val="22"/>
                <w:szCs w:val="22"/>
                <w:u w:val="none"/>
              </w:rPr>
            </w:pPr>
          </w:p>
        </w:tc>
      </w:tr>
      <w:tr w14:paraId="0EC03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5BC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FB12E">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32D8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5444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F981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086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★11.接缝纱线滑移：经纱:≤3mm；纬纱:≤3mm；依据GB/T13773.1-2008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FF9A">
            <w:pPr>
              <w:jc w:val="center"/>
              <w:rPr>
                <w:rFonts w:hint="eastAsia" w:ascii="宋体" w:hAnsi="宋体" w:eastAsia="宋体" w:cs="宋体"/>
                <w:i w:val="0"/>
                <w:iCs w:val="0"/>
                <w:color w:val="000000"/>
                <w:sz w:val="22"/>
                <w:szCs w:val="22"/>
                <w:u w:val="none"/>
              </w:rPr>
            </w:pPr>
          </w:p>
        </w:tc>
      </w:tr>
      <w:tr w14:paraId="2900E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3AA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B668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7B877">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B631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6D6C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7E3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★12.悬垂性30-50%；依据GB/T23329-2009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CE6D">
            <w:pPr>
              <w:jc w:val="center"/>
              <w:rPr>
                <w:rFonts w:hint="eastAsia" w:ascii="宋体" w:hAnsi="宋体" w:eastAsia="宋体" w:cs="宋体"/>
                <w:i w:val="0"/>
                <w:iCs w:val="0"/>
                <w:color w:val="000000"/>
                <w:sz w:val="22"/>
                <w:szCs w:val="22"/>
                <w:u w:val="none"/>
              </w:rPr>
            </w:pPr>
          </w:p>
        </w:tc>
      </w:tr>
      <w:tr w14:paraId="62EB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EFE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8EF5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CBEB5">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294C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9D58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0D2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★13.勾丝性能≥1级；依据GB/T1107-2008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160A">
            <w:pPr>
              <w:jc w:val="center"/>
              <w:rPr>
                <w:rFonts w:hint="eastAsia" w:ascii="宋体" w:hAnsi="宋体" w:eastAsia="宋体" w:cs="宋体"/>
                <w:i w:val="0"/>
                <w:iCs w:val="0"/>
                <w:color w:val="000000"/>
                <w:sz w:val="22"/>
                <w:szCs w:val="22"/>
                <w:u w:val="none"/>
              </w:rPr>
            </w:pPr>
          </w:p>
        </w:tc>
      </w:tr>
      <w:tr w14:paraId="289F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09F0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154C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C4B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D5F0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A0FF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CCC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★14.阻燃性能:B1级；符合GB8624-2012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685A">
            <w:pPr>
              <w:jc w:val="center"/>
              <w:rPr>
                <w:rFonts w:hint="eastAsia" w:ascii="宋体" w:hAnsi="宋体" w:eastAsia="宋体" w:cs="宋体"/>
                <w:i w:val="0"/>
                <w:iCs w:val="0"/>
                <w:color w:val="000000"/>
                <w:sz w:val="22"/>
                <w:szCs w:val="22"/>
                <w:u w:val="none"/>
              </w:rPr>
            </w:pPr>
          </w:p>
        </w:tc>
      </w:tr>
      <w:tr w14:paraId="154FF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482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6DB1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F3EE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023F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63DB9">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0DE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15.损毁长度:经向:≤150mm，纬向:≤150mm(依据GB/T5455-2014标准)；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5EE5">
            <w:pPr>
              <w:jc w:val="center"/>
              <w:rPr>
                <w:rFonts w:hint="eastAsia" w:ascii="宋体" w:hAnsi="宋体" w:eastAsia="宋体" w:cs="宋体"/>
                <w:i w:val="0"/>
                <w:iCs w:val="0"/>
                <w:color w:val="000000"/>
                <w:sz w:val="22"/>
                <w:szCs w:val="22"/>
                <w:u w:val="none"/>
              </w:rPr>
            </w:pPr>
          </w:p>
        </w:tc>
      </w:tr>
      <w:tr w14:paraId="5E26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1A6B">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7E03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57F3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C527B">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8092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66F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16.续燃时间:经向:≤5s，纬向:&lt;5s(依据GB/T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3B8A">
            <w:pPr>
              <w:jc w:val="center"/>
              <w:rPr>
                <w:rFonts w:hint="eastAsia" w:ascii="宋体" w:hAnsi="宋体" w:eastAsia="宋体" w:cs="宋体"/>
                <w:i w:val="0"/>
                <w:iCs w:val="0"/>
                <w:color w:val="000000"/>
                <w:sz w:val="22"/>
                <w:szCs w:val="22"/>
                <w:u w:val="none"/>
              </w:rPr>
            </w:pPr>
          </w:p>
        </w:tc>
      </w:tr>
      <w:tr w14:paraId="6EA03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E9EE">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4636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8E6E7">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63D5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9ECB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E73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17.阴燃时间:经向:≤15s，纬向:≤15s(依据GB/T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CA5E">
            <w:pPr>
              <w:jc w:val="center"/>
              <w:rPr>
                <w:rFonts w:hint="eastAsia" w:ascii="宋体" w:hAnsi="宋体" w:eastAsia="宋体" w:cs="宋体"/>
                <w:i w:val="0"/>
                <w:iCs w:val="0"/>
                <w:color w:val="000000"/>
                <w:sz w:val="22"/>
                <w:szCs w:val="22"/>
                <w:u w:val="none"/>
              </w:rPr>
            </w:pPr>
          </w:p>
        </w:tc>
      </w:tr>
      <w:tr w14:paraId="7F61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B4F5">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541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82806">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158EC">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4CAD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D07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18.氧指数OI%:≥32(依据GB/T 5454-1997标准)；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2EE4">
            <w:pPr>
              <w:jc w:val="center"/>
              <w:rPr>
                <w:rFonts w:hint="eastAsia" w:ascii="宋体" w:hAnsi="宋体" w:eastAsia="宋体" w:cs="宋体"/>
                <w:i w:val="0"/>
                <w:iCs w:val="0"/>
                <w:color w:val="000000"/>
                <w:sz w:val="22"/>
                <w:szCs w:val="22"/>
                <w:u w:val="none"/>
              </w:rPr>
            </w:pPr>
          </w:p>
        </w:tc>
      </w:tr>
      <w:tr w14:paraId="2261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3083">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822A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4577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9BB7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6231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F03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2189480</wp:posOffset>
                  </wp:positionH>
                  <wp:positionV relativeFrom="paragraph">
                    <wp:posOffset>686435</wp:posOffset>
                  </wp:positionV>
                  <wp:extent cx="904240" cy="1056005"/>
                  <wp:effectExtent l="0" t="0" r="10160" b="10795"/>
                  <wp:wrapNone/>
                  <wp:docPr id="39" name="图片_5"/>
                  <wp:cNvGraphicFramePr/>
                  <a:graphic xmlns:a="http://schemas.openxmlformats.org/drawingml/2006/main">
                    <a:graphicData uri="http://schemas.openxmlformats.org/drawingml/2006/picture">
                      <pic:pic xmlns:pic="http://schemas.openxmlformats.org/drawingml/2006/picture">
                        <pic:nvPicPr>
                          <pic:cNvPr id="39" name="图片_5"/>
                          <pic:cNvPicPr/>
                        </pic:nvPicPr>
                        <pic:blipFill>
                          <a:blip r:embed="rId10"/>
                          <a:stretch>
                            <a:fillRect/>
                          </a:stretch>
                        </pic:blipFill>
                        <pic:spPr>
                          <a:xfrm>
                            <a:off x="0" y="0"/>
                            <a:ext cx="904240" cy="10560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F964">
            <w:pPr>
              <w:jc w:val="center"/>
              <w:rPr>
                <w:rFonts w:hint="eastAsia" w:ascii="宋体" w:hAnsi="宋体" w:eastAsia="宋体" w:cs="宋体"/>
                <w:i w:val="0"/>
                <w:iCs w:val="0"/>
                <w:color w:val="000000"/>
                <w:sz w:val="22"/>
                <w:szCs w:val="22"/>
                <w:u w:val="none"/>
              </w:rPr>
            </w:pPr>
          </w:p>
        </w:tc>
      </w:tr>
      <w:tr w14:paraId="703F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82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C8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电动开合轨道</w:t>
            </w: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66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540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200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CF8B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76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1.壁厚≥</w:t>
            </w:r>
            <w:r>
              <w:rPr>
                <w:rFonts w:hint="eastAsia" w:ascii="宋体" w:hAnsi="宋体" w:cs="宋体"/>
                <w:i w:val="0"/>
                <w:iCs w:val="0"/>
                <w:color w:val="000000"/>
                <w:kern w:val="0"/>
                <w:sz w:val="22"/>
                <w:szCs w:val="22"/>
                <w:u w:val="none"/>
                <w:lang w:val="en-US" w:eastAsia="zh-CN" w:bidi="ar"/>
              </w:rPr>
              <w:t>2.0</w:t>
            </w:r>
            <w:r>
              <w:rPr>
                <w:rFonts w:hint="eastAsia" w:ascii="宋体" w:hAnsi="宋体" w:eastAsia="宋体" w:cs="宋体"/>
                <w:i w:val="0"/>
                <w:iCs w:val="0"/>
                <w:color w:val="000000"/>
                <w:kern w:val="0"/>
                <w:sz w:val="22"/>
                <w:szCs w:val="22"/>
                <w:u w:val="none"/>
                <w:lang w:val="en-US" w:eastAsia="zh-CN" w:bidi="ar"/>
              </w:rPr>
              <w:t>mm；</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1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32C1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A3A4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AF1D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0571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88C1A">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2E73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463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2.规格：32*26mm；；</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D2997">
            <w:pPr>
              <w:jc w:val="center"/>
              <w:rPr>
                <w:rFonts w:hint="eastAsia" w:ascii="宋体" w:hAnsi="宋体" w:eastAsia="宋体" w:cs="宋体"/>
                <w:i w:val="0"/>
                <w:iCs w:val="0"/>
                <w:color w:val="000000"/>
                <w:sz w:val="22"/>
                <w:szCs w:val="22"/>
                <w:u w:val="none"/>
              </w:rPr>
            </w:pPr>
          </w:p>
        </w:tc>
      </w:tr>
      <w:tr w14:paraId="6A0D7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12B0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D0047">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2828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82DB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DC135">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5D8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3.抗拉强度≥229MPa；</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C0D4">
            <w:pPr>
              <w:jc w:val="center"/>
              <w:rPr>
                <w:rFonts w:hint="eastAsia" w:ascii="宋体" w:hAnsi="宋体" w:eastAsia="宋体" w:cs="宋体"/>
                <w:i w:val="0"/>
                <w:iCs w:val="0"/>
                <w:color w:val="000000"/>
                <w:sz w:val="22"/>
                <w:szCs w:val="22"/>
                <w:u w:val="none"/>
              </w:rPr>
            </w:pPr>
          </w:p>
        </w:tc>
      </w:tr>
      <w:tr w14:paraId="5F97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EB825">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039C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BA92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8F04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C3A8C">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DAD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4.断后伸长率≥14.5%；</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A95A">
            <w:pPr>
              <w:jc w:val="center"/>
              <w:rPr>
                <w:rFonts w:hint="eastAsia" w:ascii="宋体" w:hAnsi="宋体" w:eastAsia="宋体" w:cs="宋体"/>
                <w:i w:val="0"/>
                <w:iCs w:val="0"/>
                <w:color w:val="000000"/>
                <w:sz w:val="22"/>
                <w:szCs w:val="22"/>
                <w:u w:val="none"/>
              </w:rPr>
            </w:pPr>
          </w:p>
        </w:tc>
      </w:tr>
      <w:tr w14:paraId="18195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2988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F7A7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7BFA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CD59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46F91">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550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5.漆膜硬度≥6H；</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90AF">
            <w:pPr>
              <w:jc w:val="center"/>
              <w:rPr>
                <w:rFonts w:hint="eastAsia" w:ascii="宋体" w:hAnsi="宋体" w:eastAsia="宋体" w:cs="宋体"/>
                <w:i w:val="0"/>
                <w:iCs w:val="0"/>
                <w:color w:val="000000"/>
                <w:sz w:val="22"/>
                <w:szCs w:val="22"/>
                <w:u w:val="none"/>
              </w:rPr>
            </w:pPr>
          </w:p>
        </w:tc>
      </w:tr>
      <w:tr w14:paraId="7F50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F94A">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0D7D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ECFFC">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8030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D8D7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EE2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6.滑轮承重(单个）：施加20千克载荷未破坏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FB19">
            <w:pPr>
              <w:jc w:val="center"/>
              <w:rPr>
                <w:rFonts w:hint="eastAsia" w:ascii="宋体" w:hAnsi="宋体" w:eastAsia="宋体" w:cs="宋体"/>
                <w:i w:val="0"/>
                <w:iCs w:val="0"/>
                <w:color w:val="000000"/>
                <w:sz w:val="22"/>
                <w:szCs w:val="22"/>
                <w:u w:val="none"/>
              </w:rPr>
            </w:pPr>
          </w:p>
        </w:tc>
      </w:tr>
      <w:tr w14:paraId="7B51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23CA3">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FD80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FCBF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5382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42E6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4CB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7.封口承重：施加20千克载荷未破坏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3435">
            <w:pPr>
              <w:jc w:val="center"/>
              <w:rPr>
                <w:rFonts w:hint="eastAsia" w:ascii="宋体" w:hAnsi="宋体" w:eastAsia="宋体" w:cs="宋体"/>
                <w:i w:val="0"/>
                <w:iCs w:val="0"/>
                <w:color w:val="000000"/>
                <w:sz w:val="22"/>
                <w:szCs w:val="22"/>
                <w:u w:val="none"/>
              </w:rPr>
            </w:pPr>
          </w:p>
        </w:tc>
      </w:tr>
      <w:tr w14:paraId="4609C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3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85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医用隔帘</w:t>
            </w: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182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92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150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73A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 2.7m，隔帘褶皱1:1.3</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060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1.材质：100%聚酯纤维；依据FZ/T01057-2007</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0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419100</wp:posOffset>
                  </wp:positionV>
                  <wp:extent cx="782320" cy="2501900"/>
                  <wp:effectExtent l="0" t="0" r="17780" b="12700"/>
                  <wp:wrapNone/>
                  <wp:docPr id="40" name="图片_7"/>
                  <wp:cNvGraphicFramePr/>
                  <a:graphic xmlns:a="http://schemas.openxmlformats.org/drawingml/2006/main">
                    <a:graphicData uri="http://schemas.openxmlformats.org/drawingml/2006/picture">
                      <pic:pic xmlns:pic="http://schemas.openxmlformats.org/drawingml/2006/picture">
                        <pic:nvPicPr>
                          <pic:cNvPr id="40" name="图片_7"/>
                          <pic:cNvPicPr/>
                        </pic:nvPicPr>
                        <pic:blipFill>
                          <a:blip r:embed="rId11"/>
                          <a:stretch>
                            <a:fillRect/>
                          </a:stretch>
                        </pic:blipFill>
                        <pic:spPr>
                          <a:xfrm>
                            <a:off x="0" y="0"/>
                            <a:ext cx="782320" cy="2501900"/>
                          </a:xfrm>
                          <a:prstGeom prst="rect">
                            <a:avLst/>
                          </a:prstGeom>
                          <a:noFill/>
                          <a:ln>
                            <a:noFill/>
                          </a:ln>
                        </pic:spPr>
                      </pic:pic>
                    </a:graphicData>
                  </a:graphic>
                </wp:anchor>
              </w:drawing>
            </w:r>
          </w:p>
        </w:tc>
      </w:tr>
      <w:tr w14:paraId="4AF96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E203">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583C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3E4C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2E2A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2B48D">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F42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230；依据GB/T4669-2008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AD1E">
            <w:pPr>
              <w:jc w:val="center"/>
              <w:rPr>
                <w:rFonts w:hint="eastAsia" w:ascii="宋体" w:hAnsi="宋体" w:eastAsia="宋体" w:cs="宋体"/>
                <w:i w:val="0"/>
                <w:iCs w:val="0"/>
                <w:color w:val="000000"/>
                <w:sz w:val="22"/>
                <w:szCs w:val="22"/>
                <w:u w:val="none"/>
              </w:rPr>
            </w:pPr>
          </w:p>
        </w:tc>
      </w:tr>
      <w:tr w14:paraId="28E6F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E24A">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89E7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92C5B">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4409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4AC5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769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★3.厚度：≥0.6；依据GB/T3820-1997</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CD25A">
            <w:pPr>
              <w:jc w:val="center"/>
              <w:rPr>
                <w:rFonts w:hint="eastAsia" w:ascii="宋体" w:hAnsi="宋体" w:eastAsia="宋体" w:cs="宋体"/>
                <w:i w:val="0"/>
                <w:iCs w:val="0"/>
                <w:color w:val="000000"/>
                <w:sz w:val="22"/>
                <w:szCs w:val="22"/>
                <w:u w:val="none"/>
              </w:rPr>
            </w:pPr>
          </w:p>
        </w:tc>
      </w:tr>
      <w:tr w14:paraId="7CE76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F2D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9EF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FCD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F8E77">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939D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9A0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4.甲醛含量≤20mk/kg；依据GB/T2912.1-2009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70F7">
            <w:pPr>
              <w:jc w:val="center"/>
              <w:rPr>
                <w:rFonts w:hint="eastAsia" w:ascii="宋体" w:hAnsi="宋体" w:eastAsia="宋体" w:cs="宋体"/>
                <w:i w:val="0"/>
                <w:iCs w:val="0"/>
                <w:color w:val="000000"/>
                <w:sz w:val="22"/>
                <w:szCs w:val="22"/>
                <w:u w:val="none"/>
              </w:rPr>
            </w:pPr>
          </w:p>
        </w:tc>
      </w:tr>
      <w:tr w14:paraId="5C2E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E036">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FCF1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CB89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DD71A">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697C7">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6F9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5.PH值：4.0-7.5；依据GB/T7573-2009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D570">
            <w:pPr>
              <w:jc w:val="center"/>
              <w:rPr>
                <w:rFonts w:hint="eastAsia" w:ascii="宋体" w:hAnsi="宋体" w:eastAsia="宋体" w:cs="宋体"/>
                <w:i w:val="0"/>
                <w:iCs w:val="0"/>
                <w:color w:val="000000"/>
                <w:sz w:val="22"/>
                <w:szCs w:val="22"/>
                <w:u w:val="none"/>
              </w:rPr>
            </w:pPr>
          </w:p>
        </w:tc>
      </w:tr>
      <w:tr w14:paraId="28207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F2CE">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4C74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F6D0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042F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08AC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00F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6.异味：无异味；依据GB/T18401-2010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D807">
            <w:pPr>
              <w:jc w:val="center"/>
              <w:rPr>
                <w:rFonts w:hint="eastAsia" w:ascii="宋体" w:hAnsi="宋体" w:eastAsia="宋体" w:cs="宋体"/>
                <w:i w:val="0"/>
                <w:iCs w:val="0"/>
                <w:color w:val="000000"/>
                <w:sz w:val="22"/>
                <w:szCs w:val="22"/>
                <w:u w:val="none"/>
              </w:rPr>
            </w:pPr>
          </w:p>
        </w:tc>
      </w:tr>
      <w:tr w14:paraId="742D3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6FB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EFB4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9986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D47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14E4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ECA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7.可分解致癌芳香胺染料（mg/kg）：禁用；依据GB/T17592-2011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57AB">
            <w:pPr>
              <w:jc w:val="center"/>
              <w:rPr>
                <w:rFonts w:hint="eastAsia" w:ascii="宋体" w:hAnsi="宋体" w:eastAsia="宋体" w:cs="宋体"/>
                <w:i w:val="0"/>
                <w:iCs w:val="0"/>
                <w:color w:val="000000"/>
                <w:sz w:val="22"/>
                <w:szCs w:val="22"/>
                <w:u w:val="none"/>
              </w:rPr>
            </w:pPr>
          </w:p>
        </w:tc>
      </w:tr>
      <w:tr w14:paraId="7C50C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440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936A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3C48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552B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7F40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D60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★8.致敏致癌染料（mg/kg）：禁用；依据GB/T20382-2006</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7CE2">
            <w:pPr>
              <w:jc w:val="center"/>
              <w:rPr>
                <w:rFonts w:hint="eastAsia" w:ascii="宋体" w:hAnsi="宋体" w:eastAsia="宋体" w:cs="宋体"/>
                <w:i w:val="0"/>
                <w:iCs w:val="0"/>
                <w:color w:val="000000"/>
                <w:sz w:val="22"/>
                <w:szCs w:val="22"/>
                <w:u w:val="none"/>
              </w:rPr>
            </w:pPr>
          </w:p>
        </w:tc>
      </w:tr>
      <w:tr w14:paraId="13F61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78E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EADD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3E87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6744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CF9D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C1F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9.断裂强力：经向:≥460N；纬向≥850N；；依据GB/T3923.1-2013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FEBE">
            <w:pPr>
              <w:jc w:val="center"/>
              <w:rPr>
                <w:rFonts w:hint="eastAsia" w:ascii="宋体" w:hAnsi="宋体" w:eastAsia="宋体" w:cs="宋体"/>
                <w:i w:val="0"/>
                <w:iCs w:val="0"/>
                <w:color w:val="000000"/>
                <w:sz w:val="22"/>
                <w:szCs w:val="22"/>
                <w:u w:val="none"/>
              </w:rPr>
            </w:pPr>
          </w:p>
        </w:tc>
      </w:tr>
      <w:tr w14:paraId="7AA4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F86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7CC9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BF9B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A6F03">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10B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3EA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★10.接缝强力：经向:≥400N；纬向≥400N；依据GB/T13773.1-2008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DCC4">
            <w:pPr>
              <w:jc w:val="center"/>
              <w:rPr>
                <w:rFonts w:hint="eastAsia" w:ascii="宋体" w:hAnsi="宋体" w:eastAsia="宋体" w:cs="宋体"/>
                <w:i w:val="0"/>
                <w:iCs w:val="0"/>
                <w:color w:val="000000"/>
                <w:sz w:val="22"/>
                <w:szCs w:val="22"/>
                <w:u w:val="none"/>
              </w:rPr>
            </w:pPr>
          </w:p>
        </w:tc>
      </w:tr>
      <w:tr w14:paraId="1B87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10BD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2FA3E">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559B1">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0226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2489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07A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★11.负离子发生量（个/m³）：＞1000；依据GB/T30128-2013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9E08">
            <w:pPr>
              <w:jc w:val="center"/>
              <w:rPr>
                <w:rFonts w:hint="eastAsia" w:ascii="宋体" w:hAnsi="宋体" w:eastAsia="宋体" w:cs="宋体"/>
                <w:i w:val="0"/>
                <w:iCs w:val="0"/>
                <w:color w:val="000000"/>
                <w:sz w:val="22"/>
                <w:szCs w:val="22"/>
                <w:u w:val="none"/>
              </w:rPr>
            </w:pPr>
          </w:p>
        </w:tc>
      </w:tr>
      <w:tr w14:paraId="43E80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908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5879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2271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E5CA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3ED2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1ED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★12.酚黄变 ≥4级；依据GB/T29778-2013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29F2">
            <w:pPr>
              <w:jc w:val="center"/>
              <w:rPr>
                <w:rFonts w:hint="eastAsia" w:ascii="宋体" w:hAnsi="宋体" w:eastAsia="宋体" w:cs="宋体"/>
                <w:i w:val="0"/>
                <w:iCs w:val="0"/>
                <w:color w:val="000000"/>
                <w:sz w:val="22"/>
                <w:szCs w:val="22"/>
                <w:u w:val="none"/>
              </w:rPr>
            </w:pPr>
          </w:p>
        </w:tc>
      </w:tr>
      <w:tr w14:paraId="30DB9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B2A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96F37">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D698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9698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6C596">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858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★13.可萃取重金属含量（mg/kg）：未检出；依据GB/17593.4-2006；GB/17593.2-2006</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24EB">
            <w:pPr>
              <w:jc w:val="center"/>
              <w:rPr>
                <w:rFonts w:hint="eastAsia" w:ascii="宋体" w:hAnsi="宋体" w:eastAsia="宋体" w:cs="宋体"/>
                <w:i w:val="0"/>
                <w:iCs w:val="0"/>
                <w:color w:val="000000"/>
                <w:sz w:val="22"/>
                <w:szCs w:val="22"/>
                <w:u w:val="none"/>
              </w:rPr>
            </w:pPr>
          </w:p>
        </w:tc>
      </w:tr>
      <w:tr w14:paraId="48D25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7C5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FEA1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626F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1D7F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FDC2D">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26A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★14.阻燃性能:B1级；符合GB8624-2012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5443">
            <w:pPr>
              <w:jc w:val="center"/>
              <w:rPr>
                <w:rFonts w:hint="eastAsia" w:ascii="宋体" w:hAnsi="宋体" w:eastAsia="宋体" w:cs="宋体"/>
                <w:i w:val="0"/>
                <w:iCs w:val="0"/>
                <w:color w:val="000000"/>
                <w:sz w:val="22"/>
                <w:szCs w:val="22"/>
                <w:u w:val="none"/>
              </w:rPr>
            </w:pPr>
          </w:p>
        </w:tc>
      </w:tr>
      <w:tr w14:paraId="25698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94B5">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92A1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2EA1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3B37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A2D5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969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15.损毁长度:经向:≤150mm，纬向:≤150mm(依据GB/T5455-2014标准)；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EDCA">
            <w:pPr>
              <w:jc w:val="center"/>
              <w:rPr>
                <w:rFonts w:hint="eastAsia" w:ascii="宋体" w:hAnsi="宋体" w:eastAsia="宋体" w:cs="宋体"/>
                <w:i w:val="0"/>
                <w:iCs w:val="0"/>
                <w:color w:val="000000"/>
                <w:sz w:val="22"/>
                <w:szCs w:val="22"/>
                <w:u w:val="none"/>
              </w:rPr>
            </w:pPr>
          </w:p>
        </w:tc>
      </w:tr>
      <w:tr w14:paraId="46752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C870">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4A13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81F6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4CBD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7C24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44E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16.续燃时间:经向:≤5s，纬向:&lt;5s(依据GB/T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2373">
            <w:pPr>
              <w:jc w:val="center"/>
              <w:rPr>
                <w:rFonts w:hint="eastAsia" w:ascii="宋体" w:hAnsi="宋体" w:eastAsia="宋体" w:cs="宋体"/>
                <w:i w:val="0"/>
                <w:iCs w:val="0"/>
                <w:color w:val="000000"/>
                <w:sz w:val="22"/>
                <w:szCs w:val="22"/>
                <w:u w:val="none"/>
              </w:rPr>
            </w:pPr>
          </w:p>
        </w:tc>
      </w:tr>
      <w:tr w14:paraId="22DD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FED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6CDA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232A1">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D4B1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476C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070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17.阴燃时间:经向:≤15s，纬向:≤15s(依据GB/T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B90A">
            <w:pPr>
              <w:jc w:val="center"/>
              <w:rPr>
                <w:rFonts w:hint="eastAsia" w:ascii="宋体" w:hAnsi="宋体" w:eastAsia="宋体" w:cs="宋体"/>
                <w:i w:val="0"/>
                <w:iCs w:val="0"/>
                <w:color w:val="000000"/>
                <w:sz w:val="22"/>
                <w:szCs w:val="22"/>
                <w:u w:val="none"/>
              </w:rPr>
            </w:pPr>
          </w:p>
        </w:tc>
      </w:tr>
      <w:tr w14:paraId="3A81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EA1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A71C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E64E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E749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B98F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639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18.氧指数OI%:≥32(依据GB/T 5454-1997标准)；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EEDF">
            <w:pPr>
              <w:jc w:val="center"/>
              <w:rPr>
                <w:rFonts w:hint="eastAsia" w:ascii="宋体" w:hAnsi="宋体" w:eastAsia="宋体" w:cs="宋体"/>
                <w:i w:val="0"/>
                <w:iCs w:val="0"/>
                <w:color w:val="000000"/>
                <w:sz w:val="22"/>
                <w:szCs w:val="22"/>
                <w:u w:val="none"/>
              </w:rPr>
            </w:pPr>
          </w:p>
        </w:tc>
      </w:tr>
      <w:tr w14:paraId="4A40C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B7F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710C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BB9A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878F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B87D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E3B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w:t>
            </w:r>
            <w:bookmarkStart w:id="5" w:name="OLE_LINK9"/>
            <w:r>
              <w:rPr>
                <w:rFonts w:hint="eastAsia" w:ascii="宋体" w:hAnsi="宋体" w:eastAsia="宋体" w:cs="宋体"/>
                <w:i w:val="0"/>
                <w:iCs w:val="0"/>
                <w:color w:val="000000"/>
                <w:kern w:val="0"/>
                <w:sz w:val="22"/>
                <w:szCs w:val="22"/>
                <w:u w:val="none"/>
                <w:lang w:val="en-US" w:eastAsia="zh-CN" w:bidi="ar"/>
              </w:rPr>
              <w:t>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bookmarkEnd w:id="5"/>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8270">
            <w:pPr>
              <w:jc w:val="center"/>
              <w:rPr>
                <w:rFonts w:hint="eastAsia" w:ascii="宋体" w:hAnsi="宋体" w:eastAsia="宋体" w:cs="宋体"/>
                <w:i w:val="0"/>
                <w:iCs w:val="0"/>
                <w:color w:val="000000"/>
                <w:sz w:val="22"/>
                <w:szCs w:val="22"/>
                <w:u w:val="none"/>
              </w:rPr>
            </w:pPr>
          </w:p>
        </w:tc>
      </w:tr>
      <w:tr w14:paraId="777E1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CCD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FD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轨道</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98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8E9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200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9B03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2DE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★1.壁厚≥1.4mm；安装码壁厚≥0.60mm；</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5AAF7">
            <w:pPr>
              <w:jc w:val="center"/>
              <w:rPr>
                <w:rFonts w:hint="eastAsia" w:ascii="宋体" w:hAnsi="宋体" w:eastAsia="宋体" w:cs="宋体"/>
                <w:i w:val="0"/>
                <w:iCs w:val="0"/>
                <w:color w:val="000000"/>
                <w:sz w:val="22"/>
                <w:szCs w:val="22"/>
                <w:u w:val="none"/>
              </w:rPr>
            </w:pPr>
          </w:p>
        </w:tc>
      </w:tr>
      <w:tr w14:paraId="601C3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0EAE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F187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78BB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3EFC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F9AE7">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9B4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2.米克重≥490g/m；</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2288">
            <w:pPr>
              <w:jc w:val="center"/>
              <w:rPr>
                <w:rFonts w:hint="eastAsia" w:ascii="宋体" w:hAnsi="宋体" w:eastAsia="宋体" w:cs="宋体"/>
                <w:i w:val="0"/>
                <w:iCs w:val="0"/>
                <w:color w:val="000000"/>
                <w:sz w:val="22"/>
                <w:szCs w:val="22"/>
                <w:u w:val="none"/>
              </w:rPr>
            </w:pPr>
          </w:p>
        </w:tc>
      </w:tr>
      <w:tr w14:paraId="527EB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EDB9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C828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27EA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2ECA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D172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320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3.抗拉强度≥229MPa；</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7B45">
            <w:pPr>
              <w:jc w:val="center"/>
              <w:rPr>
                <w:rFonts w:hint="eastAsia" w:ascii="宋体" w:hAnsi="宋体" w:eastAsia="宋体" w:cs="宋体"/>
                <w:i w:val="0"/>
                <w:iCs w:val="0"/>
                <w:color w:val="000000"/>
                <w:sz w:val="22"/>
                <w:szCs w:val="22"/>
                <w:u w:val="none"/>
              </w:rPr>
            </w:pPr>
          </w:p>
        </w:tc>
      </w:tr>
      <w:tr w14:paraId="1A60C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D416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3DD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04B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DE1D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4526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B55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4.断后伸长率≥14.5%；</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8FE8">
            <w:pPr>
              <w:jc w:val="center"/>
              <w:rPr>
                <w:rFonts w:hint="eastAsia" w:ascii="宋体" w:hAnsi="宋体" w:eastAsia="宋体" w:cs="宋体"/>
                <w:i w:val="0"/>
                <w:iCs w:val="0"/>
                <w:color w:val="000000"/>
                <w:sz w:val="22"/>
                <w:szCs w:val="22"/>
                <w:u w:val="none"/>
              </w:rPr>
            </w:pPr>
          </w:p>
        </w:tc>
      </w:tr>
      <w:tr w14:paraId="7CE6B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E026B">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623C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4835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A8ED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B89C1">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BAC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bookmarkStart w:id="6" w:name="OLE_LINK4"/>
            <w:r>
              <w:rPr>
                <w:rFonts w:hint="eastAsia" w:ascii="宋体" w:hAnsi="宋体" w:eastAsia="宋体" w:cs="宋体"/>
                <w:i w:val="0"/>
                <w:iCs w:val="0"/>
                <w:color w:val="000000"/>
                <w:kern w:val="0"/>
                <w:sz w:val="22"/>
                <w:szCs w:val="22"/>
                <w:u w:val="none"/>
                <w:lang w:val="en-US" w:eastAsia="zh-CN" w:bidi="ar"/>
              </w:rPr>
              <w:t>★</w:t>
            </w:r>
            <w:bookmarkEnd w:id="6"/>
            <w:r>
              <w:rPr>
                <w:rFonts w:hint="eastAsia" w:ascii="宋体" w:hAnsi="宋体" w:eastAsia="宋体" w:cs="宋体"/>
                <w:i w:val="0"/>
                <w:iCs w:val="0"/>
                <w:color w:val="000000"/>
                <w:kern w:val="0"/>
                <w:sz w:val="22"/>
                <w:szCs w:val="22"/>
                <w:u w:val="none"/>
                <w:lang w:val="en-US" w:eastAsia="zh-CN" w:bidi="ar"/>
              </w:rPr>
              <w:t>5.漆膜硬度≥6H；</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04DE">
            <w:pPr>
              <w:jc w:val="center"/>
              <w:rPr>
                <w:rFonts w:hint="eastAsia" w:ascii="宋体" w:hAnsi="宋体" w:eastAsia="宋体" w:cs="宋体"/>
                <w:i w:val="0"/>
                <w:iCs w:val="0"/>
                <w:color w:val="000000"/>
                <w:sz w:val="22"/>
                <w:szCs w:val="22"/>
                <w:u w:val="none"/>
              </w:rPr>
            </w:pPr>
          </w:p>
        </w:tc>
      </w:tr>
      <w:tr w14:paraId="718DC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CA04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186D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533D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691D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FE025">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395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6.滑轮承重(单个）：施加20千克载荷未破坏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A3D8">
            <w:pPr>
              <w:jc w:val="center"/>
              <w:rPr>
                <w:rFonts w:hint="eastAsia" w:ascii="宋体" w:hAnsi="宋体" w:eastAsia="宋体" w:cs="宋体"/>
                <w:i w:val="0"/>
                <w:iCs w:val="0"/>
                <w:color w:val="000000"/>
                <w:sz w:val="22"/>
                <w:szCs w:val="22"/>
                <w:u w:val="none"/>
              </w:rPr>
            </w:pPr>
          </w:p>
        </w:tc>
      </w:tr>
      <w:tr w14:paraId="44C49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D6A8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D4A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5FB7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22C53">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C9DA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674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7.封口承重：施加20千克载荷未破坏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25E3">
            <w:pPr>
              <w:jc w:val="center"/>
              <w:rPr>
                <w:rFonts w:hint="eastAsia" w:ascii="宋体" w:hAnsi="宋体" w:eastAsia="宋体" w:cs="宋体"/>
                <w:i w:val="0"/>
                <w:iCs w:val="0"/>
                <w:color w:val="000000"/>
                <w:sz w:val="22"/>
                <w:szCs w:val="22"/>
                <w:u w:val="none"/>
              </w:rPr>
            </w:pPr>
          </w:p>
        </w:tc>
      </w:tr>
      <w:tr w14:paraId="2C9C6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C0170">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2D7E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0D92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C64C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231E6">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A39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AE580">
            <w:pPr>
              <w:jc w:val="center"/>
              <w:rPr>
                <w:rFonts w:hint="eastAsia" w:ascii="宋体" w:hAnsi="宋体" w:eastAsia="宋体" w:cs="宋体"/>
                <w:i w:val="0"/>
                <w:iCs w:val="0"/>
                <w:color w:val="000000"/>
                <w:sz w:val="22"/>
                <w:szCs w:val="22"/>
                <w:u w:val="none"/>
              </w:rPr>
            </w:pPr>
          </w:p>
        </w:tc>
      </w:tr>
      <w:tr w14:paraId="5C15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6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F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智能窗帘电机</w:t>
            </w:r>
            <w:r>
              <w:rPr>
                <w:rFonts w:hint="eastAsia" w:ascii="宋体" w:hAnsi="宋体" w:eastAsia="宋体" w:cs="宋体"/>
                <w:i w:val="0"/>
                <w:iCs w:val="0"/>
                <w:color w:val="000000"/>
                <w:kern w:val="0"/>
                <w:sz w:val="22"/>
                <w:szCs w:val="22"/>
                <w:highlight w:val="none"/>
                <w:u w:val="none"/>
                <w:shd w:val="clear" w:fill="FFFF00"/>
                <w:lang w:val="en-US" w:eastAsia="zh-CN" w:bidi="ar"/>
              </w:rPr>
              <w:t>（投标提供样品）</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A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F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71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匹配网关</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488B">
            <w:pPr>
              <w:keepNext w:val="0"/>
              <w:keepLines w:val="0"/>
              <w:widowControl/>
              <w:suppressLineNumbers w:val="0"/>
              <w:jc w:val="left"/>
              <w:textAlignment w:val="top"/>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1.无线连接Zigbee3.0；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2.可语音控制、接入小爱同学</w:t>
            </w:r>
            <w:r>
              <w:rPr>
                <w:rFonts w:hint="eastAsia" w:ascii="宋体" w:hAnsi="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3.含适配遥控器</w:t>
            </w:r>
            <w:r>
              <w:rPr>
                <w:rFonts w:hint="eastAsia" w:ascii="宋体" w:hAnsi="宋体" w:cs="宋体"/>
                <w:i w:val="0"/>
                <w:iCs w:val="0"/>
                <w:color w:val="000000"/>
                <w:kern w:val="0"/>
                <w:sz w:val="22"/>
                <w:szCs w:val="22"/>
                <w:u w:val="none"/>
                <w:lang w:val="en-US" w:eastAsia="zh-CN" w:bidi="ar"/>
              </w:rPr>
              <w:br w:type="textWrapping"/>
            </w:r>
            <w:r>
              <w:rPr>
                <w:rFonts w:hint="eastAsia" w:ascii="宋体" w:hAnsi="宋体" w:cs="宋体"/>
                <w:b/>
                <w:bCs/>
                <w:i w:val="0"/>
                <w:iCs w:val="0"/>
                <w:color w:val="000000"/>
                <w:kern w:val="0"/>
                <w:sz w:val="22"/>
                <w:szCs w:val="22"/>
                <w:u w:val="none"/>
                <w:lang w:val="en-US" w:eastAsia="zh-CN" w:bidi="ar"/>
              </w:rPr>
              <w:t>4.品牌：小米、绿米、杜亚</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0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69850</wp:posOffset>
                  </wp:positionV>
                  <wp:extent cx="932815" cy="1047750"/>
                  <wp:effectExtent l="0" t="0" r="635" b="0"/>
                  <wp:wrapNone/>
                  <wp:docPr id="41" name="图片_6"/>
                  <wp:cNvGraphicFramePr/>
                  <a:graphic xmlns:a="http://schemas.openxmlformats.org/drawingml/2006/main">
                    <a:graphicData uri="http://schemas.openxmlformats.org/drawingml/2006/picture">
                      <pic:pic xmlns:pic="http://schemas.openxmlformats.org/drawingml/2006/picture">
                        <pic:nvPicPr>
                          <pic:cNvPr id="41" name="图片_6"/>
                          <pic:cNvPicPr/>
                        </pic:nvPicPr>
                        <pic:blipFill>
                          <a:blip r:embed="rId12"/>
                          <a:stretch>
                            <a:fillRect/>
                          </a:stretch>
                        </pic:blipFill>
                        <pic:spPr>
                          <a:xfrm>
                            <a:off x="0" y="0"/>
                            <a:ext cx="932815" cy="1047750"/>
                          </a:xfrm>
                          <a:prstGeom prst="rect">
                            <a:avLst/>
                          </a:prstGeom>
                          <a:noFill/>
                          <a:ln>
                            <a:noFill/>
                          </a:ln>
                        </pic:spPr>
                      </pic:pic>
                    </a:graphicData>
                  </a:graphic>
                </wp:anchor>
              </w:drawing>
            </w:r>
          </w:p>
        </w:tc>
      </w:tr>
      <w:tr w14:paraId="2CF7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9" w:hRule="atLeast"/>
          <w:jc w:val="center"/>
        </w:trPr>
        <w:tc>
          <w:tcPr>
            <w:tcW w:w="88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84BD8F">
            <w:pPr>
              <w:spacing w:line="360" w:lineRule="auto"/>
              <w:ind w:right="124" w:rightChars="59"/>
              <w:contextualSpacing/>
              <w:rPr>
                <w:rFonts w:hint="eastAsia" w:eastAsia="宋体"/>
                <w:sz w:val="22"/>
                <w:szCs w:val="22"/>
                <w:lang w:val="en-US" w:eastAsia="zh-CN"/>
              </w:rPr>
            </w:pPr>
            <w:r>
              <w:rPr>
                <w:rFonts w:hint="eastAsia"/>
                <w:sz w:val="22"/>
                <w:szCs w:val="22"/>
                <w:lang w:val="en-US" w:eastAsia="zh-CN"/>
              </w:rPr>
              <w:t>1.</w:t>
            </w:r>
            <w:r>
              <w:rPr>
                <w:rFonts w:hint="eastAsia" w:eastAsia="宋体"/>
                <w:sz w:val="22"/>
                <w:szCs w:val="22"/>
                <w:lang w:val="en-US" w:eastAsia="zh-CN"/>
              </w:rPr>
              <w:t>.中标单位需自行上门测量每个窗户的实际尺寸，最终按实际数量来结算</w:t>
            </w:r>
          </w:p>
          <w:p w14:paraId="5D138405">
            <w:pPr>
              <w:pStyle w:val="20"/>
              <w:spacing w:line="360" w:lineRule="auto"/>
              <w:rPr>
                <w:rFonts w:hint="default"/>
                <w:lang w:val="en-US" w:eastAsia="zh-CN"/>
              </w:rPr>
            </w:pPr>
            <w:r>
              <w:rPr>
                <w:rFonts w:hint="eastAsia"/>
                <w:b/>
                <w:bCs/>
                <w:color w:val="auto"/>
                <w:sz w:val="22"/>
                <w:szCs w:val="22"/>
                <w:highlight w:val="yellow"/>
                <w:shd w:val="clear" w:fill="FFFF00"/>
                <w:lang w:val="en-US" w:eastAsia="zh-CN"/>
              </w:rPr>
              <w:t>2.</w:t>
            </w:r>
            <w:r>
              <w:rPr>
                <w:rFonts w:hint="eastAsia" w:eastAsia="宋体"/>
                <w:b/>
                <w:bCs/>
                <w:color w:val="auto"/>
                <w:sz w:val="22"/>
                <w:szCs w:val="22"/>
                <w:highlight w:val="yellow"/>
                <w:shd w:val="clear" w:fill="FFFF00"/>
                <w:lang w:val="en-US" w:eastAsia="zh-CN"/>
              </w:rPr>
              <w:t>.投标样品要求：窗帘≥1*2.</w:t>
            </w:r>
            <w:r>
              <w:rPr>
                <w:rFonts w:hint="eastAsia"/>
                <w:b/>
                <w:bCs/>
                <w:color w:val="auto"/>
                <w:sz w:val="22"/>
                <w:szCs w:val="22"/>
                <w:highlight w:val="yellow"/>
                <w:shd w:val="clear" w:fill="FFFF00"/>
                <w:lang w:val="en-US" w:eastAsia="zh-CN"/>
              </w:rPr>
              <w:t>5</w:t>
            </w:r>
            <w:r>
              <w:rPr>
                <w:rFonts w:hint="eastAsia" w:eastAsia="宋体"/>
                <w:b/>
                <w:bCs/>
                <w:color w:val="auto"/>
                <w:sz w:val="22"/>
                <w:szCs w:val="22"/>
                <w:highlight w:val="yellow"/>
                <w:shd w:val="clear" w:fill="FFFF00"/>
                <w:lang w:val="en-US" w:eastAsia="zh-CN"/>
              </w:rPr>
              <w:t>m、纱帘≥1*2.</w:t>
            </w:r>
            <w:r>
              <w:rPr>
                <w:rFonts w:hint="eastAsia"/>
                <w:b/>
                <w:bCs/>
                <w:color w:val="auto"/>
                <w:sz w:val="22"/>
                <w:szCs w:val="22"/>
                <w:highlight w:val="yellow"/>
                <w:shd w:val="clear" w:fill="FFFF00"/>
                <w:lang w:val="en-US" w:eastAsia="zh-CN"/>
              </w:rPr>
              <w:t>5</w:t>
            </w:r>
            <w:r>
              <w:rPr>
                <w:rFonts w:hint="eastAsia" w:eastAsia="宋体"/>
                <w:b/>
                <w:bCs/>
                <w:color w:val="auto"/>
                <w:sz w:val="22"/>
                <w:szCs w:val="22"/>
                <w:highlight w:val="yellow"/>
                <w:shd w:val="clear" w:fill="FFFF00"/>
                <w:lang w:val="en-US" w:eastAsia="zh-CN"/>
              </w:rPr>
              <w:t>m、隔帘≥1*2.</w:t>
            </w:r>
            <w:r>
              <w:rPr>
                <w:rFonts w:hint="eastAsia"/>
                <w:b/>
                <w:bCs/>
                <w:color w:val="auto"/>
                <w:sz w:val="22"/>
                <w:szCs w:val="22"/>
                <w:highlight w:val="yellow"/>
                <w:shd w:val="clear" w:fill="FFFF00"/>
                <w:lang w:val="en-US" w:eastAsia="zh-CN"/>
              </w:rPr>
              <w:t>5</w:t>
            </w:r>
            <w:r>
              <w:rPr>
                <w:rFonts w:hint="eastAsia" w:eastAsia="宋体"/>
                <w:b/>
                <w:bCs/>
                <w:color w:val="auto"/>
                <w:sz w:val="22"/>
                <w:szCs w:val="22"/>
                <w:highlight w:val="yellow"/>
                <w:shd w:val="clear" w:fill="FFFF00"/>
                <w:lang w:val="en-US" w:eastAsia="zh-CN"/>
              </w:rPr>
              <w:t>m、电动开合轨道长度≥0.5m。</w:t>
            </w:r>
          </w:p>
        </w:tc>
      </w:tr>
    </w:tbl>
    <w:p w14:paraId="25848B5E">
      <w:pPr>
        <w:numPr>
          <w:ilvl w:val="0"/>
          <w:numId w:val="2"/>
        </w:numPr>
        <w:spacing w:line="440" w:lineRule="exact"/>
        <w:ind w:left="372" w:leftChars="177" w:right="124" w:rightChars="59" w:firstLine="569" w:firstLineChars="236"/>
        <w:contextualSpacing/>
        <w:rPr>
          <w:rFonts w:hint="eastAsia" w:eastAsia="宋体"/>
          <w:b/>
          <w:bCs w:val="0"/>
          <w:sz w:val="24"/>
          <w:szCs w:val="24"/>
          <w:lang w:val="en-US" w:eastAsia="zh-CN"/>
        </w:rPr>
      </w:pPr>
      <w:r>
        <w:rPr>
          <w:rFonts w:hint="eastAsia" w:eastAsia="宋体"/>
          <w:b/>
          <w:bCs w:val="0"/>
          <w:sz w:val="24"/>
          <w:szCs w:val="24"/>
          <w:lang w:val="en-US" w:eastAsia="zh-CN"/>
        </w:rPr>
        <w:t>制作要求</w:t>
      </w:r>
    </w:p>
    <w:p w14:paraId="15EE2394">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1.</w:t>
      </w:r>
      <w:r>
        <w:rPr>
          <w:rFonts w:hint="eastAsia" w:eastAsia="宋体"/>
          <w:sz w:val="24"/>
          <w:szCs w:val="24"/>
          <w:lang w:val="en-US" w:eastAsia="zh-CN"/>
        </w:rPr>
        <w:t>制作工艺：定位打韩折。窗帘宽度褶皱比为1：2（不计折边）、纱帘宽度褶皱比为1：2（不计折边）、隔帘宽度褶皱比为1：1.3（不计折边），顶部卷边双层≥8cm，底部卷边双层≥8cm，左右卷边各≥3cm，制作工艺精细，缝纫线路笔直，缝制时面料张紧有度，针距一致，无褶皱堆集现象，不得有漏针跳针现象。有纺布带采用10CM宽的布带，挂钩采用塑料可调节挂钩，窗帘、窗纱、隔帘帘须在锅炉内进行高温杀菌及真空定型处理，经过高温整烫定型后，帘布须达到自然波浪、皱折挺括、间距均匀、垂坠美观的效果；每幅窗帘要缝制扎带一条所有窗帘布料必须褶皱定型热处理，并经过预缩水处理；</w:t>
      </w:r>
    </w:p>
    <w:p w14:paraId="20979AEF">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2.</w:t>
      </w:r>
      <w:r>
        <w:rPr>
          <w:rFonts w:hint="eastAsia" w:eastAsia="宋体"/>
          <w:sz w:val="24"/>
          <w:szCs w:val="24"/>
          <w:lang w:val="en-US" w:eastAsia="zh-CN"/>
        </w:rPr>
        <w:t>线迹均匀平直，侧边不扭斜；缝纫线与布料颜色相同或相近；</w:t>
      </w:r>
    </w:p>
    <w:p w14:paraId="324EA1F3">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3.</w:t>
      </w:r>
      <w:r>
        <w:rPr>
          <w:rFonts w:hint="eastAsia" w:eastAsia="宋体"/>
          <w:sz w:val="24"/>
          <w:szCs w:val="24"/>
          <w:lang w:val="en-US" w:eastAsia="zh-CN"/>
        </w:rPr>
        <w:t>拼接处不扭斜，拼缝锁三线；</w:t>
      </w:r>
    </w:p>
    <w:p w14:paraId="0EB84EDC">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4.</w:t>
      </w:r>
      <w:r>
        <w:rPr>
          <w:rFonts w:hint="eastAsia" w:eastAsia="宋体"/>
          <w:sz w:val="24"/>
          <w:szCs w:val="24"/>
          <w:lang w:val="en-US" w:eastAsia="zh-CN"/>
        </w:rPr>
        <w:t>安装轨道支架间距≤50cm；</w:t>
      </w:r>
    </w:p>
    <w:p w14:paraId="34F2EB42">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5.</w:t>
      </w:r>
      <w:r>
        <w:rPr>
          <w:rFonts w:hint="eastAsia" w:eastAsia="宋体"/>
          <w:sz w:val="24"/>
          <w:szCs w:val="24"/>
          <w:lang w:val="en-US" w:eastAsia="zh-CN"/>
        </w:rPr>
        <w:t>遮光卷帘上梁用加厚38mm管，壁厚≧1.2mm，3.5cm铝合金椭圆重铝合金下梁；配重型拉莫斯制头；</w:t>
      </w:r>
    </w:p>
    <w:p w14:paraId="3B6EB5DB">
      <w:pPr>
        <w:spacing w:line="440" w:lineRule="exact"/>
        <w:ind w:left="372" w:leftChars="177" w:right="124" w:rightChars="59" w:firstLine="569" w:firstLineChars="236"/>
        <w:contextualSpacing/>
        <w:rPr>
          <w:rFonts w:hint="eastAsia" w:eastAsia="宋体"/>
          <w:b/>
          <w:bCs w:val="0"/>
          <w:sz w:val="24"/>
          <w:szCs w:val="24"/>
          <w:lang w:val="en-US" w:eastAsia="zh-CN"/>
        </w:rPr>
      </w:pPr>
      <w:r>
        <w:rPr>
          <w:rFonts w:hint="eastAsia" w:eastAsia="宋体"/>
          <w:b/>
          <w:bCs w:val="0"/>
          <w:sz w:val="24"/>
          <w:szCs w:val="24"/>
          <w:lang w:val="en-US" w:eastAsia="zh-CN"/>
        </w:rPr>
        <w:t>五、施工安装要求</w:t>
      </w:r>
    </w:p>
    <w:p w14:paraId="02F6B26B">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1.所有施工材料质量及施工质量必须严格按照国家规范及江苏省、扬州市相应地方规范、招标文件、材料厂家的技术规范的有关要求执行，如果在合同履行过程中有新的国家或行业（部）规范和标准出台的，则中标人应确保其合同产品达到并符合新的国家或行业（部）规范和标准，因此而增加的费用及风险由中标人自行承担。</w:t>
      </w:r>
    </w:p>
    <w:p w14:paraId="6E1A2D7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2.点位安装须考虑与空间环境及其他设施的关系，避免冲突、遮蔽。</w:t>
      </w:r>
    </w:p>
    <w:p w14:paraId="0D2ACB56">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3.项目实施期间应无条件的接受采购人的监督管理，提出的质量问题要及时整改，整改完毕后通知采购人检查验收，合格后书面报送采购人备案。</w:t>
      </w:r>
    </w:p>
    <w:p w14:paraId="1CF18387">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4.按照设计要求和技术标准施工安装，不得擅自修改设计，不得偷工减料。</w:t>
      </w:r>
    </w:p>
    <w:p w14:paraId="34D9B580">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5.施工时应根据设计效果图和制作工程量清单要求施工，安装辅材必须采用优质产品</w:t>
      </w:r>
    </w:p>
    <w:p w14:paraId="28397F29">
      <w:pPr>
        <w:spacing w:line="440" w:lineRule="exact"/>
        <w:ind w:left="372" w:leftChars="177" w:right="124" w:rightChars="59" w:firstLine="569" w:firstLineChars="236"/>
        <w:contextualSpacing/>
        <w:rPr>
          <w:rFonts w:hint="eastAsia" w:eastAsia="宋体"/>
          <w:b/>
          <w:bCs w:val="0"/>
          <w:sz w:val="24"/>
          <w:szCs w:val="24"/>
          <w:lang w:val="en-US" w:eastAsia="zh-CN"/>
        </w:rPr>
      </w:pPr>
      <w:r>
        <w:rPr>
          <w:rFonts w:hint="eastAsia" w:eastAsia="宋体"/>
          <w:b/>
          <w:bCs w:val="0"/>
          <w:sz w:val="24"/>
          <w:szCs w:val="24"/>
          <w:lang w:val="en-US" w:eastAsia="zh-CN"/>
        </w:rPr>
        <w:t>六、履约保证金</w:t>
      </w:r>
    </w:p>
    <w:p w14:paraId="5F3C679B">
      <w:pPr>
        <w:shd w:val="clear"/>
        <w:spacing w:line="440" w:lineRule="exact"/>
        <w:ind w:left="372" w:leftChars="177" w:right="124" w:rightChars="59" w:firstLine="569" w:firstLineChars="236"/>
        <w:contextualSpacing/>
        <w:rPr>
          <w:rFonts w:hint="eastAsia"/>
          <w:b/>
          <w:bCs/>
          <w:sz w:val="24"/>
          <w:szCs w:val="24"/>
          <w:lang w:val="en-US" w:eastAsia="zh-CN"/>
        </w:rPr>
      </w:pPr>
      <w:bookmarkStart w:id="7" w:name="_Toc497145843"/>
      <w:r>
        <w:rPr>
          <w:rFonts w:hint="eastAsia"/>
          <w:b/>
          <w:bCs/>
          <w:sz w:val="24"/>
          <w:szCs w:val="24"/>
          <w:lang w:val="en-US" w:eastAsia="zh-CN"/>
        </w:rPr>
        <w:t>1.中标人在收到中标通知书后，须在签订合同前应向甲方缴纳合同金额10%的履约保证金。如果承包人在规定时间内未能提交履约保证金，将被视为放弃中标资格，由此给发包人造成的损失，应予以赔偿。</w:t>
      </w:r>
    </w:p>
    <w:p w14:paraId="01001A1E">
      <w:pPr>
        <w:shd w:val="clea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2.履约保证金用以约束投标人在合同履行中的行为，弥补合同执行中由于自身行为可能给采购人带来的各种损失。如果中标投标人不同意按照规定去做，采购人有权取消本次采购中标决定。</w:t>
      </w:r>
    </w:p>
    <w:p w14:paraId="25F49693">
      <w:pPr>
        <w:shd w:val="clear"/>
        <w:spacing w:line="440" w:lineRule="exact"/>
        <w:ind w:left="372" w:leftChars="177" w:right="124" w:rightChars="59" w:firstLine="569" w:firstLineChars="236"/>
        <w:contextualSpacing/>
        <w:rPr>
          <w:rFonts w:hint="eastAsia"/>
          <w:b/>
          <w:bCs/>
          <w:sz w:val="24"/>
          <w:szCs w:val="24"/>
          <w:lang w:val="en-US" w:eastAsia="zh-CN"/>
        </w:rPr>
      </w:pPr>
      <w:r>
        <w:rPr>
          <w:rFonts w:hint="eastAsia"/>
          <w:b/>
          <w:bCs/>
          <w:sz w:val="24"/>
          <w:szCs w:val="24"/>
          <w:lang w:val="en-US" w:eastAsia="zh-CN"/>
        </w:rPr>
        <w:t>3.履约保证金的退还：合同履行完毕无质量问题，待保修期满且无违约行为，扣除维修金后退还。</w:t>
      </w:r>
    </w:p>
    <w:p w14:paraId="54BACBC0">
      <w:pPr>
        <w:spacing w:line="440" w:lineRule="exact"/>
        <w:ind w:left="372" w:leftChars="177" w:right="124" w:rightChars="59" w:firstLine="569" w:firstLineChars="236"/>
        <w:contextualSpacing/>
        <w:rPr>
          <w:rFonts w:hint="default" w:eastAsia="宋体"/>
          <w:b/>
          <w:bCs w:val="0"/>
          <w:sz w:val="24"/>
          <w:szCs w:val="24"/>
          <w:lang w:val="en-US" w:eastAsia="zh-CN"/>
        </w:rPr>
      </w:pPr>
      <w:r>
        <w:rPr>
          <w:rFonts w:hint="eastAsia" w:eastAsia="宋体"/>
          <w:b/>
          <w:bCs w:val="0"/>
          <w:sz w:val="24"/>
          <w:szCs w:val="24"/>
          <w:lang w:val="en-US" w:eastAsia="zh-CN"/>
        </w:rPr>
        <w:t>七、附件</w:t>
      </w:r>
    </w:p>
    <w:p w14:paraId="6DBEBA3B">
      <w:pPr>
        <w:numPr>
          <w:ilvl w:val="0"/>
          <w:numId w:val="0"/>
        </w:numPr>
        <w:spacing w:line="440" w:lineRule="exact"/>
        <w:ind w:leftChars="413" w:right="124" w:rightChars="59"/>
        <w:contextualSpacing/>
        <w:rPr>
          <w:rFonts w:hint="default"/>
          <w:lang w:val="en-US" w:eastAsia="zh-CN"/>
        </w:rPr>
      </w:pPr>
      <w:r>
        <w:rPr>
          <w:rFonts w:hint="eastAsia" w:eastAsia="宋体"/>
          <w:sz w:val="24"/>
          <w:szCs w:val="24"/>
          <w:lang w:val="en-US" w:eastAsia="zh-CN"/>
        </w:rPr>
        <w:t>1.现场照片</w:t>
      </w:r>
    </w:p>
    <w:p w14:paraId="5AA8019D">
      <w:pPr>
        <w:rPr>
          <w:rFonts w:ascii="宋体" w:hAnsi="宋体"/>
          <w:b/>
          <w:bCs/>
          <w:sz w:val="36"/>
        </w:rPr>
      </w:pPr>
      <w:r>
        <w:rPr>
          <w:rFonts w:hint="eastAsia" w:eastAsia="宋体"/>
          <w:sz w:val="24"/>
          <w:szCs w:val="24"/>
          <w:lang w:val="en-US" w:eastAsia="zh-CN"/>
        </w:rPr>
        <w:drawing>
          <wp:anchor distT="0" distB="0" distL="114300" distR="114300" simplePos="0" relativeHeight="251660288" behindDoc="0" locked="0" layoutInCell="1" allowOverlap="1">
            <wp:simplePos x="0" y="0"/>
            <wp:positionH relativeFrom="column">
              <wp:posOffset>1030605</wp:posOffset>
            </wp:positionH>
            <wp:positionV relativeFrom="paragraph">
              <wp:posOffset>67310</wp:posOffset>
            </wp:positionV>
            <wp:extent cx="3825875" cy="2449830"/>
            <wp:effectExtent l="0" t="0" r="3175" b="7620"/>
            <wp:wrapNone/>
            <wp:docPr id="42" name="图片 42" descr="f6425ed309b182c8cde7671ad930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6425ed309b182c8cde7671ad93080f"/>
                    <pic:cNvPicPr>
                      <a:picLocks noChangeAspect="1"/>
                    </pic:cNvPicPr>
                  </pic:nvPicPr>
                  <pic:blipFill>
                    <a:blip r:embed="rId13"/>
                    <a:stretch>
                      <a:fillRect/>
                    </a:stretch>
                  </pic:blipFill>
                  <pic:spPr>
                    <a:xfrm>
                      <a:off x="0" y="0"/>
                      <a:ext cx="3825875" cy="2449830"/>
                    </a:xfrm>
                    <a:prstGeom prst="rect">
                      <a:avLst/>
                    </a:prstGeom>
                  </pic:spPr>
                </pic:pic>
              </a:graphicData>
            </a:graphic>
          </wp:anchor>
        </w:drawing>
      </w:r>
    </w:p>
    <w:p w14:paraId="7857674A">
      <w:pPr>
        <w:rPr>
          <w:rFonts w:hint="eastAsia" w:ascii="宋体" w:hAnsi="宋体"/>
          <w:b/>
          <w:bCs/>
          <w:sz w:val="36"/>
        </w:rPr>
      </w:pPr>
    </w:p>
    <w:p w14:paraId="5CDDF68B">
      <w:pPr>
        <w:pStyle w:val="20"/>
        <w:rPr>
          <w:rFonts w:hint="eastAsia" w:ascii="宋体" w:hAnsi="宋体"/>
          <w:b/>
          <w:bCs/>
          <w:sz w:val="36"/>
        </w:rPr>
      </w:pPr>
    </w:p>
    <w:p w14:paraId="5B2218F6">
      <w:pPr>
        <w:rPr>
          <w:rFonts w:hint="eastAsia" w:ascii="宋体" w:hAnsi="宋体"/>
          <w:b/>
          <w:bCs/>
          <w:sz w:val="36"/>
        </w:rPr>
      </w:pPr>
    </w:p>
    <w:p w14:paraId="10A038A2">
      <w:pPr>
        <w:rPr>
          <w:rFonts w:hint="eastAsia" w:ascii="宋体" w:hAnsi="宋体"/>
          <w:b/>
          <w:bCs/>
          <w:sz w:val="36"/>
        </w:rPr>
      </w:pPr>
    </w:p>
    <w:p w14:paraId="5739CE2E">
      <w:pPr>
        <w:rPr>
          <w:rFonts w:hint="eastAsia" w:ascii="宋体" w:hAnsi="宋体"/>
          <w:b/>
          <w:bCs/>
          <w:sz w:val="36"/>
        </w:rPr>
      </w:pPr>
    </w:p>
    <w:p w14:paraId="37F432F3">
      <w:pPr>
        <w:rPr>
          <w:rFonts w:hint="eastAsia" w:eastAsia="宋体"/>
          <w:sz w:val="24"/>
          <w:szCs w:val="24"/>
          <w:lang w:val="en-US" w:eastAsia="zh-CN"/>
        </w:rPr>
      </w:pPr>
      <w:r>
        <w:rPr>
          <w:rFonts w:hint="eastAsia" w:eastAsia="宋体"/>
          <w:sz w:val="24"/>
          <w:szCs w:val="24"/>
          <w:lang w:val="en-US" w:eastAsia="zh-CN"/>
        </w:rPr>
        <w:br w:type="page"/>
      </w:r>
    </w:p>
    <w:p w14:paraId="21E1B821">
      <w:pPr>
        <w:numPr>
          <w:ilvl w:val="0"/>
          <w:numId w:val="0"/>
        </w:numPr>
        <w:spacing w:line="440" w:lineRule="exact"/>
        <w:ind w:leftChars="413" w:right="124" w:rightChars="59"/>
        <w:contextualSpacing/>
        <w:rPr>
          <w:rFonts w:hint="default" w:eastAsia="宋体" w:cs="Times New Roman"/>
          <w:sz w:val="24"/>
          <w:szCs w:val="24"/>
          <w:lang w:val="en-US" w:eastAsia="zh-CN"/>
        </w:rPr>
      </w:pPr>
      <w:r>
        <w:rPr>
          <w:rFonts w:hint="eastAsia" w:eastAsia="宋体" w:cs="Times New Roman"/>
          <w:sz w:val="24"/>
          <w:szCs w:val="24"/>
          <w:lang w:val="en-US" w:eastAsia="zh-CN"/>
        </w:rPr>
        <w:t>2.十二病区平面图</w:t>
      </w:r>
    </w:p>
    <w:p w14:paraId="36E54396">
      <w:pPr>
        <w:numPr>
          <w:ilvl w:val="0"/>
          <w:numId w:val="0"/>
        </w:numPr>
        <w:spacing w:line="440" w:lineRule="exact"/>
        <w:ind w:leftChars="413" w:right="124" w:rightChars="59"/>
        <w:contextualSpacing/>
        <w:rPr>
          <w:rFonts w:hint="eastAsia" w:eastAsia="宋体"/>
          <w:sz w:val="24"/>
          <w:szCs w:val="24"/>
          <w:lang w:val="en-US" w:eastAsia="zh-CN"/>
        </w:rPr>
      </w:pPr>
      <w:r>
        <w:rPr>
          <w:rFonts w:hint="default" w:eastAsia="宋体"/>
          <w:sz w:val="24"/>
          <w:szCs w:val="24"/>
          <w:lang w:val="en-US" w:eastAsia="zh-CN"/>
        </w:rPr>
        <w:drawing>
          <wp:anchor distT="0" distB="0" distL="114300" distR="114300" simplePos="0" relativeHeight="251661312" behindDoc="0" locked="0" layoutInCell="1" allowOverlap="1">
            <wp:simplePos x="0" y="0"/>
            <wp:positionH relativeFrom="column">
              <wp:posOffset>-363220</wp:posOffset>
            </wp:positionH>
            <wp:positionV relativeFrom="paragraph">
              <wp:posOffset>124460</wp:posOffset>
            </wp:positionV>
            <wp:extent cx="6213475" cy="3020060"/>
            <wp:effectExtent l="0" t="0" r="15875" b="8890"/>
            <wp:wrapNone/>
            <wp:docPr id="43" name="图片 43" descr="12病区平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病区平面_00"/>
                    <pic:cNvPicPr>
                      <a:picLocks noChangeAspect="1"/>
                    </pic:cNvPicPr>
                  </pic:nvPicPr>
                  <pic:blipFill>
                    <a:blip r:embed="rId14"/>
                    <a:srcRect t="15520" b="15741"/>
                    <a:stretch>
                      <a:fillRect/>
                    </a:stretch>
                  </pic:blipFill>
                  <pic:spPr>
                    <a:xfrm>
                      <a:off x="0" y="0"/>
                      <a:ext cx="6213475" cy="3020060"/>
                    </a:xfrm>
                    <a:prstGeom prst="rect">
                      <a:avLst/>
                    </a:prstGeom>
                  </pic:spPr>
                </pic:pic>
              </a:graphicData>
            </a:graphic>
          </wp:anchor>
        </w:drawing>
      </w:r>
    </w:p>
    <w:p w14:paraId="6BC89C8D">
      <w:pPr>
        <w:numPr>
          <w:ilvl w:val="0"/>
          <w:numId w:val="0"/>
        </w:numPr>
        <w:spacing w:line="440" w:lineRule="exact"/>
        <w:ind w:leftChars="413" w:right="124" w:rightChars="59"/>
        <w:contextualSpacing/>
        <w:rPr>
          <w:rFonts w:hint="eastAsia" w:eastAsia="宋体"/>
          <w:sz w:val="24"/>
          <w:szCs w:val="24"/>
          <w:lang w:val="en-US" w:eastAsia="zh-CN"/>
        </w:rPr>
      </w:pPr>
    </w:p>
    <w:p w14:paraId="5E69783F">
      <w:pPr>
        <w:numPr>
          <w:ilvl w:val="0"/>
          <w:numId w:val="0"/>
        </w:numPr>
        <w:spacing w:line="440" w:lineRule="exact"/>
        <w:ind w:leftChars="413" w:right="124" w:rightChars="59"/>
        <w:contextualSpacing/>
        <w:rPr>
          <w:rFonts w:hint="eastAsia" w:eastAsia="宋体"/>
          <w:sz w:val="24"/>
          <w:szCs w:val="24"/>
          <w:lang w:val="en-US" w:eastAsia="zh-CN"/>
        </w:rPr>
      </w:pPr>
    </w:p>
    <w:p w14:paraId="3250162F">
      <w:pPr>
        <w:numPr>
          <w:ilvl w:val="0"/>
          <w:numId w:val="0"/>
        </w:numPr>
        <w:spacing w:line="440" w:lineRule="exact"/>
        <w:ind w:leftChars="413" w:right="124" w:rightChars="59"/>
        <w:contextualSpacing/>
        <w:rPr>
          <w:rFonts w:hint="eastAsia" w:eastAsia="宋体"/>
          <w:sz w:val="24"/>
          <w:szCs w:val="24"/>
          <w:lang w:val="en-US" w:eastAsia="zh-CN"/>
        </w:rPr>
      </w:pPr>
    </w:p>
    <w:p w14:paraId="7CE323FC">
      <w:pPr>
        <w:numPr>
          <w:ilvl w:val="0"/>
          <w:numId w:val="0"/>
        </w:numPr>
        <w:spacing w:line="440" w:lineRule="exact"/>
        <w:ind w:leftChars="413" w:right="124" w:rightChars="59"/>
        <w:contextualSpacing/>
        <w:rPr>
          <w:rFonts w:ascii="宋体" w:hAnsi="宋体"/>
          <w:b/>
          <w:bCs/>
          <w:sz w:val="36"/>
        </w:rPr>
      </w:pPr>
      <w:r>
        <w:rPr>
          <w:rFonts w:hint="eastAsia" w:ascii="宋体" w:hAnsi="宋体"/>
          <w:b/>
          <w:bCs/>
          <w:sz w:val="36"/>
        </w:rPr>
        <w:br w:type="page"/>
      </w:r>
    </w:p>
    <w:p w14:paraId="379FA010">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三、评审方法</w:t>
      </w:r>
      <w:bookmarkEnd w:id="7"/>
    </w:p>
    <w:p w14:paraId="6C825EA4">
      <w:pPr>
        <w:pStyle w:val="63"/>
        <w:ind w:firstLine="482" w:firstLineChars="200"/>
        <w:rPr>
          <w:rFonts w:ascii="宋体" w:hAnsi="宋体"/>
          <w:b/>
          <w:kern w:val="2"/>
        </w:rPr>
      </w:pPr>
      <w:r>
        <w:rPr>
          <w:rFonts w:hint="eastAsia" w:ascii="宋体" w:hAnsi="宋体"/>
          <w:b/>
          <w:kern w:val="2"/>
        </w:rPr>
        <w:t>一、评审方法</w:t>
      </w:r>
    </w:p>
    <w:p w14:paraId="0DA921CF">
      <w:pPr>
        <w:spacing w:line="360" w:lineRule="auto"/>
        <w:ind w:firstLine="480" w:firstLineChars="200"/>
        <w:rPr>
          <w:sz w:val="24"/>
        </w:rPr>
      </w:pPr>
      <w:r>
        <w:rPr>
          <w:rFonts w:hint="eastAsia"/>
          <w:sz w:val="24"/>
        </w:rPr>
        <w:t>本项目采用综合评分法，评委会将对确定为实质性响应磋商文件要求的响应文件进行评价和比较。评审结果按评审后得分由高到低顺序排列。得分相同的，按最终报价单价由高到低顺序排列，得分且最终报价相同的并列。响应文件满足磋商文件全部实质性要求，且按照评审因素的量化指标评审得分最高的供应商为排名第一的成交候选人。</w:t>
      </w:r>
    </w:p>
    <w:p w14:paraId="6D77BE39">
      <w:pPr>
        <w:numPr>
          <w:ilvl w:val="0"/>
          <w:numId w:val="3"/>
        </w:numPr>
        <w:spacing w:line="360" w:lineRule="auto"/>
        <w:ind w:firstLine="482" w:firstLineChars="200"/>
        <w:rPr>
          <w:rFonts w:ascii="宋体" w:hAnsi="宋体"/>
          <w:b/>
          <w:sz w:val="24"/>
        </w:rPr>
      </w:pPr>
      <w:bookmarkStart w:id="8" w:name="_Toc449017024"/>
      <w:bookmarkStart w:id="9" w:name="_Toc449016388"/>
      <w:r>
        <w:rPr>
          <w:rFonts w:hint="eastAsia" w:ascii="宋体" w:hAnsi="宋体"/>
          <w:b/>
          <w:sz w:val="24"/>
        </w:rPr>
        <w:t>落实政府采购政策</w:t>
      </w:r>
      <w:r>
        <w:rPr>
          <w:rFonts w:ascii="宋体" w:hAnsi="宋体"/>
          <w:b/>
          <w:sz w:val="24"/>
        </w:rPr>
        <w:t>及政府采购不诚信记录扣分评审</w:t>
      </w:r>
      <w:bookmarkEnd w:id="8"/>
      <w:bookmarkEnd w:id="9"/>
      <w:r>
        <w:rPr>
          <w:rFonts w:ascii="宋体" w:hAnsi="宋体"/>
          <w:b/>
          <w:sz w:val="24"/>
        </w:rPr>
        <w:br w:type="textWrapping"/>
      </w:r>
      <w:r>
        <w:rPr>
          <w:rFonts w:hint="eastAsia" w:ascii="宋体" w:hAnsi="宋体"/>
          <w:b w:val="0"/>
          <w:bCs/>
          <w:sz w:val="24"/>
          <w:lang w:val="en-US" w:eastAsia="zh-CN"/>
        </w:rPr>
        <w:t>无</w:t>
      </w:r>
    </w:p>
    <w:p w14:paraId="6BFC7CEB">
      <w:pPr>
        <w:numPr>
          <w:ilvl w:val="0"/>
          <w:numId w:val="4"/>
        </w:numPr>
        <w:spacing w:line="360" w:lineRule="auto"/>
        <w:ind w:firstLine="482" w:firstLineChars="200"/>
        <w:rPr>
          <w:rFonts w:ascii="宋体" w:hAnsi="宋体"/>
          <w:b/>
          <w:sz w:val="24"/>
        </w:rPr>
      </w:pPr>
      <w:r>
        <w:rPr>
          <w:rFonts w:hint="eastAsia"/>
          <w:b/>
          <w:sz w:val="24"/>
        </w:rPr>
        <w:t>评分标准</w:t>
      </w:r>
    </w:p>
    <w:tbl>
      <w:tblPr>
        <w:tblStyle w:val="26"/>
        <w:tblW w:w="10350" w:type="dxa"/>
        <w:jc w:val="center"/>
        <w:tblLayout w:type="fixed"/>
        <w:tblCellMar>
          <w:top w:w="0" w:type="dxa"/>
          <w:left w:w="108" w:type="dxa"/>
          <w:bottom w:w="0" w:type="dxa"/>
          <w:right w:w="108" w:type="dxa"/>
        </w:tblCellMar>
      </w:tblPr>
      <w:tblGrid>
        <w:gridCol w:w="2204"/>
        <w:gridCol w:w="900"/>
        <w:gridCol w:w="7246"/>
      </w:tblGrid>
      <w:tr w14:paraId="349488C6">
        <w:tblPrEx>
          <w:tblCellMar>
            <w:top w:w="0" w:type="dxa"/>
            <w:left w:w="108" w:type="dxa"/>
            <w:bottom w:w="0" w:type="dxa"/>
            <w:right w:w="108" w:type="dxa"/>
          </w:tblCellMar>
        </w:tblPrEx>
        <w:trPr>
          <w:trHeight w:val="601"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CA94B0">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内容</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B52E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分值</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F93F53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评分方法</w:t>
            </w:r>
          </w:p>
        </w:tc>
      </w:tr>
      <w:tr w14:paraId="0E50EDCE">
        <w:tblPrEx>
          <w:tblCellMar>
            <w:top w:w="0" w:type="dxa"/>
            <w:left w:w="108" w:type="dxa"/>
            <w:bottom w:w="0" w:type="dxa"/>
            <w:right w:w="108" w:type="dxa"/>
          </w:tblCellMar>
        </w:tblPrEx>
        <w:trPr>
          <w:trHeight w:val="27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078B4E">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价格</w:t>
            </w:r>
          </w:p>
          <w:p w14:paraId="4DD78944">
            <w:pPr>
              <w:jc w:val="center"/>
              <w:rPr>
                <w:rFonts w:hAnsi="仿宋" w:cs="宋体"/>
                <w:color w:val="000000" w:themeColor="text1"/>
                <w:sz w:val="24"/>
                <w:szCs w:val="24"/>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30</w:t>
            </w:r>
            <w:r>
              <w:rPr>
                <w:rFonts w:hint="eastAsia" w:hAnsi="仿宋" w:cs="宋体"/>
                <w:color w:val="000000" w:themeColor="text1"/>
                <w:kern w:val="0"/>
                <w:sz w:val="24"/>
                <w:szCs w:val="24"/>
                <w:lang w:bidi="ar"/>
                <w14:textFill>
                  <w14:solidFill>
                    <w14:schemeClr w14:val="tx1"/>
                  </w14:solidFill>
                </w14:textFill>
              </w:rPr>
              <w:t>分）</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4ECCE1">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30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1EBA0630">
            <w:pP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以满足磋商文件要求且最终报价最低的供应商的价格为磋商基准价，其价格分得满分</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分。其他供应商价格得分统一按下列公式计算：磋商报价得分=（磋商基准价/其他最后磋商报价）×</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×100%（保留两位有效小数）</w:t>
            </w:r>
          </w:p>
          <w:p w14:paraId="4722EAD0">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0DF2E98C">
        <w:tblPrEx>
          <w:tblCellMar>
            <w:top w:w="0" w:type="dxa"/>
            <w:left w:w="108" w:type="dxa"/>
            <w:bottom w:w="0" w:type="dxa"/>
            <w:right w:w="108" w:type="dxa"/>
          </w:tblCellMar>
        </w:tblPrEx>
        <w:trPr>
          <w:trHeight w:val="81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91AAE">
            <w:pPr>
              <w:widowControl/>
              <w:jc w:val="center"/>
              <w:textAlignment w:val="center"/>
              <w:rPr>
                <w:rFonts w:hint="eastAsia" w:hAnsi="仿宋" w:cs="宋体"/>
                <w:color w:val="000000" w:themeColor="text1"/>
                <w:kern w:val="0"/>
                <w:sz w:val="24"/>
                <w:szCs w:val="24"/>
                <w:lang w:val="en-US" w:eastAsia="zh-CN" w:bidi="ar"/>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技术指标</w:t>
            </w:r>
          </w:p>
          <w:p w14:paraId="5E2B5857">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20</w:t>
            </w:r>
            <w:r>
              <w:rPr>
                <w:rFonts w:hint="eastAsia" w:hAnsi="仿宋" w:cs="宋体"/>
                <w:color w:val="000000" w:themeColor="text1"/>
                <w:kern w:val="0"/>
                <w:sz w:val="24"/>
                <w:szCs w:val="24"/>
                <w:lang w:bidi="ar"/>
                <w14:textFill>
                  <w14:solidFill>
                    <w14:schemeClr w14:val="tx1"/>
                  </w14:solidFill>
                </w14:textFill>
              </w:rPr>
              <w:t>分）</w:t>
            </w:r>
          </w:p>
          <w:p w14:paraId="18BAB77B">
            <w:pPr>
              <w:widowControl/>
              <w:jc w:val="center"/>
              <w:textAlignment w:val="center"/>
              <w:rPr>
                <w:rFonts w:hint="eastAsia" w:hAnsi="仿宋" w:eastAsia="宋体" w:cs="宋体"/>
                <w:color w:val="000000" w:themeColor="text1"/>
                <w:kern w:val="0"/>
                <w:sz w:val="24"/>
                <w:szCs w:val="24"/>
                <w:lang w:val="en-US" w:eastAsia="zh-CN"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A8B01A">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sz w:val="24"/>
                <w:szCs w:val="24"/>
                <w:lang w:val="en-US" w:eastAsia="zh-CN"/>
                <w14:textFill>
                  <w14:solidFill>
                    <w14:schemeClr w14:val="tx1"/>
                  </w14:solidFill>
                </w14:textFill>
              </w:rPr>
              <w:t>20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7B35A66">
            <w:pPr>
              <w:rPr>
                <w:rFonts w:hint="eastAsia" w:ascii="宋体" w:hAnsi="宋体" w:eastAsia="宋体" w:cs="宋体"/>
                <w:color w:val="000000" w:themeColor="text1"/>
                <w:sz w:val="24"/>
                <w:szCs w:val="24"/>
                <w14:textFill>
                  <w14:solidFill>
                    <w14:schemeClr w14:val="tx1"/>
                  </w14:solidFill>
                </w14:textFill>
              </w:rPr>
            </w:pPr>
            <w:bookmarkStart w:id="10" w:name="_Toc24861"/>
            <w:r>
              <w:rPr>
                <w:rFonts w:hint="eastAsia" w:ascii="宋体" w:hAnsi="宋体" w:eastAsia="宋体" w:cs="宋体"/>
                <w:color w:val="000000" w:themeColor="text1"/>
                <w:sz w:val="24"/>
                <w:szCs w:val="24"/>
                <w14:textFill>
                  <w14:solidFill>
                    <w14:schemeClr w14:val="tx1"/>
                  </w14:solidFill>
                </w14:textFill>
              </w:rPr>
              <w:t>投标人所投产品完全符合或优于招标文件“第</w:t>
            </w: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章项目需求第</w:t>
            </w: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项</w:t>
            </w:r>
            <w:r>
              <w:rPr>
                <w:rFonts w:hint="eastAsia" w:ascii="宋体" w:hAnsi="宋体" w:eastAsia="宋体" w:cs="宋体"/>
                <w:color w:val="000000" w:themeColor="text1"/>
                <w:sz w:val="24"/>
                <w:szCs w:val="24"/>
                <w:lang w:val="en-US" w:eastAsia="zh-CN"/>
                <w14:textFill>
                  <w14:solidFill>
                    <w14:schemeClr w14:val="tx1"/>
                  </w14:solidFill>
                </w14:textFill>
              </w:rPr>
              <w:t>技术要求</w:t>
            </w:r>
            <w:r>
              <w:rPr>
                <w:rFonts w:hint="eastAsia" w:ascii="宋体" w:hAnsi="宋体" w:eastAsia="宋体" w:cs="宋体"/>
                <w:color w:val="000000" w:themeColor="text1"/>
                <w:sz w:val="24"/>
                <w:szCs w:val="24"/>
                <w14:textFill>
                  <w14:solidFill>
                    <w14:schemeClr w14:val="tx1"/>
                  </w14:solidFill>
                </w14:textFill>
              </w:rPr>
              <w:t>”的技术参数要求得</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分。在此基础上标注“</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”符号的技术参数每有一项负偏离一项扣</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分；其他技术参数每有一项负偏离扣</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分，扣完为止。</w:t>
            </w:r>
          </w:p>
          <w:p w14:paraId="36F34E09">
            <w:pPr>
              <w:rPr>
                <w:rFonts w:hint="eastAsia" w:ascii="宋体" w:hAnsi="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注：以上技术参数需提供有效的第三方检测机构出具的带有“CMA标识的检测报告；所有参数需在同一份检测报告中</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不在一个报告书的不得分。</w:t>
            </w:r>
            <w:bookmarkEnd w:id="10"/>
          </w:p>
        </w:tc>
      </w:tr>
      <w:tr w14:paraId="2E22F890">
        <w:tblPrEx>
          <w:tblCellMar>
            <w:top w:w="0" w:type="dxa"/>
            <w:left w:w="108" w:type="dxa"/>
            <w:bottom w:w="0" w:type="dxa"/>
            <w:right w:w="108" w:type="dxa"/>
          </w:tblCellMar>
        </w:tblPrEx>
        <w:trPr>
          <w:trHeight w:val="425" w:hRule="atLeast"/>
          <w:jc w:val="center"/>
        </w:trPr>
        <w:tc>
          <w:tcPr>
            <w:tcW w:w="2204" w:type="dxa"/>
            <w:tcBorders>
              <w:top w:val="single" w:color="auto" w:sz="4" w:space="0"/>
              <w:left w:val="single" w:color="auto" w:sz="4" w:space="0"/>
              <w:right w:val="single" w:color="auto" w:sz="4" w:space="0"/>
            </w:tcBorders>
            <w:shd w:val="clear" w:color="auto" w:fill="auto"/>
            <w:noWrap/>
            <w:vAlign w:val="center"/>
          </w:tcPr>
          <w:p w14:paraId="24AA94CB">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样品</w:t>
            </w:r>
          </w:p>
          <w:p w14:paraId="35A8B3A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20</w:t>
            </w:r>
            <w:r>
              <w:rPr>
                <w:rFonts w:hint="eastAsia" w:hAnsi="仿宋" w:cs="宋体"/>
                <w:color w:val="000000" w:themeColor="text1"/>
                <w:kern w:val="0"/>
                <w:sz w:val="24"/>
                <w:szCs w:val="24"/>
                <w:lang w:bidi="ar"/>
                <w14:textFill>
                  <w14:solidFill>
                    <w14:schemeClr w14:val="tx1"/>
                  </w14:solidFill>
                </w14:textFill>
              </w:rPr>
              <w:t>分）</w:t>
            </w:r>
          </w:p>
          <w:p w14:paraId="5F9435F3">
            <w:pPr>
              <w:widowControl/>
              <w:jc w:val="center"/>
              <w:textAlignment w:val="center"/>
              <w:rPr>
                <w:rFonts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4CBE80">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20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791A4ECF">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供应商提供样品的整体功能结构</w:t>
            </w:r>
            <w:r>
              <w:rPr>
                <w:rFonts w:hint="eastAsia" w:hAnsi="仿宋" w:cs="宋体"/>
                <w:b/>
                <w:bCs/>
                <w:color w:val="000000" w:themeColor="text1"/>
                <w:kern w:val="0"/>
                <w:sz w:val="24"/>
                <w:szCs w:val="24"/>
                <w:lang w:bidi="ar"/>
                <w14:textFill>
                  <w14:solidFill>
                    <w14:schemeClr w14:val="tx1"/>
                  </w14:solidFill>
                </w14:textFill>
              </w:rPr>
              <w:t>优于</w:t>
            </w:r>
            <w:r>
              <w:rPr>
                <w:rFonts w:hint="eastAsia" w:hAnsi="仿宋" w:cs="宋体"/>
                <w:color w:val="000000" w:themeColor="text1"/>
                <w:kern w:val="0"/>
                <w:sz w:val="24"/>
                <w:szCs w:val="24"/>
                <w:lang w:bidi="ar"/>
                <w14:textFill>
                  <w14:solidFill>
                    <w14:schemeClr w14:val="tx1"/>
                  </w14:solidFill>
                </w14:textFill>
              </w:rPr>
              <w:t>采购项目需求，款式、色调、材料、内容相统一，舒适感和视觉效果好，得16-20分；</w:t>
            </w:r>
          </w:p>
          <w:p w14:paraId="79A0AB81">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完全符合</w:t>
            </w:r>
            <w:r>
              <w:rPr>
                <w:rFonts w:hint="eastAsia" w:hAnsi="仿宋" w:cs="宋体"/>
                <w:color w:val="000000" w:themeColor="text1"/>
                <w:kern w:val="0"/>
                <w:sz w:val="24"/>
                <w:szCs w:val="24"/>
                <w:lang w:bidi="ar"/>
                <w14:textFill>
                  <w14:solidFill>
                    <w14:schemeClr w14:val="tx1"/>
                  </w14:solidFill>
                </w14:textFill>
              </w:rPr>
              <w:t>项目需求，款式、色调、材料、内容较统一，舒适感和视觉效果较好，得8-1</w:t>
            </w:r>
            <w:r>
              <w:rPr>
                <w:rFonts w:hint="eastAsia" w:hAnsi="仿宋" w:cs="宋体"/>
                <w:color w:val="000000" w:themeColor="text1"/>
                <w:kern w:val="0"/>
                <w:sz w:val="24"/>
                <w:szCs w:val="24"/>
                <w:lang w:val="en-US" w:eastAsia="zh-CN" w:bidi="ar"/>
                <w14:textFill>
                  <w14:solidFill>
                    <w14:schemeClr w14:val="tx1"/>
                  </w14:solidFill>
                </w14:textFill>
              </w:rPr>
              <w:t>5</w:t>
            </w:r>
            <w:r>
              <w:rPr>
                <w:rFonts w:hint="eastAsia" w:hAnsi="仿宋" w:cs="宋体"/>
                <w:color w:val="000000" w:themeColor="text1"/>
                <w:kern w:val="0"/>
                <w:sz w:val="24"/>
                <w:szCs w:val="24"/>
                <w:lang w:bidi="ar"/>
                <w14:textFill>
                  <w14:solidFill>
                    <w14:schemeClr w14:val="tx1"/>
                  </w14:solidFill>
                </w14:textFill>
              </w:rPr>
              <w:t>分；</w:t>
            </w:r>
          </w:p>
          <w:p w14:paraId="75F921DE">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基本符合</w:t>
            </w:r>
            <w:r>
              <w:rPr>
                <w:rFonts w:hint="eastAsia" w:hAnsi="仿宋" w:cs="宋体"/>
                <w:color w:val="000000" w:themeColor="text1"/>
                <w:kern w:val="0"/>
                <w:sz w:val="24"/>
                <w:szCs w:val="24"/>
                <w:lang w:bidi="ar"/>
                <w14:textFill>
                  <w14:solidFill>
                    <w14:schemeClr w14:val="tx1"/>
                  </w14:solidFill>
                </w14:textFill>
              </w:rPr>
              <w:t>项目需求，款式、色调、材料、内容基本统一，舒适感和视觉效果一般，得1-</w:t>
            </w:r>
            <w:r>
              <w:rPr>
                <w:rFonts w:hint="eastAsia" w:hAnsi="仿宋" w:cs="宋体"/>
                <w:color w:val="000000" w:themeColor="text1"/>
                <w:kern w:val="0"/>
                <w:sz w:val="24"/>
                <w:szCs w:val="24"/>
                <w:lang w:val="en-US" w:eastAsia="zh-CN" w:bidi="ar"/>
                <w14:textFill>
                  <w14:solidFill>
                    <w14:schemeClr w14:val="tx1"/>
                  </w14:solidFill>
                </w14:textFill>
              </w:rPr>
              <w:t>7</w:t>
            </w:r>
            <w:r>
              <w:rPr>
                <w:rFonts w:hint="eastAsia" w:hAnsi="仿宋" w:cs="宋体"/>
                <w:color w:val="000000" w:themeColor="text1"/>
                <w:kern w:val="0"/>
                <w:sz w:val="24"/>
                <w:szCs w:val="24"/>
                <w:lang w:bidi="ar"/>
                <w14:textFill>
                  <w14:solidFill>
                    <w14:schemeClr w14:val="tx1"/>
                  </w14:solidFill>
                </w14:textFill>
              </w:rPr>
              <w:t>分；</w:t>
            </w:r>
          </w:p>
          <w:p w14:paraId="059A9814">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不符合</w:t>
            </w:r>
            <w:r>
              <w:rPr>
                <w:rFonts w:hint="eastAsia" w:hAnsi="仿宋" w:cs="宋体"/>
                <w:color w:val="000000" w:themeColor="text1"/>
                <w:kern w:val="0"/>
                <w:sz w:val="24"/>
                <w:szCs w:val="24"/>
                <w:lang w:bidi="ar"/>
                <w14:textFill>
                  <w14:solidFill>
                    <w14:schemeClr w14:val="tx1"/>
                  </w14:solidFill>
                </w14:textFill>
              </w:rPr>
              <w:t>项目需求，款式、色调、材料、内容不统一，舒适感和视觉效果不好，</w:t>
            </w:r>
            <w:r>
              <w:rPr>
                <w:rFonts w:hint="eastAsia" w:hAnsi="仿宋" w:cs="宋体"/>
                <w:b w:val="0"/>
                <w:bCs w:val="0"/>
                <w:color w:val="000000" w:themeColor="text1"/>
                <w:kern w:val="0"/>
                <w:sz w:val="24"/>
                <w:szCs w:val="24"/>
                <w:highlight w:val="none"/>
                <w:lang w:eastAsia="zh-CN" w:bidi="ar"/>
                <w14:textFill>
                  <w14:solidFill>
                    <w14:schemeClr w14:val="tx1"/>
                  </w14:solidFill>
                </w14:textFill>
              </w:rPr>
              <w:t>未提供样品，</w:t>
            </w:r>
            <w:r>
              <w:rPr>
                <w:rFonts w:hint="eastAsia" w:hAnsi="仿宋" w:cs="宋体"/>
                <w:color w:val="000000" w:themeColor="text1"/>
                <w:kern w:val="0"/>
                <w:sz w:val="24"/>
                <w:szCs w:val="24"/>
                <w:lang w:bidi="ar"/>
                <w14:textFill>
                  <w14:solidFill>
                    <w14:schemeClr w14:val="tx1"/>
                  </w14:solidFill>
                </w14:textFill>
              </w:rPr>
              <w:t>不得分；</w:t>
            </w:r>
          </w:p>
          <w:p w14:paraId="11B2DAEA">
            <w:pPr>
              <w:widowControl/>
              <w:jc w:val="left"/>
              <w:textAlignment w:val="center"/>
              <w:rPr>
                <w:rFonts w:hint="eastAsia" w:hAnsi="仿宋" w:eastAsia="宋体" w:cs="宋体"/>
                <w:color w:val="000000" w:themeColor="text1"/>
                <w:kern w:val="0"/>
                <w:sz w:val="24"/>
                <w:szCs w:val="24"/>
                <w:lang w:eastAsia="zh-CN" w:bidi="ar"/>
                <w14:textFill>
                  <w14:solidFill>
                    <w14:schemeClr w14:val="tx1"/>
                  </w14:solidFill>
                </w14:textFill>
              </w:rPr>
            </w:pPr>
            <w:r>
              <w:rPr>
                <w:rFonts w:hint="eastAsia" w:hAnsi="仿宋" w:cs="宋体"/>
                <w:b/>
                <w:bCs/>
                <w:color w:val="000000" w:themeColor="text1"/>
                <w:kern w:val="0"/>
                <w:sz w:val="24"/>
                <w:szCs w:val="24"/>
                <w:highlight w:val="none"/>
                <w:lang w:val="en-US" w:eastAsia="zh-CN" w:bidi="ar"/>
                <w14:textFill>
                  <w14:solidFill>
                    <w14:schemeClr w14:val="tx1"/>
                  </w14:solidFill>
                </w14:textFill>
              </w:rPr>
              <w:t>备注：</w:t>
            </w:r>
            <w:r>
              <w:rPr>
                <w:rFonts w:hint="eastAsia" w:hAnsi="仿宋" w:cs="宋体"/>
                <w:b/>
                <w:bCs/>
                <w:color w:val="000000" w:themeColor="text1"/>
                <w:kern w:val="0"/>
                <w:sz w:val="24"/>
                <w:szCs w:val="24"/>
                <w:highlight w:val="none"/>
                <w:lang w:bidi="ar"/>
                <w14:textFill>
                  <w14:solidFill>
                    <w14:schemeClr w14:val="tx1"/>
                  </w14:solidFill>
                </w14:textFill>
              </w:rPr>
              <w:t>投标时须提供</w:t>
            </w:r>
            <w:r>
              <w:rPr>
                <w:rFonts w:hint="eastAsia" w:hAnsi="仿宋" w:cs="宋体"/>
                <w:b/>
                <w:bCs/>
                <w:color w:val="000000" w:themeColor="text1"/>
                <w:kern w:val="0"/>
                <w:sz w:val="24"/>
                <w:szCs w:val="24"/>
                <w:highlight w:val="none"/>
                <w:lang w:val="en-US" w:eastAsia="zh-CN" w:bidi="ar"/>
                <w14:textFill>
                  <w14:solidFill>
                    <w14:schemeClr w14:val="tx1"/>
                  </w14:solidFill>
                </w14:textFill>
              </w:rPr>
              <w:t>窗帘、纱帘、隔帘、电动开合轨道、电机5</w:t>
            </w:r>
            <w:r>
              <w:rPr>
                <w:rFonts w:hint="eastAsia" w:hAnsi="仿宋" w:cs="宋体"/>
                <w:b/>
                <w:bCs/>
                <w:color w:val="000000" w:themeColor="text1"/>
                <w:kern w:val="0"/>
                <w:sz w:val="24"/>
                <w:szCs w:val="24"/>
                <w:highlight w:val="none"/>
                <w:lang w:bidi="ar"/>
                <w14:textFill>
                  <w14:solidFill>
                    <w14:schemeClr w14:val="tx1"/>
                  </w14:solidFill>
                </w14:textFill>
              </w:rPr>
              <w:t>种小样,样品应与</w:t>
            </w:r>
            <w:r>
              <w:rPr>
                <w:rFonts w:hint="eastAsia" w:hAnsi="仿宋" w:cs="宋体"/>
                <w:b/>
                <w:bCs/>
                <w:color w:val="000000" w:themeColor="text1"/>
                <w:kern w:val="0"/>
                <w:sz w:val="24"/>
                <w:szCs w:val="24"/>
                <w:highlight w:val="none"/>
                <w:lang w:val="en-US" w:eastAsia="zh-CN" w:bidi="ar"/>
                <w14:textFill>
                  <w14:solidFill>
                    <w14:schemeClr w14:val="tx1"/>
                  </w14:solidFill>
                </w14:textFill>
              </w:rPr>
              <w:t>技术参数</w:t>
            </w:r>
            <w:r>
              <w:rPr>
                <w:rFonts w:hint="eastAsia" w:hAnsi="仿宋" w:cs="宋体"/>
                <w:b/>
                <w:bCs/>
                <w:color w:val="000000" w:themeColor="text1"/>
                <w:kern w:val="0"/>
                <w:sz w:val="24"/>
                <w:szCs w:val="24"/>
                <w:highlight w:val="none"/>
                <w:lang w:bidi="ar"/>
                <w14:textFill>
                  <w14:solidFill>
                    <w14:schemeClr w14:val="tx1"/>
                  </w14:solidFill>
                </w14:textFill>
              </w:rPr>
              <w:t>一致。样品的费用由各投标人自行承担，中标单位的样品交由采购人封存</w:t>
            </w:r>
            <w:r>
              <w:rPr>
                <w:rFonts w:hint="eastAsia" w:hAnsi="仿宋" w:cs="宋体"/>
                <w:b/>
                <w:bCs/>
                <w:color w:val="000000" w:themeColor="text1"/>
                <w:kern w:val="0"/>
                <w:sz w:val="24"/>
                <w:szCs w:val="24"/>
                <w:highlight w:val="none"/>
                <w:lang w:eastAsia="zh-CN" w:bidi="ar"/>
                <w14:textFill>
                  <w14:solidFill>
                    <w14:schemeClr w14:val="tx1"/>
                  </w14:solidFill>
                </w14:textFill>
              </w:rPr>
              <w:t>。</w:t>
            </w:r>
          </w:p>
        </w:tc>
      </w:tr>
      <w:tr w14:paraId="42246391">
        <w:tblPrEx>
          <w:tblCellMar>
            <w:top w:w="0" w:type="dxa"/>
            <w:left w:w="108" w:type="dxa"/>
            <w:bottom w:w="0" w:type="dxa"/>
            <w:right w:w="108" w:type="dxa"/>
          </w:tblCellMar>
        </w:tblPrEx>
        <w:trPr>
          <w:trHeight w:val="54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F49000">
            <w:pPr>
              <w:widowControl/>
              <w:jc w:val="center"/>
              <w:textAlignment w:val="center"/>
              <w:rPr>
                <w:rFonts w:hint="eastAsia" w:hAnsi="仿宋" w:eastAsia="宋体" w:cs="宋体"/>
                <w:color w:val="000000" w:themeColor="text1"/>
                <w:kern w:val="0"/>
                <w:sz w:val="24"/>
                <w:szCs w:val="24"/>
                <w:lang w:bidi="ar"/>
                <w14:textFill>
                  <w14:solidFill>
                    <w14:schemeClr w14:val="tx1"/>
                  </w14:solidFill>
                </w14:textFill>
              </w:rPr>
            </w:pPr>
            <w:r>
              <w:rPr>
                <w:rFonts w:hint="eastAsia" w:hAnsi="仿宋" w:eastAsia="宋体" w:cs="宋体"/>
                <w:color w:val="000000" w:themeColor="text1"/>
                <w:kern w:val="0"/>
                <w:sz w:val="24"/>
                <w:szCs w:val="24"/>
                <w:lang w:bidi="ar"/>
                <w14:textFill>
                  <w14:solidFill>
                    <w14:schemeClr w14:val="tx1"/>
                  </w14:solidFill>
                </w14:textFill>
              </w:rPr>
              <w:t>施工进度计划及工期保证措施</w:t>
            </w:r>
          </w:p>
          <w:p w14:paraId="7651B9B9">
            <w:pPr>
              <w:widowControl/>
              <w:jc w:val="center"/>
              <w:textAlignment w:val="center"/>
              <w:rPr>
                <w:rFonts w:hint="eastAsia" w:ascii="Calibri" w:hAnsi="Calibri" w:eastAsia="宋体" w:cs="Times New Roman"/>
                <w:b/>
                <w:kern w:val="2"/>
                <w:sz w:val="21"/>
                <w:szCs w:val="21"/>
                <w:lang w:val="en-US" w:eastAsia="zh-CN" w:bidi="ar-SA"/>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EEC187">
            <w:pPr>
              <w:adjustRightInd w:val="0"/>
              <w:snapToGrid w:val="0"/>
              <w:spacing w:line="360" w:lineRule="auto"/>
              <w:jc w:val="center"/>
              <w:rPr>
                <w:rFonts w:hint="eastAsia" w:ascii="Calibri" w:hAnsi="Calibri" w:eastAsia="宋体" w:cs="Times New Roman"/>
                <w:b/>
                <w:kern w:val="2"/>
                <w:sz w:val="21"/>
                <w:szCs w:val="21"/>
                <w:lang w:val="en-US" w:eastAsia="zh-CN" w:bidi="ar-SA"/>
              </w:rPr>
            </w:pPr>
            <w:r>
              <w:rPr>
                <w:rFonts w:hint="eastAsia"/>
                <w:lang w:val="en-US" w:eastAsia="zh-CN"/>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7F73F77D">
            <w:pPr>
              <w:adjustRightInd w:val="0"/>
              <w:snapToGrid w:val="0"/>
              <w:spacing w:line="360" w:lineRule="auto"/>
              <w:jc w:val="left"/>
              <w:rPr>
                <w:rFonts w:hint="eastAsia" w:ascii="Calibri" w:hAnsi="Calibri" w:eastAsia="宋体" w:cs="Times New Roman"/>
                <w:kern w:val="2"/>
                <w:sz w:val="21"/>
                <w:szCs w:val="21"/>
                <w:lang w:val="en-US" w:eastAsia="zh-CN" w:bidi="ar-SA"/>
              </w:rPr>
            </w:pPr>
            <w:r>
              <w:rPr>
                <w:rFonts w:hint="eastAsia" w:ascii="宋体" w:hAnsi="宋体" w:eastAsia="宋体" w:cs="宋体"/>
                <w:color w:val="000000" w:themeColor="text1"/>
                <w:sz w:val="24"/>
                <w:szCs w:val="24"/>
                <w14:textFill>
                  <w14:solidFill>
                    <w14:schemeClr w14:val="tx1"/>
                  </w14:solidFill>
                </w14:textFill>
              </w:rPr>
              <w:t>施工进度计划及工期保证措施科学、严密、合理，描述详细且具有针对性的得</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分；较合理、严密、描述较为详细，不存在实施难度的得</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分；基本合理、描述良、存在可操作性得</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分；其余不得分。</w:t>
            </w:r>
          </w:p>
        </w:tc>
      </w:tr>
      <w:tr w14:paraId="73B931AF">
        <w:tblPrEx>
          <w:tblCellMar>
            <w:top w:w="0" w:type="dxa"/>
            <w:left w:w="108" w:type="dxa"/>
            <w:bottom w:w="0" w:type="dxa"/>
            <w:right w:w="108" w:type="dxa"/>
          </w:tblCellMar>
        </w:tblPrEx>
        <w:trPr>
          <w:trHeight w:val="54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536AD">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售后服务</w:t>
            </w:r>
          </w:p>
          <w:p w14:paraId="23EDF2E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p w14:paraId="69846F02">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ED6BD5">
            <w:pPr>
              <w:widowControl/>
              <w:jc w:val="center"/>
              <w:textAlignment w:val="center"/>
              <w:rPr>
                <w:rFonts w:hAnsi="仿宋" w:cs="宋体"/>
                <w:color w:val="000000" w:themeColor="text1"/>
                <w:sz w:val="24"/>
                <w:szCs w:val="24"/>
                <w14:textFill>
                  <w14:solidFill>
                    <w14:schemeClr w14:val="tx1"/>
                  </w14:solidFill>
                </w14:textFill>
              </w:rPr>
            </w:pPr>
            <w:r>
              <w:rPr>
                <w:rFonts w:hint="eastAsia" w:hAnsi="仿宋" w:cs="宋体"/>
                <w:color w:val="000000" w:themeColor="text1"/>
                <w:sz w:val="24"/>
                <w:szCs w:val="24"/>
                <w14:textFill>
                  <w14:solidFill>
                    <w14:schemeClr w14:val="tx1"/>
                  </w14:solidFill>
                </w14:textFill>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A37EC27">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有电动窗帘纱帘、隔帘、卷帘</w:t>
            </w:r>
            <w:r>
              <w:rPr>
                <w:rFonts w:hint="eastAsia" w:hAnsi="仿宋" w:cs="宋体"/>
                <w:b/>
                <w:bCs/>
                <w:color w:val="000000" w:themeColor="text1"/>
                <w:kern w:val="0"/>
                <w:sz w:val="24"/>
                <w:szCs w:val="24"/>
                <w:lang w:bidi="ar"/>
                <w14:textFill>
                  <w14:solidFill>
                    <w14:schemeClr w14:val="tx1"/>
                  </w14:solidFill>
                </w14:textFill>
              </w:rPr>
              <w:t>制作和安装的流程</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服务体系和质量保障措施</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困点难点的解决方案</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售后服务保障方案</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响应时间</w:t>
            </w:r>
            <w:r>
              <w:rPr>
                <w:rFonts w:hint="eastAsia" w:hAnsi="仿宋" w:cs="宋体"/>
                <w:color w:val="000000" w:themeColor="text1"/>
                <w:kern w:val="0"/>
                <w:sz w:val="24"/>
                <w:szCs w:val="24"/>
                <w:lang w:bidi="ar"/>
                <w14:textFill>
                  <w14:solidFill>
                    <w14:schemeClr w14:val="tx1"/>
                  </w14:solidFill>
                </w14:textFill>
              </w:rPr>
              <w:t>以及</w:t>
            </w:r>
            <w:r>
              <w:rPr>
                <w:rFonts w:hint="eastAsia" w:hAnsi="仿宋" w:cs="宋体"/>
                <w:b/>
                <w:bCs/>
                <w:color w:val="000000" w:themeColor="text1"/>
                <w:kern w:val="0"/>
                <w:sz w:val="24"/>
                <w:szCs w:val="24"/>
                <w:lang w:bidi="ar"/>
                <w14:textFill>
                  <w14:solidFill>
                    <w14:schemeClr w14:val="tx1"/>
                  </w14:solidFill>
                </w14:textFill>
              </w:rPr>
              <w:t>对后续服务方面的优惠承诺</w:t>
            </w:r>
            <w:r>
              <w:rPr>
                <w:rFonts w:hint="eastAsia" w:hAnsi="仿宋" w:cs="宋体"/>
                <w:color w:val="000000" w:themeColor="text1"/>
                <w:kern w:val="0"/>
                <w:sz w:val="24"/>
                <w:szCs w:val="24"/>
                <w:lang w:bidi="ar"/>
                <w14:textFill>
                  <w14:solidFill>
                    <w14:schemeClr w14:val="tx1"/>
                  </w14:solidFill>
                </w14:textFill>
              </w:rPr>
              <w:t>等服务方案，有一项服务方案内容且内容完整、详细、合理规范、可操作性强得</w:t>
            </w:r>
            <w:r>
              <w:rPr>
                <w:rFonts w:hint="eastAsia" w:hAnsi="仿宋" w:cs="宋体"/>
                <w:color w:val="000000" w:themeColor="text1"/>
                <w:kern w:val="0"/>
                <w:sz w:val="24"/>
                <w:szCs w:val="24"/>
                <w:lang w:val="en-US" w:eastAsia="zh-CN" w:bidi="ar"/>
                <w14:textFill>
                  <w14:solidFill>
                    <w14:schemeClr w14:val="tx1"/>
                  </w14:solidFill>
                </w14:textFill>
              </w:rPr>
              <w:t>2</w:t>
            </w:r>
            <w:r>
              <w:rPr>
                <w:rFonts w:hint="eastAsia" w:hAnsi="仿宋" w:cs="宋体"/>
                <w:color w:val="000000" w:themeColor="text1"/>
                <w:kern w:val="0"/>
                <w:sz w:val="24"/>
                <w:szCs w:val="24"/>
                <w:lang w:bidi="ar"/>
                <w14:textFill>
                  <w14:solidFill>
                    <w14:schemeClr w14:val="tx1"/>
                  </w14:solidFill>
                </w14:textFill>
              </w:rPr>
              <w:t>分，有一项服务方案且较完整、较详细、较合理规范、有一定的针对性、可操作性得</w:t>
            </w:r>
            <w:r>
              <w:rPr>
                <w:rFonts w:hint="eastAsia" w:hAnsi="仿宋" w:cs="宋体"/>
                <w:color w:val="000000" w:themeColor="text1"/>
                <w:kern w:val="0"/>
                <w:sz w:val="24"/>
                <w:szCs w:val="24"/>
                <w:lang w:val="en-US" w:eastAsia="zh-CN" w:bidi="ar"/>
                <w14:textFill>
                  <w14:solidFill>
                    <w14:schemeClr w14:val="tx1"/>
                  </w14:solidFill>
                </w14:textFill>
              </w:rPr>
              <w:t>1</w:t>
            </w:r>
            <w:r>
              <w:rPr>
                <w:rFonts w:hint="eastAsia" w:hAnsi="仿宋" w:cs="宋体"/>
                <w:color w:val="000000" w:themeColor="text1"/>
                <w:kern w:val="0"/>
                <w:sz w:val="24"/>
                <w:szCs w:val="24"/>
                <w:lang w:bidi="ar"/>
                <w14:textFill>
                  <w14:solidFill>
                    <w14:schemeClr w14:val="tx1"/>
                  </w14:solidFill>
                </w14:textFill>
              </w:rPr>
              <w:t>分；有一项服务方案且完整性一般、合理性和规范性一般、针对性和可操作性不强、差或未提供服务方案不得分，最多得</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tc>
      </w:tr>
      <w:tr w14:paraId="36AB7F7D">
        <w:tblPrEx>
          <w:tblCellMar>
            <w:top w:w="0" w:type="dxa"/>
            <w:left w:w="108" w:type="dxa"/>
            <w:bottom w:w="0" w:type="dxa"/>
            <w:right w:w="108" w:type="dxa"/>
          </w:tblCellMar>
        </w:tblPrEx>
        <w:trPr>
          <w:trHeight w:val="54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410268">
            <w:pPr>
              <w:widowControl/>
              <w:jc w:val="center"/>
              <w:textAlignment w:val="center"/>
              <w:rPr>
                <w:rFonts w:hint="eastAsia" w:hAnsi="仿宋" w:eastAsia="宋体" w:cs="宋体"/>
                <w:color w:val="000000" w:themeColor="text1"/>
                <w:kern w:val="0"/>
                <w:sz w:val="24"/>
                <w:szCs w:val="24"/>
                <w:lang w:bidi="ar"/>
                <w14:textFill>
                  <w14:solidFill>
                    <w14:schemeClr w14:val="tx1"/>
                  </w14:solidFill>
                </w14:textFill>
              </w:rPr>
            </w:pPr>
            <w:r>
              <w:rPr>
                <w:rFonts w:hint="eastAsia" w:hAnsi="仿宋" w:eastAsia="宋体" w:cs="宋体"/>
                <w:color w:val="000000" w:themeColor="text1"/>
                <w:kern w:val="0"/>
                <w:sz w:val="24"/>
                <w:szCs w:val="24"/>
                <w:lang w:bidi="ar"/>
                <w14:textFill>
                  <w14:solidFill>
                    <w14:schemeClr w14:val="tx1"/>
                  </w14:solidFill>
                </w14:textFill>
              </w:rPr>
              <w:t>公司业绩</w:t>
            </w:r>
          </w:p>
          <w:p w14:paraId="5782D4BB">
            <w:pPr>
              <w:widowControl/>
              <w:jc w:val="center"/>
              <w:textAlignment w:val="center"/>
              <w:rPr>
                <w:rFonts w:hint="eastAsia" w:eastAsia="宋体"/>
                <w:lang w:eastAsia="zh-CN"/>
              </w:rPr>
            </w:pPr>
            <w:r>
              <w:rPr>
                <w:rFonts w:hint="eastAsia" w:hAnsi="仿宋" w:eastAsia="宋体" w:cs="宋体"/>
                <w:color w:val="000000" w:themeColor="text1"/>
                <w:kern w:val="0"/>
                <w:sz w:val="24"/>
                <w:szCs w:val="24"/>
                <w:lang w:eastAsia="zh-CN" w:bidi="ar"/>
                <w14:textFill>
                  <w14:solidFill>
                    <w14:schemeClr w14:val="tx1"/>
                  </w14:solidFill>
                </w14:textFill>
              </w:rPr>
              <w:t>（</w:t>
            </w:r>
            <w:r>
              <w:rPr>
                <w:rFonts w:hint="eastAsia" w:hAnsi="仿宋" w:eastAsia="宋体" w:cs="宋体"/>
                <w:color w:val="000000" w:themeColor="text1"/>
                <w:kern w:val="0"/>
                <w:sz w:val="24"/>
                <w:szCs w:val="24"/>
                <w:lang w:val="en-US" w:eastAsia="zh-CN" w:bidi="ar"/>
                <w14:textFill>
                  <w14:solidFill>
                    <w14:schemeClr w14:val="tx1"/>
                  </w14:solidFill>
                </w14:textFill>
              </w:rPr>
              <w:t>10分</w:t>
            </w:r>
            <w:r>
              <w:rPr>
                <w:rFonts w:hint="eastAsia" w:hAnsi="仿宋" w:eastAsia="宋体" w:cs="宋体"/>
                <w:color w:val="000000" w:themeColor="text1"/>
                <w:kern w:val="0"/>
                <w:sz w:val="24"/>
                <w:szCs w:val="24"/>
                <w:lang w:eastAsia="zh-CN" w:bidi="ar"/>
                <w14:textFill>
                  <w14:solidFill>
                    <w14:schemeClr w14:val="tx1"/>
                  </w14:solidFill>
                </w14:textFill>
              </w:rPr>
              <w:t>）</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0C3015">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sz w:val="24"/>
                <w:szCs w:val="24"/>
                <w:lang w:val="en-US" w:eastAsia="zh-CN"/>
                <w14:textFill>
                  <w14:solidFill>
                    <w14:schemeClr w14:val="tx1"/>
                  </w14:solidFill>
                </w14:textFill>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1B486242">
            <w:pPr>
              <w:widowControl/>
              <w:jc w:val="left"/>
              <w:textAlignment w:val="center"/>
              <w:rPr>
                <w:rFonts w:hint="eastAsia" w:hAnsi="仿宋" w:eastAsia="宋体" w:cs="宋体"/>
                <w:color w:val="000000" w:themeColor="text1"/>
                <w:kern w:val="0"/>
                <w:sz w:val="24"/>
                <w:szCs w:val="24"/>
                <w:lang w:bidi="ar"/>
                <w14:textFill>
                  <w14:solidFill>
                    <w14:schemeClr w14:val="tx1"/>
                  </w14:solidFill>
                </w14:textFill>
              </w:rPr>
            </w:pPr>
            <w:r>
              <w:t>提</w:t>
            </w:r>
            <w:r>
              <w:rPr>
                <w:rFonts w:hint="eastAsia" w:hAnsi="仿宋" w:eastAsia="宋体" w:cs="宋体"/>
                <w:color w:val="000000" w:themeColor="text1"/>
                <w:kern w:val="0"/>
                <w:sz w:val="24"/>
                <w:szCs w:val="24"/>
                <w:lang w:bidi="ar"/>
                <w14:textFill>
                  <w14:solidFill>
                    <w14:schemeClr w14:val="tx1"/>
                  </w14:solidFill>
                </w14:textFill>
              </w:rPr>
              <w:t>供投标人自202</w:t>
            </w:r>
            <w:r>
              <w:rPr>
                <w:rFonts w:hint="eastAsia" w:hAnsi="仿宋" w:eastAsia="宋体" w:cs="宋体"/>
                <w:color w:val="000000" w:themeColor="text1"/>
                <w:kern w:val="0"/>
                <w:sz w:val="24"/>
                <w:szCs w:val="24"/>
                <w:lang w:val="en-US" w:eastAsia="zh-CN" w:bidi="ar"/>
                <w14:textFill>
                  <w14:solidFill>
                    <w14:schemeClr w14:val="tx1"/>
                  </w14:solidFill>
                </w14:textFill>
              </w:rPr>
              <w:t>2</w:t>
            </w:r>
            <w:r>
              <w:rPr>
                <w:rFonts w:hint="eastAsia" w:hAnsi="仿宋" w:eastAsia="宋体" w:cs="宋体"/>
                <w:color w:val="000000" w:themeColor="text1"/>
                <w:kern w:val="0"/>
                <w:sz w:val="24"/>
                <w:szCs w:val="24"/>
                <w:lang w:bidi="ar"/>
                <w14:textFill>
                  <w14:solidFill>
                    <w14:schemeClr w14:val="tx1"/>
                  </w14:solidFill>
                </w14:textFill>
              </w:rPr>
              <w:t>年</w:t>
            </w:r>
            <w:r>
              <w:rPr>
                <w:rFonts w:hint="eastAsia" w:hAnsi="仿宋" w:eastAsia="宋体" w:cs="宋体"/>
                <w:color w:val="000000" w:themeColor="text1"/>
                <w:kern w:val="0"/>
                <w:sz w:val="24"/>
                <w:szCs w:val="24"/>
                <w:lang w:val="en-US" w:eastAsia="zh-CN" w:bidi="ar"/>
                <w14:textFill>
                  <w14:solidFill>
                    <w14:schemeClr w14:val="tx1"/>
                  </w14:solidFill>
                </w14:textFill>
              </w:rPr>
              <w:t>5</w:t>
            </w:r>
            <w:r>
              <w:rPr>
                <w:rFonts w:hint="eastAsia" w:hAnsi="仿宋" w:eastAsia="宋体" w:cs="宋体"/>
                <w:color w:val="000000" w:themeColor="text1"/>
                <w:kern w:val="0"/>
                <w:sz w:val="24"/>
                <w:szCs w:val="24"/>
                <w:lang w:bidi="ar"/>
                <w14:textFill>
                  <w14:solidFill>
                    <w14:schemeClr w14:val="tx1"/>
                  </w14:solidFill>
                </w14:textFill>
              </w:rPr>
              <w:t>月1日至今类似项目合同，每提供一份得</w:t>
            </w:r>
            <w:r>
              <w:rPr>
                <w:rFonts w:hint="eastAsia" w:hAnsi="仿宋" w:eastAsia="宋体" w:cs="宋体"/>
                <w:color w:val="000000" w:themeColor="text1"/>
                <w:kern w:val="0"/>
                <w:sz w:val="24"/>
                <w:szCs w:val="24"/>
                <w:lang w:val="en-US" w:eastAsia="zh-CN" w:bidi="ar"/>
                <w14:textFill>
                  <w14:solidFill>
                    <w14:schemeClr w14:val="tx1"/>
                  </w14:solidFill>
                </w14:textFill>
              </w:rPr>
              <w:t>2</w:t>
            </w:r>
            <w:r>
              <w:rPr>
                <w:rFonts w:hint="eastAsia" w:hAnsi="仿宋" w:eastAsia="宋体" w:cs="宋体"/>
                <w:color w:val="000000" w:themeColor="text1"/>
                <w:kern w:val="0"/>
                <w:sz w:val="24"/>
                <w:szCs w:val="24"/>
                <w:lang w:bidi="ar"/>
                <w14:textFill>
                  <w14:solidFill>
                    <w14:schemeClr w14:val="tx1"/>
                  </w14:solidFill>
                </w14:textFill>
              </w:rPr>
              <w:t>分，满分</w:t>
            </w:r>
            <w:r>
              <w:rPr>
                <w:rFonts w:hint="eastAsia" w:hAnsi="仿宋" w:eastAsia="宋体" w:cs="宋体"/>
                <w:color w:val="000000" w:themeColor="text1"/>
                <w:kern w:val="0"/>
                <w:sz w:val="24"/>
                <w:szCs w:val="24"/>
                <w:lang w:val="en-US" w:eastAsia="zh-CN" w:bidi="ar"/>
                <w14:textFill>
                  <w14:solidFill>
                    <w14:schemeClr w14:val="tx1"/>
                  </w14:solidFill>
                </w14:textFill>
              </w:rPr>
              <w:t>10</w:t>
            </w:r>
            <w:r>
              <w:rPr>
                <w:rFonts w:hint="eastAsia" w:hAnsi="仿宋" w:eastAsia="宋体" w:cs="宋体"/>
                <w:color w:val="000000" w:themeColor="text1"/>
                <w:kern w:val="0"/>
                <w:sz w:val="24"/>
                <w:szCs w:val="24"/>
                <w:lang w:bidi="ar"/>
                <w14:textFill>
                  <w14:solidFill>
                    <w14:schemeClr w14:val="tx1"/>
                  </w14:solidFill>
                </w14:textFill>
              </w:rPr>
              <w:t>分。</w:t>
            </w:r>
          </w:p>
          <w:p w14:paraId="4288DA1D">
            <w:pPr>
              <w:rPr>
                <w:rFonts w:hint="eastAsia" w:hAnsi="仿宋" w:cs="宋体"/>
                <w:color w:val="000000" w:themeColor="text1"/>
                <w:kern w:val="0"/>
                <w:sz w:val="24"/>
                <w:szCs w:val="24"/>
                <w:lang w:bidi="ar"/>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备注：以合同签订时间为准，提供合同复印件并加盖投标人公章，同一业主单位合同不重复计分，未按要求提供不得分</w:t>
            </w:r>
          </w:p>
        </w:tc>
      </w:tr>
    </w:tbl>
    <w:p w14:paraId="14304E8F">
      <w:pPr>
        <w:jc w:val="center"/>
        <w:rPr>
          <w:b/>
          <w:sz w:val="32"/>
          <w:szCs w:val="32"/>
        </w:rPr>
      </w:pPr>
    </w:p>
    <w:p w14:paraId="65BECCDA">
      <w:pPr>
        <w:rPr>
          <w:rFonts w:hint="eastAsia"/>
          <w:b/>
          <w:sz w:val="32"/>
          <w:szCs w:val="32"/>
        </w:rPr>
      </w:pPr>
      <w:r>
        <w:rPr>
          <w:rFonts w:hint="eastAsia"/>
          <w:b/>
          <w:sz w:val="32"/>
          <w:szCs w:val="32"/>
        </w:rPr>
        <w:br w:type="page"/>
      </w:r>
    </w:p>
    <w:p w14:paraId="64356324">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四、投标人须知</w:t>
      </w:r>
      <w:bookmarkEnd w:id="2"/>
    </w:p>
    <w:p w14:paraId="58E500C2">
      <w:pPr>
        <w:ind w:firstLine="562" w:firstLineChars="200"/>
        <w:rPr>
          <w:b/>
          <w:sz w:val="28"/>
          <w:szCs w:val="28"/>
        </w:rPr>
      </w:pPr>
      <w:r>
        <w:rPr>
          <w:rFonts w:hint="eastAsia"/>
          <w:b/>
          <w:sz w:val="28"/>
          <w:szCs w:val="28"/>
        </w:rPr>
        <w:t>（一）编制要求</w:t>
      </w:r>
    </w:p>
    <w:p w14:paraId="4576E43B">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投标人应在仔细阅读谈判文件的基础上，按招标方要求认真编写投标文件，并加盖投标单位公章。投标人提供的投标文件必须真实、详尽。所有投标文件须有总目录和总页码，每份标书从起始页依次插入连续的页码。投标文件袋须密封良好并加盖骑缝印章，送达指定地点，逾时送交的材料概不接受。</w:t>
      </w:r>
    </w:p>
    <w:p w14:paraId="4D127D6D">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2、投标人在收到谈判文件后，若有疑问应以书面形式（包括书面文字、传真、电子邮件等）在规定时间前向招标人提出。招标人将所有问题集中后在统一答复所有投标人。</w:t>
      </w:r>
    </w:p>
    <w:p w14:paraId="32228340">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3、明确标明“正本”或“副本”字样，一旦正本和副本有差异，以正本为准。所有投标资料均需A4纸打印，按照谈判文件规定的顺序装订。</w:t>
      </w:r>
    </w:p>
    <w:p w14:paraId="0F5E4E29">
      <w:pPr>
        <w:ind w:firstLine="562" w:firstLineChars="200"/>
        <w:rPr>
          <w:b/>
          <w:sz w:val="28"/>
          <w:szCs w:val="28"/>
        </w:rPr>
      </w:pPr>
      <w:bookmarkStart w:id="11" w:name="_Toc39744254"/>
      <w:r>
        <w:rPr>
          <w:rFonts w:hint="eastAsia"/>
          <w:b/>
          <w:sz w:val="28"/>
          <w:szCs w:val="28"/>
        </w:rPr>
        <w:t>（二）资格审查要求</w:t>
      </w:r>
      <w:bookmarkEnd w:id="11"/>
    </w:p>
    <w:p w14:paraId="62D3239F">
      <w:pPr>
        <w:autoSpaceDE w:val="0"/>
        <w:autoSpaceDN w:val="0"/>
        <w:adjustRightInd w:val="0"/>
        <w:snapToGrid w:val="0"/>
        <w:spacing w:line="440" w:lineRule="exact"/>
        <w:ind w:left="424" w:leftChars="202" w:right="531" w:rightChars="253" w:firstLine="371" w:firstLineChars="176"/>
        <w:contextualSpacing/>
        <w:rPr>
          <w:rFonts w:ascii="宋体" w:hAnsi="宋体"/>
          <w:b/>
          <w:szCs w:val="21"/>
        </w:rPr>
      </w:pPr>
      <w:r>
        <w:rPr>
          <w:rFonts w:hint="eastAsia" w:ascii="宋体" w:hAnsi="宋体"/>
          <w:b/>
          <w:color w:val="FF0000"/>
          <w:szCs w:val="21"/>
        </w:rPr>
        <w:t>2025年</w:t>
      </w:r>
      <w:r>
        <w:rPr>
          <w:rFonts w:hint="eastAsia" w:ascii="宋体" w:hAnsi="宋体"/>
          <w:b/>
          <w:color w:val="FF0000"/>
          <w:szCs w:val="21"/>
          <w:lang w:val="en-US" w:eastAsia="zh-CN"/>
        </w:rPr>
        <w:t>5</w:t>
      </w:r>
      <w:r>
        <w:rPr>
          <w:rFonts w:hint="eastAsia" w:ascii="宋体" w:hAnsi="宋体"/>
          <w:b/>
          <w:color w:val="FF0000"/>
          <w:szCs w:val="21"/>
        </w:rPr>
        <w:t>月</w:t>
      </w:r>
      <w:r>
        <w:rPr>
          <w:rFonts w:hint="eastAsia" w:ascii="宋体" w:hAnsi="宋体"/>
          <w:b/>
          <w:color w:val="FF0000"/>
          <w:szCs w:val="21"/>
          <w:lang w:val="en-US" w:eastAsia="zh-CN"/>
        </w:rPr>
        <w:t>25</w:t>
      </w:r>
      <w:r>
        <w:rPr>
          <w:rFonts w:hint="eastAsia" w:ascii="宋体" w:hAnsi="宋体"/>
          <w:b/>
          <w:color w:val="FF0000"/>
          <w:szCs w:val="21"/>
        </w:rPr>
        <w:t>日17：00</w:t>
      </w:r>
      <w:r>
        <w:rPr>
          <w:rFonts w:hint="eastAsia" w:ascii="宋体" w:hAnsi="宋体"/>
          <w:b/>
          <w:szCs w:val="21"/>
        </w:rPr>
        <w:t>前须向招标人提供法人授权委托书、供应商参加招标确认函、营业执照复印件扫描件发送电子邮箱，该授权委托代理为项目指定联系人。</w:t>
      </w:r>
    </w:p>
    <w:p w14:paraId="704A8A51">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ascii="宋体" w:hAnsi="宋体"/>
          <w:szCs w:val="21"/>
        </w:rPr>
        <w:t>投标人资质要求</w:t>
      </w:r>
    </w:p>
    <w:p w14:paraId="47FD066E">
      <w:pPr>
        <w:adjustRightInd w:val="0"/>
        <w:spacing w:line="440" w:lineRule="exact"/>
        <w:ind w:left="496" w:leftChars="236" w:right="248" w:rightChars="118" w:firstLine="369" w:firstLineChars="176"/>
        <w:contextualSpacing/>
      </w:pPr>
      <w:r>
        <w:t>证明投标人合格和资格的文件</w:t>
      </w:r>
      <w:r>
        <w:rPr>
          <w:rFonts w:hint="eastAsia"/>
        </w:rPr>
        <w:t>：</w:t>
      </w:r>
      <w:r>
        <w:t>投标人应提交证明其有资格参加投标和中标后有能力履行合同的文件，并作为其投标文件的一部分。</w:t>
      </w:r>
    </w:p>
    <w:p w14:paraId="3EFD3C1E">
      <w:pPr>
        <w:snapToGrid w:val="0"/>
        <w:spacing w:line="440" w:lineRule="exact"/>
        <w:ind w:firstLine="723" w:firstLineChars="300"/>
        <w:rPr>
          <w:rStyle w:val="62"/>
          <w:rFonts w:ascii="宋体" w:hAnsi="宋体" w:cs="宋体"/>
          <w:b/>
          <w:bCs/>
          <w:sz w:val="24"/>
        </w:rPr>
      </w:pPr>
      <w:r>
        <w:rPr>
          <w:rStyle w:val="62"/>
          <w:rFonts w:ascii="宋体" w:hAnsi="宋体"/>
          <w:b/>
          <w:sz w:val="24"/>
        </w:rPr>
        <w:t>1．</w:t>
      </w:r>
      <w:r>
        <w:rPr>
          <w:rStyle w:val="62"/>
          <w:rFonts w:ascii="宋体" w:hAnsi="宋体" w:cs="宋体"/>
          <w:b/>
          <w:bCs/>
          <w:sz w:val="24"/>
        </w:rPr>
        <w:t>符合本次采购法律法规规定的条件目录</w:t>
      </w:r>
    </w:p>
    <w:p w14:paraId="508B32A1">
      <w:pPr>
        <w:adjustRightInd w:val="0"/>
        <w:spacing w:line="440" w:lineRule="exact"/>
        <w:ind w:left="496" w:leftChars="236" w:right="248" w:rightChars="118" w:firstLine="369" w:firstLineChars="176"/>
        <w:contextualSpacing/>
        <w:rPr>
          <w:u w:val="single"/>
        </w:rPr>
      </w:pPr>
      <w:r>
        <w:rPr>
          <w:u w:val="single"/>
        </w:rPr>
        <w:t>1.1</w:t>
      </w:r>
      <w:r>
        <w:rPr>
          <w:rFonts w:hint="eastAsia" w:ascii="宋体" w:hAnsi="宋体" w:cs="宋体"/>
          <w:u w:val="single"/>
        </w:rPr>
        <w:t>★</w:t>
      </w:r>
      <w:r>
        <w:rPr>
          <w:u w:val="single"/>
        </w:rPr>
        <w:t>投标函(原件)；</w:t>
      </w:r>
    </w:p>
    <w:p w14:paraId="78020589">
      <w:pPr>
        <w:adjustRightInd w:val="0"/>
        <w:spacing w:line="440" w:lineRule="exact"/>
        <w:ind w:left="496" w:leftChars="236" w:right="248" w:rightChars="118" w:firstLine="369" w:firstLineChars="176"/>
        <w:contextualSpacing/>
        <w:rPr>
          <w:u w:val="single"/>
        </w:rPr>
      </w:pPr>
      <w:r>
        <w:rPr>
          <w:u w:val="single"/>
        </w:rPr>
        <w:t>1.2</w:t>
      </w:r>
      <w:r>
        <w:rPr>
          <w:rFonts w:hint="eastAsia" w:ascii="宋体" w:hAnsi="宋体" w:cs="宋体"/>
          <w:u w:val="single"/>
        </w:rPr>
        <w:t>★</w:t>
      </w:r>
      <w:r>
        <w:rPr>
          <w:u w:val="single"/>
        </w:rPr>
        <w:t>资格声明(原件)；</w:t>
      </w:r>
    </w:p>
    <w:p w14:paraId="6B77047D">
      <w:pPr>
        <w:adjustRightInd w:val="0"/>
        <w:spacing w:line="440" w:lineRule="exact"/>
        <w:ind w:left="496" w:leftChars="236" w:right="248" w:rightChars="118" w:firstLine="369" w:firstLineChars="176"/>
        <w:contextualSpacing/>
        <w:rPr>
          <w:u w:val="single"/>
        </w:rPr>
      </w:pPr>
      <w:r>
        <w:rPr>
          <w:u w:val="single"/>
        </w:rPr>
        <w:t>1.3</w:t>
      </w:r>
      <w:r>
        <w:rPr>
          <w:rFonts w:hint="eastAsia" w:ascii="宋体" w:hAnsi="宋体" w:cs="宋体"/>
          <w:u w:val="single"/>
        </w:rPr>
        <w:t>★</w:t>
      </w:r>
      <w:r>
        <w:rPr>
          <w:u w:val="single"/>
        </w:rPr>
        <w:t>若法定代表人参加投标的，须提供本人身份证复印件(原件备查)；若授权代表参加的，须提供《法人授权书》原件和授权代表身份证复印件（原件备查）；</w:t>
      </w:r>
    </w:p>
    <w:p w14:paraId="678F62AE">
      <w:pPr>
        <w:adjustRightInd w:val="0"/>
        <w:spacing w:line="440" w:lineRule="exact"/>
        <w:ind w:left="496" w:leftChars="236" w:right="248" w:rightChars="118" w:firstLine="369" w:firstLineChars="176"/>
        <w:contextualSpacing/>
        <w:rPr>
          <w:u w:val="single"/>
        </w:rPr>
      </w:pPr>
      <w:r>
        <w:rPr>
          <w:u w:val="single"/>
        </w:rPr>
        <w:t>1.4</w:t>
      </w:r>
      <w:r>
        <w:rPr>
          <w:rFonts w:hint="eastAsia" w:ascii="宋体" w:hAnsi="宋体" w:cs="宋体"/>
          <w:u w:val="single"/>
        </w:rPr>
        <w:t>★</w:t>
      </w:r>
      <w:r>
        <w:rPr>
          <w:u w:val="single"/>
        </w:rPr>
        <w:t>营业执照副本(复印件加盖供应商公章)；</w:t>
      </w:r>
    </w:p>
    <w:p w14:paraId="2F9F5927">
      <w:pPr>
        <w:adjustRightInd w:val="0"/>
        <w:spacing w:line="440" w:lineRule="exact"/>
        <w:ind w:left="496" w:leftChars="236" w:right="248" w:rightChars="118" w:firstLine="369" w:firstLineChars="176"/>
        <w:contextualSpacing/>
        <w:rPr>
          <w:u w:val="single"/>
        </w:rPr>
      </w:pPr>
      <w:r>
        <w:rPr>
          <w:u w:val="single"/>
        </w:rPr>
        <w:t>1.5</w:t>
      </w:r>
      <w:r>
        <w:rPr>
          <w:rFonts w:hint="eastAsia" w:ascii="宋体" w:hAnsi="宋体" w:cs="宋体"/>
          <w:u w:val="single"/>
        </w:rPr>
        <w:t>★</w:t>
      </w:r>
      <w:r>
        <w:rPr>
          <w:u w:val="single"/>
        </w:rPr>
        <w:t>依法缴纳职工社会保障资金的证明材料(复印件加盖供应商公章)(税务、银行或社会保险基金管理部门出具的</w:t>
      </w:r>
      <w:r>
        <w:rPr>
          <w:rFonts w:hint="eastAsia"/>
          <w:u w:val="single"/>
        </w:rPr>
        <w:t>近</w:t>
      </w:r>
      <w:r>
        <w:rPr>
          <w:u w:val="single"/>
        </w:rPr>
        <w:t>三个月内任意一份缴纳职工社会保障资金的缴款凭证或缴款证明)；</w:t>
      </w:r>
    </w:p>
    <w:p w14:paraId="7DA1B69D">
      <w:pPr>
        <w:adjustRightInd w:val="0"/>
        <w:spacing w:line="440" w:lineRule="exact"/>
        <w:ind w:left="496" w:leftChars="236" w:right="248" w:rightChars="118" w:firstLine="369" w:firstLineChars="176"/>
        <w:contextualSpacing/>
        <w:rPr>
          <w:u w:val="single"/>
        </w:rPr>
      </w:pPr>
      <w:r>
        <w:rPr>
          <w:u w:val="single"/>
        </w:rPr>
        <w:t>1.6</w:t>
      </w:r>
      <w:r>
        <w:rPr>
          <w:rFonts w:hint="eastAsia" w:ascii="宋体" w:hAnsi="宋体" w:cs="宋体"/>
          <w:u w:val="single"/>
        </w:rPr>
        <w:t>★</w:t>
      </w:r>
      <w:r>
        <w:rPr>
          <w:u w:val="single"/>
        </w:rPr>
        <w:t>供应商近三个月内任意一份依法纳税的缴款凭证(复印件加盖供应商公章)；</w:t>
      </w:r>
    </w:p>
    <w:p w14:paraId="37582984">
      <w:pPr>
        <w:adjustRightInd w:val="0"/>
        <w:spacing w:line="440" w:lineRule="exact"/>
        <w:ind w:left="496" w:leftChars="236" w:right="248" w:rightChars="118" w:firstLine="369" w:firstLineChars="176"/>
        <w:contextualSpacing/>
        <w:rPr>
          <w:u w:val="single"/>
        </w:rPr>
      </w:pPr>
      <w:r>
        <w:rPr>
          <w:u w:val="single"/>
        </w:rPr>
        <w:t>1.7</w:t>
      </w:r>
      <w:r>
        <w:rPr>
          <w:rFonts w:hint="eastAsia" w:ascii="宋体" w:hAnsi="宋体" w:cs="宋体"/>
          <w:u w:val="single"/>
        </w:rPr>
        <w:t>★</w:t>
      </w:r>
      <w:r>
        <w:rPr>
          <w:u w:val="single"/>
        </w:rPr>
        <w:t>与第1.6条相对应的纳税申报表或经会计师事务所审计的</w:t>
      </w:r>
      <w:r>
        <w:rPr>
          <w:rFonts w:hint="eastAsia"/>
          <w:u w:val="single"/>
        </w:rPr>
        <w:t>2024</w:t>
      </w:r>
      <w:r>
        <w:rPr>
          <w:u w:val="single"/>
        </w:rPr>
        <w:t>年度财务报告(复印件加盖供应商公章)；</w:t>
      </w:r>
    </w:p>
    <w:p w14:paraId="150787B4">
      <w:pPr>
        <w:adjustRightInd w:val="0"/>
        <w:spacing w:line="440" w:lineRule="exact"/>
        <w:ind w:left="496" w:leftChars="236" w:right="248" w:rightChars="118" w:firstLine="369" w:firstLineChars="176"/>
        <w:contextualSpacing/>
        <w:rPr>
          <w:u w:val="single"/>
        </w:rPr>
      </w:pPr>
      <w:r>
        <w:rPr>
          <w:u w:val="single"/>
        </w:rPr>
        <w:t>1.8</w:t>
      </w:r>
      <w:r>
        <w:rPr>
          <w:rFonts w:hint="eastAsia" w:ascii="宋体" w:hAnsi="宋体" w:cs="宋体"/>
          <w:u w:val="single"/>
        </w:rPr>
        <w:t>★</w:t>
      </w:r>
      <w:r>
        <w:rPr>
          <w:u w:val="single"/>
        </w:rPr>
        <w:t>供应商参加本次政府采购活动前3年内在经营活动中没有重大违法记录、没有被司法部门或行业主管部门处罚的书面声明（原件）。</w:t>
      </w:r>
    </w:p>
    <w:p w14:paraId="7F61DD3F">
      <w:pPr>
        <w:snapToGrid w:val="0"/>
        <w:spacing w:line="440" w:lineRule="exact"/>
        <w:ind w:firstLine="840" w:firstLineChars="400"/>
        <w:rPr>
          <w:rFonts w:ascii="宋体" w:hAnsi="宋体"/>
          <w:sz w:val="21"/>
          <w:szCs w:val="21"/>
        </w:rPr>
      </w:pPr>
      <w:r>
        <w:rPr>
          <w:rStyle w:val="62"/>
          <w:rFonts w:hint="eastAsia" w:ascii="宋体" w:hAnsi="宋体"/>
          <w:sz w:val="21"/>
          <w:szCs w:val="21"/>
          <w:lang w:val="en-US" w:eastAsia="zh-CN"/>
        </w:rPr>
        <w:t>1.9</w:t>
      </w:r>
      <w:r>
        <w:rPr>
          <w:rStyle w:val="62"/>
          <w:rFonts w:ascii="宋体" w:hAnsi="宋体"/>
          <w:sz w:val="21"/>
          <w:szCs w:val="21"/>
        </w:rPr>
        <w:t>投标人认为需要提供的其他商务资料</w:t>
      </w:r>
      <w:r>
        <w:rPr>
          <w:rStyle w:val="79"/>
          <w:rFonts w:ascii="宋体" w:hAnsi="宋体"/>
          <w:sz w:val="21"/>
          <w:szCs w:val="21"/>
        </w:rPr>
        <w:t>。</w:t>
      </w:r>
    </w:p>
    <w:p w14:paraId="0D55FF75">
      <w:pPr>
        <w:adjustRightInd w:val="0"/>
        <w:snapToGrid w:val="0"/>
        <w:spacing w:line="440" w:lineRule="exact"/>
        <w:ind w:left="424" w:leftChars="202" w:right="531" w:rightChars="253" w:firstLine="332" w:firstLineChars="118"/>
        <w:contextualSpacing/>
        <w:rPr>
          <w:b/>
          <w:sz w:val="28"/>
          <w:szCs w:val="28"/>
        </w:rPr>
      </w:pPr>
      <w:bookmarkStart w:id="12" w:name="_Toc39744256"/>
      <w:r>
        <w:rPr>
          <w:rFonts w:hint="eastAsia"/>
          <w:b/>
          <w:sz w:val="28"/>
          <w:szCs w:val="28"/>
        </w:rPr>
        <w:t>（三）投标文件要求</w:t>
      </w:r>
      <w:bookmarkEnd w:id="12"/>
    </w:p>
    <w:p w14:paraId="6EB63C0E">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w:t>
      </w:r>
      <w:r>
        <w:rPr>
          <w:rFonts w:hint="eastAsia" w:ascii="宋体" w:hAnsi="宋体"/>
          <w:b/>
          <w:szCs w:val="21"/>
        </w:rPr>
        <w:t>投标文件的组成</w:t>
      </w:r>
      <w:r>
        <w:rPr>
          <w:rFonts w:hint="eastAsia" w:ascii="宋体" w:hAnsi="宋体"/>
          <w:szCs w:val="21"/>
        </w:rPr>
        <w:t>：</w:t>
      </w:r>
    </w:p>
    <w:p w14:paraId="6EA75D9A">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1.1资格审查文件，所有复印件需加盖公章：</w:t>
      </w:r>
    </w:p>
    <w:p w14:paraId="79AD44E0">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（1）针对本项目谈判的授权委托书；</w:t>
      </w:r>
    </w:p>
    <w:p w14:paraId="16514C90">
      <w:pPr>
        <w:numPr>
          <w:ilvl w:val="0"/>
          <w:numId w:val="5"/>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企业法人营业执照；</w:t>
      </w:r>
    </w:p>
    <w:p w14:paraId="471ECBFE">
      <w:pPr>
        <w:numPr>
          <w:ilvl w:val="0"/>
          <w:numId w:val="5"/>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企业资质证书</w:t>
      </w:r>
      <w:r>
        <w:rPr>
          <w:rFonts w:hint="eastAsia" w:ascii="宋体"/>
          <w:szCs w:val="21"/>
        </w:rPr>
        <w:t>；</w:t>
      </w:r>
    </w:p>
    <w:p w14:paraId="58D08424">
      <w:pPr>
        <w:numPr>
          <w:ilvl w:val="0"/>
          <w:numId w:val="5"/>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由社保部门出具的投标人为授权委托人及谈判经办人缴纳的</w:t>
      </w:r>
      <w:r>
        <w:rPr>
          <w:rFonts w:hint="eastAsia" w:ascii="宋体" w:hAnsi="宋体"/>
          <w:b/>
          <w:szCs w:val="21"/>
        </w:rPr>
        <w:t>近三个月中任意一个月的</w:t>
      </w:r>
      <w:r>
        <w:rPr>
          <w:rFonts w:hint="eastAsia" w:ascii="宋体" w:hAnsi="宋体"/>
          <w:szCs w:val="21"/>
        </w:rPr>
        <w:t>养老保险费用的证明材料；</w:t>
      </w:r>
    </w:p>
    <w:p w14:paraId="38736509">
      <w:pPr>
        <w:adjustRightInd w:val="0"/>
        <w:snapToGrid w:val="0"/>
        <w:spacing w:line="440" w:lineRule="exact"/>
        <w:ind w:left="422" w:leftChars="201" w:right="531" w:rightChars="253" w:firstLine="373" w:firstLineChars="177"/>
        <w:contextualSpacing/>
        <w:rPr>
          <w:rFonts w:ascii="宋体" w:hAnsi="宋体"/>
          <w:szCs w:val="21"/>
        </w:rPr>
      </w:pPr>
      <w:r>
        <w:rPr>
          <w:rFonts w:hint="eastAsia" w:ascii="宋体" w:hAnsi="宋体"/>
          <w:b/>
          <w:szCs w:val="21"/>
        </w:rPr>
        <w:t>1.2报价文件</w:t>
      </w:r>
    </w:p>
    <w:p w14:paraId="324CE5F6">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（1）投标函</w:t>
      </w:r>
    </w:p>
    <w:p w14:paraId="0C2CC96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（2）授权委托书</w:t>
      </w:r>
    </w:p>
    <w:p w14:paraId="6465EB55">
      <w:pPr>
        <w:adjustRightInd w:val="0"/>
        <w:snapToGrid w:val="0"/>
        <w:spacing w:line="440" w:lineRule="exact"/>
        <w:ind w:left="422" w:leftChars="201" w:right="531" w:rightChars="253" w:firstLine="249" w:firstLineChars="119"/>
        <w:contextualSpacing/>
        <w:rPr>
          <w:rFonts w:ascii="宋体" w:hAnsi="宋体"/>
          <w:szCs w:val="21"/>
        </w:rPr>
      </w:pPr>
      <w:r>
        <w:rPr>
          <w:rFonts w:hint="eastAsia" w:ascii="宋体" w:hAnsi="宋体"/>
          <w:bCs/>
          <w:szCs w:val="21"/>
        </w:rPr>
        <w:t>（3）</w:t>
      </w:r>
      <w:r>
        <w:rPr>
          <w:rFonts w:hint="eastAsia" w:ascii="宋体" w:hAnsi="宋体"/>
          <w:szCs w:val="21"/>
        </w:rPr>
        <w:t>投标报价</w:t>
      </w:r>
    </w:p>
    <w:p w14:paraId="2E9706C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（4）分项报价</w:t>
      </w:r>
    </w:p>
    <w:p w14:paraId="0B8496A4">
      <w:pPr>
        <w:ind w:firstLine="562" w:firstLineChars="200"/>
        <w:rPr>
          <w:b/>
          <w:sz w:val="28"/>
          <w:szCs w:val="28"/>
        </w:rPr>
      </w:pPr>
      <w:bookmarkStart w:id="13" w:name="_Toc39744257"/>
      <w:r>
        <w:rPr>
          <w:rFonts w:hint="eastAsia"/>
          <w:b/>
          <w:sz w:val="28"/>
          <w:szCs w:val="28"/>
        </w:rPr>
        <w:t>（四）开标、</w:t>
      </w:r>
      <w:bookmarkEnd w:id="13"/>
      <w:r>
        <w:rPr>
          <w:rFonts w:hint="eastAsia"/>
          <w:b/>
          <w:sz w:val="28"/>
          <w:szCs w:val="28"/>
        </w:rPr>
        <w:t>评标</w:t>
      </w:r>
    </w:p>
    <w:p w14:paraId="1A15CC75">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1、开标时，招标方代表或监管部门或投标单位检查投标文件的密封情况，在确认无误后拆封读标。投标文件一经开封不得进行改动。</w:t>
      </w:r>
    </w:p>
    <w:p w14:paraId="2CD6A637">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2、初步评审要求：开标后，招标方将组织审查投标文件是否完整；是否有计算错误。投标文件出现下列情形之一的，将作为无效投标文件：</w:t>
      </w:r>
    </w:p>
    <w:p w14:paraId="210BC77C">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（1）投标文件不响应磋商文件要求的；</w:t>
      </w:r>
    </w:p>
    <w:p w14:paraId="6FB527B5">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（2）投标函未盖投标人的企业及企业法定代表人印章或签字的，或者企业法定代表人委托代理人没有合法、有效的委托书（原件）及委托代理人印章或签字的；</w:t>
      </w:r>
    </w:p>
    <w:p w14:paraId="04ABD786">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（3）投标文件的关键内容模糊、无法辨认的；</w:t>
      </w:r>
    </w:p>
    <w:p w14:paraId="48075419">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3、评标小组先评审技术文件，后评审报价文件。</w:t>
      </w:r>
    </w:p>
    <w:p w14:paraId="648A113E">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4、严格按照扬州大学附属医院采购管理暂行办法，组成项目评标小组。严格按招标文件，公平、公正、科学、严谨地对投标文件进行综合评定。二次公告，满足两家并形成充分竞争，则正常开标。</w:t>
      </w:r>
    </w:p>
    <w:p w14:paraId="71C8E4A5">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5、谈判程序：</w:t>
      </w:r>
    </w:p>
    <w:p w14:paraId="34258A0B">
      <w:pPr>
        <w:adjustRightInd w:val="0"/>
        <w:snapToGrid w:val="0"/>
        <w:spacing w:line="440" w:lineRule="exact"/>
        <w:ind w:left="422" w:leftChars="201" w:right="531" w:rightChars="253" w:firstLine="373" w:firstLineChars="177"/>
        <w:contextualSpacing/>
        <w:rPr>
          <w:rFonts w:ascii="宋体" w:hAnsi="宋体"/>
          <w:b/>
          <w:szCs w:val="21"/>
        </w:rPr>
      </w:pPr>
      <w:r>
        <w:rPr>
          <w:rFonts w:hint="eastAsia" w:ascii="宋体" w:hAnsi="宋体"/>
          <w:b/>
          <w:szCs w:val="21"/>
        </w:rPr>
        <w:t>（1）资格审查；（2）投标单位自我介绍及产品介绍；（3）谈判及二次报价。</w:t>
      </w:r>
    </w:p>
    <w:p w14:paraId="7AC02A68">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6、定标</w:t>
      </w:r>
    </w:p>
    <w:p w14:paraId="1A0AA682">
      <w:pPr>
        <w:wordWrap w:val="0"/>
        <w:spacing w:line="440" w:lineRule="exact"/>
        <w:ind w:left="424" w:leftChars="202" w:right="531" w:rightChars="253" w:firstLine="361" w:firstLineChars="172"/>
        <w:contextualSpacing/>
        <w:jc w:val="left"/>
        <w:rPr>
          <w:rFonts w:asciiTheme="minorEastAsia" w:hAnsiTheme="minorEastAsia" w:eastAsiaTheme="minorEastAsia"/>
          <w:szCs w:val="21"/>
        </w:rPr>
      </w:pPr>
      <w:r>
        <w:rPr>
          <w:rFonts w:hint="eastAsia" w:asciiTheme="minorEastAsia" w:hAnsiTheme="minorEastAsia" w:eastAsiaTheme="minorEastAsia"/>
          <w:szCs w:val="21"/>
        </w:rPr>
        <w:t>综合评分第一名为中标单位。</w:t>
      </w:r>
    </w:p>
    <w:p w14:paraId="070A5C18">
      <w:pPr>
        <w:pStyle w:val="32"/>
      </w:pPr>
      <w:bookmarkStart w:id="14" w:name="_Toc39744258"/>
    </w:p>
    <w:p w14:paraId="0458E7DB">
      <w:r>
        <w:rPr>
          <w:rFonts w:hint="eastAsia"/>
        </w:rPr>
        <w:br w:type="page"/>
      </w:r>
    </w:p>
    <w:p w14:paraId="12C3ED4F">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五、投标文件格式及附件要求</w:t>
      </w:r>
      <w:bookmarkEnd w:id="14"/>
    </w:p>
    <w:p w14:paraId="032A424B">
      <w:pPr>
        <w:jc w:val="center"/>
        <w:rPr>
          <w:b/>
          <w:sz w:val="36"/>
          <w:szCs w:val="36"/>
        </w:rPr>
      </w:pPr>
    </w:p>
    <w:p w14:paraId="17CE00F1">
      <w:pPr>
        <w:jc w:val="center"/>
        <w:rPr>
          <w:rFonts w:ascii="宋体" w:hAnsi="宋体"/>
          <w:b/>
          <w:sz w:val="36"/>
          <w:szCs w:val="36"/>
          <w:u w:val="single"/>
        </w:rPr>
      </w:pPr>
      <w:r>
        <w:rPr>
          <w:rFonts w:hint="eastAsia"/>
          <w:b/>
          <w:sz w:val="36"/>
          <w:szCs w:val="36"/>
        </w:rPr>
        <w:t>目录</w:t>
      </w:r>
    </w:p>
    <w:p w14:paraId="37921BB0">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（一）资格审查</w:t>
      </w:r>
    </w:p>
    <w:p w14:paraId="630DBC40">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1、针对本项目的授权委托书原件；</w:t>
      </w:r>
    </w:p>
    <w:p w14:paraId="00C7A4D7">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2、企业法人营业执照；</w:t>
      </w:r>
    </w:p>
    <w:p w14:paraId="5CA8547F">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3、企业资质证书；</w:t>
      </w:r>
    </w:p>
    <w:p w14:paraId="57182BAE">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4、由社保部门出具的投标人为经办人及投标报名项目负责人缴纳的近三个月任意一个月养老保险费用的证明材料；</w:t>
      </w:r>
    </w:p>
    <w:p w14:paraId="7C35E963">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5、投标单位不在供应商被“信用中国”网站（www.creditchina.gov.cn）、“中国政府采购网"(www.ccgp.gov.cn)列入失信被执行人、重大税收违法案件当事人名单、政府采购严重违法失信行为记录名单的截图，并盖章；</w:t>
      </w:r>
    </w:p>
    <w:p w14:paraId="5794D505">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ascii="宋体" w:hAnsi="宋体"/>
          <w:snapToGrid w:val="0"/>
          <w:sz w:val="24"/>
        </w:rPr>
        <w:t>6、</w:t>
      </w:r>
      <w:r>
        <w:rPr>
          <w:rFonts w:hint="eastAsia" w:ascii="宋体" w:hAnsi="宋体"/>
          <w:snapToGrid w:val="0"/>
          <w:sz w:val="24"/>
        </w:rPr>
        <w:t>需求响应表（格式自拟）；</w:t>
      </w:r>
    </w:p>
    <w:p w14:paraId="6093DB2A">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7、投标人认为需要提供的其他材料。</w:t>
      </w:r>
    </w:p>
    <w:p w14:paraId="045FE6C5">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（二）报价文件</w:t>
      </w:r>
    </w:p>
    <w:p w14:paraId="28E2A569">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1、投标函</w:t>
      </w:r>
    </w:p>
    <w:p w14:paraId="47CC7626">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2、授权委托书</w:t>
      </w:r>
    </w:p>
    <w:p w14:paraId="77EBC7DD">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3、投标报价</w:t>
      </w:r>
    </w:p>
    <w:p w14:paraId="68B45C8A">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4、分项报价</w:t>
      </w:r>
    </w:p>
    <w:p w14:paraId="5423928C">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5、供应商廉洁自律承诺书</w:t>
      </w:r>
    </w:p>
    <w:p w14:paraId="4A54066A">
      <w:pPr>
        <w:pStyle w:val="32"/>
      </w:pPr>
    </w:p>
    <w:p w14:paraId="5F1FF2F5">
      <w:pPr>
        <w:pStyle w:val="32"/>
      </w:pPr>
    </w:p>
    <w:p w14:paraId="71F78654">
      <w:pPr>
        <w:adjustRightInd w:val="0"/>
        <w:snapToGrid w:val="0"/>
        <w:spacing w:line="440" w:lineRule="exact"/>
        <w:ind w:left="424" w:leftChars="202" w:firstLine="371" w:firstLineChars="177"/>
        <w:contextualSpacing/>
        <w:rPr>
          <w:rFonts w:ascii="宋体" w:hAnsi="宋体"/>
          <w:bCs/>
          <w:szCs w:val="21"/>
        </w:rPr>
      </w:pPr>
    </w:p>
    <w:p w14:paraId="49A8762E">
      <w:pPr>
        <w:tabs>
          <w:tab w:val="left" w:pos="1300"/>
          <w:tab w:val="left" w:pos="1600"/>
        </w:tabs>
        <w:spacing w:line="560" w:lineRule="exact"/>
        <w:ind w:firstLine="420" w:firstLineChars="200"/>
        <w:rPr>
          <w:rFonts w:ascii="宋体" w:hAnsi="宋体"/>
          <w:bCs/>
          <w:szCs w:val="21"/>
        </w:rPr>
      </w:pPr>
    </w:p>
    <w:p w14:paraId="2A3F476A">
      <w:pPr>
        <w:tabs>
          <w:tab w:val="left" w:pos="1300"/>
          <w:tab w:val="left" w:pos="1600"/>
        </w:tabs>
        <w:spacing w:line="560" w:lineRule="exact"/>
        <w:ind w:firstLine="420" w:firstLineChars="200"/>
        <w:rPr>
          <w:rFonts w:ascii="宋体" w:hAnsi="宋体"/>
          <w:bCs/>
          <w:szCs w:val="21"/>
        </w:rPr>
      </w:pPr>
    </w:p>
    <w:p w14:paraId="4B77A0CA">
      <w:pPr>
        <w:tabs>
          <w:tab w:val="left" w:pos="1300"/>
          <w:tab w:val="left" w:pos="1600"/>
        </w:tabs>
        <w:spacing w:line="560" w:lineRule="exact"/>
        <w:ind w:firstLine="480" w:firstLineChars="200"/>
        <w:rPr>
          <w:rFonts w:ascii="宋体" w:hAnsi="宋体"/>
          <w:snapToGrid w:val="0"/>
          <w:sz w:val="24"/>
        </w:rPr>
      </w:pPr>
    </w:p>
    <w:p w14:paraId="1D2D9D00">
      <w:pPr>
        <w:pStyle w:val="13"/>
        <w:rPr>
          <w:rFonts w:ascii="黑体" w:hAnsi="Times New Roman" w:eastAsia="黑体"/>
          <w:b/>
          <w:sz w:val="36"/>
        </w:rPr>
      </w:pPr>
    </w:p>
    <w:p w14:paraId="4A9C0CFD">
      <w:pPr>
        <w:pStyle w:val="13"/>
        <w:rPr>
          <w:rFonts w:ascii="黑体" w:hAnsi="Times New Roman" w:eastAsia="黑体"/>
          <w:b/>
          <w:sz w:val="36"/>
        </w:rPr>
      </w:pPr>
    </w:p>
    <w:p w14:paraId="4C7B3DBD">
      <w:pPr>
        <w:pStyle w:val="13"/>
        <w:rPr>
          <w:rFonts w:ascii="黑体" w:hAnsi="Times New Roman" w:eastAsia="黑体"/>
          <w:b/>
          <w:sz w:val="36"/>
        </w:rPr>
      </w:pPr>
    </w:p>
    <w:p w14:paraId="3D141811">
      <w:pPr>
        <w:pStyle w:val="13"/>
        <w:rPr>
          <w:rFonts w:ascii="黑体" w:hAnsi="Times New Roman" w:eastAsia="黑体"/>
          <w:b/>
          <w:sz w:val="36"/>
        </w:rPr>
      </w:pPr>
    </w:p>
    <w:p w14:paraId="18329048">
      <w:pPr>
        <w:pStyle w:val="13"/>
        <w:jc w:val="center"/>
        <w:rPr>
          <w:rFonts w:asciiTheme="minorEastAsia" w:hAnsiTheme="minorEastAsia" w:eastAsiaTheme="minorEastAsia"/>
          <w:b/>
          <w:sz w:val="36"/>
        </w:rPr>
      </w:pPr>
      <w:r>
        <w:rPr>
          <w:rFonts w:hint="eastAsia" w:asciiTheme="minorEastAsia" w:hAnsiTheme="minorEastAsia" w:eastAsiaTheme="minorEastAsia"/>
          <w:b/>
          <w:sz w:val="36"/>
        </w:rPr>
        <w:t>授权委书</w:t>
      </w:r>
    </w:p>
    <w:p w14:paraId="0333A3F3">
      <w:pPr>
        <w:pStyle w:val="13"/>
        <w:jc w:val="center"/>
        <w:rPr>
          <w:rFonts w:asciiTheme="minorEastAsia" w:hAnsiTheme="minorEastAsia" w:eastAsiaTheme="minorEastAsia"/>
          <w:b/>
          <w:sz w:val="24"/>
          <w:szCs w:val="24"/>
        </w:rPr>
      </w:pPr>
    </w:p>
    <w:p w14:paraId="1E51BD9F">
      <w:pPr>
        <w:pStyle w:val="13"/>
        <w:spacing w:line="480" w:lineRule="auto"/>
        <w:ind w:firstLine="42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本授权委托书声明：我</w:t>
      </w:r>
      <w:r>
        <w:rPr>
          <w:rFonts w:asciiTheme="minorEastAsia" w:hAnsiTheme="minorEastAsia" w:eastAsiaTheme="minorEastAsia"/>
          <w:sz w:val="24"/>
          <w:szCs w:val="24"/>
        </w:rPr>
        <w:t>(</w:t>
      </w:r>
      <w:r>
        <w:rPr>
          <w:rFonts w:hint="eastAsia" w:asciiTheme="minorEastAsia" w:hAnsiTheme="minorEastAsia" w:eastAsiaTheme="minorEastAsia"/>
          <w:sz w:val="24"/>
          <w:szCs w:val="24"/>
        </w:rPr>
        <w:t>姓名</w:t>
      </w:r>
      <w:r>
        <w:rPr>
          <w:rFonts w:asciiTheme="minorEastAsia" w:hAnsiTheme="minorEastAsia" w:eastAsiaTheme="minorEastAsia"/>
          <w:sz w:val="24"/>
          <w:szCs w:val="24"/>
        </w:rPr>
        <w:t>)</w:t>
      </w:r>
      <w:r>
        <w:rPr>
          <w:rFonts w:hint="eastAsia" w:asciiTheme="minorEastAsia" w:hAnsiTheme="minorEastAsia" w:eastAsiaTheme="minorEastAsia"/>
          <w:sz w:val="24"/>
          <w:szCs w:val="24"/>
        </w:rPr>
        <w:t>系</w:t>
      </w:r>
      <w:r>
        <w:rPr>
          <w:rFonts w:asciiTheme="minorEastAsia" w:hAnsiTheme="minorEastAsia" w:eastAsiaTheme="minorEastAsia"/>
          <w:sz w:val="24"/>
          <w:szCs w:val="24"/>
        </w:rPr>
        <w:t>(</w:t>
      </w:r>
      <w:r>
        <w:rPr>
          <w:rFonts w:hint="eastAsia" w:asciiTheme="minorEastAsia" w:hAnsiTheme="minorEastAsia" w:eastAsiaTheme="minorEastAsia"/>
          <w:sz w:val="24"/>
          <w:szCs w:val="24"/>
        </w:rPr>
        <w:t>投标人名称</w:t>
      </w:r>
      <w:r>
        <w:rPr>
          <w:rFonts w:asciiTheme="minorEastAsia" w:hAnsiTheme="minorEastAsia" w:eastAsiaTheme="minorEastAsia"/>
          <w:sz w:val="24"/>
          <w:szCs w:val="24"/>
        </w:rPr>
        <w:t>)</w:t>
      </w:r>
      <w:r>
        <w:rPr>
          <w:rFonts w:hint="eastAsia" w:asciiTheme="minorEastAsia" w:hAnsiTheme="minorEastAsia" w:eastAsiaTheme="minorEastAsia"/>
          <w:sz w:val="24"/>
          <w:szCs w:val="24"/>
        </w:rPr>
        <w:t>的法定代表人，现授权委托我单位的(姓名)为我公司代理人。代理人在</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项目院内公开谈判签署的一切文件和处理与之有关的一切事务，我均予以承认。</w:t>
      </w:r>
    </w:p>
    <w:p w14:paraId="55FE48D5">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14:paraId="7CF4E891">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投标人：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盖章</w:t>
      </w:r>
      <w:r>
        <w:rPr>
          <w:rFonts w:asciiTheme="minorEastAsia" w:hAnsiTheme="minorEastAsia" w:eastAsiaTheme="minorEastAsia"/>
          <w:sz w:val="24"/>
          <w:szCs w:val="24"/>
        </w:rPr>
        <w:t>)</w:t>
      </w:r>
    </w:p>
    <w:p w14:paraId="139144B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签字</w:t>
      </w:r>
      <w:r>
        <w:rPr>
          <w:rFonts w:asciiTheme="minorEastAsia" w:hAnsiTheme="minorEastAsia" w:eastAsiaTheme="minorEastAsia"/>
          <w:sz w:val="24"/>
          <w:szCs w:val="24"/>
        </w:rPr>
        <w:t>)</w:t>
      </w:r>
    </w:p>
    <w:p w14:paraId="3278DB88">
      <w:pPr>
        <w:pStyle w:val="13"/>
        <w:spacing w:line="480" w:lineRule="auto"/>
        <w:ind w:firstLine="360" w:firstLineChars="150"/>
        <w:rPr>
          <w:rFonts w:asciiTheme="minorEastAsia" w:hAnsiTheme="minorEastAsia" w:eastAsiaTheme="minorEastAsia"/>
          <w:sz w:val="24"/>
          <w:szCs w:val="24"/>
        </w:rPr>
      </w:pPr>
    </w:p>
    <w:p w14:paraId="140C33ED">
      <w:pPr>
        <w:pStyle w:val="13"/>
        <w:spacing w:line="480" w:lineRule="auto"/>
        <w:ind w:firstLine="6600" w:firstLineChars="2750"/>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14:paraId="21A0DB88">
      <w:pPr>
        <w:pStyle w:val="13"/>
        <w:spacing w:line="480" w:lineRule="auto"/>
        <w:ind w:firstLine="420"/>
        <w:rPr>
          <w:rFonts w:asciiTheme="minorEastAsia" w:hAnsiTheme="minorEastAsia" w:eastAsiaTheme="minorEastAsia"/>
          <w:sz w:val="24"/>
          <w:szCs w:val="24"/>
        </w:rPr>
      </w:pPr>
    </w:p>
    <w:p w14:paraId="3479FDB3">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代理人姓名：签字：</w:t>
      </w:r>
    </w:p>
    <w:p w14:paraId="69B4586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身份证复印件：</w:t>
      </w:r>
    </w:p>
    <w:p w14:paraId="3495A1B2">
      <w:pPr>
        <w:spacing w:line="400" w:lineRule="exact"/>
        <w:ind w:firstLine="480" w:firstLineChars="200"/>
        <w:rPr>
          <w:rFonts w:ascii="宋体" w:hAnsi="宋体"/>
          <w:sz w:val="24"/>
        </w:rPr>
      </w:pPr>
    </w:p>
    <w:p w14:paraId="211BEE84">
      <w:pPr>
        <w:spacing w:line="400" w:lineRule="exact"/>
        <w:rPr>
          <w:rFonts w:ascii="宋体" w:hAnsi="宋体"/>
          <w:sz w:val="28"/>
        </w:rPr>
      </w:pPr>
    </w:p>
    <w:p w14:paraId="1CEC8BD3">
      <w:pPr>
        <w:spacing w:line="400" w:lineRule="exact"/>
        <w:rPr>
          <w:rFonts w:ascii="宋体" w:hAnsi="宋体"/>
          <w:sz w:val="28"/>
        </w:rPr>
      </w:pPr>
    </w:p>
    <w:p w14:paraId="6A311AFC">
      <w:pPr>
        <w:spacing w:line="500" w:lineRule="exact"/>
        <w:jc w:val="center"/>
        <w:rPr>
          <w:rFonts w:ascii="黑体" w:eastAsia="黑体"/>
          <w:b/>
          <w:bCs/>
          <w:sz w:val="36"/>
          <w:szCs w:val="36"/>
        </w:rPr>
      </w:pPr>
    </w:p>
    <w:p w14:paraId="014C364E">
      <w:pPr>
        <w:pStyle w:val="13"/>
        <w:jc w:val="center"/>
        <w:rPr>
          <w:rFonts w:ascii="黑体" w:hAnsi="Times New Roman" w:eastAsia="黑体"/>
          <w:b/>
          <w:sz w:val="36"/>
        </w:rPr>
      </w:pPr>
    </w:p>
    <w:p w14:paraId="1C62407C">
      <w:pPr>
        <w:pStyle w:val="13"/>
        <w:jc w:val="center"/>
        <w:rPr>
          <w:rFonts w:ascii="黑体" w:hAnsi="Times New Roman" w:eastAsia="黑体"/>
          <w:b/>
          <w:sz w:val="36"/>
        </w:rPr>
      </w:pPr>
    </w:p>
    <w:p w14:paraId="29C3F8F8">
      <w:pPr>
        <w:pStyle w:val="13"/>
        <w:jc w:val="center"/>
        <w:rPr>
          <w:rFonts w:ascii="黑体" w:hAnsi="Times New Roman" w:eastAsia="黑体"/>
          <w:b/>
          <w:sz w:val="36"/>
        </w:rPr>
      </w:pPr>
    </w:p>
    <w:p w14:paraId="750D039B">
      <w:pPr>
        <w:pStyle w:val="13"/>
        <w:rPr>
          <w:rFonts w:ascii="黑体" w:eastAsia="黑体"/>
          <w:b/>
          <w:bCs/>
          <w:sz w:val="36"/>
          <w:szCs w:val="36"/>
        </w:rPr>
      </w:pPr>
    </w:p>
    <w:p w14:paraId="3DD1EC92">
      <w:pPr>
        <w:pStyle w:val="14"/>
        <w:widowControl/>
        <w:spacing w:line="540" w:lineRule="exact"/>
        <w:ind w:left="0" w:leftChars="0"/>
        <w:jc w:val="center"/>
        <w:rPr>
          <w:rFonts w:ascii="宋体" w:hAnsi="宋体" w:eastAsia="宋体"/>
          <w:sz w:val="36"/>
          <w:szCs w:val="36"/>
        </w:rPr>
      </w:pPr>
      <w:r>
        <w:rPr>
          <w:rFonts w:hint="eastAsia" w:ascii="宋体" w:hAnsi="宋体"/>
          <w:b w:val="0"/>
          <w:bCs w:val="0"/>
          <w:szCs w:val="32"/>
        </w:rPr>
        <w:br w:type="page"/>
      </w:r>
      <w:r>
        <w:rPr>
          <w:rFonts w:hint="eastAsia" w:ascii="宋体" w:hAnsi="宋体" w:eastAsia="宋体"/>
          <w:sz w:val="36"/>
          <w:szCs w:val="36"/>
        </w:rPr>
        <w:t>承诺书(一)</w:t>
      </w:r>
    </w:p>
    <w:p w14:paraId="1E644E1E">
      <w:pPr>
        <w:spacing w:line="540" w:lineRule="exact"/>
      </w:pPr>
    </w:p>
    <w:p w14:paraId="53912EC5">
      <w:pPr>
        <w:adjustRightInd w:val="0"/>
        <w:snapToGrid w:val="0"/>
        <w:spacing w:line="440" w:lineRule="exact"/>
        <w:ind w:left="424" w:leftChars="202" w:right="531" w:rightChars="253" w:firstLine="424" w:firstLineChars="177"/>
        <w:contextualSpacing/>
        <w:rPr>
          <w:sz w:val="24"/>
        </w:rPr>
      </w:pPr>
      <w:r>
        <w:rPr>
          <w:rFonts w:hint="eastAsia"/>
          <w:sz w:val="24"/>
        </w:rPr>
        <w:t>致：</w:t>
      </w:r>
      <w:r>
        <w:rPr>
          <w:rFonts w:hint="eastAsia"/>
          <w:sz w:val="24"/>
          <w:u w:val="single"/>
        </w:rPr>
        <w:t>扬州大学附属医院</w:t>
      </w:r>
      <w:r>
        <w:rPr>
          <w:rFonts w:hint="eastAsia"/>
          <w:sz w:val="24"/>
        </w:rPr>
        <w:t>（招标人名称）</w:t>
      </w:r>
    </w:p>
    <w:p w14:paraId="21258A32">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我公司自愿参加贵单位</w:t>
      </w:r>
      <w:r>
        <w:rPr>
          <w:rFonts w:hint="eastAsia" w:ascii="宋体" w:hAnsi="宋体"/>
          <w:b/>
          <w:sz w:val="24"/>
        </w:rPr>
        <w:t xml:space="preserve">                                项目</w:t>
      </w:r>
      <w:r>
        <w:rPr>
          <w:rFonts w:hint="eastAsia" w:ascii="宋体" w:hAnsi="宋体"/>
          <w:sz w:val="24"/>
        </w:rPr>
        <w:t>的院内公开谈判，接受对我公司的资格审查，我公司承诺：根据贵单位提出的资格审查合格条件标准和要求，本公司没有因骗取中标或者严重违约以及发生重大工程质量、安全生产事故等问题，被有关部门暂停投标资格并在暂停期内。</w:t>
      </w:r>
    </w:p>
    <w:p w14:paraId="2EB6CB4B">
      <w:pPr>
        <w:adjustRightInd w:val="0"/>
        <w:snapToGrid w:val="0"/>
        <w:spacing w:line="440" w:lineRule="exact"/>
        <w:ind w:left="424" w:leftChars="202" w:right="531" w:rightChars="253" w:firstLine="424" w:firstLineChars="177"/>
        <w:contextualSpacing/>
        <w:rPr>
          <w:sz w:val="24"/>
        </w:rPr>
      </w:pPr>
      <w:r>
        <w:rPr>
          <w:rFonts w:hint="eastAsia" w:ascii="宋体" w:hAnsi="宋体"/>
          <w:sz w:val="24"/>
        </w:rPr>
        <w:t>拟任现场负责人为。本公司递交的资格审查申请书中的内容没有隐瞒、虚假、伪造等弄虚作假行为。</w:t>
      </w:r>
    </w:p>
    <w:p w14:paraId="24EACC41">
      <w:pPr>
        <w:pStyle w:val="14"/>
        <w:widowControl/>
        <w:adjustRightInd w:val="0"/>
        <w:snapToGrid w:val="0"/>
        <w:spacing w:line="440" w:lineRule="exact"/>
        <w:ind w:left="424" w:leftChars="202" w:right="531" w:rightChars="253" w:firstLine="426" w:firstLineChars="177"/>
        <w:contextualSpacing/>
        <w:jc w:val="left"/>
        <w:rPr>
          <w:rFonts w:ascii="宋体" w:hAnsi="宋体" w:eastAsia="宋体"/>
          <w:sz w:val="24"/>
        </w:rPr>
      </w:pPr>
    </w:p>
    <w:p w14:paraId="2328410B">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单位：（公章）</w:t>
      </w:r>
    </w:p>
    <w:p w14:paraId="4DF4F7BF">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法定代表人签字：</w:t>
      </w:r>
    </w:p>
    <w:p w14:paraId="10CA439D">
      <w:pPr>
        <w:adjustRightInd w:val="0"/>
        <w:snapToGrid w:val="0"/>
        <w:spacing w:line="700" w:lineRule="exact"/>
        <w:ind w:left="424" w:leftChars="202" w:right="531" w:rightChars="253" w:firstLine="424" w:firstLineChars="177"/>
        <w:contextualSpacing/>
        <w:jc w:val="left"/>
        <w:rPr>
          <w:rFonts w:ascii="宋体" w:hAnsi="宋体" w:cs="宋体"/>
          <w:bCs/>
          <w:sz w:val="24"/>
        </w:rPr>
      </w:pPr>
      <w:r>
        <w:rPr>
          <w:rFonts w:hint="eastAsia" w:ascii="宋体" w:hAnsi="宋体" w:cs="宋体"/>
          <w:bCs/>
          <w:sz w:val="24"/>
        </w:rPr>
        <w:t>项目负责人签名：</w:t>
      </w:r>
    </w:p>
    <w:p w14:paraId="3F315CFC">
      <w:pPr>
        <w:adjustRightInd w:val="0"/>
        <w:snapToGrid w:val="0"/>
        <w:spacing w:line="700" w:lineRule="exact"/>
        <w:ind w:left="424" w:leftChars="202" w:right="531" w:rightChars="253" w:firstLine="424" w:firstLineChars="177"/>
        <w:contextualSpacing/>
        <w:rPr>
          <w:rFonts w:ascii="宋体" w:hAnsi="宋体"/>
          <w:sz w:val="24"/>
        </w:rPr>
      </w:pPr>
    </w:p>
    <w:p w14:paraId="095E0E6F">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 xml:space="preserve">                                         年   月   日</w:t>
      </w:r>
    </w:p>
    <w:p w14:paraId="72882809">
      <w:pPr>
        <w:pStyle w:val="14"/>
        <w:widowControl/>
        <w:spacing w:line="540" w:lineRule="exact"/>
        <w:ind w:left="5250" w:leftChars="0"/>
        <w:jc w:val="center"/>
        <w:rPr>
          <w:rFonts w:hAnsi="宋体"/>
          <w:szCs w:val="32"/>
        </w:rPr>
      </w:pPr>
    </w:p>
    <w:p w14:paraId="23804954">
      <w:pPr>
        <w:pStyle w:val="14"/>
        <w:widowControl/>
        <w:spacing w:line="540" w:lineRule="exact"/>
        <w:ind w:left="5250" w:leftChars="0"/>
        <w:jc w:val="center"/>
        <w:rPr>
          <w:rFonts w:ascii="宋体" w:hAnsi="宋体" w:eastAsia="宋体"/>
          <w:szCs w:val="32"/>
        </w:rPr>
      </w:pPr>
    </w:p>
    <w:p w14:paraId="5C03C0B2">
      <w:pPr>
        <w:pStyle w:val="14"/>
        <w:widowControl/>
        <w:spacing w:line="540" w:lineRule="exact"/>
        <w:ind w:left="5250" w:leftChars="0"/>
        <w:jc w:val="center"/>
        <w:rPr>
          <w:rFonts w:ascii="宋体" w:hAnsi="宋体" w:eastAsia="宋体"/>
          <w:szCs w:val="32"/>
        </w:rPr>
      </w:pPr>
    </w:p>
    <w:p w14:paraId="1CB96A93">
      <w:pPr>
        <w:pStyle w:val="14"/>
        <w:widowControl/>
        <w:spacing w:line="540" w:lineRule="exact"/>
        <w:ind w:left="5250" w:leftChars="0"/>
        <w:jc w:val="center"/>
        <w:rPr>
          <w:rFonts w:ascii="宋体" w:hAnsi="宋体" w:eastAsia="宋体"/>
          <w:szCs w:val="32"/>
        </w:rPr>
      </w:pPr>
    </w:p>
    <w:p w14:paraId="733FA56E">
      <w:pPr>
        <w:pStyle w:val="14"/>
        <w:widowControl/>
        <w:spacing w:line="540" w:lineRule="exact"/>
        <w:ind w:left="5250" w:leftChars="0"/>
        <w:jc w:val="center"/>
        <w:rPr>
          <w:rFonts w:ascii="宋体" w:hAnsi="宋体" w:eastAsia="宋体"/>
          <w:szCs w:val="32"/>
        </w:rPr>
      </w:pPr>
    </w:p>
    <w:p w14:paraId="605E748E">
      <w:pPr>
        <w:pStyle w:val="14"/>
        <w:widowControl/>
        <w:spacing w:line="540" w:lineRule="exact"/>
        <w:ind w:left="5250" w:leftChars="0"/>
        <w:jc w:val="center"/>
        <w:rPr>
          <w:rFonts w:ascii="宋体" w:hAnsi="宋体" w:eastAsia="宋体"/>
          <w:szCs w:val="32"/>
        </w:rPr>
      </w:pPr>
    </w:p>
    <w:p w14:paraId="1A4A3CAE">
      <w:pPr>
        <w:rPr>
          <w:rFonts w:ascii="宋体" w:hAnsi="宋体"/>
          <w:szCs w:val="32"/>
        </w:rPr>
      </w:pPr>
      <w:r>
        <w:rPr>
          <w:rFonts w:hint="eastAsia" w:ascii="宋体" w:hAnsi="宋体"/>
          <w:szCs w:val="32"/>
        </w:rPr>
        <w:br w:type="page"/>
      </w:r>
    </w:p>
    <w:p w14:paraId="29DE491E">
      <w:pPr>
        <w:spacing w:line="360" w:lineRule="auto"/>
        <w:ind w:firstLine="3975" w:firstLineChars="1100"/>
        <w:rPr>
          <w:rFonts w:ascii="宋体" w:hAnsi="宋体"/>
          <w:b/>
          <w:sz w:val="36"/>
          <w:szCs w:val="36"/>
        </w:rPr>
      </w:pPr>
      <w:r>
        <w:rPr>
          <w:rFonts w:hint="eastAsia" w:ascii="宋体" w:hAnsi="宋体"/>
          <w:b/>
          <w:sz w:val="36"/>
          <w:szCs w:val="36"/>
        </w:rPr>
        <w:t>投标函</w:t>
      </w:r>
    </w:p>
    <w:p w14:paraId="7F8EBFAC">
      <w:pPr>
        <w:adjustRightInd w:val="0"/>
        <w:snapToGrid w:val="0"/>
        <w:spacing w:line="440" w:lineRule="exact"/>
        <w:ind w:left="424" w:leftChars="202" w:right="531" w:rightChars="253"/>
        <w:contextualSpacing/>
        <w:rPr>
          <w:rFonts w:ascii="宋体" w:hAnsi="宋体"/>
          <w:sz w:val="24"/>
        </w:rPr>
      </w:pPr>
      <w:r>
        <w:rPr>
          <w:rFonts w:hint="eastAsia" w:ascii="宋体" w:hAnsi="宋体"/>
          <w:sz w:val="24"/>
        </w:rPr>
        <w:t>招标人：</w:t>
      </w:r>
      <w:r>
        <w:rPr>
          <w:rFonts w:hint="eastAsia" w:ascii="宋体" w:hAnsi="宋体"/>
          <w:sz w:val="24"/>
          <w:u w:val="single"/>
        </w:rPr>
        <w:t xml:space="preserve"> 扬州大学附属医院 </w:t>
      </w:r>
    </w:p>
    <w:p w14:paraId="4B7F8466">
      <w:pPr>
        <w:adjustRightInd w:val="0"/>
        <w:snapToGrid w:val="0"/>
        <w:spacing w:line="440" w:lineRule="exact"/>
        <w:ind w:left="424" w:leftChars="202" w:right="531" w:rightChars="253" w:firstLine="480" w:firstLineChars="200"/>
        <w:contextualSpacing/>
        <w:rPr>
          <w:rFonts w:ascii="宋体" w:hAnsi="宋体"/>
          <w:bCs/>
          <w:sz w:val="24"/>
        </w:rPr>
      </w:pPr>
      <w:r>
        <w:rPr>
          <w:rFonts w:hint="eastAsia" w:ascii="宋体" w:hAnsi="宋体"/>
          <w:bCs/>
          <w:sz w:val="24"/>
        </w:rPr>
        <w:t>根据已收到贵方的</w:t>
      </w:r>
      <w:r>
        <w:rPr>
          <w:rFonts w:hint="eastAsia" w:ascii="宋体" w:hAnsi="宋体"/>
          <w:b/>
          <w:bCs/>
          <w:sz w:val="24"/>
          <w:u w:val="single"/>
        </w:rPr>
        <w:t xml:space="preserve">                             </w:t>
      </w:r>
      <w:r>
        <w:rPr>
          <w:rFonts w:hint="eastAsia" w:ascii="宋体" w:hAnsi="宋体"/>
          <w:bCs/>
          <w:sz w:val="24"/>
        </w:rPr>
        <w:t>项目的院内公开谈谈判文件，遵照扬州大学附属医院采购管理办法，我单位经研究上述磋商的投标须知、合同条件、技术规范、和其他有关文件后，我方投标报价为</w:t>
      </w:r>
      <w:r>
        <w:rPr>
          <w:rFonts w:hint="eastAsia" w:ascii="宋体" w:hAnsi="宋体"/>
          <w:bCs/>
          <w:sz w:val="24"/>
          <w:u w:val="single"/>
        </w:rPr>
        <w:t xml:space="preserve">              万元</w:t>
      </w:r>
      <w:r>
        <w:rPr>
          <w:rFonts w:hint="eastAsia" w:ascii="宋体" w:hAnsi="宋体"/>
          <w:bCs/>
          <w:sz w:val="24"/>
        </w:rPr>
        <w:t>。</w:t>
      </w:r>
      <w:r>
        <w:rPr>
          <w:rFonts w:hint="eastAsia" w:ascii="宋体" w:hAnsi="宋体" w:eastAsia="宋体" w:cs="Times New Roman"/>
          <w:b/>
          <w:sz w:val="24"/>
          <w:lang w:val="en-US" w:eastAsia="zh-CN"/>
        </w:rPr>
        <w:t>包含全部货物、辅助材料、安装、调试、人工、机械、运输、仓储、保险、运费、各种税费、保险、劳保及质保期间等一切费用所有相关费用，不得收取其他任何费用。</w:t>
      </w:r>
    </w:p>
    <w:p w14:paraId="600E32DD">
      <w:pPr>
        <w:spacing w:line="360" w:lineRule="auto"/>
        <w:rPr>
          <w:rFonts w:ascii="宋体" w:hAnsi="宋体"/>
          <w:bCs/>
          <w:sz w:val="24"/>
        </w:rPr>
      </w:pPr>
    </w:p>
    <w:p w14:paraId="0EE3BC54">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投标人（盖章）：</w:t>
      </w:r>
    </w:p>
    <w:p w14:paraId="2D5692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法定代表人或授权委托人（签字）：</w:t>
      </w:r>
    </w:p>
    <w:p w14:paraId="0339E0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日  期：</w:t>
      </w:r>
    </w:p>
    <w:p w14:paraId="25300DD3">
      <w:pPr>
        <w:jc w:val="center"/>
        <w:rPr>
          <w:rFonts w:ascii="宋体" w:hAnsi="宋体"/>
          <w:b/>
          <w:sz w:val="24"/>
        </w:rPr>
      </w:pPr>
      <w:r>
        <w:rPr>
          <w:rFonts w:hint="eastAsia" w:ascii="宋体" w:hAnsi="宋体"/>
          <w:sz w:val="24"/>
        </w:rPr>
        <w:br w:type="page"/>
      </w:r>
    </w:p>
    <w:p w14:paraId="35598C71">
      <w:pPr>
        <w:spacing w:line="360" w:lineRule="auto"/>
        <w:jc w:val="center"/>
        <w:rPr>
          <w:rFonts w:ascii="宋体" w:hAnsi="宋体"/>
          <w:b/>
          <w:sz w:val="36"/>
          <w:szCs w:val="36"/>
        </w:rPr>
      </w:pPr>
      <w:r>
        <w:rPr>
          <w:rFonts w:hint="eastAsia" w:ascii="宋体" w:hAnsi="宋体"/>
          <w:b/>
          <w:sz w:val="36"/>
          <w:szCs w:val="36"/>
        </w:rPr>
        <w:t>响应报价表</w:t>
      </w:r>
    </w:p>
    <w:p w14:paraId="1D22D86F">
      <w:pPr>
        <w:pStyle w:val="14"/>
        <w:spacing w:line="360" w:lineRule="auto"/>
        <w:ind w:left="0" w:leftChars="0"/>
        <w:rPr>
          <w:rFonts w:ascii="宋体" w:hAnsi="宋体" w:eastAsia="宋体" w:cs="宋体"/>
          <w:b w:val="0"/>
          <w:bCs w:val="0"/>
          <w:sz w:val="24"/>
        </w:rPr>
      </w:pPr>
      <w:r>
        <w:rPr>
          <w:rFonts w:hint="eastAsia" w:ascii="宋体" w:hAnsi="宋体" w:eastAsia="宋体" w:cs="宋体"/>
          <w:b w:val="0"/>
          <w:bCs w:val="0"/>
          <w:sz w:val="24"/>
        </w:rPr>
        <w:t xml:space="preserve">项目名称： </w:t>
      </w:r>
    </w:p>
    <w:p w14:paraId="5CBE4125">
      <w:pPr>
        <w:spacing w:line="360" w:lineRule="auto"/>
        <w:rPr>
          <w:rFonts w:ascii="宋体" w:hAnsi="宋体"/>
          <w:sz w:val="24"/>
        </w:rPr>
      </w:pPr>
      <w:r>
        <w:rPr>
          <w:rFonts w:hint="eastAsia" w:ascii="宋体" w:hAnsi="宋体"/>
          <w:sz w:val="24"/>
        </w:rPr>
        <w:t xml:space="preserve">       </w:t>
      </w:r>
    </w:p>
    <w:p w14:paraId="513C171F">
      <w:pPr>
        <w:spacing w:line="360" w:lineRule="auto"/>
        <w:rPr>
          <w:rFonts w:ascii="宋体" w:hAnsi="宋体"/>
          <w:sz w:val="24"/>
        </w:rPr>
      </w:pPr>
      <w:r>
        <w:rPr>
          <w:rFonts w:hint="eastAsia" w:ascii="宋体" w:hAnsi="宋体"/>
          <w:sz w:val="24"/>
        </w:rPr>
        <w:t xml:space="preserve">       </w:t>
      </w:r>
    </w:p>
    <w:tbl>
      <w:tblPr>
        <w:tblStyle w:val="26"/>
        <w:tblW w:w="45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6336"/>
      </w:tblGrid>
      <w:tr w14:paraId="6377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08492DB3">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服务名称</w:t>
            </w:r>
          </w:p>
        </w:tc>
        <w:tc>
          <w:tcPr>
            <w:tcW w:w="4053" w:type="pct"/>
            <w:tcBorders>
              <w:top w:val="single" w:color="auto" w:sz="4" w:space="0"/>
              <w:left w:val="single" w:color="auto" w:sz="4" w:space="0"/>
              <w:bottom w:val="single" w:color="auto" w:sz="4" w:space="0"/>
              <w:right w:val="single" w:color="auto" w:sz="4" w:space="0"/>
            </w:tcBorders>
            <w:vAlign w:val="center"/>
          </w:tcPr>
          <w:p w14:paraId="36C0CA57">
            <w:pPr>
              <w:adjustRightInd w:val="0"/>
              <w:snapToGrid w:val="0"/>
              <w:spacing w:after="200" w:line="220" w:lineRule="atLeast"/>
              <w:jc w:val="center"/>
              <w:rPr>
                <w:rFonts w:ascii="宋体" w:hAnsi="宋体"/>
                <w:sz w:val="24"/>
              </w:rPr>
            </w:pPr>
            <w:r>
              <w:rPr>
                <w:rFonts w:hint="eastAsia" w:ascii="宋体" w:hAnsi="宋体"/>
                <w:sz w:val="24"/>
              </w:rPr>
              <w:t>第一轮报价</w:t>
            </w:r>
          </w:p>
        </w:tc>
      </w:tr>
      <w:tr w14:paraId="190A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19D35D07">
            <w:pPr>
              <w:pStyle w:val="8"/>
              <w:adjustRightInd w:val="0"/>
              <w:snapToGrid w:val="0"/>
              <w:spacing w:line="300" w:lineRule="auto"/>
              <w:rPr>
                <w:rFonts w:ascii="宋体" w:hAnsi="宋体" w:eastAsia="宋体" w:cs="宋体"/>
                <w:sz w:val="24"/>
                <w:szCs w:val="24"/>
              </w:rPr>
            </w:pPr>
          </w:p>
        </w:tc>
        <w:tc>
          <w:tcPr>
            <w:tcW w:w="4053" w:type="pct"/>
            <w:tcBorders>
              <w:top w:val="single" w:color="auto" w:sz="4" w:space="0"/>
              <w:left w:val="single" w:color="auto" w:sz="4" w:space="0"/>
              <w:bottom w:val="single" w:color="auto" w:sz="4" w:space="0"/>
              <w:right w:val="single" w:color="auto" w:sz="4" w:space="0"/>
            </w:tcBorders>
            <w:vAlign w:val="center"/>
          </w:tcPr>
          <w:p w14:paraId="5C99584F">
            <w:pPr>
              <w:pStyle w:val="8"/>
              <w:adjustRightInd w:val="0"/>
              <w:snapToGrid w:val="0"/>
              <w:spacing w:line="300" w:lineRule="auto"/>
              <w:rPr>
                <w:rFonts w:ascii="宋体" w:hAnsi="宋体" w:eastAsia="宋体" w:cs="宋体"/>
                <w:sz w:val="24"/>
                <w:szCs w:val="24"/>
              </w:rPr>
            </w:pPr>
            <w:r>
              <w:rPr>
                <w:rFonts w:hint="eastAsia" w:ascii="宋体" w:hAnsi="宋体" w:eastAsia="宋体" w:cs="宋体"/>
                <w:sz w:val="24"/>
                <w:szCs w:val="24"/>
              </w:rPr>
              <w:t>大写：</w:t>
            </w:r>
          </w:p>
          <w:p w14:paraId="4AB3ED7D">
            <w:pPr>
              <w:pStyle w:val="63"/>
              <w:spacing w:before="0" w:after="0" w:line="500" w:lineRule="exact"/>
              <w:ind w:firstLine="0"/>
              <w:rPr>
                <w:rFonts w:ascii="宋体" w:hAnsi="宋体" w:cs="宋体"/>
              </w:rPr>
            </w:pPr>
            <w:r>
              <w:rPr>
                <w:rFonts w:hint="eastAsia" w:ascii="宋体" w:hAnsi="宋体" w:cs="宋体"/>
              </w:rPr>
              <w:t>小写：                             （人民币）</w:t>
            </w:r>
          </w:p>
        </w:tc>
      </w:tr>
      <w:tr w14:paraId="1934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7"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737E9D7C">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备注</w:t>
            </w:r>
          </w:p>
        </w:tc>
        <w:tc>
          <w:tcPr>
            <w:tcW w:w="4053" w:type="pct"/>
            <w:tcBorders>
              <w:top w:val="single" w:color="auto" w:sz="4" w:space="0"/>
              <w:left w:val="single" w:color="auto" w:sz="4" w:space="0"/>
              <w:bottom w:val="single" w:color="auto" w:sz="4" w:space="0"/>
              <w:right w:val="single" w:color="auto" w:sz="4" w:space="0"/>
            </w:tcBorders>
            <w:vAlign w:val="center"/>
          </w:tcPr>
          <w:p w14:paraId="601C1FE6">
            <w:pPr>
              <w:pStyle w:val="8"/>
              <w:adjustRightInd w:val="0"/>
              <w:snapToGrid w:val="0"/>
              <w:spacing w:line="300" w:lineRule="auto"/>
              <w:rPr>
                <w:rFonts w:ascii="宋体" w:hAnsi="宋体" w:cs="宋体"/>
                <w:sz w:val="24"/>
                <w:szCs w:val="24"/>
              </w:rPr>
            </w:pPr>
            <w:r>
              <w:rPr>
                <w:rFonts w:hint="eastAsia" w:ascii="宋体" w:hAnsi="宋体" w:eastAsia="宋体" w:cs="Times New Roman"/>
                <w:b w:val="0"/>
                <w:bCs/>
                <w:sz w:val="24"/>
                <w:lang w:val="en-US" w:eastAsia="zh-CN"/>
              </w:rPr>
              <w:t>含全部货物、辅助材料、安装、调试、人工、机械、运输、仓储、保险、运费、各种税费、保险、劳保及质保期间等一切费用所有相关费用。</w:t>
            </w:r>
          </w:p>
        </w:tc>
      </w:tr>
    </w:tbl>
    <w:p w14:paraId="47FC64AC">
      <w:pPr>
        <w:spacing w:line="360" w:lineRule="auto"/>
        <w:rPr>
          <w:rFonts w:ascii="宋体" w:hAnsi="宋体"/>
          <w:sz w:val="24"/>
        </w:rPr>
      </w:pPr>
    </w:p>
    <w:p w14:paraId="2C150CAC">
      <w:pPr>
        <w:spacing w:line="360" w:lineRule="auto"/>
        <w:rPr>
          <w:rFonts w:ascii="宋体" w:hAnsi="宋体"/>
          <w:sz w:val="24"/>
        </w:rPr>
      </w:pPr>
      <w:r>
        <w:rPr>
          <w:rFonts w:hint="eastAsia" w:ascii="宋体" w:hAnsi="宋体"/>
          <w:sz w:val="24"/>
        </w:rPr>
        <w:t xml:space="preserve">                                 </w:t>
      </w:r>
    </w:p>
    <w:p w14:paraId="089EFB7E">
      <w:pPr>
        <w:spacing w:line="360" w:lineRule="auto"/>
        <w:rPr>
          <w:rFonts w:ascii="宋体" w:hAnsi="宋体"/>
          <w:sz w:val="24"/>
        </w:rPr>
      </w:pPr>
      <w:r>
        <w:rPr>
          <w:rFonts w:hint="eastAsia" w:ascii="宋体" w:hAnsi="宋体"/>
          <w:sz w:val="24"/>
        </w:rPr>
        <w:t xml:space="preserve">法定代表人或者授权代表（签字或盖章）：                    </w:t>
      </w:r>
    </w:p>
    <w:p w14:paraId="16A36FBF">
      <w:pPr>
        <w:spacing w:line="360" w:lineRule="auto"/>
        <w:rPr>
          <w:rFonts w:ascii="宋体" w:hAnsi="宋体"/>
          <w:sz w:val="24"/>
          <w:u w:val="single"/>
        </w:rPr>
      </w:pPr>
      <w:r>
        <w:rPr>
          <w:rFonts w:hint="eastAsia" w:ascii="宋体" w:hAnsi="宋体"/>
          <w:sz w:val="24"/>
        </w:rPr>
        <w:t>供应商全称（盖章）：</w:t>
      </w:r>
      <w:r>
        <w:rPr>
          <w:rFonts w:hint="eastAsia" w:ascii="宋体" w:hAnsi="宋体"/>
          <w:sz w:val="24"/>
          <w:u w:val="single"/>
        </w:rPr>
        <w:t xml:space="preserve">                         </w:t>
      </w:r>
    </w:p>
    <w:p w14:paraId="6193DABF">
      <w:pPr>
        <w:spacing w:line="360" w:lineRule="auto"/>
        <w:rPr>
          <w:rFonts w:ascii="宋体" w:hAnsi="宋体"/>
          <w:sz w:val="24"/>
        </w:rPr>
      </w:pPr>
      <w:r>
        <w:rPr>
          <w:rFonts w:hint="eastAsia" w:ascii="宋体" w:hAnsi="宋体"/>
          <w:sz w:val="24"/>
        </w:rPr>
        <w:t xml:space="preserve">                                               日期：    年   月    日</w:t>
      </w:r>
    </w:p>
    <w:p w14:paraId="5097CB50">
      <w:pPr>
        <w:spacing w:line="460" w:lineRule="exact"/>
        <w:rPr>
          <w:rFonts w:ascii="宋体" w:hAnsi="宋体"/>
          <w:bCs/>
          <w:sz w:val="24"/>
        </w:rPr>
      </w:pPr>
    </w:p>
    <w:p w14:paraId="07A3D8E9">
      <w:pPr>
        <w:spacing w:line="460" w:lineRule="exact"/>
        <w:rPr>
          <w:rFonts w:ascii="宋体" w:hAnsi="宋体"/>
          <w:bCs/>
          <w:sz w:val="24"/>
        </w:rPr>
        <w:sectPr>
          <w:footerReference r:id="rId3" w:type="default"/>
          <w:pgSz w:w="11906" w:h="16838"/>
          <w:pgMar w:top="1440" w:right="1797" w:bottom="1440" w:left="1797" w:header="851" w:footer="992" w:gutter="0"/>
          <w:cols w:space="720" w:num="1"/>
          <w:docGrid w:linePitch="312" w:charSpace="0"/>
        </w:sectPr>
      </w:pPr>
    </w:p>
    <w:p w14:paraId="540051F0">
      <w:pPr>
        <w:spacing w:line="360" w:lineRule="auto"/>
        <w:jc w:val="center"/>
        <w:rPr>
          <w:rFonts w:ascii="宋体" w:hAnsi="宋体"/>
          <w:b/>
          <w:sz w:val="36"/>
          <w:szCs w:val="36"/>
        </w:rPr>
      </w:pPr>
      <w:r>
        <w:rPr>
          <w:rFonts w:hint="eastAsia" w:ascii="宋体" w:hAnsi="宋体"/>
          <w:b/>
          <w:sz w:val="36"/>
          <w:szCs w:val="36"/>
        </w:rPr>
        <w:t>分项报价表</w:t>
      </w:r>
    </w:p>
    <w:tbl>
      <w:tblPr>
        <w:tblStyle w:val="26"/>
        <w:tblW w:w="112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830"/>
        <w:gridCol w:w="1080"/>
        <w:gridCol w:w="1080"/>
        <w:gridCol w:w="1725"/>
        <w:gridCol w:w="1080"/>
        <w:gridCol w:w="1080"/>
        <w:gridCol w:w="2535"/>
      </w:tblGrid>
      <w:tr w14:paraId="266C7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391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4E5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A26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398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2E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67E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价格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DE2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35B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6885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7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2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ACEF7">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0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27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成品高度约3m，窗帘褶皱1:2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5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A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0061">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含窗帘辅料及加工制作安装</w:t>
            </w:r>
          </w:p>
        </w:tc>
      </w:tr>
      <w:tr w14:paraId="45995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A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5C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窗纱</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B354">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0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6B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成品高度约3m，窗纱褶皱1:2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A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1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62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含纱帘辅料及加工制作安装</w:t>
            </w:r>
          </w:p>
        </w:tc>
      </w:tr>
      <w:tr w14:paraId="3399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96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9F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医用隔帘</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E669">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C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4C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 2.7m，隔帘褶皱1:1.3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3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B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FD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含隔帘辅料及加工制作安装</w:t>
            </w:r>
          </w:p>
        </w:tc>
      </w:tr>
      <w:tr w14:paraId="44B71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D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E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遮光卷帘</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8C2AA">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33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C1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成品高度约2.3m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09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4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01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含卷帘辅料及加工制作安装</w:t>
            </w:r>
          </w:p>
        </w:tc>
      </w:tr>
      <w:tr w14:paraId="72E3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B6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CE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电动轨道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87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4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D2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壁厚≥2.0mm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3A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AA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A1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含制作及轨道安装调试</w:t>
            </w:r>
          </w:p>
        </w:tc>
      </w:tr>
      <w:tr w14:paraId="26801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A8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52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轨道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3A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81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87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壁厚≥1.4mm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DB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3C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3C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含制作及轨道安装调试</w:t>
            </w:r>
          </w:p>
        </w:tc>
      </w:tr>
      <w:tr w14:paraId="1947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nil"/>
              <w:right w:val="single" w:color="000000" w:sz="4" w:space="0"/>
            </w:tcBorders>
            <w:shd w:val="clear" w:color="auto" w:fill="auto"/>
            <w:vAlign w:val="center"/>
          </w:tcPr>
          <w:p w14:paraId="4D0F4B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830" w:type="dxa"/>
            <w:tcBorders>
              <w:top w:val="single" w:color="000000" w:sz="4" w:space="0"/>
              <w:left w:val="single" w:color="000000" w:sz="4" w:space="0"/>
              <w:bottom w:val="nil"/>
              <w:right w:val="single" w:color="000000" w:sz="4" w:space="0"/>
            </w:tcBorders>
            <w:shd w:val="clear" w:color="auto" w:fill="auto"/>
            <w:vAlign w:val="center"/>
          </w:tcPr>
          <w:p w14:paraId="748258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智能窗帘电机</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4F5CE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3538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725" w:type="dxa"/>
            <w:tcBorders>
              <w:top w:val="single" w:color="000000" w:sz="4" w:space="0"/>
              <w:left w:val="single" w:color="000000" w:sz="4" w:space="0"/>
              <w:bottom w:val="nil"/>
              <w:right w:val="single" w:color="000000" w:sz="4" w:space="0"/>
            </w:tcBorders>
            <w:shd w:val="clear" w:color="auto" w:fill="auto"/>
            <w:vAlign w:val="center"/>
          </w:tcPr>
          <w:p w14:paraId="5D6512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1.无线连接Zigbee3.0；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2.可语音控制、接入小爱同学</w:t>
            </w:r>
            <w:r>
              <w:rPr>
                <w:rFonts w:hint="eastAsia" w:ascii="宋体" w:hAnsi="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3.含适配遥控器</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50205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B1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B8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含制作及电机安装调试</w:t>
            </w:r>
          </w:p>
        </w:tc>
      </w:tr>
      <w:tr w14:paraId="35F58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5B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49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8C79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36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E5DD">
            <w:pPr>
              <w:rPr>
                <w:rFonts w:hint="eastAsia" w:ascii="宋体" w:hAnsi="宋体" w:eastAsia="宋体" w:cs="宋体"/>
                <w:i w:val="0"/>
                <w:iCs w:val="0"/>
                <w:color w:val="000000"/>
                <w:sz w:val="22"/>
                <w:szCs w:val="22"/>
                <w:u w:val="none"/>
              </w:rPr>
            </w:pPr>
            <w:r>
              <w:rPr>
                <w:rFonts w:hint="eastAsia" w:ascii="宋体" w:hAnsi="宋体" w:eastAsia="宋体" w:cs="Times New Roman"/>
                <w:b w:val="0"/>
                <w:bCs/>
                <w:sz w:val="24"/>
                <w:lang w:val="en-US" w:eastAsia="zh-CN"/>
              </w:rPr>
              <w:t>含全部货物、辅助材料、安装、调试、人工、机械、运输、仓储、保险、运费、各种税费、保险、劳保及质保期间等一切费用所有相关费用。</w:t>
            </w:r>
          </w:p>
        </w:tc>
      </w:tr>
    </w:tbl>
    <w:p w14:paraId="1FB8E84F">
      <w:pPr>
        <w:pStyle w:val="6"/>
        <w:spacing w:line="360" w:lineRule="auto"/>
        <w:ind w:left="0" w:leftChars="0" w:firstLine="0" w:firstLineChars="0"/>
        <w:rPr>
          <w:rFonts w:hint="eastAsia" w:ascii="宋体" w:hAnsi="宋体"/>
          <w:sz w:val="24"/>
          <w:szCs w:val="24"/>
        </w:rPr>
      </w:pPr>
      <w:r>
        <w:rPr>
          <w:rFonts w:hint="eastAsia" w:ascii="宋体" w:hAnsi="宋体"/>
          <w:sz w:val="24"/>
          <w:szCs w:val="24"/>
        </w:rPr>
        <w:t>供应商全称（加盖公章）：</w:t>
      </w:r>
    </w:p>
    <w:p w14:paraId="5D6213BA">
      <w:pPr>
        <w:pStyle w:val="6"/>
        <w:spacing w:line="360" w:lineRule="auto"/>
        <w:rPr>
          <w:rFonts w:ascii="宋体" w:hAnsi="宋体"/>
          <w:sz w:val="24"/>
          <w:szCs w:val="24"/>
        </w:rPr>
      </w:pPr>
      <w:r>
        <w:rPr>
          <w:rFonts w:hint="eastAsia" w:ascii="宋体" w:hAnsi="宋体"/>
          <w:sz w:val="24"/>
          <w:szCs w:val="24"/>
        </w:rPr>
        <w:t xml:space="preserve">            </w:t>
      </w:r>
    </w:p>
    <w:p w14:paraId="35C8FEB6">
      <w:pPr>
        <w:spacing w:line="360" w:lineRule="auto"/>
        <w:rPr>
          <w:rFonts w:ascii="宋体" w:hAnsi="宋体"/>
          <w:sz w:val="24"/>
        </w:rPr>
      </w:pPr>
      <w:r>
        <w:rPr>
          <w:rFonts w:hint="eastAsia" w:ascii="宋体" w:hAnsi="宋体"/>
          <w:sz w:val="24"/>
        </w:rPr>
        <w:t>法定代表人或授权代表（签字或盖章）</w:t>
      </w:r>
    </w:p>
    <w:p w14:paraId="08E81E26">
      <w:pPr>
        <w:spacing w:line="360" w:lineRule="auto"/>
        <w:rPr>
          <w:rFonts w:ascii="宋体" w:hAnsi="宋体"/>
          <w:sz w:val="24"/>
        </w:rPr>
      </w:pPr>
    </w:p>
    <w:p w14:paraId="24B1490B">
      <w:pPr>
        <w:jc w:val="center"/>
        <w:rPr>
          <w:rFonts w:ascii="宋体" w:hAnsi="宋体"/>
          <w:sz w:val="24"/>
        </w:rPr>
      </w:pPr>
      <w:r>
        <w:rPr>
          <w:rFonts w:hint="eastAsia" w:ascii="宋体" w:hAnsi="宋体"/>
          <w:b/>
          <w:sz w:val="24"/>
        </w:rPr>
        <w:t xml:space="preserve">                                             </w:t>
      </w:r>
      <w:r>
        <w:rPr>
          <w:rFonts w:hint="eastAsia" w:ascii="宋体" w:hAnsi="宋体"/>
          <w:sz w:val="24"/>
        </w:rPr>
        <w:t xml:space="preserve">           年    月    日</w:t>
      </w:r>
    </w:p>
    <w:p w14:paraId="38A3FC9D">
      <w:pPr>
        <w:rPr>
          <w:rFonts w:ascii="宋体" w:hAnsi="宋体"/>
          <w:szCs w:val="21"/>
        </w:rPr>
      </w:pPr>
      <w:r>
        <w:rPr>
          <w:rFonts w:hint="eastAsia" w:ascii="宋体" w:hAnsi="宋体"/>
          <w:szCs w:val="21"/>
        </w:rPr>
        <w:br w:type="page"/>
      </w:r>
    </w:p>
    <w:p w14:paraId="0D047C97">
      <w:pPr>
        <w:jc w:val="center"/>
        <w:rPr>
          <w:rFonts w:asciiTheme="minorEastAsia" w:hAnsiTheme="minorEastAsia" w:eastAsiaTheme="minorEastAsia"/>
          <w:b/>
          <w:bCs/>
          <w:sz w:val="36"/>
          <w:szCs w:val="36"/>
        </w:rPr>
      </w:pPr>
      <w:r>
        <w:rPr>
          <w:rFonts w:hint="eastAsia" w:asciiTheme="minorEastAsia" w:hAnsiTheme="minorEastAsia" w:eastAsiaTheme="minorEastAsia"/>
          <w:b/>
          <w:bCs/>
          <w:sz w:val="36"/>
          <w:szCs w:val="36"/>
        </w:rPr>
        <w:t>供应商廉洁自律承诺书</w:t>
      </w:r>
    </w:p>
    <w:p w14:paraId="66984538">
      <w:pPr>
        <w:rPr>
          <w:rFonts w:ascii="楷体_GB2312" w:eastAsia="楷体_GB2312"/>
        </w:rPr>
      </w:pPr>
    </w:p>
    <w:p w14:paraId="0CDADE55">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bCs/>
          <w:sz w:val="24"/>
        </w:rPr>
      </w:pPr>
      <w:r>
        <w:rPr>
          <w:rFonts w:hint="eastAsia" w:asciiTheme="minorEastAsia" w:hAnsiTheme="minorEastAsia" w:eastAsiaTheme="minorEastAsia"/>
          <w:bCs/>
          <w:sz w:val="24"/>
        </w:rPr>
        <w:t>扬州大学附属医院京沪高级医学中心导视标识及文化墙设计制作安装项目院内公开谈判是实行公开、公平、公正的阳光工程，给予了每个供应商平等竞争的机会。作为参与此次谈判活动的承包商,我公司现郑重作出以下承诺：</w:t>
      </w:r>
    </w:p>
    <w:p w14:paraId="7A20A73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一、遵守《中华人民共和国政府采购法》及省、市有关政府采购的各项法律、法规和制度以及《扬州大学采购管理暂行办法》的规定。</w:t>
      </w:r>
    </w:p>
    <w:p w14:paraId="3FBAABB8">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二、客观真实反映自身情况，按规定接受采购供应商资格审查,不提供虚假材料，不夸大自身技术和提供服务的能力。</w:t>
      </w:r>
    </w:p>
    <w:p w14:paraId="6785A2D4">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三、以合法正当的手段参与采购的公平竞争。不与采购人、其他供应商或者采购代理机构恶意串通，不以不正当手段诋毁、排挤其他供应商，不向采购人、评审机构行贿或者提供其他不正当利益。</w:t>
      </w:r>
    </w:p>
    <w:p w14:paraId="53B625C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四、在采购活动中，认真履行规定义务,包括:遵守采购程序，按要求编写投标、响应文件，并保证投标、响应文件内容的真实可靠；按时递交投标、响应文件；在评标、谈判现场遵守相关纪律，不影响正常的采购秩序。</w:t>
      </w:r>
    </w:p>
    <w:p w14:paraId="6D1165E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五、自觉接受采购监督管理部门及其他相关部门的监督检查。</w:t>
      </w:r>
    </w:p>
    <w:p w14:paraId="4C747DD9">
      <w:pPr>
        <w:pStyle w:val="15"/>
        <w:adjustRightInd w:val="0"/>
        <w:snapToGrid w:val="0"/>
        <w:spacing w:line="440" w:lineRule="exact"/>
        <w:ind w:left="424" w:leftChars="202" w:right="531" w:rightChars="253" w:firstLine="426" w:firstLineChars="177"/>
        <w:contextualSpacing/>
        <w:rPr>
          <w:rFonts w:asciiTheme="minorEastAsia" w:hAnsiTheme="minorEastAsia" w:eastAsiaTheme="minorEastAsia"/>
          <w:b/>
          <w:bCs/>
          <w:sz w:val="24"/>
        </w:rPr>
      </w:pPr>
      <w:r>
        <w:rPr>
          <w:rFonts w:hint="eastAsia" w:asciiTheme="minorEastAsia" w:hAnsiTheme="minorEastAsia" w:eastAsiaTheme="minorEastAsia"/>
          <w:b/>
          <w:bCs/>
          <w:sz w:val="24"/>
        </w:rPr>
        <w:t>如违反以上承诺，我公司愿承担一切法律责任，并接受采购监督管理部门及其他相关部门依法作出的处罚。</w:t>
      </w:r>
    </w:p>
    <w:p w14:paraId="65C4CA77">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7192FF2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205C2A5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承诺单位（盖章）</w:t>
      </w:r>
    </w:p>
    <w:p w14:paraId="7C820BA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法定代表人（授权代表签字）：</w:t>
      </w:r>
    </w:p>
    <w:p w14:paraId="3A0A2387">
      <w:pPr>
        <w:pStyle w:val="10"/>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2025年   月   日</w:t>
      </w:r>
    </w:p>
    <w:p w14:paraId="7991BC09">
      <w:pPr>
        <w:jc w:val="center"/>
        <w:rPr>
          <w:rFonts w:ascii="宋体" w:hAnsi="宋体"/>
          <w:b/>
          <w:sz w:val="24"/>
        </w:rPr>
      </w:pPr>
    </w:p>
    <w:p w14:paraId="5F2135DC">
      <w:pPr>
        <w:rPr>
          <w:sz w:val="24"/>
        </w:rPr>
      </w:pPr>
      <w:r>
        <w:rPr>
          <w:sz w:val="24"/>
        </w:rPr>
        <w:br w:type="page"/>
      </w:r>
    </w:p>
    <w:p w14:paraId="768B4942">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bookmarkStart w:id="15" w:name="_Toc497145841"/>
      <w:bookmarkStart w:id="16" w:name="_Toc12436"/>
      <w:r>
        <w:rPr>
          <w:rFonts w:hint="eastAsia"/>
          <w:b/>
          <w:sz w:val="32"/>
          <w:szCs w:val="32"/>
          <w:lang w:eastAsia="zh-CN"/>
        </w:rPr>
        <w:t>六、</w:t>
      </w:r>
      <w:r>
        <w:rPr>
          <w:rFonts w:hint="eastAsia"/>
          <w:b/>
          <w:sz w:val="32"/>
          <w:szCs w:val="32"/>
        </w:rPr>
        <w:t>合同条款及格式</w:t>
      </w:r>
      <w:bookmarkEnd w:id="15"/>
      <w:bookmarkEnd w:id="16"/>
    </w:p>
    <w:p w14:paraId="35F8BD39">
      <w:pPr>
        <w:pStyle w:val="59"/>
        <w:jc w:val="center"/>
        <w:rPr>
          <w:rFonts w:ascii="宋体" w:hAnsi="宋体" w:cs="宋体"/>
          <w:b/>
          <w:kern w:val="2"/>
          <w:sz w:val="72"/>
          <w:szCs w:val="52"/>
        </w:rPr>
      </w:pPr>
    </w:p>
    <w:p w14:paraId="1629D819">
      <w:pPr>
        <w:pStyle w:val="59"/>
        <w:jc w:val="center"/>
        <w:rPr>
          <w:rFonts w:ascii="宋体" w:hAnsi="宋体" w:cs="宋体"/>
          <w:b/>
          <w:kern w:val="2"/>
          <w:sz w:val="52"/>
          <w:szCs w:val="52"/>
        </w:rPr>
      </w:pPr>
      <w:r>
        <w:rPr>
          <w:rFonts w:hint="eastAsia" w:ascii="宋体" w:hAnsi="宋体" w:cs="宋体"/>
          <w:b/>
          <w:kern w:val="2"/>
          <w:sz w:val="72"/>
          <w:szCs w:val="52"/>
        </w:rPr>
        <w:t>建设工程施工合同</w:t>
      </w:r>
    </w:p>
    <w:p w14:paraId="568CDD28">
      <w:pPr>
        <w:pStyle w:val="59"/>
        <w:rPr>
          <w:rFonts w:ascii="宋体" w:hAnsi="宋体" w:cs="宋体"/>
          <w:b/>
          <w:kern w:val="2"/>
          <w:sz w:val="52"/>
          <w:szCs w:val="52"/>
        </w:rPr>
      </w:pPr>
    </w:p>
    <w:p w14:paraId="51F07911">
      <w:pPr>
        <w:pStyle w:val="59"/>
        <w:rPr>
          <w:rFonts w:ascii="宋体" w:hAnsi="宋体" w:cs="宋体"/>
          <w:b/>
          <w:kern w:val="2"/>
          <w:sz w:val="72"/>
          <w:szCs w:val="72"/>
        </w:rPr>
      </w:pPr>
    </w:p>
    <w:p w14:paraId="403EDEA7">
      <w:pPr>
        <w:pStyle w:val="59"/>
        <w:rPr>
          <w:rFonts w:ascii="宋体" w:hAnsi="宋体" w:cs="宋体"/>
          <w:b/>
          <w:kern w:val="2"/>
          <w:sz w:val="28"/>
          <w:szCs w:val="28"/>
        </w:rPr>
      </w:pPr>
    </w:p>
    <w:p w14:paraId="6D702933">
      <w:pPr>
        <w:tabs>
          <w:tab w:val="left" w:pos="0"/>
          <w:tab w:val="left" w:pos="1002"/>
          <w:tab w:val="left" w:pos="1134"/>
        </w:tabs>
        <w:spacing w:line="440" w:lineRule="exact"/>
        <w:rPr>
          <w:rFonts w:ascii="宋体" w:hAnsi="宋体" w:cs="宋体"/>
          <w:b/>
          <w:snapToGrid w:val="0"/>
          <w:sz w:val="36"/>
          <w:szCs w:val="36"/>
        </w:rPr>
      </w:pPr>
    </w:p>
    <w:p w14:paraId="7F904D13">
      <w:pPr>
        <w:tabs>
          <w:tab w:val="left" w:pos="0"/>
          <w:tab w:val="left" w:pos="1134"/>
        </w:tabs>
        <w:spacing w:line="440" w:lineRule="exact"/>
        <w:rPr>
          <w:rFonts w:ascii="宋体" w:hAnsi="宋体" w:cs="宋体"/>
          <w:b/>
          <w:snapToGrid w:val="0"/>
          <w:sz w:val="28"/>
          <w:szCs w:val="28"/>
        </w:rPr>
      </w:pPr>
    </w:p>
    <w:p w14:paraId="4CAA2E6A">
      <w:pPr>
        <w:tabs>
          <w:tab w:val="left" w:pos="0"/>
          <w:tab w:val="left" w:pos="1134"/>
        </w:tabs>
        <w:spacing w:line="440" w:lineRule="exact"/>
        <w:rPr>
          <w:rFonts w:ascii="宋体" w:hAnsi="宋体" w:cs="宋体"/>
          <w:b/>
          <w:snapToGrid w:val="0"/>
          <w:sz w:val="28"/>
          <w:szCs w:val="28"/>
        </w:rPr>
      </w:pPr>
    </w:p>
    <w:p w14:paraId="6A8FFCD5">
      <w:pPr>
        <w:tabs>
          <w:tab w:val="left" w:pos="0"/>
          <w:tab w:val="left" w:pos="1134"/>
        </w:tabs>
        <w:spacing w:line="440" w:lineRule="exact"/>
        <w:rPr>
          <w:rFonts w:ascii="宋体" w:hAnsi="宋体" w:cs="宋体"/>
          <w:b/>
          <w:snapToGrid w:val="0"/>
          <w:sz w:val="28"/>
          <w:szCs w:val="28"/>
        </w:rPr>
      </w:pPr>
    </w:p>
    <w:p w14:paraId="3846484C">
      <w:pPr>
        <w:tabs>
          <w:tab w:val="left" w:pos="0"/>
          <w:tab w:val="left" w:pos="1134"/>
        </w:tabs>
        <w:spacing w:line="440" w:lineRule="exact"/>
        <w:jc w:val="center"/>
        <w:rPr>
          <w:rFonts w:ascii="宋体" w:hAnsi="宋体" w:cs="宋体"/>
          <w:b/>
          <w:snapToGrid w:val="0"/>
          <w:sz w:val="36"/>
          <w:szCs w:val="36"/>
        </w:rPr>
      </w:pPr>
    </w:p>
    <w:p w14:paraId="3F364450">
      <w:pPr>
        <w:tabs>
          <w:tab w:val="left" w:pos="0"/>
          <w:tab w:val="left" w:pos="1134"/>
        </w:tabs>
        <w:spacing w:line="440" w:lineRule="exact"/>
        <w:jc w:val="center"/>
        <w:rPr>
          <w:rFonts w:ascii="宋体" w:hAnsi="宋体" w:cs="宋体"/>
          <w:b/>
          <w:snapToGrid w:val="0"/>
          <w:sz w:val="36"/>
          <w:szCs w:val="36"/>
        </w:rPr>
      </w:pPr>
    </w:p>
    <w:p w14:paraId="2F6F7D05">
      <w:pPr>
        <w:tabs>
          <w:tab w:val="left" w:pos="0"/>
          <w:tab w:val="left" w:pos="1134"/>
        </w:tabs>
        <w:spacing w:line="440" w:lineRule="exact"/>
        <w:jc w:val="center"/>
        <w:rPr>
          <w:rFonts w:ascii="宋体" w:hAnsi="宋体" w:cs="宋体"/>
          <w:b/>
          <w:snapToGrid w:val="0"/>
          <w:sz w:val="36"/>
          <w:szCs w:val="36"/>
        </w:rPr>
      </w:pPr>
    </w:p>
    <w:p w14:paraId="0E9B6C36">
      <w:pPr>
        <w:tabs>
          <w:tab w:val="left" w:pos="0"/>
          <w:tab w:val="left" w:pos="1134"/>
        </w:tabs>
        <w:spacing w:line="440" w:lineRule="exact"/>
        <w:jc w:val="center"/>
        <w:rPr>
          <w:rFonts w:ascii="宋体" w:hAnsi="宋体" w:cs="宋体"/>
          <w:b/>
          <w:snapToGrid w:val="0"/>
          <w:sz w:val="36"/>
          <w:szCs w:val="36"/>
        </w:rPr>
      </w:pPr>
    </w:p>
    <w:p w14:paraId="24A6CAE4">
      <w:pPr>
        <w:tabs>
          <w:tab w:val="left" w:pos="0"/>
          <w:tab w:val="left" w:pos="1134"/>
        </w:tabs>
        <w:spacing w:line="360" w:lineRule="auto"/>
        <w:ind w:firstLine="723" w:firstLineChars="200"/>
        <w:jc w:val="center"/>
        <w:outlineLvl w:val="0"/>
        <w:rPr>
          <w:rFonts w:ascii="宋体" w:hAnsi="宋体" w:cs="宋体"/>
          <w:b/>
          <w:snapToGrid w:val="0"/>
          <w:sz w:val="28"/>
          <w:szCs w:val="28"/>
        </w:rPr>
      </w:pPr>
      <w:r>
        <w:rPr>
          <w:rFonts w:hint="eastAsia" w:ascii="宋体" w:hAnsi="宋体" w:cs="宋体"/>
          <w:b/>
          <w:snapToGrid w:val="0"/>
          <w:sz w:val="36"/>
          <w:szCs w:val="36"/>
        </w:rPr>
        <w:br w:type="page"/>
      </w:r>
      <w:r>
        <w:rPr>
          <w:rFonts w:hint="eastAsia" w:ascii="宋体" w:hAnsi="宋体" w:cs="宋体"/>
          <w:b/>
          <w:bCs/>
          <w:sz w:val="32"/>
          <w:szCs w:val="32"/>
        </w:rPr>
        <w:t>第一部分协议书</w:t>
      </w:r>
    </w:p>
    <w:p w14:paraId="736CB762">
      <w:pPr>
        <w:tabs>
          <w:tab w:val="left" w:pos="426"/>
          <w:tab w:val="left" w:pos="1134"/>
        </w:tabs>
        <w:spacing w:line="360" w:lineRule="auto"/>
        <w:ind w:firstLine="420" w:firstLineChars="200"/>
        <w:contextualSpacing/>
        <w:rPr>
          <w:rFonts w:ascii="宋体" w:hAnsi="宋体" w:cs="宋体"/>
          <w:szCs w:val="21"/>
        </w:rPr>
      </w:pPr>
      <w:r>
        <w:rPr>
          <w:rFonts w:hint="eastAsia" w:ascii="宋体" w:hAnsi="宋体" w:cs="宋体"/>
          <w:szCs w:val="21"/>
        </w:rPr>
        <w:t>合同编号:</w:t>
      </w:r>
    </w:p>
    <w:p w14:paraId="118A770C">
      <w:pPr>
        <w:tabs>
          <w:tab w:val="left" w:pos="426"/>
          <w:tab w:val="left" w:pos="1134"/>
        </w:tabs>
        <w:spacing w:line="360" w:lineRule="auto"/>
        <w:ind w:firstLine="420" w:firstLineChars="200"/>
        <w:contextualSpacing/>
        <w:rPr>
          <w:rFonts w:ascii="宋体" w:hAnsi="宋体" w:cs="宋体"/>
          <w:b/>
          <w:snapToGrid w:val="0"/>
          <w:szCs w:val="21"/>
        </w:rPr>
      </w:pPr>
      <w:r>
        <w:rPr>
          <w:rFonts w:hint="eastAsia" w:ascii="宋体" w:hAnsi="宋体" w:cs="宋体"/>
          <w:szCs w:val="21"/>
        </w:rPr>
        <w:t>发包人：</w:t>
      </w:r>
      <w:r>
        <w:rPr>
          <w:rFonts w:hint="eastAsia" w:ascii="宋体" w:hAnsi="宋体" w:cs="宋体"/>
          <w:b/>
          <w:bCs/>
          <w:szCs w:val="21"/>
        </w:rPr>
        <w:t>扬州大学附属医院</w:t>
      </w:r>
    </w:p>
    <w:p w14:paraId="5AC0204D">
      <w:pPr>
        <w:tabs>
          <w:tab w:val="left" w:pos="426"/>
        </w:tabs>
        <w:spacing w:line="360" w:lineRule="auto"/>
        <w:ind w:firstLine="420" w:firstLineChars="200"/>
        <w:contextualSpacing/>
        <w:rPr>
          <w:rFonts w:ascii="宋体" w:hAnsi="宋体" w:cs="宋体"/>
          <w:szCs w:val="21"/>
        </w:rPr>
      </w:pPr>
      <w:r>
        <w:rPr>
          <w:rFonts w:hint="eastAsia" w:ascii="宋体" w:hAnsi="宋体" w:cs="宋体"/>
          <w:szCs w:val="21"/>
        </w:rPr>
        <w:t>承包人：</w:t>
      </w:r>
    </w:p>
    <w:p w14:paraId="26DECF8B">
      <w:pPr>
        <w:tabs>
          <w:tab w:val="left" w:pos="426"/>
        </w:tabs>
        <w:spacing w:line="360" w:lineRule="auto"/>
        <w:ind w:firstLine="420" w:firstLineChars="200"/>
        <w:contextualSpacing/>
        <w:rPr>
          <w:rFonts w:ascii="宋体" w:hAnsi="宋体" w:cs="宋体"/>
          <w:bCs/>
          <w:snapToGrid w:val="0"/>
          <w:szCs w:val="21"/>
        </w:rPr>
      </w:pPr>
      <w:r>
        <w:rPr>
          <w:rFonts w:hint="eastAsia" w:ascii="宋体" w:hAnsi="宋体" w:cs="宋体"/>
          <w:szCs w:val="21"/>
        </w:rPr>
        <w:t>发包人承包人双方根据《中华人民共和国民法典》等相关法律法规，遵循平等、自愿、公平、诚实信用的原则，就</w:t>
      </w:r>
      <w:r>
        <w:rPr>
          <w:rFonts w:hint="eastAsia" w:ascii="宋体" w:hAnsi="宋体" w:cs="宋体"/>
          <w:b/>
          <w:bCs/>
          <w:szCs w:val="21"/>
          <w:u w:val="single"/>
        </w:rPr>
        <w:t xml:space="preserve">                        </w:t>
      </w:r>
      <w:r>
        <w:rPr>
          <w:rFonts w:hint="eastAsia" w:ascii="宋体" w:hAnsi="宋体" w:cs="宋体"/>
          <w:szCs w:val="21"/>
        </w:rPr>
        <w:t>，经发包人承包人双方友好协商签订以下合同：</w:t>
      </w:r>
    </w:p>
    <w:p w14:paraId="4AE10292">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一、工程概况</w:t>
      </w:r>
    </w:p>
    <w:p w14:paraId="119A8EB4">
      <w:pPr>
        <w:tabs>
          <w:tab w:val="left" w:pos="426"/>
        </w:tabs>
        <w:spacing w:line="360" w:lineRule="auto"/>
        <w:ind w:firstLine="420" w:firstLineChars="200"/>
        <w:contextualSpacing/>
        <w:rPr>
          <w:rFonts w:ascii="宋体" w:hAnsi="宋体" w:cs="宋体"/>
          <w:b/>
          <w:bCs/>
          <w:snapToGrid w:val="0"/>
          <w:szCs w:val="21"/>
        </w:rPr>
      </w:pPr>
      <w:r>
        <w:rPr>
          <w:rFonts w:hint="eastAsia" w:ascii="宋体" w:hAnsi="宋体" w:cs="宋体"/>
          <w:szCs w:val="21"/>
        </w:rPr>
        <w:t>1.1工程名称：</w:t>
      </w:r>
    </w:p>
    <w:p w14:paraId="0B2EB398">
      <w:pPr>
        <w:tabs>
          <w:tab w:val="left" w:pos="426"/>
        </w:tabs>
        <w:spacing w:line="360" w:lineRule="auto"/>
        <w:ind w:firstLine="420" w:firstLineChars="200"/>
        <w:contextualSpacing/>
        <w:rPr>
          <w:rFonts w:ascii="宋体" w:hAnsi="宋体" w:cs="宋体"/>
          <w:b/>
          <w:snapToGrid w:val="0"/>
          <w:szCs w:val="21"/>
          <w:u w:val="single"/>
        </w:rPr>
      </w:pPr>
      <w:r>
        <w:rPr>
          <w:rFonts w:hint="eastAsia" w:ascii="宋体" w:hAnsi="宋体" w:cs="宋体"/>
          <w:szCs w:val="21"/>
        </w:rPr>
        <w:t>1.2工程地点：</w:t>
      </w:r>
    </w:p>
    <w:p w14:paraId="3EF57BF3">
      <w:pPr>
        <w:tabs>
          <w:tab w:val="left" w:pos="426"/>
        </w:tabs>
        <w:spacing w:line="360" w:lineRule="auto"/>
        <w:ind w:firstLine="420" w:firstLineChars="200"/>
        <w:contextualSpacing/>
        <w:rPr>
          <w:rFonts w:ascii="宋体" w:hAnsi="宋体" w:cs="宋体"/>
          <w:snapToGrid w:val="0"/>
          <w:szCs w:val="21"/>
        </w:rPr>
      </w:pPr>
      <w:r>
        <w:rPr>
          <w:rFonts w:hint="eastAsia" w:ascii="宋体" w:hAnsi="宋体" w:cs="宋体"/>
          <w:szCs w:val="21"/>
        </w:rPr>
        <w:t>1.3主要工程项目和内容：</w:t>
      </w:r>
      <w:r>
        <w:rPr>
          <w:rFonts w:hint="eastAsia" w:ascii="宋体" w:hAnsi="宋体" w:cs="宋体"/>
          <w:snapToGrid w:val="0"/>
          <w:szCs w:val="21"/>
        </w:rPr>
        <w:t xml:space="preserve"> </w:t>
      </w:r>
    </w:p>
    <w:p w14:paraId="6F903DE6">
      <w:pPr>
        <w:tabs>
          <w:tab w:val="left" w:pos="426"/>
        </w:tabs>
        <w:spacing w:line="360" w:lineRule="auto"/>
        <w:ind w:firstLine="422" w:firstLineChars="200"/>
        <w:contextualSpacing/>
        <w:rPr>
          <w:rFonts w:ascii="宋体" w:hAnsi="宋体" w:cs="宋体"/>
          <w:szCs w:val="21"/>
        </w:rPr>
      </w:pPr>
      <w:r>
        <w:rPr>
          <w:rFonts w:hint="eastAsia" w:ascii="宋体" w:hAnsi="宋体" w:cs="宋体"/>
          <w:b/>
          <w:snapToGrid w:val="0"/>
          <w:szCs w:val="21"/>
        </w:rPr>
        <w:t>详见图纸及本施工要求。</w:t>
      </w:r>
      <w:r>
        <w:rPr>
          <w:rFonts w:hint="eastAsia" w:ascii="宋体" w:hAnsi="宋体" w:cs="宋体"/>
          <w:szCs w:val="21"/>
        </w:rPr>
        <w:t>按照图纸所示内容施工，若因发包人要求增加，增加部分的工程量按实际增加工作量签证另行计算。</w:t>
      </w:r>
    </w:p>
    <w:p w14:paraId="2A6C6FD1">
      <w:pPr>
        <w:pStyle w:val="46"/>
        <w:tabs>
          <w:tab w:val="left" w:pos="426"/>
        </w:tabs>
        <w:spacing w:line="360" w:lineRule="auto"/>
        <w:contextualSpacing/>
        <w:jc w:val="left"/>
        <w:rPr>
          <w:rFonts w:ascii="宋体" w:hAnsi="宋体" w:cs="宋体"/>
          <w:szCs w:val="21"/>
        </w:rPr>
      </w:pPr>
      <w:r>
        <w:rPr>
          <w:rFonts w:hint="eastAsia" w:ascii="宋体" w:hAnsi="宋体" w:cs="宋体"/>
          <w:szCs w:val="21"/>
        </w:rPr>
        <w:t>1.4资金来源：自筹。</w:t>
      </w:r>
    </w:p>
    <w:p w14:paraId="499276E7">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二、合同工期</w:t>
      </w:r>
    </w:p>
    <w:p w14:paraId="3EA42B83">
      <w:pPr>
        <w:pStyle w:val="46"/>
        <w:tabs>
          <w:tab w:val="left" w:pos="426"/>
        </w:tabs>
        <w:spacing w:line="360" w:lineRule="auto"/>
        <w:contextualSpacing/>
        <w:jc w:val="left"/>
        <w:rPr>
          <w:rFonts w:ascii="宋体" w:hAnsi="宋体" w:cs="宋体"/>
          <w:szCs w:val="21"/>
        </w:rPr>
      </w:pPr>
      <w:r>
        <w:rPr>
          <w:rFonts w:hint="eastAsia" w:ascii="宋体" w:hAnsi="宋体" w:cs="宋体"/>
          <w:szCs w:val="21"/>
        </w:rPr>
        <w:t>2.1</w:t>
      </w:r>
      <w:r>
        <w:rPr>
          <w:rFonts w:hint="eastAsia" w:ascii="宋体" w:hAnsi="宋体" w:cs="宋体"/>
          <w:b/>
          <w:bCs/>
          <w:snapToGrid w:val="0"/>
          <w:szCs w:val="21"/>
        </w:rPr>
        <w:t>总工期日历天。</w:t>
      </w:r>
    </w:p>
    <w:p w14:paraId="5C852BAE">
      <w:pPr>
        <w:pStyle w:val="46"/>
        <w:tabs>
          <w:tab w:val="left" w:pos="426"/>
        </w:tabs>
        <w:spacing w:line="360" w:lineRule="auto"/>
        <w:ind w:firstLine="452"/>
        <w:contextualSpacing/>
        <w:jc w:val="left"/>
        <w:rPr>
          <w:rFonts w:ascii="宋体" w:hAnsi="宋体" w:cs="宋体"/>
          <w:szCs w:val="21"/>
        </w:rPr>
      </w:pPr>
      <w:r>
        <w:rPr>
          <w:rFonts w:hint="eastAsia" w:ascii="宋体" w:hAnsi="宋体" w:cs="宋体"/>
          <w:spacing w:val="8"/>
          <w:szCs w:val="21"/>
        </w:rPr>
        <w:t>2.2开工日期为：   年   月   日（以发包人开工令为准）。</w:t>
      </w:r>
    </w:p>
    <w:p w14:paraId="26865ABE">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三、质量标准</w:t>
      </w:r>
    </w:p>
    <w:p w14:paraId="07A3CF5D">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EB0B4DA">
      <w:pPr>
        <w:pStyle w:val="58"/>
        <w:tabs>
          <w:tab w:val="left" w:pos="426"/>
        </w:tabs>
        <w:adjustRightInd/>
        <w:spacing w:before="0" w:after="0" w:line="360" w:lineRule="auto"/>
        <w:ind w:left="0" w:right="0" w:firstLine="422" w:firstLineChars="200"/>
        <w:contextualSpacing/>
        <w:rPr>
          <w:rFonts w:ascii="宋体" w:hAnsi="宋体" w:cs="宋体"/>
          <w:b/>
          <w:sz w:val="21"/>
          <w:szCs w:val="21"/>
        </w:rPr>
      </w:pPr>
      <w:r>
        <w:rPr>
          <w:rFonts w:hint="eastAsia" w:ascii="宋体" w:hAnsi="宋体" w:cs="宋体"/>
          <w:b/>
          <w:sz w:val="21"/>
          <w:szCs w:val="21"/>
        </w:rPr>
        <w:t>四、合同价款</w:t>
      </w:r>
    </w:p>
    <w:p w14:paraId="28B43D81">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 xml:space="preserve">4.1合同价为：人民币（大写）: </w:t>
      </w:r>
    </w:p>
    <w:p w14:paraId="093A856D">
      <w:pPr>
        <w:tabs>
          <w:tab w:val="left" w:pos="426"/>
        </w:tabs>
        <w:spacing w:line="360" w:lineRule="auto"/>
        <w:ind w:firstLine="422" w:firstLineChars="200"/>
        <w:contextualSpacing/>
        <w:rPr>
          <w:rFonts w:ascii="宋体" w:hAnsi="宋体" w:cs="宋体"/>
          <w:b/>
          <w:szCs w:val="21"/>
          <w:u w:val="single"/>
        </w:rPr>
      </w:pPr>
      <w:r>
        <w:rPr>
          <w:rFonts w:hint="eastAsia" w:ascii="宋体" w:hAnsi="宋体" w:cs="宋体"/>
          <w:b/>
          <w:szCs w:val="21"/>
        </w:rPr>
        <w:t xml:space="preserve">                     (小写)：</w:t>
      </w:r>
      <w:r>
        <w:rPr>
          <w:rFonts w:hint="eastAsia" w:ascii="宋体" w:hAnsi="宋体" w:cs="宋体"/>
          <w:b/>
          <w:szCs w:val="21"/>
          <w:u w:val="single"/>
        </w:rPr>
        <w:t xml:space="preserve"> </w:t>
      </w:r>
    </w:p>
    <w:p w14:paraId="1C92904E">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（最终</w:t>
      </w:r>
      <w:r>
        <w:rPr>
          <w:rFonts w:hint="eastAsia" w:ascii="宋体" w:hAnsi="宋体" w:cs="宋体"/>
          <w:b/>
          <w:szCs w:val="21"/>
          <w:lang w:val="en-US" w:eastAsia="zh-CN"/>
        </w:rPr>
        <w:t>按</w:t>
      </w:r>
      <w:r>
        <w:rPr>
          <w:rFonts w:hint="eastAsia" w:ascii="宋体" w:hAnsi="宋体" w:cs="宋体"/>
          <w:b/>
          <w:szCs w:val="21"/>
        </w:rPr>
        <w:t>审计造价进行结算。）</w:t>
      </w:r>
    </w:p>
    <w:p w14:paraId="4D3395E2">
      <w:pPr>
        <w:numPr>
          <w:ilvl w:val="0"/>
          <w:numId w:val="6"/>
        </w:num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付款方式</w:t>
      </w:r>
      <w:r>
        <w:rPr>
          <w:rFonts w:hint="eastAsia" w:ascii="宋体" w:hAnsi="宋体" w:cs="宋体"/>
          <w:b/>
          <w:szCs w:val="21"/>
          <w:lang w:eastAsia="zh-CN"/>
        </w:rPr>
        <w:t>：</w:t>
      </w:r>
    </w:p>
    <w:p w14:paraId="78E4647A">
      <w:pPr>
        <w:tabs>
          <w:tab w:val="left" w:pos="426"/>
        </w:tabs>
        <w:spacing w:line="360" w:lineRule="auto"/>
        <w:ind w:firstLine="422" w:firstLineChars="200"/>
        <w:contextualSpacing/>
        <w:outlineLvl w:val="1"/>
        <w:rPr>
          <w:rFonts w:ascii="宋体" w:hAnsi="宋体" w:cs="宋体"/>
          <w:szCs w:val="21"/>
        </w:rPr>
      </w:pPr>
      <w:r>
        <w:rPr>
          <w:rFonts w:hint="eastAsia" w:ascii="宋体" w:hAnsi="宋体" w:cs="宋体"/>
          <w:b/>
          <w:szCs w:val="21"/>
        </w:rPr>
        <w:t>六、组成本合同的文件包括：</w:t>
      </w:r>
      <w:r>
        <w:rPr>
          <w:rFonts w:hint="eastAsia" w:ascii="宋体" w:hAnsi="宋体" w:cs="宋体"/>
          <w:szCs w:val="21"/>
        </w:rPr>
        <w:t>是合同不可分割的组成部分，与合同具有同样的法律效力。</w:t>
      </w:r>
    </w:p>
    <w:p w14:paraId="3752ACEA">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6.1合同协议书</w:t>
      </w:r>
      <w:r>
        <w:rPr>
          <w:rFonts w:hint="eastAsia" w:ascii="宋体" w:hAnsi="宋体" w:cs="宋体"/>
          <w:snapToGrid w:val="0"/>
          <w:szCs w:val="21"/>
        </w:rPr>
        <w:t>；</w:t>
      </w:r>
    </w:p>
    <w:p w14:paraId="3C87C0A8">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6.2合同专用条款</w:t>
      </w:r>
      <w:r>
        <w:rPr>
          <w:rFonts w:hint="eastAsia" w:ascii="宋体" w:hAnsi="宋体" w:cs="宋体"/>
          <w:snapToGrid w:val="0"/>
          <w:szCs w:val="21"/>
        </w:rPr>
        <w:t>；</w:t>
      </w:r>
    </w:p>
    <w:p w14:paraId="29A9F546">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6.3合同通用条款</w:t>
      </w:r>
      <w:r>
        <w:rPr>
          <w:rFonts w:hint="eastAsia" w:ascii="宋体" w:hAnsi="宋体" w:cs="宋体"/>
          <w:snapToGrid w:val="0"/>
          <w:szCs w:val="21"/>
        </w:rPr>
        <w:t>；</w:t>
      </w:r>
    </w:p>
    <w:p w14:paraId="54A7EABE">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6.4招标文件及补遗书及澄清答疑文件</w:t>
      </w:r>
      <w:r>
        <w:rPr>
          <w:rFonts w:hint="eastAsia" w:ascii="宋体" w:hAnsi="宋体" w:cs="宋体"/>
          <w:snapToGrid w:val="0"/>
          <w:szCs w:val="21"/>
        </w:rPr>
        <w:t>；</w:t>
      </w:r>
    </w:p>
    <w:p w14:paraId="33FDC366">
      <w:pPr>
        <w:spacing w:line="360" w:lineRule="auto"/>
        <w:ind w:firstLine="420" w:firstLineChars="200"/>
        <w:contextualSpacing/>
        <w:rPr>
          <w:rFonts w:ascii="宋体" w:hAnsi="宋体" w:cs="宋体"/>
          <w:szCs w:val="21"/>
        </w:rPr>
      </w:pPr>
      <w:r>
        <w:rPr>
          <w:rFonts w:hint="eastAsia" w:ascii="宋体" w:hAnsi="宋体" w:cs="宋体"/>
          <w:szCs w:val="21"/>
        </w:rPr>
        <w:t>6.5投标文件</w:t>
      </w:r>
      <w:r>
        <w:rPr>
          <w:rFonts w:hint="eastAsia" w:ascii="宋体" w:hAnsi="宋体" w:cs="宋体"/>
          <w:snapToGrid w:val="0"/>
          <w:szCs w:val="21"/>
        </w:rPr>
        <w:t>；</w:t>
      </w:r>
    </w:p>
    <w:p w14:paraId="2D5A69C6">
      <w:pPr>
        <w:spacing w:line="360" w:lineRule="auto"/>
        <w:ind w:firstLine="420" w:firstLineChars="200"/>
        <w:contextualSpacing/>
        <w:rPr>
          <w:rFonts w:ascii="宋体" w:hAnsi="宋体" w:cs="宋体"/>
          <w:szCs w:val="21"/>
        </w:rPr>
      </w:pPr>
      <w:r>
        <w:rPr>
          <w:rFonts w:hint="eastAsia" w:ascii="宋体" w:hAnsi="宋体" w:cs="宋体"/>
          <w:szCs w:val="21"/>
        </w:rPr>
        <w:t>6.6投标人投标时所作的申明、承诺、澄清及答复资料等</w:t>
      </w:r>
      <w:r>
        <w:rPr>
          <w:rFonts w:hint="eastAsia" w:ascii="宋体" w:hAnsi="宋体" w:cs="宋体"/>
          <w:snapToGrid w:val="0"/>
          <w:szCs w:val="21"/>
        </w:rPr>
        <w:t>；</w:t>
      </w:r>
    </w:p>
    <w:p w14:paraId="26198032">
      <w:pPr>
        <w:spacing w:line="360" w:lineRule="auto"/>
        <w:ind w:firstLine="420" w:firstLineChars="200"/>
        <w:contextualSpacing/>
        <w:rPr>
          <w:rFonts w:ascii="宋体" w:hAnsi="宋体" w:cs="宋体"/>
          <w:szCs w:val="21"/>
        </w:rPr>
      </w:pPr>
      <w:r>
        <w:rPr>
          <w:rFonts w:hint="eastAsia" w:ascii="宋体" w:hAnsi="宋体" w:cs="宋体"/>
          <w:szCs w:val="21"/>
        </w:rPr>
        <w:t>6.7国家及行业规范标准、</w:t>
      </w:r>
      <w:r>
        <w:rPr>
          <w:rFonts w:hint="eastAsia" w:ascii="宋体" w:hAnsi="宋体" w:cs="宋体"/>
          <w:snapToGrid w:val="0"/>
          <w:szCs w:val="21"/>
        </w:rPr>
        <w:t>有关技术文件；</w:t>
      </w:r>
    </w:p>
    <w:p w14:paraId="743A5C82">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6.8施工图纸</w:t>
      </w:r>
      <w:r>
        <w:rPr>
          <w:rFonts w:hint="eastAsia" w:ascii="宋体" w:hAnsi="宋体" w:cs="宋体"/>
          <w:snapToGrid w:val="0"/>
          <w:szCs w:val="21"/>
        </w:rPr>
        <w:t>；</w:t>
      </w:r>
    </w:p>
    <w:p w14:paraId="28752637">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6.9</w:t>
      </w:r>
      <w:r>
        <w:rPr>
          <w:rFonts w:hint="eastAsia" w:ascii="宋体" w:hAnsi="宋体" w:cs="宋体"/>
          <w:snapToGrid w:val="0"/>
          <w:szCs w:val="21"/>
        </w:rPr>
        <w:t>工程报价单及预算书；</w:t>
      </w:r>
    </w:p>
    <w:p w14:paraId="6C6F1496">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6.10经双方确认的工程量清单</w:t>
      </w:r>
      <w:r>
        <w:rPr>
          <w:rFonts w:hint="eastAsia" w:ascii="宋体" w:hAnsi="宋体" w:cs="宋体"/>
          <w:snapToGrid w:val="0"/>
          <w:szCs w:val="21"/>
        </w:rPr>
        <w:t>；</w:t>
      </w:r>
    </w:p>
    <w:p w14:paraId="3E37326D">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6.11投标报价</w:t>
      </w:r>
      <w:r>
        <w:rPr>
          <w:rFonts w:hint="eastAsia" w:ascii="宋体" w:hAnsi="宋体" w:cs="宋体"/>
          <w:snapToGrid w:val="0"/>
          <w:szCs w:val="21"/>
        </w:rPr>
        <w:t>；</w:t>
      </w:r>
    </w:p>
    <w:p w14:paraId="715D3722">
      <w:pPr>
        <w:spacing w:line="360" w:lineRule="auto"/>
        <w:ind w:firstLine="420" w:firstLineChars="200"/>
        <w:contextualSpacing/>
        <w:rPr>
          <w:rFonts w:ascii="宋体" w:hAnsi="宋体" w:cs="宋体"/>
          <w:szCs w:val="21"/>
        </w:rPr>
      </w:pPr>
      <w:r>
        <w:rPr>
          <w:rFonts w:hint="eastAsia" w:ascii="宋体" w:hAnsi="宋体" w:cs="宋体"/>
          <w:snapToGrid w:val="0"/>
          <w:szCs w:val="21"/>
        </w:rPr>
        <w:t>合同履行中，</w:t>
      </w:r>
      <w:r>
        <w:rPr>
          <w:rFonts w:hint="eastAsia" w:ascii="宋体" w:hAnsi="宋体" w:cs="宋体"/>
          <w:szCs w:val="21"/>
        </w:rPr>
        <w:t>双方有关工程的洽商、变更等书面协议或文件视为本合同的组成部分。</w:t>
      </w:r>
    </w:p>
    <w:p w14:paraId="0A1A522E">
      <w:pPr>
        <w:spacing w:line="360" w:lineRule="auto"/>
        <w:ind w:firstLine="422" w:firstLineChars="200"/>
        <w:contextualSpacing/>
        <w:outlineLvl w:val="1"/>
        <w:rPr>
          <w:rFonts w:ascii="宋体" w:hAnsi="宋体" w:cs="宋体"/>
          <w:b/>
          <w:szCs w:val="21"/>
        </w:rPr>
      </w:pPr>
      <w:r>
        <w:rPr>
          <w:rFonts w:hint="eastAsia" w:ascii="宋体" w:hAnsi="宋体" w:cs="宋体"/>
          <w:b/>
          <w:szCs w:val="21"/>
        </w:rPr>
        <w:t>七、本合同书中有关词语含义与本合同《通用条款》中分别赋予它们的定义相同。</w:t>
      </w:r>
    </w:p>
    <w:p w14:paraId="3DF2C267">
      <w:pPr>
        <w:spacing w:line="360" w:lineRule="auto"/>
        <w:ind w:firstLine="422" w:firstLineChars="200"/>
        <w:contextualSpacing/>
        <w:outlineLvl w:val="1"/>
        <w:rPr>
          <w:rFonts w:ascii="宋体" w:hAnsi="宋体" w:cs="宋体"/>
          <w:b/>
          <w:szCs w:val="21"/>
        </w:rPr>
      </w:pPr>
      <w:r>
        <w:rPr>
          <w:rFonts w:hint="eastAsia" w:ascii="宋体" w:hAnsi="宋体" w:cs="宋体"/>
          <w:b/>
          <w:szCs w:val="21"/>
        </w:rPr>
        <w:t>八、承包人向发包人承诺按照合同约定进行施工，并在质量保修期内承担工程质量的保修责任。</w:t>
      </w:r>
    </w:p>
    <w:p w14:paraId="162ACA0E">
      <w:pPr>
        <w:spacing w:line="360" w:lineRule="auto"/>
        <w:ind w:firstLine="422" w:firstLineChars="200"/>
        <w:contextualSpacing/>
        <w:outlineLvl w:val="1"/>
        <w:rPr>
          <w:rFonts w:ascii="宋体" w:hAnsi="宋体" w:cs="宋体"/>
          <w:b/>
          <w:szCs w:val="21"/>
        </w:rPr>
      </w:pPr>
      <w:r>
        <w:rPr>
          <w:rFonts w:hint="eastAsia" w:ascii="宋体" w:hAnsi="宋体" w:cs="宋体"/>
          <w:b/>
          <w:szCs w:val="21"/>
        </w:rPr>
        <w:t>九、发包人向承包人承诺按照合同约定的期限和方式支付合同价款及其他应当支付的款项。</w:t>
      </w:r>
    </w:p>
    <w:p w14:paraId="25100016">
      <w:pPr>
        <w:spacing w:line="360" w:lineRule="auto"/>
        <w:ind w:firstLine="422" w:firstLineChars="200"/>
        <w:contextualSpacing/>
        <w:outlineLvl w:val="1"/>
        <w:rPr>
          <w:rFonts w:ascii="宋体" w:hAnsi="宋体" w:cs="宋体"/>
          <w:b/>
          <w:szCs w:val="21"/>
        </w:rPr>
      </w:pPr>
      <w:r>
        <w:rPr>
          <w:rFonts w:hint="eastAsia" w:ascii="宋体" w:hAnsi="宋体" w:cs="宋体"/>
          <w:b/>
          <w:szCs w:val="21"/>
        </w:rPr>
        <w:t>十、合同生效</w:t>
      </w:r>
    </w:p>
    <w:p w14:paraId="661A9EAF">
      <w:pPr>
        <w:spacing w:line="360" w:lineRule="auto"/>
        <w:ind w:firstLine="420" w:firstLineChars="200"/>
        <w:contextualSpacing/>
        <w:rPr>
          <w:rFonts w:ascii="宋体" w:hAnsi="宋体" w:cs="宋体"/>
          <w:szCs w:val="21"/>
        </w:rPr>
      </w:pPr>
      <w:r>
        <w:rPr>
          <w:rFonts w:hint="eastAsia" w:ascii="宋体" w:hAnsi="宋体" w:cs="宋体"/>
          <w:szCs w:val="21"/>
        </w:rPr>
        <w:t>10.1合同订立时间：2025年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4940407">
      <w:pPr>
        <w:spacing w:line="360" w:lineRule="auto"/>
        <w:ind w:firstLine="420" w:firstLineChars="200"/>
        <w:contextualSpacing/>
        <w:rPr>
          <w:rFonts w:ascii="宋体" w:hAnsi="宋体" w:cs="宋体"/>
          <w:szCs w:val="21"/>
        </w:rPr>
      </w:pPr>
      <w:r>
        <w:rPr>
          <w:rFonts w:hint="eastAsia" w:ascii="宋体" w:hAnsi="宋体" w:cs="宋体"/>
          <w:szCs w:val="21"/>
        </w:rPr>
        <w:t>10.2合同订立地点：扬州大学附属医院。</w:t>
      </w:r>
    </w:p>
    <w:p w14:paraId="267A60A0">
      <w:pPr>
        <w:spacing w:line="360" w:lineRule="auto"/>
        <w:ind w:firstLine="420" w:firstLineChars="200"/>
        <w:contextualSpacing/>
        <w:rPr>
          <w:rFonts w:ascii="宋体" w:hAnsi="宋体" w:cs="宋体"/>
          <w:szCs w:val="21"/>
        </w:rPr>
      </w:pPr>
      <w:r>
        <w:rPr>
          <w:rFonts w:hint="eastAsia" w:ascii="宋体" w:hAnsi="宋体" w:cs="宋体"/>
          <w:szCs w:val="21"/>
        </w:rPr>
        <w:t>10.3本合同双方约定双方签字盖章后生效。</w:t>
      </w:r>
    </w:p>
    <w:p w14:paraId="48A65378">
      <w:pPr>
        <w:tabs>
          <w:tab w:val="left" w:pos="567"/>
        </w:tabs>
        <w:spacing w:line="360" w:lineRule="auto"/>
        <w:ind w:firstLine="420" w:firstLineChars="200"/>
        <w:contextualSpacing/>
        <w:rPr>
          <w:rFonts w:ascii="宋体" w:hAnsi="宋体" w:cs="宋体"/>
          <w:bCs/>
          <w:szCs w:val="21"/>
        </w:rPr>
      </w:pPr>
      <w:r>
        <w:rPr>
          <w:rFonts w:hint="eastAsia" w:ascii="宋体" w:hAnsi="宋体" w:cs="宋体"/>
          <w:bCs/>
          <w:szCs w:val="21"/>
        </w:rPr>
        <w:t>10.4</w:t>
      </w:r>
      <w:r>
        <w:rPr>
          <w:rFonts w:hint="eastAsia" w:ascii="宋体" w:hAnsi="宋体" w:cs="宋体"/>
          <w:szCs w:val="21"/>
        </w:rPr>
        <w:t>本合同一式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33D3E06A">
      <w:pPr>
        <w:tabs>
          <w:tab w:val="left" w:pos="567"/>
        </w:tabs>
        <w:spacing w:line="360" w:lineRule="auto"/>
        <w:ind w:firstLine="420" w:firstLineChars="200"/>
        <w:contextualSpacing/>
        <w:rPr>
          <w:rFonts w:ascii="宋体" w:hAnsi="宋体" w:cs="宋体"/>
          <w:bCs/>
          <w:szCs w:val="21"/>
        </w:rPr>
      </w:pPr>
    </w:p>
    <w:p w14:paraId="0962604D">
      <w:pPr>
        <w:tabs>
          <w:tab w:val="left" w:pos="567"/>
        </w:tabs>
        <w:spacing w:line="360" w:lineRule="auto"/>
        <w:ind w:firstLine="420" w:firstLineChars="200"/>
        <w:contextualSpacing/>
        <w:rPr>
          <w:rFonts w:ascii="宋体" w:hAnsi="宋体" w:cs="宋体"/>
          <w:b/>
          <w:szCs w:val="21"/>
        </w:rPr>
      </w:pPr>
      <w:r>
        <w:rPr>
          <w:rFonts w:hint="eastAsia" w:ascii="宋体" w:hAnsi="宋体" w:cs="宋体"/>
          <w:bCs/>
          <w:szCs w:val="21"/>
        </w:rPr>
        <w:t>发包人：</w:t>
      </w:r>
      <w:r>
        <w:rPr>
          <w:rFonts w:hint="eastAsia" w:ascii="宋体" w:hAnsi="宋体" w:cs="宋体"/>
          <w:b/>
          <w:bCs/>
          <w:szCs w:val="21"/>
        </w:rPr>
        <w:t xml:space="preserve">扬州大学附属医院                </w:t>
      </w:r>
      <w:r>
        <w:rPr>
          <w:rFonts w:hint="eastAsia" w:ascii="宋体" w:hAnsi="宋体" w:cs="宋体"/>
          <w:bCs/>
          <w:szCs w:val="21"/>
        </w:rPr>
        <w:t>承包人：</w:t>
      </w:r>
      <w:r>
        <w:rPr>
          <w:rFonts w:hint="eastAsia" w:ascii="宋体" w:hAnsi="宋体" w:cs="宋体"/>
          <w:b/>
          <w:szCs w:val="21"/>
        </w:rPr>
        <w:t xml:space="preserve"> </w:t>
      </w:r>
    </w:p>
    <w:p w14:paraId="00C2E4E2">
      <w:pPr>
        <w:tabs>
          <w:tab w:val="left" w:pos="-235"/>
        </w:tabs>
        <w:spacing w:line="360" w:lineRule="auto"/>
        <w:ind w:firstLine="420" w:firstLineChars="200"/>
        <w:rPr>
          <w:rFonts w:ascii="宋体" w:hAnsi="宋体" w:cs="宋体"/>
          <w:bCs/>
          <w:szCs w:val="21"/>
        </w:rPr>
      </w:pPr>
      <w:r>
        <w:rPr>
          <w:rFonts w:hint="eastAsia" w:ascii="宋体" w:hAnsi="宋体" w:cs="宋体"/>
          <w:bCs/>
          <w:szCs w:val="21"/>
        </w:rPr>
        <w:t xml:space="preserve">            （盖章）                                （盖章）</w:t>
      </w:r>
    </w:p>
    <w:p w14:paraId="1765045B">
      <w:pPr>
        <w:tabs>
          <w:tab w:val="left" w:pos="-235"/>
        </w:tabs>
        <w:spacing w:line="360" w:lineRule="auto"/>
        <w:ind w:firstLine="420" w:firstLineChars="200"/>
        <w:rPr>
          <w:rFonts w:ascii="宋体" w:hAnsi="宋体" w:cs="宋体"/>
          <w:bCs/>
          <w:szCs w:val="21"/>
        </w:rPr>
      </w:pPr>
      <w:r>
        <w:rPr>
          <w:rFonts w:hint="eastAsia" w:ascii="宋体" w:hAnsi="宋体" w:cs="宋体"/>
          <w:bCs/>
          <w:szCs w:val="21"/>
        </w:rPr>
        <w:t>法定代表人：                            法定代表人：</w:t>
      </w:r>
    </w:p>
    <w:p w14:paraId="3F2E8177">
      <w:pPr>
        <w:tabs>
          <w:tab w:val="left" w:pos="-235"/>
        </w:tabs>
        <w:spacing w:line="360" w:lineRule="auto"/>
        <w:ind w:firstLine="420" w:firstLineChars="200"/>
        <w:rPr>
          <w:rFonts w:ascii="宋体" w:hAnsi="宋体" w:cs="宋体"/>
          <w:bCs/>
          <w:szCs w:val="21"/>
        </w:rPr>
      </w:pPr>
      <w:r>
        <w:rPr>
          <w:rFonts w:hint="eastAsia" w:ascii="宋体" w:hAnsi="宋体" w:cs="宋体"/>
          <w:bCs/>
          <w:szCs w:val="21"/>
        </w:rPr>
        <w:t>（或授权签约人）：                      （或授权签约人）：</w:t>
      </w:r>
    </w:p>
    <w:p w14:paraId="36ABCC89">
      <w:pPr>
        <w:tabs>
          <w:tab w:val="left" w:pos="-235"/>
        </w:tabs>
        <w:spacing w:line="360" w:lineRule="auto"/>
        <w:ind w:firstLine="420" w:firstLineChars="200"/>
        <w:rPr>
          <w:rFonts w:ascii="宋体" w:hAnsi="宋体" w:cs="宋体"/>
          <w:bCs/>
          <w:szCs w:val="21"/>
        </w:rPr>
      </w:pPr>
      <w:r>
        <w:rPr>
          <w:rFonts w:hint="eastAsia" w:ascii="宋体" w:hAnsi="宋体" w:cs="宋体"/>
          <w:bCs/>
          <w:szCs w:val="21"/>
        </w:rPr>
        <w:t>电话：                                  电话：</w:t>
      </w:r>
    </w:p>
    <w:p w14:paraId="6E6E894E">
      <w:pPr>
        <w:tabs>
          <w:tab w:val="left" w:pos="-235"/>
        </w:tabs>
        <w:spacing w:line="360" w:lineRule="auto"/>
        <w:ind w:firstLine="420" w:firstLineChars="200"/>
        <w:rPr>
          <w:rFonts w:ascii="宋体" w:hAnsi="宋体" w:cs="宋体"/>
          <w:bCs/>
          <w:szCs w:val="21"/>
        </w:rPr>
      </w:pPr>
      <w:r>
        <w:rPr>
          <w:rFonts w:hint="eastAsia" w:ascii="宋体" w:hAnsi="宋体" w:cs="宋体"/>
          <w:bCs/>
          <w:szCs w:val="21"/>
        </w:rPr>
        <w:t>传真：                                  传真：</w:t>
      </w:r>
    </w:p>
    <w:p w14:paraId="6D6A519A">
      <w:pPr>
        <w:tabs>
          <w:tab w:val="left" w:pos="-235"/>
        </w:tabs>
        <w:spacing w:line="360" w:lineRule="auto"/>
        <w:ind w:firstLine="420" w:firstLineChars="200"/>
        <w:rPr>
          <w:rFonts w:ascii="宋体" w:hAnsi="宋体" w:cs="宋体"/>
          <w:bCs/>
          <w:szCs w:val="21"/>
        </w:rPr>
      </w:pPr>
      <w:r>
        <w:rPr>
          <w:rFonts w:hint="eastAsia" w:ascii="宋体" w:hAnsi="宋体" w:cs="宋体"/>
          <w:bCs/>
          <w:szCs w:val="21"/>
        </w:rPr>
        <w:t>地址：                                  地址：</w:t>
      </w:r>
    </w:p>
    <w:p w14:paraId="2015710C">
      <w:pPr>
        <w:tabs>
          <w:tab w:val="left" w:pos="-235"/>
        </w:tabs>
        <w:spacing w:line="360" w:lineRule="auto"/>
        <w:ind w:firstLine="420" w:firstLineChars="200"/>
        <w:rPr>
          <w:rFonts w:ascii="宋体" w:hAnsi="宋体" w:cs="宋体"/>
          <w:bCs/>
          <w:szCs w:val="21"/>
        </w:rPr>
      </w:pPr>
      <w:r>
        <w:rPr>
          <w:rFonts w:hint="eastAsia" w:ascii="宋体" w:hAnsi="宋体" w:cs="宋体"/>
          <w:bCs/>
          <w:szCs w:val="21"/>
        </w:rPr>
        <w:t>开户银行：                              开户银行：</w:t>
      </w:r>
    </w:p>
    <w:p w14:paraId="6C69361B">
      <w:pPr>
        <w:tabs>
          <w:tab w:val="left" w:pos="-235"/>
        </w:tabs>
        <w:spacing w:line="360" w:lineRule="auto"/>
        <w:ind w:firstLine="420" w:firstLineChars="200"/>
        <w:rPr>
          <w:rFonts w:ascii="宋体" w:hAnsi="宋体" w:cs="宋体"/>
          <w:bCs/>
          <w:szCs w:val="21"/>
        </w:rPr>
      </w:pPr>
      <w:r>
        <w:rPr>
          <w:rFonts w:hint="eastAsia" w:ascii="宋体" w:hAnsi="宋体" w:cs="宋体"/>
          <w:bCs/>
          <w:szCs w:val="21"/>
        </w:rPr>
        <w:t>账号：                                  账号：</w:t>
      </w:r>
    </w:p>
    <w:p w14:paraId="67B4CEF6">
      <w:pPr>
        <w:tabs>
          <w:tab w:val="left" w:pos="0"/>
          <w:tab w:val="left" w:pos="1134"/>
        </w:tabs>
        <w:spacing w:line="360" w:lineRule="auto"/>
        <w:ind w:firstLine="422" w:firstLineChars="200"/>
        <w:jc w:val="center"/>
        <w:outlineLvl w:val="0"/>
        <w:rPr>
          <w:rFonts w:ascii="宋体" w:hAnsi="宋体" w:cs="宋体"/>
          <w:b/>
          <w:bCs/>
          <w:sz w:val="32"/>
          <w:szCs w:val="32"/>
        </w:rPr>
      </w:pPr>
      <w:r>
        <w:rPr>
          <w:rFonts w:hint="eastAsia" w:ascii="宋体" w:hAnsi="宋体" w:cs="宋体"/>
          <w:b/>
          <w:snapToGrid w:val="0"/>
          <w:szCs w:val="21"/>
        </w:rPr>
        <w:br w:type="page"/>
      </w:r>
      <w:r>
        <w:rPr>
          <w:rFonts w:hint="eastAsia" w:ascii="宋体" w:hAnsi="宋体" w:cs="宋体"/>
          <w:b/>
          <w:bCs/>
          <w:sz w:val="32"/>
          <w:szCs w:val="32"/>
        </w:rPr>
        <w:t>第二部分  通用条款</w:t>
      </w:r>
    </w:p>
    <w:p w14:paraId="0E545101">
      <w:pPr>
        <w:pStyle w:val="58"/>
        <w:adjustRightInd/>
        <w:spacing w:before="0" w:after="0" w:line="360" w:lineRule="auto"/>
        <w:ind w:left="0" w:right="0" w:firstLine="643" w:firstLineChars="200"/>
        <w:jc w:val="center"/>
        <w:rPr>
          <w:rFonts w:ascii="宋体" w:hAnsi="宋体" w:cs="宋体"/>
          <w:b/>
          <w:bCs/>
          <w:kern w:val="2"/>
          <w:sz w:val="32"/>
          <w:szCs w:val="32"/>
        </w:rPr>
      </w:pPr>
      <w:r>
        <w:rPr>
          <w:rFonts w:hint="eastAsia" w:ascii="宋体" w:hAnsi="宋体" w:cs="宋体"/>
          <w:b/>
          <w:bCs/>
          <w:kern w:val="2"/>
          <w:sz w:val="32"/>
          <w:szCs w:val="32"/>
        </w:rPr>
        <w:t>【按照建设工程施工合同（GF-2017-0201）】</w:t>
      </w:r>
    </w:p>
    <w:p w14:paraId="1ED37374">
      <w:pPr>
        <w:pStyle w:val="58"/>
        <w:adjustRightInd/>
        <w:spacing w:before="0" w:after="0" w:line="360" w:lineRule="auto"/>
        <w:ind w:left="0" w:right="0" w:firstLine="723" w:firstLineChars="200"/>
        <w:jc w:val="center"/>
        <w:outlineLvl w:val="0"/>
        <w:rPr>
          <w:rFonts w:ascii="宋体" w:hAnsi="宋体" w:cs="宋体"/>
          <w:b/>
          <w:snapToGrid w:val="0"/>
          <w:sz w:val="36"/>
          <w:szCs w:val="36"/>
        </w:rPr>
      </w:pPr>
      <w:r>
        <w:rPr>
          <w:rFonts w:hint="eastAsia" w:ascii="宋体" w:hAnsi="宋体" w:cs="宋体"/>
          <w:b/>
          <w:snapToGrid w:val="0"/>
          <w:sz w:val="36"/>
          <w:szCs w:val="36"/>
        </w:rPr>
        <w:br w:type="page"/>
      </w:r>
      <w:r>
        <w:rPr>
          <w:rFonts w:hint="eastAsia" w:ascii="宋体" w:hAnsi="宋体" w:cs="宋体"/>
          <w:b/>
          <w:bCs/>
          <w:kern w:val="2"/>
          <w:sz w:val="32"/>
          <w:szCs w:val="32"/>
        </w:rPr>
        <w:t>第三部分专用条款</w:t>
      </w:r>
    </w:p>
    <w:p w14:paraId="419CAA74">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一、词语定义及合同文件</w:t>
      </w:r>
    </w:p>
    <w:p w14:paraId="1946BA0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1.合同文件及解释顺序</w:t>
      </w:r>
    </w:p>
    <w:p w14:paraId="2A881FA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498932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2.语言文字和适用法律、标准及规范</w:t>
      </w:r>
    </w:p>
    <w:p w14:paraId="14000A2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2.1本合同除使用汉语外，还使用</w:t>
      </w:r>
      <w:r>
        <w:rPr>
          <w:rFonts w:hint="eastAsia" w:ascii="宋体" w:hAnsi="宋体" w:cs="宋体"/>
          <w:snapToGrid w:val="0"/>
          <w:szCs w:val="21"/>
          <w:u w:val="single"/>
        </w:rPr>
        <w:t>∕</w:t>
      </w:r>
      <w:r>
        <w:rPr>
          <w:rFonts w:hint="eastAsia" w:ascii="宋体" w:hAnsi="宋体" w:cs="宋体"/>
          <w:snapToGrid w:val="0"/>
          <w:szCs w:val="21"/>
        </w:rPr>
        <w:t>语言文字。</w:t>
      </w:r>
    </w:p>
    <w:p w14:paraId="5AA5665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2.2适用法律和法规</w:t>
      </w:r>
    </w:p>
    <w:p w14:paraId="548516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需要明示的法律、行政法规：</w:t>
      </w:r>
      <w:r>
        <w:rPr>
          <w:rFonts w:hint="eastAsia" w:ascii="宋体" w:hAnsi="宋体" w:cs="宋体"/>
          <w:snapToGrid w:val="0"/>
          <w:szCs w:val="21"/>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snapToGrid w:val="0"/>
          <w:szCs w:val="21"/>
        </w:rPr>
        <w:t>。</w:t>
      </w:r>
    </w:p>
    <w:p w14:paraId="3B54FE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2.3适用标准、规范</w:t>
      </w:r>
    </w:p>
    <w:p w14:paraId="0B10983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适用标准、规范的名称：</w:t>
      </w:r>
      <w:r>
        <w:rPr>
          <w:rFonts w:hint="eastAsia" w:ascii="宋体" w:hAnsi="宋体" w:cs="宋体"/>
          <w:snapToGrid w:val="0"/>
          <w:szCs w:val="21"/>
          <w:u w:val="single"/>
        </w:rPr>
        <w:t>（1）与工程相关的现行图集、施工说明；（2）现行国家施工规范及验收标准</w:t>
      </w:r>
      <w:r>
        <w:rPr>
          <w:rFonts w:hint="eastAsia" w:ascii="宋体" w:hAnsi="宋体" w:cs="宋体"/>
          <w:snapToGrid w:val="0"/>
          <w:szCs w:val="21"/>
        </w:rPr>
        <w:t>。</w:t>
      </w:r>
    </w:p>
    <w:p w14:paraId="2625EDD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发包人提供标准、规范的时间：</w:t>
      </w:r>
      <w:r>
        <w:rPr>
          <w:rFonts w:hint="eastAsia" w:ascii="宋体" w:hAnsi="宋体" w:cs="宋体"/>
          <w:snapToGrid w:val="0"/>
          <w:szCs w:val="21"/>
          <w:u w:val="single"/>
        </w:rPr>
        <w:t>发包人不提供，凡涉及到的相关技术标准、规范均由承包人自备</w:t>
      </w:r>
      <w:r>
        <w:rPr>
          <w:rFonts w:hint="eastAsia" w:ascii="宋体" w:hAnsi="宋体" w:cs="宋体"/>
          <w:snapToGrid w:val="0"/>
          <w:szCs w:val="21"/>
        </w:rPr>
        <w:t>。</w:t>
      </w:r>
    </w:p>
    <w:p w14:paraId="5F52628D">
      <w:pPr>
        <w:pStyle w:val="10"/>
        <w:tabs>
          <w:tab w:val="left" w:pos="284"/>
          <w:tab w:val="left" w:pos="993"/>
          <w:tab w:val="left" w:pos="1134"/>
        </w:tabs>
        <w:spacing w:line="360" w:lineRule="auto"/>
        <w:ind w:left="0" w:leftChars="0" w:firstLine="420" w:firstLineChars="200"/>
        <w:jc w:val="left"/>
        <w:rPr>
          <w:rFonts w:ascii="宋体" w:hAnsi="宋体" w:cs="宋体"/>
          <w:b/>
          <w:snapToGrid w:val="0"/>
          <w:szCs w:val="21"/>
        </w:rPr>
      </w:pPr>
      <w:r>
        <w:rPr>
          <w:rFonts w:hint="eastAsia" w:ascii="宋体" w:hAnsi="宋体" w:cs="宋体"/>
          <w:snapToGrid w:val="0"/>
          <w:szCs w:val="21"/>
        </w:rPr>
        <w:t>3.图纸</w:t>
      </w:r>
    </w:p>
    <w:p w14:paraId="61BAEE9D">
      <w:pPr>
        <w:pStyle w:val="10"/>
        <w:tabs>
          <w:tab w:val="left" w:pos="284"/>
          <w:tab w:val="left" w:pos="993"/>
          <w:tab w:val="left" w:pos="1134"/>
        </w:tabs>
        <w:spacing w:line="360" w:lineRule="auto"/>
        <w:ind w:left="0" w:leftChars="0" w:firstLine="422" w:firstLineChars="200"/>
        <w:jc w:val="left"/>
        <w:rPr>
          <w:rFonts w:ascii="宋体" w:hAnsi="宋体" w:cs="宋体"/>
          <w:snapToGrid w:val="0"/>
          <w:szCs w:val="21"/>
        </w:rPr>
      </w:pPr>
      <w:r>
        <w:rPr>
          <w:rFonts w:hint="eastAsia" w:ascii="宋体" w:hAnsi="宋体" w:cs="宋体"/>
          <w:b/>
          <w:snapToGrid w:val="0"/>
          <w:szCs w:val="21"/>
        </w:rPr>
        <w:t>发包人向承包人</w:t>
      </w:r>
      <w:r>
        <w:rPr>
          <w:rFonts w:hint="eastAsia" w:ascii="宋体" w:hAnsi="宋体" w:cs="宋体"/>
          <w:snapToGrid w:val="0"/>
          <w:szCs w:val="21"/>
        </w:rPr>
        <w:t>提供图纸日期和套数：         ；</w:t>
      </w:r>
    </w:p>
    <w:p w14:paraId="5FF7FAB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发包人对图纸的保密要求: 施工图纸要求承包人保密，保密费用承包人自行承担。</w:t>
      </w:r>
    </w:p>
    <w:p w14:paraId="5076E5C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二、双方一般权利和义务</w:t>
      </w:r>
    </w:p>
    <w:p w14:paraId="0107704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4.工程师</w:t>
      </w:r>
    </w:p>
    <w:p w14:paraId="7E61811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4.1监理单位委派的工程师</w:t>
      </w:r>
    </w:p>
    <w:p w14:paraId="7F3990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                  职务:总监理工程师</w:t>
      </w:r>
    </w:p>
    <w:p w14:paraId="70D76F0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58000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4.2发包人派驻的工程师</w:t>
      </w:r>
    </w:p>
    <w:p w14:paraId="4277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姓名:                   职务:现场代表         </w:t>
      </w:r>
    </w:p>
    <w:p w14:paraId="63B2A6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职权:（1）监督检查承包人、监理执行合同情况，（2）协同监理做好工程质量控制、进度控制、安全生产等工作；（3）发出经发包人同意的工程指令；（4）对支付工程款进行审核等。</w:t>
      </w:r>
    </w:p>
    <w:p w14:paraId="1919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5.项目经理</w:t>
      </w:r>
    </w:p>
    <w:p w14:paraId="3769C1F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w:t>
      </w:r>
      <w:r>
        <w:rPr>
          <w:rFonts w:hint="eastAsia" w:ascii="宋体" w:hAnsi="宋体" w:cs="宋体"/>
          <w:szCs w:val="21"/>
        </w:rPr>
        <w:t xml:space="preserve">                   </w:t>
      </w:r>
      <w:r>
        <w:rPr>
          <w:rFonts w:hint="eastAsia" w:ascii="宋体" w:hAnsi="宋体" w:cs="宋体"/>
          <w:snapToGrid w:val="0"/>
          <w:szCs w:val="21"/>
        </w:rPr>
        <w:t>职务:项目经理</w:t>
      </w:r>
    </w:p>
    <w:p w14:paraId="4A3385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职权：按照国家相关规定和合同约定，作为承包方施工现场负责人，全面负责本工地施工现场进度、质量、安全工作，负责本合同的全面履行。</w:t>
      </w:r>
    </w:p>
    <w:p w14:paraId="7BAE19F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6.发包人工作</w:t>
      </w:r>
    </w:p>
    <w:p w14:paraId="42B0E9B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6.1发包人应按约定的时间和要求及完成以下工作:</w:t>
      </w:r>
    </w:p>
    <w:p w14:paraId="67CBD31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6E87AB2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（2）将施工所需的水、电、电讯线路接至施工场地的时间、地点和供应要求：水电接口已提供至施工现场，其位置承包人在踏勘现场时确认，水电在场内接线一切费用包含在总报价中，发包人不再另外支付。</w:t>
      </w:r>
    </w:p>
    <w:p w14:paraId="46DC497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（3）施工场地与公共道路的通道开通时间和要求：主要公共道路开通，施工区道路由承包人承担。</w:t>
      </w:r>
    </w:p>
    <w:p w14:paraId="5A6226A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（4）工程地质和地下管线资料的提供时间：</w:t>
      </w:r>
      <w:r>
        <w:rPr>
          <w:rFonts w:hint="eastAsia" w:ascii="宋体" w:hAnsi="宋体" w:cs="宋体"/>
          <w:snapToGrid w:val="0"/>
          <w:szCs w:val="21"/>
          <w:u w:val="single"/>
        </w:rPr>
        <w:t>开工前5天提供</w:t>
      </w:r>
      <w:r>
        <w:rPr>
          <w:rFonts w:hint="eastAsia" w:ascii="宋体" w:hAnsi="宋体" w:cs="宋体"/>
          <w:snapToGrid w:val="0"/>
          <w:szCs w:val="21"/>
        </w:rPr>
        <w:t>。</w:t>
      </w:r>
    </w:p>
    <w:p w14:paraId="744A84A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（5）由发包人办理的施工所需证件、批件的名称和完成时间：</w:t>
      </w:r>
      <w:r>
        <w:rPr>
          <w:rFonts w:hint="eastAsia" w:ascii="宋体" w:hAnsi="宋体" w:cs="宋体"/>
          <w:snapToGrid w:val="0"/>
          <w:szCs w:val="21"/>
          <w:u w:val="single"/>
        </w:rPr>
        <w:t>开工前由承包人协助发包人办理，不能影响开工</w:t>
      </w:r>
      <w:r>
        <w:rPr>
          <w:rFonts w:hint="eastAsia" w:ascii="宋体" w:hAnsi="宋体" w:cs="宋体"/>
          <w:snapToGrid w:val="0"/>
          <w:szCs w:val="21"/>
        </w:rPr>
        <w:t>。</w:t>
      </w:r>
    </w:p>
    <w:p w14:paraId="4E3049D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（6）水准点与坐标控制点交验要求：</w:t>
      </w:r>
      <w:r>
        <w:rPr>
          <w:rFonts w:hint="eastAsia" w:ascii="宋体" w:hAnsi="宋体" w:cs="宋体"/>
          <w:snapToGrid w:val="0"/>
          <w:szCs w:val="21"/>
          <w:u w:val="single"/>
        </w:rPr>
        <w:t>开工前现场交验，承包人负责做好保护工作。施工过程中若水准基点出现遗失或损坏，承包人应立即汇报工程师，重新布点的费用由承包人承担</w:t>
      </w:r>
      <w:r>
        <w:rPr>
          <w:rFonts w:hint="eastAsia" w:ascii="宋体" w:hAnsi="宋体" w:cs="宋体"/>
          <w:snapToGrid w:val="0"/>
          <w:szCs w:val="21"/>
        </w:rPr>
        <w:t>。</w:t>
      </w:r>
    </w:p>
    <w:p w14:paraId="6FC21D7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（7）图纸会审和设计交底时间：</w:t>
      </w:r>
      <w:r>
        <w:rPr>
          <w:rFonts w:hint="eastAsia" w:ascii="宋体" w:hAnsi="宋体" w:cs="宋体"/>
          <w:snapToGrid w:val="0"/>
          <w:szCs w:val="21"/>
          <w:u w:val="single"/>
        </w:rPr>
        <w:t>双方约定时间</w:t>
      </w:r>
      <w:r>
        <w:rPr>
          <w:rFonts w:hint="eastAsia" w:ascii="宋体" w:hAnsi="宋体" w:cs="宋体"/>
          <w:snapToGrid w:val="0"/>
          <w:szCs w:val="21"/>
        </w:rPr>
        <w:t>。</w:t>
      </w:r>
    </w:p>
    <w:p w14:paraId="5E71C10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（8）协调处理施工场地周围地下管线和邻近建筑、构筑物（含文物保护建筑）、古树名木的保护工作：</w:t>
      </w:r>
      <w:r>
        <w:rPr>
          <w:rFonts w:hint="eastAsia" w:ascii="宋体" w:hAnsi="宋体" w:cs="宋体"/>
          <w:snapToGrid w:val="0"/>
          <w:szCs w:val="21"/>
          <w:u w:val="single"/>
        </w:rPr>
        <w:t>执行通用条款</w:t>
      </w:r>
      <w:r>
        <w:rPr>
          <w:rFonts w:hint="eastAsia" w:ascii="宋体" w:hAnsi="宋体" w:cs="宋体"/>
          <w:snapToGrid w:val="0"/>
          <w:szCs w:val="21"/>
        </w:rPr>
        <w:t>。</w:t>
      </w:r>
    </w:p>
    <w:p w14:paraId="56FBAAC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（9）双方约定发包人做的其他工作：</w:t>
      </w:r>
      <w:r>
        <w:rPr>
          <w:rFonts w:hint="eastAsia" w:ascii="宋体" w:hAnsi="宋体" w:cs="宋体"/>
          <w:snapToGrid w:val="0"/>
          <w:szCs w:val="21"/>
          <w:u w:val="single"/>
        </w:rPr>
        <w:t xml:space="preserve">  /。 </w:t>
      </w:r>
    </w:p>
    <w:p w14:paraId="603330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（10）发包人委托承包人办理的工作：按发包人的布置要求，承包人有配合与该工程建设有关工作的义务，包括协助办理有关施工所需证件、批件等手续。</w:t>
      </w:r>
    </w:p>
    <w:p w14:paraId="1B88D5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7.承包人工作</w:t>
      </w:r>
    </w:p>
    <w:p w14:paraId="699480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7.1承包人应按约定时间和要求,完成以下工作:</w:t>
      </w:r>
    </w:p>
    <w:p w14:paraId="204460D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（1）需由设计资质等级和业务范围允许的承包人完成的设计文件提交时间:</w:t>
      </w:r>
      <w:r>
        <w:rPr>
          <w:rFonts w:hint="eastAsia" w:ascii="宋体" w:hAnsi="宋体" w:cs="宋体"/>
          <w:snapToGrid w:val="0"/>
          <w:szCs w:val="21"/>
          <w:u w:val="single"/>
        </w:rPr>
        <w:t>∕</w:t>
      </w:r>
      <w:r>
        <w:rPr>
          <w:rFonts w:hint="eastAsia" w:ascii="宋体" w:hAnsi="宋体" w:cs="宋体"/>
          <w:snapToGrid w:val="0"/>
          <w:szCs w:val="21"/>
        </w:rPr>
        <w:t>；</w:t>
      </w:r>
    </w:p>
    <w:p w14:paraId="57F457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（2）应提供计划、报表的名称及完成时间：</w:t>
      </w:r>
      <w:r>
        <w:rPr>
          <w:rFonts w:hint="eastAsia" w:ascii="宋体" w:hAnsi="宋体" w:cs="宋体"/>
          <w:snapToGrid w:val="0"/>
          <w:szCs w:val="21"/>
          <w:u w:val="single"/>
        </w:rPr>
        <w:t>开工前5天内提供切实可行的进度表以及相对应的人机配置情况、材料供应情况</w:t>
      </w:r>
      <w:r>
        <w:rPr>
          <w:rFonts w:hint="eastAsia" w:ascii="宋体" w:hAnsi="宋体" w:cs="宋体"/>
          <w:snapToGrid w:val="0"/>
          <w:szCs w:val="21"/>
        </w:rPr>
        <w:t>；</w:t>
      </w:r>
    </w:p>
    <w:p w14:paraId="2375B80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（3）承担施工安全保卫工作及非夜间施工照明的责任和要求：</w:t>
      </w:r>
    </w:p>
    <w:p w14:paraId="66EF4DF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snapToGrid w:val="0"/>
          <w:szCs w:val="21"/>
        </w:rPr>
        <w:t>；</w:t>
      </w:r>
    </w:p>
    <w:p w14:paraId="6C6D3DD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（4）向发包人提供的办公和生活房屋及设施和要求：</w:t>
      </w:r>
      <w:r>
        <w:rPr>
          <w:rFonts w:hint="eastAsia" w:ascii="宋体" w:hAnsi="宋体" w:cs="宋体"/>
          <w:snapToGrid w:val="0"/>
          <w:szCs w:val="21"/>
          <w:u w:val="single"/>
        </w:rPr>
        <w:t>∕</w:t>
      </w:r>
      <w:r>
        <w:rPr>
          <w:rFonts w:hint="eastAsia" w:ascii="宋体" w:hAnsi="宋体" w:cs="宋体"/>
          <w:snapToGrid w:val="0"/>
          <w:szCs w:val="21"/>
        </w:rPr>
        <w:t>；</w:t>
      </w:r>
    </w:p>
    <w:p w14:paraId="35A2D2B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（5）需承包人办理的有关施工场地交通、环卫和施工噪音管理等手续：</w:t>
      </w:r>
    </w:p>
    <w:p w14:paraId="30FF0B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snapToGrid w:val="0"/>
          <w:szCs w:val="21"/>
        </w:rPr>
        <w:t>；</w:t>
      </w:r>
    </w:p>
    <w:p w14:paraId="39C8E56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（6）已完成工程成品保护的特殊要求及费用承担：</w:t>
      </w:r>
    </w:p>
    <w:p w14:paraId="0940517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工程交付使用前承包人自己发生的损坏或因承包人保护实施不当而产生的第三方对成品（半成品）的损坏均由承包人自己负责</w:t>
      </w:r>
      <w:r>
        <w:rPr>
          <w:rFonts w:hint="eastAsia" w:ascii="宋体" w:hAnsi="宋体" w:cs="宋体"/>
          <w:snapToGrid w:val="0"/>
          <w:szCs w:val="21"/>
        </w:rPr>
        <w:t>；</w:t>
      </w:r>
    </w:p>
    <w:p w14:paraId="3A20D5C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（7）施工场地周围地下管线和邻近建筑物、构筑物（含文物保护建筑）、古树名木的保护要求及费用承担：</w:t>
      </w:r>
      <w:r>
        <w:rPr>
          <w:rFonts w:hint="eastAsia" w:ascii="宋体" w:hAnsi="宋体" w:cs="宋体"/>
          <w:snapToGrid w:val="0"/>
          <w:szCs w:val="21"/>
          <w:u w:val="single"/>
        </w:rPr>
        <w:t>承包人自行负责承担施工场地周围地下管线和邻近建筑物、构筑物（含文物保护建筑）、古树名木的保护要求及费用</w:t>
      </w:r>
      <w:r>
        <w:rPr>
          <w:rFonts w:hint="eastAsia" w:ascii="宋体" w:hAnsi="宋体" w:cs="宋体"/>
          <w:snapToGrid w:val="0"/>
          <w:szCs w:val="21"/>
        </w:rPr>
        <w:t>；</w:t>
      </w:r>
    </w:p>
    <w:p w14:paraId="46CB503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（8）施工场地清洁卫生的要求：</w:t>
      </w:r>
      <w:r>
        <w:rPr>
          <w:rFonts w:hint="eastAsia" w:ascii="宋体" w:hAnsi="宋体" w:cs="宋体"/>
          <w:snapToGrid w:val="0"/>
          <w:szCs w:val="21"/>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snapToGrid w:val="0"/>
          <w:szCs w:val="21"/>
        </w:rPr>
        <w:t>；</w:t>
      </w:r>
    </w:p>
    <w:p w14:paraId="678C971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w:t>
      </w:r>
      <w:r>
        <w:rPr>
          <w:rFonts w:hint="eastAsia" w:ascii="宋体" w:hAnsi="宋体" w:cs="宋体"/>
          <w:snapToGrid w:val="0"/>
          <w:szCs w:val="21"/>
          <w:u w:val="single"/>
        </w:rPr>
        <w:t>施工过程中承包人应服从现场统一管理，做到安全、文明、有序施工，一切安全责任自行负责</w:t>
      </w:r>
      <w:r>
        <w:rPr>
          <w:rFonts w:hint="eastAsia" w:ascii="宋体" w:hAnsi="宋体" w:cs="宋体"/>
          <w:snapToGrid w:val="0"/>
          <w:szCs w:val="21"/>
        </w:rPr>
        <w:t>；</w:t>
      </w:r>
    </w:p>
    <w:p w14:paraId="5D7FB3E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（10）施工过程中，</w:t>
      </w:r>
      <w:r>
        <w:rPr>
          <w:rFonts w:hint="eastAsia" w:ascii="宋体" w:hAnsi="宋体" w:cs="宋体"/>
          <w:snapToGrid w:val="0"/>
          <w:szCs w:val="21"/>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snapToGrid w:val="0"/>
          <w:szCs w:val="21"/>
        </w:rPr>
        <w:t>；</w:t>
      </w:r>
    </w:p>
    <w:p w14:paraId="5732FE75">
      <w:pPr>
        <w:pStyle w:val="10"/>
        <w:tabs>
          <w:tab w:val="left" w:pos="0"/>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（11）双方约定承包人应做的其他工作：</w:t>
      </w:r>
    </w:p>
    <w:p w14:paraId="1460CED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snapToGrid w:val="0"/>
          <w:szCs w:val="21"/>
        </w:rPr>
        <w:t>；</w:t>
      </w:r>
    </w:p>
    <w:p w14:paraId="36AF9B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三、施工组织设计和工期</w:t>
      </w:r>
    </w:p>
    <w:p w14:paraId="284819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8.进度计划</w:t>
      </w:r>
    </w:p>
    <w:p w14:paraId="3C59726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8.1承包人提供施工组织设计(施工方案)和进度计划的时间:</w:t>
      </w:r>
    </w:p>
    <w:p w14:paraId="5D7DE53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snapToGrid w:val="0"/>
          <w:szCs w:val="21"/>
        </w:rPr>
        <w:t>；</w:t>
      </w:r>
    </w:p>
    <w:p w14:paraId="414E6E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工程师确认的时间:</w:t>
      </w:r>
      <w:r>
        <w:rPr>
          <w:rFonts w:hint="eastAsia" w:ascii="宋体" w:hAnsi="宋体" w:cs="宋体"/>
          <w:snapToGrid w:val="0"/>
          <w:szCs w:val="21"/>
          <w:u w:val="single"/>
        </w:rPr>
        <w:t>送达后7日历天内</w:t>
      </w:r>
      <w:r>
        <w:rPr>
          <w:rFonts w:hint="eastAsia" w:ascii="宋体" w:hAnsi="宋体" w:cs="宋体"/>
          <w:snapToGrid w:val="0"/>
          <w:szCs w:val="21"/>
        </w:rPr>
        <w:t>。</w:t>
      </w:r>
    </w:p>
    <w:p w14:paraId="115AD2C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9、工期延误</w:t>
      </w:r>
    </w:p>
    <w:p w14:paraId="378A657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9.1合同工期按承包人中标工期执行，如因承包人原因延误工期的，承包人应承担违约责任，详见第21.2条款。</w:t>
      </w:r>
    </w:p>
    <w:p w14:paraId="4E18A95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9.2双方约定工期顺延的其他情况:</w:t>
      </w:r>
    </w:p>
    <w:p w14:paraId="73CE353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若出现以下情况造成工期延误的发包人不承担费用，只认可工期顺延，顺延时间双方另行协商。</w:t>
      </w:r>
    </w:p>
    <w:p w14:paraId="6723B76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（1）不可抗力（战争以及地震、水灾、暴风雪等严重自然灾害）；</w:t>
      </w:r>
    </w:p>
    <w:p w14:paraId="2D30DDB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（2）因发包人设计变更在结构形式、设计标准作重大调整，增加的工程量使承包人工程进度无法按原计划实施进行的；</w:t>
      </w:r>
    </w:p>
    <w:p w14:paraId="0F1C261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（3）非因承包人原因停水、停电连续24小时以上的；</w:t>
      </w:r>
    </w:p>
    <w:p w14:paraId="04295C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（4）政府行为：政府强制要求停工（非承包人原因引起，如全市性的安全整顿，要求建设工地停工等）。</w:t>
      </w:r>
    </w:p>
    <w:p w14:paraId="37F7DCE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9.3承包人不得以任何理由停工，包括由于变更引起价格改变，发生分歧等，如有争议应协商解决，如因停工造成工期延误，承包人承担违约责任。</w:t>
      </w:r>
    </w:p>
    <w:p w14:paraId="5363F513">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四、质量与验收</w:t>
      </w:r>
    </w:p>
    <w:p w14:paraId="630AAA6C">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质量要求：符合合格标准。</w:t>
      </w:r>
    </w:p>
    <w:p w14:paraId="5AF61138">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7E44D30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10.隐蔽工程和中间验收</w:t>
      </w:r>
    </w:p>
    <w:p w14:paraId="072464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10.1双方约定中间验收部位: 按规定及监理认为确有必要进行验收的分部。</w:t>
      </w:r>
    </w:p>
    <w:p w14:paraId="6B15330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472A42C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4D6EC4A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23BE41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10.5验收时间：除质检站、设计院等其他部门参加验收，承包人需提前72小时书面报告以便及时联系和安排外，其余均提前24小时即可。</w:t>
      </w:r>
    </w:p>
    <w:p w14:paraId="221A00F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11工程试车</w:t>
      </w:r>
    </w:p>
    <w:p w14:paraId="06B1D48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11.1试车费用的承担:安排相关的技术人员无条件配合联合试车工作。</w:t>
      </w:r>
    </w:p>
    <w:p w14:paraId="1653FD96">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五、安全文明施工要求</w:t>
      </w:r>
    </w:p>
    <w:p w14:paraId="436DD1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（1）承包人对现场作业和现有施工方法的安全承担全部责任，执行通用条款第20条规定，并赔偿因承包人责任给发包人造成的一切损失；</w:t>
      </w:r>
    </w:p>
    <w:p w14:paraId="0E69682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（2）承包人应采取控制措施使施工现场达到市环保和政府其它部门对建筑工地的要求，避免伤害或妨碍公众及周围环境。如因妨碍或伤害造成的行政处罚等其它赔偿均由承包人承担；</w:t>
      </w:r>
    </w:p>
    <w:p w14:paraId="4F74E0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（3）承包人负责现场保卫和管理；</w:t>
      </w:r>
    </w:p>
    <w:p w14:paraId="298804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BC080D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ABF4C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（6）严格遵守施工现场总平面的规划，服从监理与发包人统一指挥，发包人与监理将组织定期检查，对于出现的问题，发包人及监理有权要求总包单位进行整改，否则视承包人为违约；</w:t>
      </w:r>
    </w:p>
    <w:p w14:paraId="6EB91C5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（7）若发生安全事故，承包人承担全部责任，与发包人无关。承包人应按规定立即报告建设主管部门并通知发包人和监理。如因此造成发包人承担责任的，发包人有权向承包人索赔；</w:t>
      </w:r>
    </w:p>
    <w:p w14:paraId="2B43FB38">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六、合同价款与支付</w:t>
      </w:r>
    </w:p>
    <w:p w14:paraId="5F6D90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12.合同价款及调整</w:t>
      </w:r>
    </w:p>
    <w:p w14:paraId="148B04F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12.1本合同价款采用</w:t>
      </w:r>
      <w:r>
        <w:rPr>
          <w:rFonts w:hint="eastAsia" w:ascii="宋体" w:hAnsi="宋体" w:cs="宋体"/>
          <w:snapToGrid w:val="0"/>
          <w:szCs w:val="21"/>
          <w:u w:val="single"/>
        </w:rPr>
        <w:t>固定单价</w:t>
      </w:r>
      <w:r>
        <w:rPr>
          <w:rFonts w:hint="eastAsia" w:ascii="宋体" w:hAnsi="宋体" w:cs="宋体"/>
          <w:snapToGrid w:val="0"/>
          <w:szCs w:val="21"/>
        </w:rPr>
        <w:t>方式确定。</w:t>
      </w:r>
    </w:p>
    <w:p w14:paraId="3BD500A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（1）采用固定单价合同，合同价款中包括的风险范围：全部风险已包含在投标报价中，承包人投标时已充分考虑风险范围，并计算风险系数。</w:t>
      </w:r>
    </w:p>
    <w:p w14:paraId="6BE0B2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（2）风险范围以外合同价款调整方法：</w:t>
      </w:r>
    </w:p>
    <w:p w14:paraId="00FC00E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00C9D9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1C58B3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12.3如清单项目中工作内容，实际施工中并未发生，应在“综合单价分析表”中相应的扣减该部分工作内容所含综合单价后形成的新的综合单价作为结算综合单价。</w:t>
      </w:r>
    </w:p>
    <w:p w14:paraId="7AE271D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C11A70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 xml:space="preserve">13.工程预付款、发包人向承包人预付工程款的时间和金额或占合同价款总额的比例: </w:t>
      </w:r>
      <w:r>
        <w:rPr>
          <w:rFonts w:hint="eastAsia" w:ascii="宋体" w:hAnsi="宋体" w:cs="宋体"/>
          <w:snapToGrid w:val="0"/>
          <w:szCs w:val="21"/>
          <w:u w:val="single"/>
        </w:rPr>
        <w:t xml:space="preserve"> / </w:t>
      </w:r>
    </w:p>
    <w:p w14:paraId="278E72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14.工程量确认</w:t>
      </w:r>
    </w:p>
    <w:p w14:paraId="7232FA3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14.1承包人向工程师提交已完成工程量报告的时间:承包人应在每周监理例会前向现场工程师及发包人提供本月完成工程量情况。</w:t>
      </w:r>
    </w:p>
    <w:p w14:paraId="31CC210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15.工程款(进度款)支付：</w:t>
      </w:r>
    </w:p>
    <w:p w14:paraId="7EC17DC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七、材料设备供应</w:t>
      </w:r>
    </w:p>
    <w:p w14:paraId="6F564E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16.发包人供应材料设备：</w:t>
      </w:r>
    </w:p>
    <w:p w14:paraId="0C8DEDB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16.1发包人供应的材料设备与一览表不符时,双方约定发包人承担责任如下:</w:t>
      </w:r>
    </w:p>
    <w:p w14:paraId="0D83142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（1）材料设备单价与一览表不符:</w:t>
      </w:r>
      <w:r>
        <w:rPr>
          <w:rFonts w:hint="eastAsia" w:ascii="宋体" w:hAnsi="宋体" w:cs="宋体"/>
          <w:snapToGrid w:val="0"/>
          <w:szCs w:val="21"/>
          <w:u w:val="single"/>
        </w:rPr>
        <w:t xml:space="preserve">   /  </w:t>
      </w:r>
    </w:p>
    <w:p w14:paraId="4A713F9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（2）材料设备的品种、规格、型号、质量等级与一览表不符：承包人有权拒收，发包人负责调换，承包人可代为调剂串换的材料：设计院批准，监理认可，并报发包人同意后方可串换；</w:t>
      </w:r>
    </w:p>
    <w:p w14:paraId="4EDAE9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（3）到货地点与一览表不符：发包人运至规定的供货地点，承包人应予积极配合；</w:t>
      </w:r>
    </w:p>
    <w:p w14:paraId="0C9622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（4）供货数量与一览表不符：发包人补足；</w:t>
      </w:r>
    </w:p>
    <w:p w14:paraId="750F54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（5）到货时间与一览表不符；</w:t>
      </w:r>
    </w:p>
    <w:p w14:paraId="45F0DF6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开工前承包人须书面通知发包人，因发包人原因延迟供货的，可以延期；如承包人未在开工前书面通知的，发包人不承担相应责任。</w:t>
      </w:r>
    </w:p>
    <w:p w14:paraId="72D71BC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16.2发包人供应材料设备的结算方法:/</w:t>
      </w:r>
    </w:p>
    <w:p w14:paraId="6C57B5B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17．承包人采购材料设备</w:t>
      </w:r>
    </w:p>
    <w:p w14:paraId="44B9263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17.1购材料设备的约定：</w:t>
      </w:r>
    </w:p>
    <w:p w14:paraId="7BEA80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7D27218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（2）设备与设计标准不符时，承包人应按工程师要求的时间运出施工场地，重新采购符合要求的产品，承担由此产生的费用，由此延误的工期不予顺延。</w:t>
      </w:r>
    </w:p>
    <w:p w14:paraId="0DE18657">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7DE8B329">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6EFF41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658BE5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335E80E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9FEE4E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90236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snapToGrid w:val="0"/>
          <w:szCs w:val="21"/>
        </w:rPr>
        <w:fldChar w:fldCharType="begin"/>
      </w:r>
      <w:r>
        <w:rPr>
          <w:rFonts w:hint="eastAsia" w:ascii="宋体" w:hAnsi="宋体" w:cs="宋体"/>
          <w:snapToGrid w:val="0"/>
          <w:szCs w:val="21"/>
        </w:rPr>
        <w:instrText xml:space="preserve"> eq \o\ac(○,1)</w:instrText>
      </w:r>
      <w:r>
        <w:rPr>
          <w:rFonts w:hint="eastAsia" w:ascii="宋体" w:hAnsi="宋体" w:cs="宋体"/>
          <w:snapToGrid w:val="0"/>
          <w:szCs w:val="21"/>
        </w:rPr>
        <w:fldChar w:fldCharType="end"/>
      </w:r>
      <w:r>
        <w:rPr>
          <w:rFonts w:hint="eastAsia" w:ascii="宋体" w:hAnsi="宋体" w:cs="宋体"/>
          <w:snapToGrid w:val="0"/>
          <w:szCs w:val="21"/>
        </w:rPr>
        <w:t xml:space="preserve">承包人采取新工艺或特殊施工措施造成的检验、试验费用 </w:t>
      </w:r>
      <w:r>
        <w:rPr>
          <w:rFonts w:hint="eastAsia" w:ascii="宋体" w:hAnsi="宋体" w:cs="宋体"/>
          <w:snapToGrid w:val="0"/>
          <w:szCs w:val="21"/>
        </w:rPr>
        <w:fldChar w:fldCharType="begin"/>
      </w:r>
      <w:r>
        <w:rPr>
          <w:rFonts w:hint="eastAsia" w:ascii="宋体" w:hAnsi="宋体" w:cs="宋体"/>
          <w:snapToGrid w:val="0"/>
          <w:szCs w:val="21"/>
        </w:rPr>
        <w:instrText xml:space="preserve"> eq \o\ac(○,2)</w:instrText>
      </w:r>
      <w:r>
        <w:rPr>
          <w:rFonts w:hint="eastAsia" w:ascii="宋体" w:hAnsi="宋体" w:cs="宋体"/>
          <w:snapToGrid w:val="0"/>
          <w:szCs w:val="21"/>
        </w:rPr>
        <w:fldChar w:fldCharType="end"/>
      </w:r>
      <w:r>
        <w:rPr>
          <w:rFonts w:hint="eastAsia" w:ascii="宋体" w:hAnsi="宋体" w:cs="宋体"/>
          <w:snapToGrid w:val="0"/>
          <w:szCs w:val="21"/>
        </w:rPr>
        <w:t>不在“由发包人承担检验试验费用”之列的其它检验试验费。</w:t>
      </w:r>
    </w:p>
    <w:p w14:paraId="20F769F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（10）需送检的材料必须检验合格后方能投入使用。</w:t>
      </w:r>
    </w:p>
    <w:p w14:paraId="43DC9B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（11）承包人供应的材料设备必须保证质量，使用中如发现有质量问题、有毒、污染等不符合环保、安全、卫生要求的，承包人承担返工的全部损失并赔偿由此给发包人带来的损失。</w:t>
      </w:r>
    </w:p>
    <w:p w14:paraId="66B10D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（12）如需发包人认定质价后购买的材料，或者必须代换材料时，承包人必须提前10天书面报告，经发包人批准后实施，否则一切后果均由承包人自己负责。</w:t>
      </w:r>
    </w:p>
    <w:p w14:paraId="4DD9E7AE">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八、工程变更</w:t>
      </w:r>
    </w:p>
    <w:p w14:paraId="48A1F23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（1）工程变更通知是合同及施工设计图纸的补充和完善，承包人不得拒绝，不能因变更延误工期。</w:t>
      </w:r>
    </w:p>
    <w:p w14:paraId="1F8E67F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（2）由于工程设计变更导致本合同工程量增减变化时，是对合同价款增减调整的依据，承包人不能因变更提出不合理的造价要求，造价变化按上述约定执行，结算审核时按实调整。</w:t>
      </w:r>
    </w:p>
    <w:p w14:paraId="3B9F7DA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（3）承包人不得以设计变更或工程量的变化为理由，解除或修改合同对其规定的责任和义务。</w:t>
      </w:r>
    </w:p>
    <w:p w14:paraId="3CEA38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（4）施工中承包人不得对原工程设计进行变更，因承包人擅自变更设计发生的费用和由此导致发包人的直接损失由承包人承担，延误的工期不予顺延。</w:t>
      </w:r>
    </w:p>
    <w:p w14:paraId="639E435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18.竣工验收</w:t>
      </w:r>
    </w:p>
    <w:p w14:paraId="00ADE27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18.1.承包人负责工程验收，并有义务参加配合相关单位验收工作。</w:t>
      </w:r>
    </w:p>
    <w:p w14:paraId="597FFD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18.2.工程具备竣工验收条件，承包人按国家工程竣工验收有关规定，向发包人提供竣工验收报告。</w:t>
      </w:r>
    </w:p>
    <w:p w14:paraId="41DCFDC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35510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2983A9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19.竣工结算</w:t>
      </w:r>
    </w:p>
    <w:p w14:paraId="4A7F0A6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19.1工程竣工验收合格后60天内承包人向发包人提供完整的工程结算资料。由发包人接收（一式两份）。结算资料提交应按时完成，否则每迟一天，除每日向发包人支付违约金500元，工程款相应延期支付。</w:t>
      </w:r>
    </w:p>
    <w:p w14:paraId="12F3857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19.2发包人收到竣工结算资料后，由发包人和监理方分别进行审查确认后送给有关造价咨询部门进行工程价款的审核。</w:t>
      </w:r>
    </w:p>
    <w:p w14:paraId="743EC94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20、工程保修</w:t>
      </w:r>
    </w:p>
    <w:p w14:paraId="35F03C2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20.1工程保修内容及期限按《建设工程质量管理条例》（中华人民共和国国务院令2000年第279号）、《房屋建筑工程质量保修办法》（中华人民共和国建设部令第８０号）等有关规定执行。</w:t>
      </w:r>
    </w:p>
    <w:p w14:paraId="27152BA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20.2工程保修期在工程竣工验收合格之日起计算。</w:t>
      </w:r>
    </w:p>
    <w:p w14:paraId="7032055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20.3在承包人对质量保证期内出现的质量问题进行维修时，承包人应相应延长维修或更换部分的质量保证期。维修或更换部分的质保期从维修或更换合格之日起重新计算。</w:t>
      </w:r>
    </w:p>
    <w:p w14:paraId="7B60C07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15E2A6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九、违约、索赔和争议</w:t>
      </w:r>
    </w:p>
    <w:p w14:paraId="4631E31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21.违约</w:t>
      </w:r>
    </w:p>
    <w:p w14:paraId="740BDE6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21.1本合同中关于发包人违约的具体责任如下:</w:t>
      </w:r>
    </w:p>
    <w:p w14:paraId="4BA1ED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本合同通用条款第24条约定发包人违约应承担的违约责任:</w:t>
      </w:r>
      <w:r>
        <w:rPr>
          <w:rFonts w:hint="eastAsia" w:ascii="宋体" w:hAnsi="宋体" w:cs="宋体"/>
          <w:snapToGrid w:val="0"/>
          <w:szCs w:val="21"/>
          <w:u w:val="single"/>
        </w:rPr>
        <w:t xml:space="preserve">    /    </w:t>
      </w:r>
    </w:p>
    <w:p w14:paraId="02719D8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本合同通用条款第26.4款约定发包人违约应承担的违约责任:</w:t>
      </w:r>
      <w:r>
        <w:rPr>
          <w:rFonts w:hint="eastAsia" w:ascii="宋体" w:hAnsi="宋体" w:cs="宋体"/>
          <w:snapToGrid w:val="0"/>
          <w:szCs w:val="21"/>
          <w:u w:val="single"/>
        </w:rPr>
        <w:t xml:space="preserve">    /    </w:t>
      </w:r>
    </w:p>
    <w:p w14:paraId="37E5499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本合同通用条款第33.3款约定发包人违约应承担的违约责任:</w:t>
      </w:r>
      <w:r>
        <w:rPr>
          <w:rFonts w:hint="eastAsia" w:ascii="宋体" w:hAnsi="宋体" w:cs="宋体"/>
          <w:snapToGrid w:val="0"/>
          <w:szCs w:val="21"/>
          <w:u w:val="single"/>
        </w:rPr>
        <w:t xml:space="preserve">   /   </w:t>
      </w:r>
    </w:p>
    <w:p w14:paraId="7D9ACE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双方约定的发包人其他违约责任:执行合同约定、招标文件</w:t>
      </w:r>
    </w:p>
    <w:p w14:paraId="510F734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21.2本合同中关于承包人违约的具体责任如下:</w:t>
      </w:r>
    </w:p>
    <w:p w14:paraId="30A1467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本合同通用条款第14.2款约定承包人违约应承担的违约责任:</w:t>
      </w:r>
    </w:p>
    <w:p w14:paraId="4459B0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延误工期。在十天内（含十天）的承包人按10000元/天赔偿，逾期在20天内（含20天）的承包人按20000元/天赔偿，逾期在30天（含30天）的承包人按50000元/天赔偿，如竣工时间超过合同工期一个月以上，发包人有权终止合同，承包人除按本工程结算价的5%支付违约金外，还应赔偿因工期违约给发包人造成的损失。</w:t>
      </w:r>
    </w:p>
    <w:p w14:paraId="495A9D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21.3本合同通用条款第15.1款约定承包人违约应承担的违约责任:</w:t>
      </w:r>
    </w:p>
    <w:p w14:paraId="245B992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3610EF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21.4双方约定的承包人其他违约责任:</w:t>
      </w:r>
    </w:p>
    <w:p w14:paraId="0862729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21.4.1.遵守政府和发包人对施工现场的一切规定和要求，承担因自身原因违反有关规定造成的损失和罚款。</w:t>
      </w:r>
    </w:p>
    <w:p w14:paraId="11474B4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4B050CF2">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21.4.3承包人应服从发包人的制度、会议、通知等形式的管理，以整个项目全局为重，除履行合同义务外应积极配合发包人及其他参建单位完成项目目标。</w:t>
      </w:r>
    </w:p>
    <w:p w14:paraId="09192D6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21.4.4由于承包人原因无故连续停工一周，且又未向监理及发包人书面说明原因并取得发包人书面认可，发包人有权终止合同，承包人将承担一切损失。</w:t>
      </w:r>
    </w:p>
    <w:p w14:paraId="23EF258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21.4.5承包人擅自将工程全部或其中的一部分转包或违法分包给其它单位，发包人有权终止合同，并没收履约保证金，由此造成的一切损失由承包人承担。</w:t>
      </w:r>
    </w:p>
    <w:p w14:paraId="548C8E1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21.4.6施工期间由于承包人原因出现重大质量问题，且又无法弥补，给发包人造成重大损失，发包人有权终止合同，承包人负责赔偿发包人由此造成的一切损失。</w:t>
      </w:r>
    </w:p>
    <w:p w14:paraId="58BB16B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21.4.7承包人使用劣质材料，无论使用量多少，一经发现，发包人有权终止合同，承包人除承担责任和赔偿损失外，并无条件退出施工现场。</w:t>
      </w:r>
    </w:p>
    <w:p w14:paraId="3E2EB4E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22.争议</w:t>
      </w:r>
    </w:p>
    <w:p w14:paraId="35015B7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22.1双方约定,在履行合同过程中产生争议时:</w:t>
      </w:r>
    </w:p>
    <w:p w14:paraId="369F340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(1)请有关</w:t>
      </w:r>
      <w:r>
        <w:rPr>
          <w:rFonts w:hint="eastAsia" w:ascii="宋体" w:hAnsi="宋体" w:cs="宋体"/>
          <w:snapToGrid w:val="0"/>
          <w:szCs w:val="21"/>
          <w:u w:val="single"/>
        </w:rPr>
        <w:t>建设行政主管部门</w:t>
      </w:r>
      <w:r>
        <w:rPr>
          <w:rFonts w:hint="eastAsia" w:ascii="宋体" w:hAnsi="宋体" w:cs="宋体"/>
          <w:snapToGrid w:val="0"/>
          <w:szCs w:val="21"/>
        </w:rPr>
        <w:t>调解;</w:t>
      </w:r>
    </w:p>
    <w:p w14:paraId="5C1DEB9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(2)调解不成，双方约定向</w:t>
      </w:r>
      <w:r>
        <w:rPr>
          <w:rFonts w:hint="eastAsia" w:ascii="宋体" w:hAnsi="宋体" w:cs="宋体"/>
          <w:snapToGrid w:val="0"/>
          <w:szCs w:val="21"/>
          <w:u w:val="single"/>
        </w:rPr>
        <w:t>发包人所在地人民法院</w:t>
      </w:r>
      <w:r>
        <w:rPr>
          <w:rFonts w:hint="eastAsia" w:ascii="宋体" w:hAnsi="宋体" w:cs="宋体"/>
          <w:snapToGrid w:val="0"/>
          <w:szCs w:val="21"/>
        </w:rPr>
        <w:t>提起诉讼。</w:t>
      </w:r>
    </w:p>
    <w:p w14:paraId="620EBC5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十、其他</w:t>
      </w:r>
    </w:p>
    <w:p w14:paraId="00E89C3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23.工程分包</w:t>
      </w:r>
    </w:p>
    <w:p w14:paraId="179BA25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本工程除渣土外运工程外，其他项目不允许转包和违法分包。渣土外运必须发包给具备《渣土运输车辆许可证》、《渣土运输车辆交通安全证》和《渣土运输车辆通行证》的渣土运输企业作业。</w:t>
      </w:r>
    </w:p>
    <w:p w14:paraId="084A68E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24.不可抗力</w:t>
      </w:r>
    </w:p>
    <w:p w14:paraId="29C2844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24.1双方关于不可抗力的约定:</w:t>
      </w:r>
      <w:r>
        <w:rPr>
          <w:rFonts w:hint="eastAsia" w:ascii="宋体" w:hAnsi="宋体" w:cs="宋体"/>
          <w:snapToGrid w:val="0"/>
          <w:szCs w:val="21"/>
          <w:u w:val="single"/>
        </w:rPr>
        <w:t>执行通用条款</w:t>
      </w:r>
    </w:p>
    <w:p w14:paraId="1251CB2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25.担保</w:t>
      </w:r>
    </w:p>
    <w:p w14:paraId="578B83D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25.1本工程双方约定担保事项如下:</w:t>
      </w:r>
    </w:p>
    <w:p w14:paraId="1FE0662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25.2发包人向承包人提供履约担保,担保方式为: </w:t>
      </w:r>
      <w:r>
        <w:rPr>
          <w:rFonts w:hint="eastAsia" w:ascii="宋体" w:hAnsi="宋体" w:cs="宋体"/>
          <w:snapToGrid w:val="0"/>
          <w:szCs w:val="21"/>
          <w:u w:val="single"/>
        </w:rPr>
        <w:t xml:space="preserve">  / </w:t>
      </w:r>
    </w:p>
    <w:p w14:paraId="325BF6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25.3承包人向发包人提供履约担保,担保方式为:</w:t>
      </w:r>
      <w:r>
        <w:rPr>
          <w:rFonts w:hint="eastAsia" w:ascii="宋体" w:hAnsi="宋体" w:cs="宋体"/>
          <w:snapToGrid w:val="0"/>
          <w:szCs w:val="21"/>
          <w:u w:val="single"/>
        </w:rPr>
        <w:t>合同签订前承包人向发包人提交合同价的10%履约保证金，合同履行完毕无遗留问题退还履约保证金。如果承包人</w:t>
      </w:r>
      <w:r>
        <w:rPr>
          <w:rFonts w:hint="eastAsia" w:ascii="宋体" w:hAnsi="宋体" w:cs="宋体"/>
          <w:b/>
          <w:snapToGrid w:val="0"/>
          <w:szCs w:val="21"/>
          <w:u w:val="single"/>
        </w:rPr>
        <w:t>在规定时间内</w:t>
      </w:r>
      <w:r>
        <w:rPr>
          <w:rFonts w:hint="eastAsia" w:ascii="宋体" w:hAnsi="宋体" w:cs="宋体"/>
          <w:snapToGrid w:val="0"/>
          <w:szCs w:val="21"/>
          <w:u w:val="single"/>
        </w:rPr>
        <w:t>未能提交履约保证金，将被视为放弃中标资格，由此给发包人造成的损失，应予以赔偿</w:t>
      </w:r>
      <w:r>
        <w:rPr>
          <w:rFonts w:hint="eastAsia" w:ascii="宋体" w:hAnsi="宋体" w:cs="宋体"/>
          <w:snapToGrid w:val="0"/>
          <w:szCs w:val="21"/>
        </w:rPr>
        <w:t>。（以上均不计息）</w:t>
      </w:r>
    </w:p>
    <w:p w14:paraId="434FA68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26.合同份数</w:t>
      </w:r>
    </w:p>
    <w:p w14:paraId="2E8B0DE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26.1双方约定在合同份数：</w:t>
      </w:r>
    </w:p>
    <w:p w14:paraId="596AD69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本合同</w:t>
      </w:r>
      <w:r>
        <w:rPr>
          <w:rFonts w:hint="eastAsia" w:ascii="宋体" w:hAnsi="宋体" w:cs="宋体"/>
          <w:b/>
          <w:snapToGrid w:val="0"/>
          <w:szCs w:val="21"/>
          <w:u w:val="single"/>
        </w:rPr>
        <w:t>伍</w:t>
      </w:r>
      <w:r>
        <w:rPr>
          <w:rFonts w:hint="eastAsia" w:ascii="宋体" w:hAnsi="宋体" w:cs="宋体"/>
          <w:snapToGrid w:val="0"/>
          <w:szCs w:val="21"/>
        </w:rPr>
        <w:t>份，其中正本</w:t>
      </w:r>
      <w:r>
        <w:rPr>
          <w:rFonts w:hint="eastAsia" w:ascii="宋体" w:hAnsi="宋体" w:cs="宋体"/>
          <w:b/>
          <w:snapToGrid w:val="0"/>
          <w:szCs w:val="21"/>
          <w:u w:val="single"/>
        </w:rPr>
        <w:t>叁</w:t>
      </w:r>
      <w:r>
        <w:rPr>
          <w:rFonts w:hint="eastAsia" w:ascii="宋体" w:hAnsi="宋体" w:cs="宋体"/>
          <w:snapToGrid w:val="0"/>
          <w:szCs w:val="21"/>
        </w:rPr>
        <w:t>份，副本</w:t>
      </w:r>
      <w:r>
        <w:rPr>
          <w:rFonts w:hint="eastAsia" w:ascii="宋体" w:hAnsi="宋体" w:cs="宋体"/>
          <w:b/>
          <w:snapToGrid w:val="0"/>
          <w:szCs w:val="21"/>
          <w:u w:val="single"/>
        </w:rPr>
        <w:t>贰</w:t>
      </w:r>
      <w:r>
        <w:rPr>
          <w:rFonts w:hint="eastAsia" w:ascii="宋体" w:hAnsi="宋体" w:cs="宋体"/>
          <w:snapToGrid w:val="0"/>
          <w:szCs w:val="21"/>
        </w:rPr>
        <w:t>份。</w:t>
      </w:r>
      <w:r>
        <w:rPr>
          <w:rFonts w:hint="eastAsia" w:ascii="宋体" w:hAnsi="宋体" w:cs="宋体"/>
          <w:szCs w:val="21"/>
        </w:rPr>
        <w:t>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4C3DA7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27.其他</w:t>
      </w:r>
    </w:p>
    <w:p w14:paraId="22F8CFA7">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2）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0A3CCB6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(3）施工过程中发生的变更签证，承包人必须在变更发生后5日内申报，逾期对增加费用的签证申报，发包人有权不予承认，但发包人保留对减少费用的签证追溯权；</w:t>
      </w:r>
    </w:p>
    <w:p w14:paraId="553C46A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706C0743">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（5）</w:t>
      </w:r>
      <w:r>
        <w:rPr>
          <w:rFonts w:hint="eastAsia" w:ascii="宋体" w:hAnsi="宋体" w:cs="宋体"/>
          <w:szCs w:val="21"/>
        </w:rPr>
        <w:t>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5AAF87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（6）在工程竣工后在进行竣工验收前，对施工范围内进行打扫和清理，达到发包人提出的清洁要求，如达不到上述要求发包人将委托其他单位进行清理，其费用由承包人承担；</w:t>
      </w:r>
    </w:p>
    <w:p w14:paraId="5B91E1D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（7）在工程未交付前，承包人负责做好成品保护，如有损坏应负责维修，直至合格，其维修看护费用由承包人承担。</w:t>
      </w:r>
    </w:p>
    <w:p w14:paraId="3C30E28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（8）在施工期间医院正常运行，承包人在施工中应做好环境保护及环境安全的防护，部分区域需封闭施工，相关费用视为包含在投标报价中，不再另行支付；</w:t>
      </w:r>
    </w:p>
    <w:p w14:paraId="36FA87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（9）各个施工环节，需发包人施工质量管理员现场验收确认后方可进行下一环节施工；</w:t>
      </w:r>
    </w:p>
    <w:p w14:paraId="4766C41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napToGrid w:val="0"/>
          <w:kern w:val="0"/>
          <w:szCs w:val="21"/>
        </w:rPr>
        <w:t>（</w:t>
      </w:r>
      <w:r>
        <w:rPr>
          <w:rFonts w:hint="eastAsia" w:ascii="宋体" w:hAnsi="宋体" w:cs="宋体"/>
          <w:szCs w:val="21"/>
        </w:rPr>
        <w:t>10</w:t>
      </w:r>
      <w:r>
        <w:rPr>
          <w:rFonts w:hint="eastAsia" w:ascii="宋体" w:hAnsi="宋体" w:cs="宋体"/>
          <w:snapToGrid w:val="0"/>
          <w:kern w:val="0"/>
          <w:szCs w:val="21"/>
        </w:rPr>
        <w:t>）</w:t>
      </w:r>
      <w:r>
        <w:rPr>
          <w:rFonts w:hint="eastAsia" w:ascii="宋体" w:hAnsi="宋体" w:cs="宋体"/>
          <w:szCs w:val="21"/>
        </w:rPr>
        <w:t>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208B4B8A">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（11）承包人在中标公示结束后30天内与发包人签订施工合同并交纳履约保证金；</w:t>
      </w:r>
    </w:p>
    <w:p w14:paraId="32F30AA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7471490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（13）承包人擅自将工程全部或其中的一部分转包或违法分包给其他单位，发包人有权终止合同，并没收履约保证金，由此造成的一切损失由承包人承担；</w:t>
      </w:r>
    </w:p>
    <w:p w14:paraId="7B2524C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（14）施工方对施工材料运送要统筹考虑,不得影响院区内的道路交通,对施工场地周边的道路、树木、建筑等设施做好保护；</w:t>
      </w:r>
    </w:p>
    <w:p w14:paraId="248F2606">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28、施工期间相关要求：（以下规定与政府部门有冲突的部分依照政府文件规定执行）</w:t>
      </w:r>
    </w:p>
    <w:p w14:paraId="72462FD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（1）严格按国家强制性标准、施工组织设计或拆除方案实施相关部位拆除施工作业；</w:t>
      </w:r>
    </w:p>
    <w:p w14:paraId="60F2FDB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（2）做好拆除工程施工现场的防护。在现场醒目位置设置施工标志牌、安全警示牌，人员通道设置防护通道，非施工人员不得进入施工区；</w:t>
      </w:r>
    </w:p>
    <w:p w14:paraId="0E63FC9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（3）制定安全事故应急救援预案，做好防火、防盗工作；</w:t>
      </w:r>
    </w:p>
    <w:p w14:paraId="264CBC3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（4）对拆除施工人员进行安全技术交底，施工作业人员必须穿戴安全帽等劳动保护用品，高处作业应系好安全带，不得冒险作业；</w:t>
      </w:r>
    </w:p>
    <w:p w14:paraId="0A969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（5）由施工方、监理、承包人方共同对拆除的部位进行标记，由施工方检查建筑内各类管线情况，确认必须切断的应全部切断后方可施工；</w:t>
      </w:r>
    </w:p>
    <w:p w14:paraId="4516470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（6）拆除施工时应有防止扬尘和降低噪声的措施，拆除前洒水，过程中喷水，采用轻型风镐，严禁超负荷或带故障运转；</w:t>
      </w:r>
    </w:p>
    <w:p w14:paraId="41AC336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5BC3C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（8）楼层内的施工垃圾应采用垃圾袋运下，不得向下抛掷；</w:t>
      </w:r>
    </w:p>
    <w:p w14:paraId="44A7C81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（9）对原有梁、柱、楼板面等建筑结构要进行有效防护，拆除部位的地面必须用模板铺垫；</w:t>
      </w:r>
    </w:p>
    <w:p w14:paraId="177D417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（10）室内墙体在拆除时，顶部应拆除至梁体或楼板混凝土结构面，将砂浆连接层彻底清理干净，便于下道工序直接施工包含柱面；</w:t>
      </w:r>
    </w:p>
    <w:p w14:paraId="3B37648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(11)现场用电应符合施工现场临时用电安全技术规范要求；</w:t>
      </w:r>
    </w:p>
    <w:p w14:paraId="3181E87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(12)根据拆除现场作业环境，制定相应的消防安全措施；</w:t>
      </w:r>
    </w:p>
    <w:p w14:paraId="2B41BDC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(13)拆除后形成的临边洞口及时维护完成；</w:t>
      </w:r>
    </w:p>
    <w:p w14:paraId="2C64AC3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(14)清运渣土的车辆应封闭或覆盖，出入现场应有专人指挥，作业时间、作业方式应遵守扬州市有关管理规定。要求拆除的垃圾袋装化处理，并及时拆及时清运；</w:t>
      </w:r>
    </w:p>
    <w:p w14:paraId="4A7B5124">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(15)使用建设单位提供运输等设备、设施要服从管理安排，爱护设备，损坏赔偿；</w:t>
      </w:r>
    </w:p>
    <w:p w14:paraId="0190E45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(16)编制切实可行的施工准备计划，科学、合理安排组织施工工序，对准备工作建立严格的责任制和检查制度，做到有计划、有分工、有布置、有检查，各分部分项工程必须按计划完成；</w:t>
      </w:r>
    </w:p>
    <w:p w14:paraId="265861A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23F93DA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(18)若有后续工作跟进施工应与配合，及时提供工作面，确保后续工作顺利实施；</w:t>
      </w:r>
    </w:p>
    <w:p w14:paraId="304FB7D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(19)本工程不包含任何可回收材料，可回收材料均属发包人所有；</w:t>
      </w:r>
    </w:p>
    <w:p w14:paraId="07848F42">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（20）保险</w:t>
      </w:r>
    </w:p>
    <w:p w14:paraId="6783AB9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工程保险：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38B5A7E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其他保险：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707D90C4">
      <w:pPr>
        <w:pStyle w:val="60"/>
        <w:tabs>
          <w:tab w:val="left" w:pos="284"/>
        </w:tabs>
        <w:spacing w:line="360" w:lineRule="auto"/>
        <w:ind w:firstLine="420" w:firstLineChars="200"/>
        <w:contextualSpacing/>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应该办理</w:t>
      </w:r>
    </w:p>
    <w:p w14:paraId="7D359D35">
      <w:pPr>
        <w:pStyle w:val="60"/>
        <w:tabs>
          <w:tab w:val="left" w:pos="284"/>
        </w:tabs>
        <w:spacing w:line="360" w:lineRule="auto"/>
        <w:ind w:firstLine="420" w:firstLineChars="200"/>
        <w:contextualSpacing/>
        <w:jc w:val="left"/>
        <w:rPr>
          <w:rFonts w:ascii="宋体" w:hAnsi="宋体" w:cs="宋体"/>
          <w:sz w:val="24"/>
          <w:szCs w:val="24"/>
        </w:rPr>
      </w:pPr>
      <w:r>
        <w:rPr>
          <w:rFonts w:hint="eastAsia" w:ascii="宋体" w:hAnsi="宋体" w:cs="宋体"/>
          <w:szCs w:val="21"/>
        </w:rPr>
        <w:t>关于变更保险合同时的通知义务的约定：</w:t>
      </w:r>
      <w:r>
        <w:rPr>
          <w:rFonts w:hint="eastAsia" w:ascii="宋体" w:hAnsi="宋体" w:cs="宋体"/>
          <w:szCs w:val="21"/>
          <w:u w:val="single"/>
        </w:rPr>
        <w:t>执行通用条款</w:t>
      </w:r>
    </w:p>
    <w:p w14:paraId="36104FEF">
      <w:pPr>
        <w:spacing w:line="360" w:lineRule="auto"/>
        <w:ind w:firstLine="562" w:firstLineChars="200"/>
        <w:contextualSpacing/>
        <w:outlineLvl w:val="1"/>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附件1</w:t>
      </w:r>
    </w:p>
    <w:p w14:paraId="35C0B926">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建设工程施工场地管理规定</w:t>
      </w:r>
    </w:p>
    <w:p w14:paraId="06EAA19D">
      <w:pPr>
        <w:spacing w:line="360" w:lineRule="auto"/>
        <w:ind w:firstLine="420" w:firstLineChars="200"/>
        <w:contextualSpacing/>
        <w:rPr>
          <w:rFonts w:ascii="宋体" w:hAnsi="宋体" w:cs="宋体"/>
          <w:szCs w:val="21"/>
        </w:rPr>
      </w:pPr>
      <w:r>
        <w:rPr>
          <w:rFonts w:hint="eastAsia" w:ascii="宋体" w:hAnsi="宋体" w:cs="宋体"/>
          <w:szCs w:val="21"/>
        </w:rPr>
        <w:t>为了保证建设工程质量、进度达到预定目标,确保在施工中不出现质量、安全责任事故,同时能给各施工单位创造良好的文明施工环境、合作条件,经研究特制订本工程施工场地管理规定。</w:t>
      </w:r>
    </w:p>
    <w:p w14:paraId="63A940E9">
      <w:pPr>
        <w:spacing w:line="360" w:lineRule="auto"/>
        <w:ind w:firstLine="420" w:firstLineChars="200"/>
        <w:contextualSpacing/>
        <w:rPr>
          <w:rFonts w:ascii="宋体" w:hAnsi="宋体" w:cs="宋体"/>
          <w:szCs w:val="21"/>
        </w:rPr>
      </w:pPr>
      <w:r>
        <w:rPr>
          <w:rFonts w:hint="eastAsia" w:ascii="宋体" w:hAnsi="宋体" w:cs="宋体"/>
          <w:szCs w:val="21"/>
        </w:rPr>
        <w:t>一、施工场地管理要求:</w:t>
      </w:r>
    </w:p>
    <w:p w14:paraId="7E3C85FE">
      <w:pPr>
        <w:spacing w:line="360" w:lineRule="auto"/>
        <w:ind w:firstLine="420" w:firstLineChars="200"/>
        <w:contextualSpacing/>
        <w:rPr>
          <w:rFonts w:ascii="宋体" w:hAnsi="宋体" w:cs="宋体"/>
          <w:szCs w:val="21"/>
        </w:rPr>
      </w:pPr>
      <w:r>
        <w:rPr>
          <w:rFonts w:hint="eastAsia" w:ascii="宋体" w:hAnsi="宋体" w:cs="宋体"/>
          <w:szCs w:val="21"/>
        </w:rPr>
        <w:t>1、所有进场的施工单位必须建立健全项目管理机构,项目部全体人员一览表应公布上墙。</w:t>
      </w:r>
    </w:p>
    <w:p w14:paraId="5D30691E">
      <w:pPr>
        <w:spacing w:line="360" w:lineRule="auto"/>
        <w:ind w:firstLine="420" w:firstLineChars="200"/>
        <w:contextualSpacing/>
        <w:rPr>
          <w:rFonts w:ascii="宋体" w:hAnsi="宋体" w:cs="宋体"/>
          <w:szCs w:val="21"/>
        </w:rPr>
      </w:pPr>
      <w:r>
        <w:rPr>
          <w:rFonts w:hint="eastAsia" w:ascii="宋体" w:hAnsi="宋体" w:cs="宋体"/>
          <w:szCs w:val="21"/>
        </w:rPr>
        <w:t>2、各项目部应根据国家和省、市有关法律、法规、标准、规范,按照项目部的工作要求建立如下规章制度。</w:t>
      </w:r>
    </w:p>
    <w:p w14:paraId="089CE40D">
      <w:pPr>
        <w:spacing w:line="360" w:lineRule="auto"/>
        <w:ind w:firstLine="420" w:firstLineChars="200"/>
        <w:contextualSpacing/>
        <w:rPr>
          <w:rFonts w:ascii="宋体" w:hAnsi="宋体" w:cs="宋体"/>
          <w:szCs w:val="21"/>
        </w:rPr>
      </w:pPr>
      <w:r>
        <w:rPr>
          <w:rFonts w:hint="eastAsia" w:ascii="宋体" w:hAnsi="宋体" w:cs="宋体"/>
          <w:szCs w:val="21"/>
        </w:rPr>
        <w:t>(1)安全生产责任制度、安全教育制度</w:t>
      </w:r>
    </w:p>
    <w:p w14:paraId="0BCE8833">
      <w:pPr>
        <w:spacing w:line="360" w:lineRule="auto"/>
        <w:ind w:firstLine="420" w:firstLineChars="200"/>
        <w:contextualSpacing/>
        <w:rPr>
          <w:rFonts w:ascii="宋体" w:hAnsi="宋体" w:cs="宋体"/>
          <w:szCs w:val="21"/>
        </w:rPr>
      </w:pPr>
      <w:r>
        <w:rPr>
          <w:rFonts w:hint="eastAsia" w:ascii="宋体" w:hAnsi="宋体" w:cs="宋体"/>
          <w:szCs w:val="21"/>
        </w:rPr>
        <w:t>(2)质量、进度目标管理制度</w:t>
      </w:r>
    </w:p>
    <w:p w14:paraId="35C49F31">
      <w:pPr>
        <w:spacing w:line="360" w:lineRule="auto"/>
        <w:ind w:firstLine="420" w:firstLineChars="200"/>
        <w:contextualSpacing/>
        <w:rPr>
          <w:rFonts w:ascii="宋体" w:hAnsi="宋体" w:cs="宋体"/>
          <w:szCs w:val="21"/>
        </w:rPr>
      </w:pPr>
      <w:r>
        <w:rPr>
          <w:rFonts w:hint="eastAsia" w:ascii="宋体" w:hAnsi="宋体" w:cs="宋体"/>
          <w:szCs w:val="21"/>
        </w:rPr>
        <w:t>(3)文明施工及场地清洁卫生管理制度</w:t>
      </w:r>
    </w:p>
    <w:p w14:paraId="1C4B8F5F">
      <w:pPr>
        <w:spacing w:line="360" w:lineRule="auto"/>
        <w:ind w:firstLine="420" w:firstLineChars="200"/>
        <w:contextualSpacing/>
        <w:rPr>
          <w:rFonts w:ascii="宋体" w:hAnsi="宋体" w:cs="宋体"/>
          <w:szCs w:val="21"/>
        </w:rPr>
      </w:pPr>
      <w:r>
        <w:rPr>
          <w:rFonts w:hint="eastAsia" w:ascii="宋体" w:hAnsi="宋体" w:cs="宋体"/>
          <w:szCs w:val="21"/>
        </w:rPr>
        <w:t>(4)施工用电管理制度</w:t>
      </w:r>
    </w:p>
    <w:p w14:paraId="547BA52F">
      <w:pPr>
        <w:spacing w:line="360" w:lineRule="auto"/>
        <w:ind w:firstLine="420" w:firstLineChars="200"/>
        <w:contextualSpacing/>
        <w:rPr>
          <w:rFonts w:ascii="宋体" w:hAnsi="宋体" w:cs="宋体"/>
          <w:szCs w:val="21"/>
        </w:rPr>
      </w:pPr>
      <w:r>
        <w:rPr>
          <w:rFonts w:hint="eastAsia" w:ascii="宋体" w:hAnsi="宋体" w:cs="宋体"/>
          <w:szCs w:val="21"/>
        </w:rPr>
        <w:t>(5)“三宝”、“四口”“五临边”防护制度</w:t>
      </w:r>
    </w:p>
    <w:p w14:paraId="681646F3">
      <w:pPr>
        <w:spacing w:line="360" w:lineRule="auto"/>
        <w:ind w:firstLine="420" w:firstLineChars="200"/>
        <w:contextualSpacing/>
        <w:rPr>
          <w:rFonts w:ascii="宋体" w:hAnsi="宋体" w:cs="宋体"/>
          <w:szCs w:val="21"/>
        </w:rPr>
      </w:pPr>
      <w:r>
        <w:rPr>
          <w:rFonts w:hint="eastAsia" w:ascii="宋体" w:hAnsi="宋体" w:cs="宋体"/>
          <w:szCs w:val="21"/>
        </w:rPr>
        <w:t>(6)成品保护制度</w:t>
      </w:r>
    </w:p>
    <w:p w14:paraId="62F9F369">
      <w:pPr>
        <w:spacing w:line="360" w:lineRule="auto"/>
        <w:ind w:firstLine="420" w:firstLineChars="200"/>
        <w:contextualSpacing/>
        <w:rPr>
          <w:rFonts w:ascii="宋体" w:hAnsi="宋体" w:cs="宋体"/>
          <w:szCs w:val="21"/>
        </w:rPr>
      </w:pPr>
      <w:r>
        <w:rPr>
          <w:rFonts w:hint="eastAsia" w:ascii="宋体" w:hAnsi="宋体" w:cs="宋体"/>
          <w:szCs w:val="21"/>
        </w:rPr>
        <w:t>(7)动火管理制度</w:t>
      </w:r>
    </w:p>
    <w:p w14:paraId="11439D7F">
      <w:pPr>
        <w:spacing w:line="360" w:lineRule="auto"/>
        <w:ind w:firstLine="420" w:firstLineChars="200"/>
        <w:contextualSpacing/>
        <w:rPr>
          <w:rFonts w:ascii="宋体" w:hAnsi="宋体" w:cs="宋体"/>
          <w:szCs w:val="21"/>
        </w:rPr>
      </w:pPr>
      <w:r>
        <w:rPr>
          <w:rFonts w:hint="eastAsia" w:ascii="宋体" w:hAnsi="宋体" w:cs="宋体"/>
          <w:szCs w:val="21"/>
        </w:rPr>
        <w:t>(8)其它规章制度</w:t>
      </w:r>
    </w:p>
    <w:p w14:paraId="3DA55181">
      <w:pPr>
        <w:spacing w:line="360" w:lineRule="auto"/>
        <w:ind w:firstLine="420" w:firstLineChars="200"/>
        <w:contextualSpacing/>
        <w:rPr>
          <w:rFonts w:ascii="宋体" w:hAnsi="宋体" w:cs="宋体"/>
          <w:szCs w:val="21"/>
        </w:rPr>
      </w:pPr>
      <w:r>
        <w:rPr>
          <w:rFonts w:hint="eastAsia" w:ascii="宋体" w:hAnsi="宋体" w:cs="宋体"/>
          <w:szCs w:val="21"/>
        </w:rPr>
        <w:t>3、各项目部应认真执行如下规定。</w:t>
      </w:r>
    </w:p>
    <w:p w14:paraId="3CEA6E5B">
      <w:pPr>
        <w:spacing w:line="360" w:lineRule="auto"/>
        <w:ind w:firstLine="420" w:firstLineChars="200"/>
        <w:contextualSpacing/>
        <w:rPr>
          <w:rFonts w:ascii="宋体" w:hAnsi="宋体" w:cs="宋体"/>
          <w:szCs w:val="21"/>
        </w:rPr>
      </w:pPr>
      <w:r>
        <w:rPr>
          <w:rFonts w:hint="eastAsia" w:ascii="宋体" w:hAnsi="宋体" w:cs="宋体"/>
          <w:szCs w:val="21"/>
        </w:rPr>
        <w:t>(1)各施工单位的项目经理必须坚守工作岗位,遇有特殊情况需要离开施工现场必须向承包人、监理请假,经同意后才能离开。</w:t>
      </w:r>
    </w:p>
    <w:p w14:paraId="6311CAA7">
      <w:pPr>
        <w:spacing w:line="360" w:lineRule="auto"/>
        <w:ind w:firstLine="420" w:firstLineChars="200"/>
        <w:contextualSpacing/>
        <w:rPr>
          <w:rFonts w:ascii="宋体" w:hAnsi="宋体" w:cs="宋体"/>
          <w:szCs w:val="21"/>
        </w:rPr>
      </w:pPr>
      <w:r>
        <w:rPr>
          <w:rFonts w:hint="eastAsia" w:ascii="宋体" w:hAnsi="宋体" w:cs="宋体"/>
          <w:szCs w:val="21"/>
        </w:rPr>
        <w:t>(2)各项目部的质量和安全管理人员应认真履行工作职责,上述人员如有变动必须报发包人、监理同意。</w:t>
      </w:r>
    </w:p>
    <w:p w14:paraId="582E9A9D">
      <w:pPr>
        <w:spacing w:line="360" w:lineRule="auto"/>
        <w:ind w:firstLine="420" w:firstLineChars="200"/>
        <w:contextualSpacing/>
        <w:rPr>
          <w:rFonts w:ascii="宋体" w:hAnsi="宋体" w:cs="宋体"/>
          <w:szCs w:val="21"/>
        </w:rPr>
      </w:pPr>
      <w:r>
        <w:rPr>
          <w:rFonts w:hint="eastAsia" w:ascii="宋体" w:hAnsi="宋体" w:cs="宋体"/>
          <w:szCs w:val="21"/>
        </w:rPr>
        <w:t>(3)各项目部在施工前应认真编制施工方案,并上报监理、发包人审核,经审核同意后严格按方案实施,对重点部位应按要求编制专项施工方案。</w:t>
      </w:r>
    </w:p>
    <w:p w14:paraId="2CC799DE">
      <w:pPr>
        <w:spacing w:line="360" w:lineRule="auto"/>
        <w:ind w:firstLine="420" w:firstLineChars="200"/>
        <w:contextualSpacing/>
        <w:rPr>
          <w:rFonts w:ascii="宋体" w:hAnsi="宋体" w:cs="宋体"/>
          <w:szCs w:val="21"/>
        </w:rPr>
      </w:pPr>
      <w:r>
        <w:rPr>
          <w:rFonts w:hint="eastAsia" w:ascii="宋体" w:hAnsi="宋体" w:cs="宋体"/>
          <w:szCs w:val="21"/>
        </w:rPr>
        <w:t>(4)隐蔽工程应先进行自检,自检合格后报监理及发包人进行隐蔽部位验收隐蔽工程在封闭前要求各施工单位执行会签制度。未经验收、会签不得擅自封闭。</w:t>
      </w:r>
    </w:p>
    <w:p w14:paraId="0903BB23">
      <w:pPr>
        <w:spacing w:line="360" w:lineRule="auto"/>
        <w:ind w:firstLine="420" w:firstLineChars="200"/>
        <w:contextualSpacing/>
        <w:rPr>
          <w:rFonts w:ascii="宋体" w:hAnsi="宋体" w:cs="宋体"/>
          <w:szCs w:val="21"/>
        </w:rPr>
      </w:pPr>
      <w:r>
        <w:rPr>
          <w:rFonts w:hint="eastAsia" w:ascii="宋体" w:hAnsi="宋体" w:cs="宋体"/>
          <w:szCs w:val="21"/>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7465E39">
      <w:pPr>
        <w:spacing w:line="360" w:lineRule="auto"/>
        <w:ind w:firstLine="420" w:firstLineChars="200"/>
        <w:contextualSpacing/>
        <w:rPr>
          <w:rFonts w:ascii="宋体" w:hAnsi="宋体" w:cs="宋体"/>
          <w:szCs w:val="21"/>
        </w:rPr>
      </w:pPr>
      <w:r>
        <w:rPr>
          <w:rFonts w:hint="eastAsia" w:ascii="宋体" w:hAnsi="宋体" w:cs="宋体"/>
          <w:szCs w:val="21"/>
        </w:rPr>
        <w:t>(6)加强现场安全保卫工作,所有施工单位进场人员必须佩带胸牌上岗,进入施工现场必须配戴安全帽。</w:t>
      </w:r>
    </w:p>
    <w:p w14:paraId="434AE307">
      <w:pPr>
        <w:spacing w:line="360" w:lineRule="auto"/>
        <w:ind w:firstLine="420" w:firstLineChars="200"/>
        <w:contextualSpacing/>
        <w:rPr>
          <w:rFonts w:ascii="宋体" w:hAnsi="宋体" w:cs="宋体"/>
          <w:szCs w:val="21"/>
        </w:rPr>
      </w:pPr>
      <w:r>
        <w:rPr>
          <w:rFonts w:hint="eastAsia" w:ascii="宋体" w:hAnsi="宋体" w:cs="宋体"/>
          <w:szCs w:val="21"/>
        </w:rPr>
        <w:t>(7)未施工的材料应要善保管,已施工完毕的成品必须加强保护(附件:成品地面、门窗成品保护要求),同时要求做好防火、防盗和用电安全管理等工作。</w:t>
      </w:r>
    </w:p>
    <w:p w14:paraId="3FD406F3">
      <w:pPr>
        <w:spacing w:line="360" w:lineRule="auto"/>
        <w:ind w:firstLine="420" w:firstLineChars="200"/>
        <w:contextualSpacing/>
        <w:rPr>
          <w:rFonts w:ascii="宋体" w:hAnsi="宋体" w:cs="宋体"/>
          <w:szCs w:val="21"/>
        </w:rPr>
      </w:pPr>
      <w:r>
        <w:rPr>
          <w:rFonts w:hint="eastAsia" w:ascii="宋体" w:hAnsi="宋体" w:cs="宋体"/>
          <w:szCs w:val="21"/>
        </w:rPr>
        <w:t>(8)保持施工现场环境卫生整洁。建筑垃圾、生活垃圾及时清理,按指定地点堆放。</w:t>
      </w:r>
    </w:p>
    <w:p w14:paraId="7C72EE4E">
      <w:pPr>
        <w:spacing w:line="360" w:lineRule="auto"/>
        <w:ind w:firstLine="420" w:firstLineChars="200"/>
        <w:contextualSpacing/>
        <w:rPr>
          <w:rFonts w:ascii="宋体" w:hAnsi="宋体" w:cs="宋体"/>
          <w:szCs w:val="21"/>
        </w:rPr>
      </w:pPr>
      <w:r>
        <w:rPr>
          <w:rFonts w:hint="eastAsia" w:ascii="宋体" w:hAnsi="宋体" w:cs="宋体"/>
          <w:szCs w:val="21"/>
        </w:rPr>
        <w:t>(9)施工单位必须按照图纸施工,施工中如需调整与变更应及时办理变更手续,并严格执行。</w:t>
      </w:r>
    </w:p>
    <w:p w14:paraId="1F56F39D">
      <w:pPr>
        <w:spacing w:line="360" w:lineRule="auto"/>
        <w:ind w:firstLine="420" w:firstLineChars="200"/>
        <w:contextualSpacing/>
        <w:rPr>
          <w:rFonts w:ascii="宋体" w:hAnsi="宋体" w:cs="宋体"/>
          <w:szCs w:val="21"/>
        </w:rPr>
      </w:pPr>
      <w:r>
        <w:rPr>
          <w:rFonts w:hint="eastAsia" w:ascii="宋体" w:hAnsi="宋体" w:cs="宋体"/>
          <w:szCs w:val="21"/>
        </w:rPr>
        <w:t>(10)对监理、业主发现的工程施工质量、安全问题,各施工单位应按发包人、监理意见积极整改到位。</w:t>
      </w:r>
    </w:p>
    <w:p w14:paraId="44867F20">
      <w:pPr>
        <w:spacing w:line="360" w:lineRule="auto"/>
        <w:ind w:firstLine="420" w:firstLineChars="200"/>
        <w:contextualSpacing/>
        <w:rPr>
          <w:rFonts w:ascii="宋体" w:hAnsi="宋体" w:cs="宋体"/>
          <w:szCs w:val="21"/>
        </w:rPr>
      </w:pPr>
      <w:r>
        <w:rPr>
          <w:rFonts w:hint="eastAsia" w:ascii="宋体" w:hAnsi="宋体" w:cs="宋体"/>
          <w:szCs w:val="21"/>
        </w:rPr>
        <w:t>(11)各施工单位应树立全局观念,主动积极做好协调、配合工作,不得故意刁难,相互扯皮。</w:t>
      </w:r>
    </w:p>
    <w:p w14:paraId="18DD4983">
      <w:pPr>
        <w:spacing w:line="360" w:lineRule="auto"/>
        <w:ind w:firstLine="420" w:firstLineChars="200"/>
        <w:contextualSpacing/>
        <w:rPr>
          <w:rFonts w:ascii="宋体" w:hAnsi="宋体" w:cs="宋体"/>
          <w:szCs w:val="21"/>
        </w:rPr>
      </w:pPr>
      <w:r>
        <w:rPr>
          <w:rFonts w:hint="eastAsia" w:ascii="宋体" w:hAnsi="宋体" w:cs="宋体"/>
          <w:szCs w:val="21"/>
        </w:rPr>
        <w:t>(12)各施工单位必须对照施工合同,严格履行合同承诺。</w:t>
      </w:r>
    </w:p>
    <w:p w14:paraId="66F96884">
      <w:pPr>
        <w:spacing w:line="360" w:lineRule="auto"/>
        <w:ind w:firstLine="420" w:firstLineChars="200"/>
        <w:contextualSpacing/>
        <w:rPr>
          <w:rFonts w:ascii="宋体" w:hAnsi="宋体" w:cs="宋体"/>
          <w:szCs w:val="21"/>
        </w:rPr>
      </w:pPr>
      <w:r>
        <w:rPr>
          <w:rFonts w:hint="eastAsia" w:ascii="宋体" w:hAnsi="宋体" w:cs="宋体"/>
          <w:szCs w:val="21"/>
        </w:rPr>
        <w:t>二、施工管理处罚规定:</w:t>
      </w:r>
    </w:p>
    <w:p w14:paraId="1C919F02">
      <w:pPr>
        <w:spacing w:line="360" w:lineRule="auto"/>
        <w:ind w:firstLine="420" w:firstLineChars="200"/>
        <w:contextualSpacing/>
        <w:rPr>
          <w:rFonts w:ascii="宋体" w:hAnsi="宋体" w:cs="宋体"/>
          <w:szCs w:val="21"/>
        </w:rPr>
      </w:pPr>
      <w:r>
        <w:rPr>
          <w:rFonts w:hint="eastAsia" w:ascii="宋体" w:hAnsi="宋体" w:cs="宋体"/>
          <w:szCs w:val="21"/>
        </w:rPr>
        <w:t>凡出现下列情况者给予处罚如下:</w:t>
      </w:r>
    </w:p>
    <w:p w14:paraId="40A87AB2">
      <w:pPr>
        <w:spacing w:line="360" w:lineRule="auto"/>
        <w:ind w:firstLine="420" w:firstLineChars="200"/>
        <w:contextualSpacing/>
        <w:rPr>
          <w:rFonts w:ascii="宋体" w:hAnsi="宋体" w:cs="宋体"/>
          <w:szCs w:val="21"/>
        </w:rPr>
      </w:pPr>
      <w:r>
        <w:rPr>
          <w:rFonts w:hint="eastAsia" w:ascii="宋体" w:hAnsi="宋体" w:cs="宋体"/>
          <w:szCs w:val="21"/>
        </w:rPr>
        <w:t>1、文明施工方面:</w:t>
      </w:r>
    </w:p>
    <w:p w14:paraId="5D55062C">
      <w:pPr>
        <w:spacing w:line="360" w:lineRule="auto"/>
        <w:ind w:firstLine="420" w:firstLineChars="200"/>
        <w:contextualSpacing/>
        <w:rPr>
          <w:rFonts w:ascii="宋体" w:hAnsi="宋体" w:cs="宋体"/>
          <w:szCs w:val="21"/>
        </w:rPr>
      </w:pPr>
      <w:r>
        <w:rPr>
          <w:rFonts w:hint="eastAsia" w:ascii="宋体" w:hAnsi="宋体" w:cs="宋体"/>
          <w:szCs w:val="21"/>
        </w:rPr>
        <w:t>(1)各单位人员进入现场施工必须佩戴工作卡,发现无卡人员每人次处罚50元。</w:t>
      </w:r>
    </w:p>
    <w:p w14:paraId="748D4C57">
      <w:pPr>
        <w:spacing w:line="360" w:lineRule="auto"/>
        <w:ind w:firstLine="420" w:firstLineChars="200"/>
        <w:contextualSpacing/>
        <w:rPr>
          <w:rFonts w:ascii="宋体" w:hAnsi="宋体" w:cs="宋体"/>
          <w:szCs w:val="21"/>
        </w:rPr>
      </w:pPr>
      <w:r>
        <w:rPr>
          <w:rFonts w:hint="eastAsia" w:ascii="宋体" w:hAnsi="宋体" w:cs="宋体"/>
          <w:szCs w:val="21"/>
        </w:rPr>
        <w:t>(2)施工作业人员不准穿拖鞋、高跟鞋、赤膊,发现一人次处罚50元。严禁酒后进入施工区作业,发现一人次罚款50元。严禁家眷、小孩进入施工区,每发现一人次处罚50元。</w:t>
      </w:r>
    </w:p>
    <w:p w14:paraId="41D7C2C9">
      <w:pPr>
        <w:spacing w:line="360" w:lineRule="auto"/>
        <w:ind w:firstLine="420" w:firstLineChars="200"/>
        <w:contextualSpacing/>
        <w:rPr>
          <w:rFonts w:ascii="宋体" w:hAnsi="宋体" w:cs="宋体"/>
          <w:szCs w:val="21"/>
        </w:rPr>
      </w:pPr>
      <w:r>
        <w:rPr>
          <w:rFonts w:hint="eastAsia" w:ascii="宋体" w:hAnsi="宋体" w:cs="宋体"/>
          <w:szCs w:val="21"/>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029E654">
      <w:pPr>
        <w:spacing w:line="360" w:lineRule="auto"/>
        <w:ind w:firstLine="420" w:firstLineChars="200"/>
        <w:contextualSpacing/>
        <w:rPr>
          <w:rFonts w:ascii="宋体" w:hAnsi="宋体" w:cs="宋体"/>
          <w:szCs w:val="21"/>
        </w:rPr>
      </w:pPr>
      <w:r>
        <w:rPr>
          <w:rFonts w:hint="eastAsia" w:ascii="宋体" w:hAnsi="宋体" w:cs="宋体"/>
          <w:szCs w:val="21"/>
        </w:rPr>
        <w:t>(4)在建建筑物内除仓库保管员及保卫人员外,其余人员严禁入住,发现一次处罚200元。</w:t>
      </w:r>
    </w:p>
    <w:p w14:paraId="4670081A">
      <w:pPr>
        <w:spacing w:line="360" w:lineRule="auto"/>
        <w:ind w:firstLine="420" w:firstLineChars="200"/>
        <w:contextualSpacing/>
        <w:rPr>
          <w:rFonts w:ascii="宋体" w:hAnsi="宋体" w:cs="宋体"/>
          <w:szCs w:val="21"/>
        </w:rPr>
      </w:pPr>
      <w:r>
        <w:rPr>
          <w:rFonts w:hint="eastAsia" w:ascii="宋体" w:hAnsi="宋体" w:cs="宋体"/>
          <w:szCs w:val="21"/>
        </w:rPr>
        <w:t>(5)现场施工人员盗窃发现一次立即开除,按造成直接损失的3倍进行赔偿。情节严重者送当地公安部门处理。</w:t>
      </w:r>
    </w:p>
    <w:p w14:paraId="028D9989">
      <w:pPr>
        <w:spacing w:line="360" w:lineRule="auto"/>
        <w:ind w:firstLine="420" w:firstLineChars="200"/>
        <w:contextualSpacing/>
        <w:rPr>
          <w:rFonts w:ascii="宋体" w:hAnsi="宋体" w:cs="宋体"/>
          <w:szCs w:val="21"/>
        </w:rPr>
      </w:pPr>
      <w:r>
        <w:rPr>
          <w:rFonts w:hint="eastAsia" w:ascii="宋体" w:hAnsi="宋体" w:cs="宋体"/>
          <w:szCs w:val="21"/>
        </w:rPr>
        <w:t>(6)施工现场严禁赌博、打架斗殴,每发现一次处罚500元,情节严重者送当地公安部门处理。</w:t>
      </w:r>
    </w:p>
    <w:p w14:paraId="3D3603A8">
      <w:pPr>
        <w:spacing w:line="360" w:lineRule="auto"/>
        <w:ind w:firstLine="420" w:firstLineChars="200"/>
        <w:contextualSpacing/>
        <w:rPr>
          <w:rFonts w:ascii="宋体" w:hAnsi="宋体" w:cs="宋体"/>
          <w:szCs w:val="21"/>
        </w:rPr>
      </w:pPr>
      <w:r>
        <w:rPr>
          <w:rFonts w:hint="eastAsia" w:ascii="宋体" w:hAnsi="宋体" w:cs="宋体"/>
          <w:szCs w:val="21"/>
        </w:rPr>
        <w:t>(7)夜间施工必须有足够的照明设施,楼梯通道必须设置安全照明灯。每发现一处不合格处罚200元。</w:t>
      </w:r>
    </w:p>
    <w:p w14:paraId="30061968">
      <w:pPr>
        <w:spacing w:line="360" w:lineRule="auto"/>
        <w:ind w:firstLine="420" w:firstLineChars="200"/>
        <w:contextualSpacing/>
        <w:rPr>
          <w:rFonts w:ascii="宋体" w:hAnsi="宋体" w:cs="宋体"/>
          <w:szCs w:val="21"/>
        </w:rPr>
      </w:pPr>
      <w:r>
        <w:rPr>
          <w:rFonts w:hint="eastAsia" w:ascii="宋体" w:hAnsi="宋体" w:cs="宋体"/>
          <w:szCs w:val="21"/>
        </w:rPr>
        <w:t>(8)发现施工现场环境脏、乱、差每次处罚200元。监理通知后仍不积极整改,汇报业主派人清理,费用从相关施工单位工程款中扣除。</w:t>
      </w:r>
    </w:p>
    <w:p w14:paraId="09BBCC02">
      <w:pPr>
        <w:spacing w:line="360" w:lineRule="auto"/>
        <w:ind w:firstLine="420" w:firstLineChars="200"/>
        <w:contextualSpacing/>
        <w:rPr>
          <w:rFonts w:ascii="宋体" w:hAnsi="宋体" w:cs="宋体"/>
          <w:szCs w:val="21"/>
        </w:rPr>
      </w:pPr>
      <w:r>
        <w:rPr>
          <w:rFonts w:hint="eastAsia" w:ascii="宋体" w:hAnsi="宋体" w:cs="宋体"/>
          <w:szCs w:val="21"/>
        </w:rPr>
        <w:t>(9)建筑物内各标段应设置临时厕所，严禁随地大小便,每发现一次处罚50元。</w:t>
      </w:r>
    </w:p>
    <w:p w14:paraId="2FE11161">
      <w:pPr>
        <w:spacing w:line="360" w:lineRule="auto"/>
        <w:ind w:firstLine="420" w:firstLineChars="200"/>
        <w:contextualSpacing/>
        <w:rPr>
          <w:rFonts w:ascii="宋体" w:hAnsi="宋体" w:cs="宋体"/>
          <w:szCs w:val="21"/>
        </w:rPr>
      </w:pPr>
      <w:r>
        <w:rPr>
          <w:rFonts w:hint="eastAsia" w:ascii="宋体" w:hAnsi="宋体" w:cs="宋体"/>
          <w:szCs w:val="21"/>
        </w:rPr>
        <w:t>(10)自行车、电动车、摩托车按指定地点停放,不得进入建筑物施工现场内，每发现一辆处罚50元。</w:t>
      </w:r>
    </w:p>
    <w:p w14:paraId="2CDB8B9C">
      <w:pPr>
        <w:spacing w:line="360" w:lineRule="auto"/>
        <w:ind w:firstLine="420" w:firstLineChars="200"/>
        <w:contextualSpacing/>
        <w:rPr>
          <w:rFonts w:ascii="宋体" w:hAnsi="宋体" w:cs="宋体"/>
          <w:szCs w:val="21"/>
        </w:rPr>
      </w:pPr>
      <w:r>
        <w:rPr>
          <w:rFonts w:hint="eastAsia" w:ascii="宋体" w:hAnsi="宋体" w:cs="宋体"/>
          <w:szCs w:val="21"/>
        </w:rPr>
        <w:t>2、现场管理方面:</w:t>
      </w:r>
    </w:p>
    <w:p w14:paraId="7178089D">
      <w:pPr>
        <w:spacing w:line="360" w:lineRule="auto"/>
        <w:ind w:firstLine="420" w:firstLineChars="200"/>
        <w:contextualSpacing/>
        <w:rPr>
          <w:rFonts w:ascii="宋体" w:hAnsi="宋体" w:cs="宋体"/>
          <w:szCs w:val="21"/>
        </w:rPr>
      </w:pPr>
      <w:r>
        <w:rPr>
          <w:rFonts w:hint="eastAsia" w:ascii="宋体" w:hAnsi="宋体" w:cs="宋体"/>
          <w:szCs w:val="21"/>
        </w:rPr>
        <w:t>(I)各施工单位在施工中相互扯皮不协调配合,造成返工或浪费所产生的费用由业主、监理按实进行核算,在工程款中予以扣除。</w:t>
      </w:r>
    </w:p>
    <w:p w14:paraId="3338777E">
      <w:pPr>
        <w:spacing w:line="360" w:lineRule="auto"/>
        <w:ind w:firstLine="420" w:firstLineChars="200"/>
        <w:contextualSpacing/>
        <w:rPr>
          <w:rFonts w:ascii="宋体" w:hAnsi="宋体" w:cs="宋体"/>
          <w:szCs w:val="21"/>
        </w:rPr>
      </w:pPr>
      <w:r>
        <w:rPr>
          <w:rFonts w:hint="eastAsia" w:ascii="宋体" w:hAnsi="宋体" w:cs="宋体"/>
          <w:szCs w:val="21"/>
        </w:rPr>
        <w:t>(2)各施工单位未按业主、监理要求时间完成配合工作,造成其它施工单位工期延误,出现一次处罚1000元,为不影响总体进度,业主、监理有权另请其它单位进行施工,费用从施工单位工程款中扣除。</w:t>
      </w:r>
    </w:p>
    <w:p w14:paraId="4B34D716">
      <w:pPr>
        <w:spacing w:line="360" w:lineRule="auto"/>
        <w:ind w:firstLine="420" w:firstLineChars="200"/>
        <w:contextualSpacing/>
        <w:rPr>
          <w:rFonts w:ascii="宋体" w:hAnsi="宋体" w:cs="宋体"/>
          <w:szCs w:val="21"/>
        </w:rPr>
      </w:pPr>
      <w:r>
        <w:rPr>
          <w:rFonts w:hint="eastAsia" w:ascii="宋体" w:hAnsi="宋体" w:cs="宋体"/>
          <w:szCs w:val="21"/>
        </w:rPr>
        <w:t>(3)因施工方原因影响群众利益,造成负面影晌,导致群众堵工上访或新闻媒体曝光的,每发生一次罚款10000元。</w:t>
      </w:r>
    </w:p>
    <w:p w14:paraId="1BBB195A">
      <w:pPr>
        <w:spacing w:line="360" w:lineRule="auto"/>
        <w:ind w:firstLine="420" w:firstLineChars="200"/>
        <w:contextualSpacing/>
        <w:rPr>
          <w:rFonts w:ascii="宋体" w:hAnsi="宋体" w:cs="宋体"/>
          <w:szCs w:val="21"/>
        </w:rPr>
      </w:pPr>
      <w:r>
        <w:rPr>
          <w:rFonts w:hint="eastAsia" w:ascii="宋体" w:hAnsi="宋体" w:cs="宋体"/>
          <w:szCs w:val="21"/>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212C3EAD">
      <w:pPr>
        <w:spacing w:line="360" w:lineRule="auto"/>
        <w:ind w:firstLine="420" w:firstLineChars="200"/>
        <w:contextualSpacing/>
        <w:rPr>
          <w:rFonts w:ascii="宋体" w:hAnsi="宋体" w:cs="宋体"/>
          <w:szCs w:val="21"/>
        </w:rPr>
      </w:pPr>
      <w:r>
        <w:rPr>
          <w:rFonts w:hint="eastAsia" w:ascii="宋体" w:hAnsi="宋体" w:cs="宋体"/>
          <w:szCs w:val="21"/>
        </w:rPr>
        <w:t>(5)现场项目经理、主要负责人必须每天在现场6小时以上,召开工程例会有关人员无故缺席的,有特殊情况需提前请假。违反规定,每人次每天处罚1000元。</w:t>
      </w:r>
    </w:p>
    <w:p w14:paraId="599FD0CF">
      <w:pPr>
        <w:spacing w:line="360" w:lineRule="auto"/>
        <w:ind w:firstLine="420" w:firstLineChars="200"/>
        <w:contextualSpacing/>
        <w:rPr>
          <w:rFonts w:ascii="宋体" w:hAnsi="宋体" w:cs="宋体"/>
          <w:szCs w:val="21"/>
        </w:rPr>
      </w:pPr>
      <w:r>
        <w:rPr>
          <w:rFonts w:hint="eastAsia" w:ascii="宋体" w:hAnsi="宋体" w:cs="宋体"/>
          <w:szCs w:val="21"/>
        </w:rPr>
        <w:t>(6)施工单位需对进场材料及时报验,未经业主、监理单位验收合格擅自使用,处罚责任单位1000元。工程材料便用劣质、冒牌材料,发现一次除按合同有关条款处罚外,再处罚责任单位3000元。</w:t>
      </w:r>
    </w:p>
    <w:p w14:paraId="7B432EA0">
      <w:pPr>
        <w:spacing w:line="360" w:lineRule="auto"/>
        <w:ind w:firstLine="420" w:firstLineChars="200"/>
        <w:contextualSpacing/>
        <w:rPr>
          <w:rFonts w:ascii="宋体" w:hAnsi="宋体" w:cs="宋体"/>
          <w:szCs w:val="21"/>
        </w:rPr>
      </w:pPr>
      <w:r>
        <w:rPr>
          <w:rFonts w:hint="eastAsia" w:ascii="宋体" w:hAnsi="宋体" w:cs="宋体"/>
          <w:szCs w:val="21"/>
        </w:rPr>
        <w:t>(7)施工方如果发现现场实物与图纸内容不符,需及时上报监理、业主,严禁盲目施工,发现一次处罚责任单位2000元。</w:t>
      </w:r>
    </w:p>
    <w:p w14:paraId="189257DB">
      <w:pPr>
        <w:spacing w:line="360" w:lineRule="auto"/>
        <w:ind w:firstLine="420" w:firstLineChars="200"/>
        <w:contextualSpacing/>
        <w:rPr>
          <w:rFonts w:ascii="宋体" w:hAnsi="宋体" w:cs="宋体"/>
          <w:szCs w:val="21"/>
        </w:rPr>
      </w:pPr>
      <w:r>
        <w:rPr>
          <w:rFonts w:hint="eastAsia" w:ascii="宋体" w:hAnsi="宋体" w:cs="宋体"/>
          <w:szCs w:val="21"/>
        </w:rPr>
        <w:t>(8)各单位做好现场成品保护工作,保护好自己和他人的工程成品,一经查实损害他人成品,按实价赔偿。若发现恶意破坏他人成品现象,发现一次按造成直接损失的3倍进行赔偿。</w:t>
      </w:r>
    </w:p>
    <w:p w14:paraId="4FF84A35">
      <w:pPr>
        <w:spacing w:line="360" w:lineRule="auto"/>
        <w:ind w:firstLine="420" w:firstLineChars="200"/>
        <w:contextualSpacing/>
        <w:rPr>
          <w:rFonts w:ascii="宋体" w:hAnsi="宋体" w:cs="宋体"/>
          <w:szCs w:val="21"/>
        </w:rPr>
      </w:pPr>
      <w:r>
        <w:rPr>
          <w:rFonts w:hint="eastAsia" w:ascii="宋体" w:hAnsi="宋体" w:cs="宋体"/>
          <w:szCs w:val="21"/>
        </w:rPr>
        <w:t>(9)现场材料堆放严禁超过设计荷载值,发现一次处罚责任单位1000元。</w:t>
      </w:r>
    </w:p>
    <w:p w14:paraId="02FE644A">
      <w:pPr>
        <w:spacing w:line="360" w:lineRule="auto"/>
        <w:ind w:firstLine="420" w:firstLineChars="200"/>
        <w:contextualSpacing/>
        <w:rPr>
          <w:rFonts w:ascii="宋体" w:hAnsi="宋体" w:cs="宋体"/>
          <w:szCs w:val="21"/>
        </w:rPr>
      </w:pPr>
      <w:r>
        <w:rPr>
          <w:rFonts w:hint="eastAsia" w:ascii="宋体" w:hAnsi="宋体" w:cs="宋体"/>
          <w:szCs w:val="21"/>
        </w:rPr>
        <w:t>(10)若工程被质量监督部门、安全监督部门或其它建筑主管部门通报批评,出现一次处罚责任单位5000元。</w:t>
      </w:r>
    </w:p>
    <w:p w14:paraId="09CF6913">
      <w:pPr>
        <w:spacing w:line="360" w:lineRule="auto"/>
        <w:ind w:firstLine="420" w:firstLineChars="200"/>
        <w:contextualSpacing/>
        <w:rPr>
          <w:rFonts w:ascii="宋体" w:hAnsi="宋体" w:cs="宋体"/>
          <w:szCs w:val="21"/>
        </w:rPr>
      </w:pPr>
      <w:r>
        <w:rPr>
          <w:rFonts w:hint="eastAsia" w:ascii="宋体" w:hAnsi="宋体" w:cs="宋体"/>
          <w:szCs w:val="21"/>
        </w:rPr>
        <w:t>(11)各施工单位应积极主动配合各类检查、观摩活动,由于现场工作未做到位导致不良后果,视情节严重情况,出现一次处罚责任单位200―500元。</w:t>
      </w:r>
    </w:p>
    <w:p w14:paraId="23B41426">
      <w:pPr>
        <w:spacing w:line="360" w:lineRule="auto"/>
        <w:ind w:firstLine="420" w:firstLineChars="200"/>
        <w:contextualSpacing/>
        <w:rPr>
          <w:rFonts w:ascii="宋体" w:hAnsi="宋体" w:cs="宋体"/>
          <w:szCs w:val="21"/>
        </w:rPr>
      </w:pPr>
      <w:r>
        <w:rPr>
          <w:rFonts w:hint="eastAsia" w:ascii="宋体" w:hAnsi="宋体" w:cs="宋体"/>
          <w:szCs w:val="21"/>
        </w:rPr>
        <w:t>(12)不服从业主、监理人员管理,出现漫骂、侮辱、殴打现场业主、监理人员,发现一次处罚1000元,责任人员限期退场。</w:t>
      </w:r>
    </w:p>
    <w:p w14:paraId="2E7A752E">
      <w:pPr>
        <w:spacing w:line="360" w:lineRule="auto"/>
        <w:ind w:firstLine="420" w:firstLineChars="200"/>
        <w:contextualSpacing/>
        <w:rPr>
          <w:rFonts w:ascii="宋体" w:hAnsi="宋体" w:cs="宋体"/>
          <w:szCs w:val="21"/>
        </w:rPr>
      </w:pPr>
      <w:r>
        <w:rPr>
          <w:rFonts w:hint="eastAsia" w:ascii="宋体" w:hAnsi="宋体" w:cs="宋体"/>
          <w:szCs w:val="21"/>
        </w:rPr>
        <w:t>(13)上道工序未经业主、监理验收合格,擅自进入下道工序施工,隐蔽工程未经业主、监理检查合格擅白隐蔽,进行剥露检验,质量不符合要求,返工费用由施工单位承担,出现一次处罚1000元。</w:t>
      </w:r>
    </w:p>
    <w:p w14:paraId="25E4091F">
      <w:pPr>
        <w:spacing w:line="360" w:lineRule="auto"/>
        <w:ind w:firstLine="420" w:firstLineChars="200"/>
        <w:contextualSpacing/>
        <w:rPr>
          <w:rFonts w:ascii="宋体" w:hAnsi="宋体" w:cs="宋体"/>
          <w:szCs w:val="21"/>
        </w:rPr>
      </w:pPr>
      <w:r>
        <w:rPr>
          <w:rFonts w:hint="eastAsia" w:ascii="宋体" w:hAnsi="宋体" w:cs="宋体"/>
          <w:szCs w:val="21"/>
        </w:rPr>
        <w:t>(14)监理、业主如发现的工程施工质量、安全问题,第一次以书面形式告知并限期整改,在期限内未能及时整改到位,发现一次处罚200元,第二次告知仍不积极整改,发现一次处罚500元。</w:t>
      </w:r>
    </w:p>
    <w:p w14:paraId="7AE3EC65">
      <w:pPr>
        <w:spacing w:line="360" w:lineRule="auto"/>
        <w:ind w:firstLine="420" w:firstLineChars="200"/>
        <w:contextualSpacing/>
        <w:rPr>
          <w:rFonts w:ascii="宋体" w:hAnsi="宋体" w:cs="宋体"/>
          <w:szCs w:val="21"/>
        </w:rPr>
      </w:pPr>
      <w:r>
        <w:rPr>
          <w:rFonts w:hint="eastAsia" w:ascii="宋体" w:hAnsi="宋体" w:cs="宋体"/>
          <w:szCs w:val="21"/>
        </w:rPr>
        <w:t>(15)各施工单位在施工时,未经业主、监理同意,不得擅自停水、停电、开挖道路、阻碍交通等影响其它单位施工行为。如出现上述问题,每发现一次罚款1000元,另再追究造成的停工间接损失。</w:t>
      </w:r>
    </w:p>
    <w:p w14:paraId="1388D0A0">
      <w:pPr>
        <w:spacing w:line="360" w:lineRule="auto"/>
        <w:ind w:firstLine="420" w:firstLineChars="200"/>
        <w:contextualSpacing/>
        <w:rPr>
          <w:rFonts w:ascii="宋体" w:hAnsi="宋体" w:cs="宋体"/>
          <w:szCs w:val="21"/>
        </w:rPr>
      </w:pPr>
      <w:r>
        <w:rPr>
          <w:rFonts w:hint="eastAsia" w:ascii="宋体" w:hAnsi="宋体" w:cs="宋体"/>
          <w:szCs w:val="21"/>
        </w:rPr>
        <w:t>3、安全检查方面:</w:t>
      </w:r>
    </w:p>
    <w:p w14:paraId="18C9FF39">
      <w:pPr>
        <w:spacing w:line="360" w:lineRule="auto"/>
        <w:ind w:firstLine="420" w:firstLineChars="200"/>
        <w:contextualSpacing/>
        <w:rPr>
          <w:rFonts w:ascii="宋体" w:hAnsi="宋体" w:cs="宋体"/>
          <w:szCs w:val="21"/>
        </w:rPr>
      </w:pPr>
      <w:r>
        <w:rPr>
          <w:rFonts w:hint="eastAsia" w:ascii="宋体" w:hAnsi="宋体" w:cs="宋体"/>
          <w:szCs w:val="21"/>
        </w:rPr>
        <w:t>(1)在危险部位未设置明显的安全警示标志及防范措施,发现一处罚款50元。</w:t>
      </w:r>
    </w:p>
    <w:p w14:paraId="7A42E1F5">
      <w:pPr>
        <w:spacing w:line="360" w:lineRule="auto"/>
        <w:ind w:firstLine="420" w:firstLineChars="200"/>
        <w:contextualSpacing/>
        <w:rPr>
          <w:rFonts w:ascii="宋体" w:hAnsi="宋体" w:cs="宋体"/>
          <w:szCs w:val="21"/>
        </w:rPr>
      </w:pPr>
      <w:r>
        <w:rPr>
          <w:rFonts w:hint="eastAsia" w:ascii="宋体" w:hAnsi="宋体" w:cs="宋体"/>
          <w:szCs w:val="21"/>
        </w:rPr>
        <w:t>(2)对危险性较大的部位,施工前未编制专项施工方案或方案未经施工单位技术负责人及总监审批擅自施工,每发现一次处罚500元。</w:t>
      </w:r>
    </w:p>
    <w:p w14:paraId="28B920B0">
      <w:pPr>
        <w:spacing w:line="360" w:lineRule="auto"/>
        <w:ind w:firstLine="420" w:firstLineChars="200"/>
        <w:contextualSpacing/>
        <w:rPr>
          <w:rFonts w:ascii="宋体" w:hAnsi="宋体" w:cs="宋体"/>
          <w:szCs w:val="21"/>
        </w:rPr>
      </w:pPr>
      <w:r>
        <w:rPr>
          <w:rFonts w:hint="eastAsia" w:ascii="宋体" w:hAnsi="宋体" w:cs="宋体"/>
          <w:szCs w:val="21"/>
        </w:rPr>
        <w:t>(3)分部分项工程施工前未对施工班组、作业人员进行安全技术交底,发现一次处罚200元。</w:t>
      </w:r>
    </w:p>
    <w:p w14:paraId="66E75C90">
      <w:pPr>
        <w:spacing w:line="360" w:lineRule="auto"/>
        <w:ind w:firstLine="420" w:firstLineChars="200"/>
        <w:contextualSpacing/>
        <w:rPr>
          <w:rFonts w:ascii="宋体" w:hAnsi="宋体" w:cs="宋体"/>
          <w:szCs w:val="21"/>
        </w:rPr>
      </w:pPr>
      <w:r>
        <w:rPr>
          <w:rFonts w:hint="eastAsia" w:ascii="宋体" w:hAnsi="宋体" w:cs="宋体"/>
          <w:szCs w:val="21"/>
        </w:rPr>
        <w:t>(4)施工负责人对工地现场安全未执行定期检查制度或检查无记录,发现一次处罚200元。</w:t>
      </w:r>
    </w:p>
    <w:p w14:paraId="4D502688">
      <w:pPr>
        <w:spacing w:line="360" w:lineRule="auto"/>
        <w:ind w:firstLine="420" w:firstLineChars="200"/>
        <w:contextualSpacing/>
        <w:rPr>
          <w:rFonts w:ascii="宋体" w:hAnsi="宋体" w:cs="宋体"/>
          <w:szCs w:val="21"/>
        </w:rPr>
      </w:pPr>
      <w:r>
        <w:rPr>
          <w:rFonts w:hint="eastAsia" w:ascii="宋体" w:hAnsi="宋体" w:cs="宋体"/>
          <w:szCs w:val="21"/>
        </w:rPr>
        <w:t>(5)无安全教育制度，新进场人员未进行三级安全教育，发现一次处罚100元。</w:t>
      </w:r>
    </w:p>
    <w:p w14:paraId="39861E80">
      <w:pPr>
        <w:spacing w:line="360" w:lineRule="auto"/>
        <w:ind w:firstLine="420" w:firstLineChars="200"/>
        <w:contextualSpacing/>
        <w:rPr>
          <w:rFonts w:ascii="宋体" w:hAnsi="宋体" w:cs="宋体"/>
          <w:szCs w:val="21"/>
        </w:rPr>
      </w:pPr>
      <w:r>
        <w:rPr>
          <w:rFonts w:hint="eastAsia" w:ascii="宋体" w:hAnsi="宋体" w:cs="宋体"/>
          <w:szCs w:val="21"/>
        </w:rPr>
        <w:t>(6)发现违章操作、野蛮施工或强令冒险作业,每发现一次处罚500元。</w:t>
      </w:r>
    </w:p>
    <w:p w14:paraId="64383EE8">
      <w:pPr>
        <w:spacing w:line="360" w:lineRule="auto"/>
        <w:ind w:firstLine="420" w:firstLineChars="200"/>
        <w:contextualSpacing/>
        <w:rPr>
          <w:rFonts w:ascii="宋体" w:hAnsi="宋体" w:cs="宋体"/>
          <w:szCs w:val="21"/>
        </w:rPr>
      </w:pPr>
      <w:r>
        <w:rPr>
          <w:rFonts w:hint="eastAsia" w:ascii="宋体" w:hAnsi="宋体" w:cs="宋体"/>
          <w:szCs w:val="21"/>
        </w:rPr>
        <w:t>(7)严禁高空向下抛物、倾倒垃圾,每发现一次处罚200—500元，若造成人员伤害及财产损失,由当事人承担相关责任。</w:t>
      </w:r>
    </w:p>
    <w:p w14:paraId="05D94CD0">
      <w:pPr>
        <w:spacing w:line="360" w:lineRule="auto"/>
        <w:ind w:firstLine="420" w:firstLineChars="200"/>
        <w:contextualSpacing/>
        <w:rPr>
          <w:rFonts w:ascii="宋体" w:hAnsi="宋体" w:cs="宋体"/>
          <w:szCs w:val="21"/>
        </w:rPr>
      </w:pPr>
      <w:r>
        <w:rPr>
          <w:rFonts w:hint="eastAsia" w:ascii="宋体" w:hAnsi="宋体" w:cs="宋体"/>
          <w:szCs w:val="21"/>
        </w:rPr>
        <w:t>(8)“三宝”使用不当，口”“五临边”防护不到位，每发现一次处罚100元(其中不戴安全帽,发现一人次处罚50元)。</w:t>
      </w:r>
    </w:p>
    <w:p w14:paraId="413624E4">
      <w:pPr>
        <w:spacing w:line="360" w:lineRule="auto"/>
        <w:ind w:firstLine="420" w:firstLineChars="200"/>
        <w:contextualSpacing/>
        <w:rPr>
          <w:rFonts w:ascii="宋体" w:hAnsi="宋体" w:cs="宋体"/>
          <w:szCs w:val="21"/>
        </w:rPr>
      </w:pPr>
      <w:r>
        <w:rPr>
          <w:rFonts w:hint="eastAsia" w:ascii="宋体" w:hAnsi="宋体" w:cs="宋体"/>
          <w:szCs w:val="21"/>
        </w:rPr>
        <w:t>(9)如发现违反用电安全情况时每次处罚100元。由于安全用电措施不落实、用电不规范导致不良后果,除按相关规定追究责任外,视情节轻重罚款200—2000元。</w:t>
      </w:r>
    </w:p>
    <w:p w14:paraId="3E96138B">
      <w:pPr>
        <w:spacing w:line="360" w:lineRule="auto"/>
        <w:ind w:firstLine="420" w:firstLineChars="200"/>
        <w:contextualSpacing/>
        <w:rPr>
          <w:rFonts w:ascii="宋体" w:hAnsi="宋体" w:cs="宋体"/>
          <w:szCs w:val="21"/>
        </w:rPr>
      </w:pPr>
      <w:r>
        <w:rPr>
          <w:rFonts w:hint="eastAsia" w:ascii="宋体" w:hAnsi="宋体" w:cs="宋体"/>
          <w:szCs w:val="21"/>
        </w:rPr>
        <w:t>(10)脚手架搭设必须进行设计计算，编制搭拆方案，满足规范要求。严禁施工荷载超过规定要求。每发现一处不合格处罚500元。</w:t>
      </w:r>
    </w:p>
    <w:p w14:paraId="72ACB05A">
      <w:pPr>
        <w:spacing w:line="360" w:lineRule="auto"/>
        <w:ind w:firstLine="420" w:firstLineChars="200"/>
        <w:contextualSpacing/>
        <w:rPr>
          <w:rFonts w:ascii="宋体" w:hAnsi="宋体" w:cs="宋体"/>
          <w:szCs w:val="21"/>
        </w:rPr>
      </w:pPr>
      <w:r>
        <w:rPr>
          <w:rFonts w:hint="eastAsia" w:ascii="宋体" w:hAnsi="宋体" w:cs="宋体"/>
          <w:szCs w:val="21"/>
        </w:rPr>
        <w:t>(11)电梯应指定专人进行操作,严禁电梯超荷载运行,按规定做好交接班。违反电梯使用规定,每发现一处不合格处罚200—500元。谁损坏谁赔偿。</w:t>
      </w:r>
    </w:p>
    <w:p w14:paraId="331238C1">
      <w:pPr>
        <w:spacing w:line="360" w:lineRule="auto"/>
        <w:ind w:firstLine="420" w:firstLineChars="200"/>
        <w:contextualSpacing/>
        <w:rPr>
          <w:rFonts w:ascii="宋体" w:hAnsi="宋体" w:cs="宋体"/>
          <w:szCs w:val="21"/>
        </w:rPr>
      </w:pPr>
      <w:r>
        <w:rPr>
          <w:rFonts w:hint="eastAsia" w:ascii="宋体" w:hAnsi="宋体" w:cs="宋体"/>
          <w:szCs w:val="21"/>
        </w:rPr>
        <w:t>(12)由于焊接火花、明火、吸烟、电火花等造成施工现场失火事件，除追究当事人责任外,再视情节轻重罚款500—2000元，并按造成直接损失进行赔偿。</w:t>
      </w:r>
    </w:p>
    <w:p w14:paraId="08F445F2">
      <w:pPr>
        <w:spacing w:line="360" w:lineRule="auto"/>
        <w:ind w:firstLine="420" w:firstLineChars="200"/>
        <w:contextualSpacing/>
        <w:rPr>
          <w:rFonts w:ascii="宋体" w:hAnsi="宋体" w:cs="宋体"/>
          <w:szCs w:val="21"/>
        </w:rPr>
      </w:pPr>
      <w:r>
        <w:rPr>
          <w:rFonts w:hint="eastAsia" w:ascii="宋体" w:hAnsi="宋体" w:cs="宋体"/>
          <w:szCs w:val="21"/>
        </w:rPr>
        <w:t>(13)因违反其它安全规定造成不良后果，由违反单位及责任者承担全部责任。</w:t>
      </w:r>
    </w:p>
    <w:p w14:paraId="3EE18931">
      <w:pPr>
        <w:spacing w:line="360" w:lineRule="auto"/>
        <w:ind w:firstLine="420" w:firstLineChars="200"/>
        <w:contextualSpacing/>
        <w:rPr>
          <w:rFonts w:ascii="宋体" w:hAnsi="宋体" w:cs="宋体"/>
          <w:szCs w:val="21"/>
        </w:rPr>
      </w:pPr>
      <w:r>
        <w:rPr>
          <w:rFonts w:hint="eastAsia" w:ascii="宋体" w:hAnsi="宋体" w:cs="宋体"/>
          <w:szCs w:val="21"/>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5E81A6B8">
      <w:pPr>
        <w:spacing w:line="360" w:lineRule="auto"/>
        <w:ind w:firstLine="420" w:firstLineChars="200"/>
        <w:contextualSpacing/>
        <w:rPr>
          <w:rFonts w:ascii="宋体" w:hAnsi="宋体" w:cs="宋体"/>
          <w:szCs w:val="21"/>
        </w:rPr>
      </w:pPr>
      <w:r>
        <w:rPr>
          <w:rFonts w:hint="eastAsia" w:ascii="宋体" w:hAnsi="宋体" w:cs="宋体"/>
          <w:szCs w:val="21"/>
        </w:rPr>
        <w:t>附件：</w:t>
      </w:r>
    </w:p>
    <w:p w14:paraId="2001CD14">
      <w:pPr>
        <w:spacing w:line="360" w:lineRule="auto"/>
        <w:ind w:firstLine="420" w:firstLineChars="200"/>
        <w:contextualSpacing/>
        <w:rPr>
          <w:rFonts w:ascii="宋体" w:hAnsi="宋体" w:cs="宋体"/>
          <w:szCs w:val="21"/>
        </w:rPr>
      </w:pPr>
      <w:r>
        <w:rPr>
          <w:rFonts w:hint="eastAsia" w:ascii="宋体" w:hAnsi="宋体" w:cs="宋体"/>
          <w:szCs w:val="21"/>
        </w:rPr>
        <w:t>成品地面、门窗成品保护要求：</w:t>
      </w:r>
    </w:p>
    <w:p w14:paraId="5256B36D">
      <w:pPr>
        <w:spacing w:line="360" w:lineRule="auto"/>
        <w:ind w:firstLine="420" w:firstLineChars="200"/>
        <w:contextualSpacing/>
        <w:rPr>
          <w:rFonts w:ascii="宋体" w:hAnsi="宋体" w:cs="宋体"/>
          <w:szCs w:val="21"/>
        </w:rPr>
      </w:pPr>
      <w:r>
        <w:rPr>
          <w:rFonts w:hint="eastAsia" w:ascii="宋体" w:hAnsi="宋体" w:cs="宋体"/>
          <w:szCs w:val="21"/>
        </w:rPr>
        <w:t>要求地面开槽、凿洞须经业主、监理同意方可施工。</w:t>
      </w:r>
    </w:p>
    <w:p w14:paraId="2AB28FD8">
      <w:pPr>
        <w:spacing w:line="360" w:lineRule="auto"/>
        <w:ind w:firstLine="420" w:firstLineChars="200"/>
        <w:contextualSpacing/>
        <w:rPr>
          <w:rFonts w:ascii="宋体" w:hAnsi="宋体" w:cs="宋体"/>
          <w:szCs w:val="21"/>
        </w:rPr>
      </w:pPr>
      <w:r>
        <w:rPr>
          <w:rFonts w:hint="eastAsia" w:ascii="宋体" w:hAnsi="宋体" w:cs="宋体"/>
          <w:szCs w:val="21"/>
        </w:rPr>
        <w:t>成品地面必须有覆盖物保护措施。</w:t>
      </w:r>
    </w:p>
    <w:p w14:paraId="7753064E">
      <w:pPr>
        <w:spacing w:line="360" w:lineRule="auto"/>
        <w:ind w:firstLine="420" w:firstLineChars="200"/>
        <w:contextualSpacing/>
        <w:rPr>
          <w:rFonts w:ascii="宋体" w:hAnsi="宋体" w:cs="宋体"/>
          <w:szCs w:val="21"/>
        </w:rPr>
      </w:pPr>
      <w:r>
        <w:rPr>
          <w:rFonts w:hint="eastAsia" w:ascii="宋体" w:hAnsi="宋体" w:cs="宋体"/>
          <w:szCs w:val="21"/>
        </w:rPr>
        <w:t>在成品地面上不允许进行切割、焊接、绞丝等施工作业。</w:t>
      </w:r>
    </w:p>
    <w:p w14:paraId="15140951">
      <w:pPr>
        <w:spacing w:line="360" w:lineRule="auto"/>
        <w:ind w:firstLine="420" w:firstLineChars="200"/>
        <w:contextualSpacing/>
        <w:rPr>
          <w:rFonts w:ascii="宋体" w:hAnsi="宋体" w:cs="宋体"/>
          <w:szCs w:val="21"/>
        </w:rPr>
      </w:pPr>
      <w:r>
        <w:rPr>
          <w:rFonts w:hint="eastAsia" w:ascii="宋体" w:hAnsi="宋体" w:cs="宋体"/>
          <w:szCs w:val="21"/>
        </w:rPr>
        <w:t>铁梯、脚手架等必须包护脚。</w:t>
      </w:r>
    </w:p>
    <w:p w14:paraId="77C5276A">
      <w:pPr>
        <w:spacing w:line="360" w:lineRule="auto"/>
        <w:ind w:firstLine="420" w:firstLineChars="200"/>
        <w:contextualSpacing/>
        <w:rPr>
          <w:rFonts w:ascii="宋体" w:hAnsi="宋体" w:cs="宋体"/>
          <w:szCs w:val="21"/>
        </w:rPr>
      </w:pPr>
      <w:r>
        <w:rPr>
          <w:rFonts w:hint="eastAsia" w:ascii="宋体" w:hAnsi="宋体" w:cs="宋体"/>
          <w:szCs w:val="21"/>
        </w:rPr>
        <w:t>地面防止被油污浸入污染。</w:t>
      </w:r>
    </w:p>
    <w:p w14:paraId="5D7A812D">
      <w:pPr>
        <w:spacing w:line="360" w:lineRule="auto"/>
        <w:ind w:firstLine="420" w:firstLineChars="200"/>
        <w:contextualSpacing/>
        <w:rPr>
          <w:rFonts w:ascii="宋体" w:hAnsi="宋体" w:cs="宋体"/>
          <w:szCs w:val="21"/>
        </w:rPr>
      </w:pPr>
      <w:r>
        <w:rPr>
          <w:rFonts w:hint="eastAsia" w:ascii="宋体" w:hAnsi="宋体" w:cs="宋体"/>
          <w:szCs w:val="21"/>
        </w:rPr>
        <w:t>地面、门窗不准硬物、重物撞击及利物损伤，造成损坏或变形。</w:t>
      </w:r>
    </w:p>
    <w:p w14:paraId="331BA247">
      <w:pPr>
        <w:spacing w:line="360" w:lineRule="auto"/>
        <w:ind w:firstLine="420" w:firstLineChars="200"/>
        <w:contextualSpacing/>
        <w:rPr>
          <w:rFonts w:ascii="宋体" w:hAnsi="宋体" w:cs="宋体"/>
          <w:szCs w:val="21"/>
        </w:rPr>
      </w:pPr>
      <w:r>
        <w:rPr>
          <w:rFonts w:hint="eastAsia" w:ascii="宋体" w:hAnsi="宋体" w:cs="宋体"/>
          <w:szCs w:val="21"/>
        </w:rPr>
        <w:t>窗框上不允许搁置重物。</w:t>
      </w:r>
    </w:p>
    <w:p w14:paraId="4CD3BF79">
      <w:pPr>
        <w:spacing w:line="360" w:lineRule="auto"/>
        <w:ind w:firstLine="420" w:firstLineChars="200"/>
        <w:contextualSpacing/>
        <w:rPr>
          <w:rFonts w:ascii="宋体" w:hAnsi="宋体" w:cs="宋体"/>
          <w:szCs w:val="21"/>
        </w:rPr>
      </w:pPr>
      <w:r>
        <w:rPr>
          <w:rFonts w:hint="eastAsia" w:ascii="宋体" w:hAnsi="宋体" w:cs="宋体"/>
          <w:szCs w:val="21"/>
        </w:rPr>
        <w:t>幕墙及窗框防止被污染，必须有保护措施。</w:t>
      </w:r>
    </w:p>
    <w:p w14:paraId="6D69493A">
      <w:pPr>
        <w:spacing w:line="360" w:lineRule="auto"/>
        <w:ind w:firstLine="420" w:firstLineChars="200"/>
        <w:contextualSpacing/>
        <w:rPr>
          <w:rFonts w:ascii="宋体" w:hAnsi="宋体" w:cs="宋体"/>
          <w:szCs w:val="21"/>
        </w:rPr>
      </w:pPr>
      <w:r>
        <w:rPr>
          <w:rFonts w:hint="eastAsia" w:ascii="宋体" w:hAnsi="宋体" w:cs="宋体"/>
          <w:szCs w:val="21"/>
        </w:rPr>
        <w:t>玻璃及易碎品防止损坏。</w:t>
      </w:r>
    </w:p>
    <w:p w14:paraId="74E378C7">
      <w:pPr>
        <w:spacing w:line="360" w:lineRule="auto"/>
        <w:ind w:firstLine="420" w:firstLineChars="200"/>
        <w:contextualSpacing/>
        <w:rPr>
          <w:rFonts w:ascii="宋体" w:hAnsi="宋体" w:cs="宋体"/>
          <w:szCs w:val="21"/>
        </w:rPr>
      </w:pPr>
      <w:r>
        <w:rPr>
          <w:rFonts w:hint="eastAsia" w:ascii="宋体" w:hAnsi="宋体" w:cs="宋体"/>
          <w:szCs w:val="21"/>
        </w:rPr>
        <w:t>防止玻璃被火花烧伤。</w:t>
      </w:r>
    </w:p>
    <w:p w14:paraId="62C3C162">
      <w:pPr>
        <w:spacing w:line="360" w:lineRule="auto"/>
        <w:ind w:firstLine="420" w:firstLineChars="200"/>
        <w:contextualSpacing/>
        <w:rPr>
          <w:rFonts w:ascii="宋体" w:hAnsi="宋体" w:cs="宋体"/>
          <w:sz w:val="24"/>
        </w:rPr>
      </w:pPr>
      <w:r>
        <w:rPr>
          <w:rFonts w:hint="eastAsia" w:ascii="宋体" w:hAnsi="宋体" w:cs="宋体"/>
          <w:szCs w:val="21"/>
        </w:rPr>
        <w:t>地面、门窗成品保护不到位，执行《施工场地管理规定》2、（8）条。</w:t>
      </w:r>
    </w:p>
    <w:p w14:paraId="560A95FA">
      <w:pPr>
        <w:spacing w:line="360" w:lineRule="auto"/>
        <w:ind w:firstLine="482" w:firstLineChars="200"/>
        <w:contextualSpacing/>
        <w:jc w:val="center"/>
        <w:rPr>
          <w:rFonts w:ascii="宋体" w:hAnsi="宋体" w:cs="宋体"/>
          <w:b/>
          <w:sz w:val="24"/>
        </w:rPr>
      </w:pPr>
    </w:p>
    <w:p w14:paraId="44442962">
      <w:pPr>
        <w:spacing w:line="360" w:lineRule="auto"/>
        <w:ind w:firstLine="482" w:firstLineChars="200"/>
        <w:contextualSpacing/>
        <w:outlineLvl w:val="1"/>
        <w:rPr>
          <w:rFonts w:ascii="宋体" w:hAnsi="宋体" w:cs="宋体"/>
          <w:b/>
          <w:sz w:val="28"/>
          <w:szCs w:val="28"/>
        </w:rPr>
      </w:pPr>
      <w:r>
        <w:rPr>
          <w:rFonts w:hint="eastAsia" w:ascii="宋体" w:hAnsi="宋体" w:cs="宋体"/>
          <w:b/>
          <w:sz w:val="24"/>
        </w:rPr>
        <w:br w:type="page"/>
      </w:r>
      <w:r>
        <w:rPr>
          <w:rFonts w:hint="eastAsia" w:ascii="宋体" w:hAnsi="宋体" w:cs="宋体"/>
          <w:b/>
          <w:sz w:val="28"/>
          <w:szCs w:val="28"/>
        </w:rPr>
        <w:t>附件2</w:t>
      </w:r>
    </w:p>
    <w:p w14:paraId="62D1F560">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建设工程安全文明施工管理办法</w:t>
      </w:r>
    </w:p>
    <w:p w14:paraId="0A7A222E">
      <w:pPr>
        <w:spacing w:line="360" w:lineRule="auto"/>
        <w:ind w:firstLine="420" w:firstLineChars="200"/>
        <w:contextualSpacing/>
        <w:rPr>
          <w:rFonts w:ascii="宋体" w:hAnsi="宋体" w:cs="宋体"/>
          <w:szCs w:val="21"/>
        </w:rPr>
      </w:pPr>
      <w:r>
        <w:rPr>
          <w:rFonts w:hint="eastAsia" w:ascii="宋体" w:hAnsi="宋体" w:cs="宋体"/>
          <w:szCs w:val="21"/>
        </w:rPr>
        <w:t>第一章总则</w:t>
      </w:r>
    </w:p>
    <w:p w14:paraId="36EE5F1D">
      <w:pPr>
        <w:spacing w:line="360" w:lineRule="auto"/>
        <w:ind w:firstLine="420" w:firstLineChars="200"/>
        <w:contextualSpacing/>
        <w:rPr>
          <w:rFonts w:ascii="宋体" w:hAnsi="宋体" w:cs="宋体"/>
          <w:szCs w:val="21"/>
        </w:rPr>
      </w:pPr>
      <w:r>
        <w:rPr>
          <w:rFonts w:hint="eastAsia" w:ascii="宋体" w:hAnsi="宋体" w:cs="宋体"/>
          <w:szCs w:val="21"/>
        </w:rPr>
        <w:t>第一条为了切实加强医院基本建设安全文明施工管理,根据建设部有关安全文明施工的规定,结合我院实际,制定本管理办法。</w:t>
      </w:r>
    </w:p>
    <w:p w14:paraId="7D16C970">
      <w:pPr>
        <w:spacing w:line="360" w:lineRule="auto"/>
        <w:ind w:firstLine="420" w:firstLineChars="200"/>
        <w:contextualSpacing/>
        <w:rPr>
          <w:rFonts w:ascii="宋体" w:hAnsi="宋体" w:cs="宋体"/>
          <w:szCs w:val="21"/>
        </w:rPr>
      </w:pPr>
      <w:r>
        <w:rPr>
          <w:rFonts w:hint="eastAsia" w:ascii="宋体" w:hAnsi="宋体" w:cs="宋体"/>
          <w:szCs w:val="21"/>
        </w:rPr>
        <w:t>第二条凡在院区范围内从事有基建办负责管理的基本建设、改扩建及维修工程的施工单位,必须遵守本办法。</w:t>
      </w:r>
    </w:p>
    <w:p w14:paraId="1C1C6092">
      <w:pPr>
        <w:spacing w:line="360" w:lineRule="auto"/>
        <w:ind w:firstLine="420" w:firstLineChars="200"/>
        <w:contextualSpacing/>
        <w:rPr>
          <w:rFonts w:ascii="宋体" w:hAnsi="宋体" w:cs="宋体"/>
          <w:szCs w:val="21"/>
        </w:rPr>
      </w:pPr>
      <w:r>
        <w:rPr>
          <w:rFonts w:hint="eastAsia" w:ascii="宋体" w:hAnsi="宋体" w:cs="宋体"/>
          <w:szCs w:val="21"/>
        </w:rPr>
        <w:t>第三条施工单位、监理单位是安全文明施工的责任主体,对其施工、监理范围内工程的安全文明施工负责。基建办有关管理人员负协助管理责任。</w:t>
      </w:r>
    </w:p>
    <w:p w14:paraId="223A9916">
      <w:pPr>
        <w:spacing w:line="360" w:lineRule="auto"/>
        <w:ind w:firstLine="420" w:firstLineChars="200"/>
        <w:contextualSpacing/>
        <w:rPr>
          <w:rFonts w:ascii="宋体" w:hAnsi="宋体" w:cs="宋体"/>
          <w:szCs w:val="21"/>
        </w:rPr>
      </w:pPr>
      <w:r>
        <w:rPr>
          <w:rFonts w:hint="eastAsia" w:ascii="宋体" w:hAnsi="宋体" w:cs="宋体"/>
          <w:szCs w:val="21"/>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89A27B2">
      <w:pPr>
        <w:spacing w:line="360" w:lineRule="auto"/>
        <w:ind w:firstLine="420" w:firstLineChars="200"/>
        <w:contextualSpacing/>
        <w:rPr>
          <w:rFonts w:ascii="宋体" w:hAnsi="宋体" w:cs="宋体"/>
          <w:szCs w:val="21"/>
        </w:rPr>
      </w:pPr>
      <w:r>
        <w:rPr>
          <w:rFonts w:hint="eastAsia" w:ascii="宋体" w:hAnsi="宋体" w:cs="宋体"/>
          <w:szCs w:val="21"/>
        </w:rPr>
        <w:t>第二章施工现场安全文明管理</w:t>
      </w:r>
    </w:p>
    <w:p w14:paraId="0FB319AC">
      <w:pPr>
        <w:spacing w:line="360" w:lineRule="auto"/>
        <w:ind w:firstLine="420" w:firstLineChars="200"/>
        <w:contextualSpacing/>
        <w:rPr>
          <w:rFonts w:ascii="宋体" w:hAnsi="宋体" w:cs="宋体"/>
          <w:szCs w:val="21"/>
        </w:rPr>
      </w:pPr>
      <w:r>
        <w:rPr>
          <w:rFonts w:hint="eastAsia" w:ascii="宋体" w:hAnsi="宋体" w:cs="宋体"/>
          <w:szCs w:val="21"/>
        </w:rPr>
        <w:t>第五条施工场地四周围墙设置高度应不低于1.8米,在主要路段工地施工的围墙设置应不低于2.5米。围墙须沿工地四周连续设置,并建有门楼和值班室。围墙及门楼材料要坚固,做到稳定、整洁、美观。</w:t>
      </w:r>
    </w:p>
    <w:p w14:paraId="41B51A6A">
      <w:pPr>
        <w:spacing w:line="360" w:lineRule="auto"/>
        <w:ind w:firstLine="420" w:firstLineChars="200"/>
        <w:contextualSpacing/>
        <w:rPr>
          <w:rFonts w:ascii="宋体" w:hAnsi="宋体" w:cs="宋体"/>
          <w:szCs w:val="21"/>
        </w:rPr>
      </w:pPr>
      <w:r>
        <w:rPr>
          <w:rFonts w:hint="eastAsia" w:ascii="宋体" w:hAnsi="宋体" w:cs="宋体"/>
          <w:szCs w:val="21"/>
        </w:rPr>
        <w:t>第六条施工门楼前必须设置企业标志,新建或改扩建项目平面布置图、效果图,以及工程概况、组织管理网络、文明施工管理、安全生产牌。十项安全技术措施，消防须知牌等各种现场管理制度。</w:t>
      </w:r>
    </w:p>
    <w:p w14:paraId="3DAF91F4">
      <w:pPr>
        <w:spacing w:line="360" w:lineRule="auto"/>
        <w:ind w:firstLine="420" w:firstLineChars="200"/>
        <w:contextualSpacing/>
        <w:rPr>
          <w:rFonts w:ascii="宋体" w:hAnsi="宋体" w:cs="宋体"/>
          <w:szCs w:val="21"/>
        </w:rPr>
      </w:pPr>
      <w:r>
        <w:rPr>
          <w:rFonts w:hint="eastAsia" w:ascii="宋体" w:hAnsi="宋体" w:cs="宋体"/>
          <w:szCs w:val="21"/>
        </w:rPr>
        <w:t>第七条施工现场必须配备责任心强的值班人员,实行封闭式管理。施工作业人员和工作人员进出施工现场必须佩戴工作卡,非现场工作人员未经批准不得擅自进入施工现场。</w:t>
      </w:r>
    </w:p>
    <w:p w14:paraId="2B36402E">
      <w:pPr>
        <w:spacing w:line="360" w:lineRule="auto"/>
        <w:ind w:firstLine="420" w:firstLineChars="200"/>
        <w:contextualSpacing/>
        <w:rPr>
          <w:rFonts w:ascii="宋体" w:hAnsi="宋体" w:cs="宋体"/>
          <w:szCs w:val="21"/>
        </w:rPr>
      </w:pPr>
      <w:r>
        <w:rPr>
          <w:rFonts w:hint="eastAsia" w:ascii="宋体" w:hAnsi="宋体" w:cs="宋体"/>
          <w:szCs w:val="21"/>
        </w:rPr>
        <w:t>第八条现场施工人员及其工作人员必须佩戴安全帽。同时现场应配备一定数量的安全帽,以便供外来参观和检查人员使用。</w:t>
      </w:r>
    </w:p>
    <w:p w14:paraId="412C6422">
      <w:pPr>
        <w:spacing w:line="360" w:lineRule="auto"/>
        <w:ind w:firstLine="420" w:firstLineChars="200"/>
        <w:contextualSpacing/>
        <w:rPr>
          <w:rFonts w:ascii="宋体" w:hAnsi="宋体" w:cs="宋体"/>
          <w:szCs w:val="21"/>
        </w:rPr>
      </w:pPr>
      <w:r>
        <w:rPr>
          <w:rFonts w:hint="eastAsia" w:ascii="宋体" w:hAnsi="宋体" w:cs="宋体"/>
          <w:szCs w:val="21"/>
        </w:rPr>
        <w:t>第九条主要出入口和通道口应设置有顶盖的安全防护,临近道路和其它建筑物的外墙立面或有其它要求的外墙立面应采取封闭施工。</w:t>
      </w:r>
    </w:p>
    <w:p w14:paraId="20F6D0E2">
      <w:pPr>
        <w:spacing w:line="360" w:lineRule="auto"/>
        <w:ind w:firstLine="420" w:firstLineChars="200"/>
        <w:contextualSpacing/>
        <w:rPr>
          <w:rFonts w:ascii="宋体" w:hAnsi="宋体" w:cs="宋体"/>
          <w:szCs w:val="21"/>
        </w:rPr>
      </w:pPr>
      <w:r>
        <w:rPr>
          <w:rFonts w:hint="eastAsia" w:ascii="宋体" w:hAnsi="宋体" w:cs="宋体"/>
          <w:szCs w:val="21"/>
        </w:rPr>
        <w:t>第十条现场施工必须严格遵守国家有关安全文明施工的规定和规范要求，严禁违规操作。</w:t>
      </w:r>
    </w:p>
    <w:p w14:paraId="4E3FA514">
      <w:pPr>
        <w:spacing w:line="360" w:lineRule="auto"/>
        <w:ind w:firstLine="420" w:firstLineChars="200"/>
        <w:contextualSpacing/>
        <w:rPr>
          <w:rFonts w:ascii="宋体" w:hAnsi="宋体" w:cs="宋体"/>
          <w:szCs w:val="21"/>
        </w:rPr>
      </w:pPr>
      <w:r>
        <w:rPr>
          <w:rFonts w:hint="eastAsia" w:ascii="宋体" w:hAnsi="宋体" w:cs="宋体"/>
          <w:szCs w:val="21"/>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F8336C5">
      <w:pPr>
        <w:spacing w:line="360" w:lineRule="auto"/>
        <w:ind w:firstLine="420" w:firstLineChars="200"/>
        <w:contextualSpacing/>
        <w:rPr>
          <w:rFonts w:ascii="宋体" w:hAnsi="宋体" w:cs="宋体"/>
          <w:szCs w:val="21"/>
        </w:rPr>
      </w:pPr>
      <w:r>
        <w:rPr>
          <w:rFonts w:hint="eastAsia" w:ascii="宋体" w:hAnsi="宋体" w:cs="宋体"/>
          <w:szCs w:val="21"/>
        </w:rPr>
        <w:t>第十二条施工现场道路和材料堆放场地必须硬化,排水通畅,保证施工现场无积水。</w:t>
      </w:r>
    </w:p>
    <w:p w14:paraId="5CE13EAD">
      <w:pPr>
        <w:spacing w:line="360" w:lineRule="auto"/>
        <w:ind w:firstLine="420" w:firstLineChars="200"/>
        <w:contextualSpacing/>
        <w:rPr>
          <w:rFonts w:ascii="宋体" w:hAnsi="宋体" w:cs="宋体"/>
          <w:szCs w:val="21"/>
        </w:rPr>
      </w:pPr>
      <w:r>
        <w:rPr>
          <w:rFonts w:hint="eastAsia" w:ascii="宋体" w:hAnsi="宋体" w:cs="宋体"/>
          <w:szCs w:val="21"/>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3078EE3D">
      <w:pPr>
        <w:spacing w:line="360" w:lineRule="auto"/>
        <w:ind w:firstLine="420" w:firstLineChars="200"/>
        <w:contextualSpacing/>
        <w:rPr>
          <w:rFonts w:ascii="宋体" w:hAnsi="宋体" w:cs="宋体"/>
          <w:szCs w:val="21"/>
        </w:rPr>
      </w:pPr>
      <w:r>
        <w:rPr>
          <w:rFonts w:hint="eastAsia" w:ascii="宋体" w:hAnsi="宋体" w:cs="宋体"/>
          <w:szCs w:val="21"/>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07F9A717">
      <w:pPr>
        <w:spacing w:line="360" w:lineRule="auto"/>
        <w:ind w:firstLine="420" w:firstLineChars="200"/>
        <w:contextualSpacing/>
        <w:rPr>
          <w:rFonts w:ascii="宋体" w:hAnsi="宋体" w:cs="宋体"/>
          <w:szCs w:val="21"/>
        </w:rPr>
      </w:pPr>
      <w:r>
        <w:rPr>
          <w:rFonts w:hint="eastAsia" w:ascii="宋体" w:hAnsi="宋体" w:cs="宋体"/>
          <w:szCs w:val="21"/>
        </w:rPr>
        <w:t>第十五条施工现场的建筑废料和垃圾要及时清理外运,做到工完料尽场清。严格按要求运至基建办指定地点。严禁未经批准随处乱倒建筑废料和垃圾。</w:t>
      </w:r>
    </w:p>
    <w:p w14:paraId="70B49675">
      <w:pPr>
        <w:spacing w:line="360" w:lineRule="auto"/>
        <w:ind w:firstLine="420" w:firstLineChars="200"/>
        <w:contextualSpacing/>
        <w:rPr>
          <w:rFonts w:ascii="宋体" w:hAnsi="宋体" w:cs="宋体"/>
          <w:szCs w:val="21"/>
        </w:rPr>
      </w:pPr>
      <w:r>
        <w:rPr>
          <w:rFonts w:hint="eastAsia" w:ascii="宋体" w:hAnsi="宋体" w:cs="宋体"/>
          <w:szCs w:val="21"/>
        </w:rPr>
        <w:t>第十六条生活区必须与施工作业区分开。正在施工的工程不得用作施工单位职工宿舍、项目部办公室。生活临时用房要按基建办指定地点新建,工程完工后应将其场地清理干净。</w:t>
      </w:r>
    </w:p>
    <w:p w14:paraId="26F28DBC">
      <w:pPr>
        <w:spacing w:line="360" w:lineRule="auto"/>
        <w:ind w:firstLine="420" w:firstLineChars="200"/>
        <w:contextualSpacing/>
        <w:rPr>
          <w:rFonts w:ascii="宋体" w:hAnsi="宋体" w:cs="宋体"/>
          <w:szCs w:val="21"/>
        </w:rPr>
      </w:pPr>
      <w:r>
        <w:rPr>
          <w:rFonts w:hint="eastAsia" w:ascii="宋体" w:hAnsi="宋体" w:cs="宋体"/>
          <w:szCs w:val="21"/>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33EFC3F5">
      <w:pPr>
        <w:spacing w:line="360" w:lineRule="auto"/>
        <w:ind w:firstLine="420" w:firstLineChars="200"/>
        <w:contextualSpacing/>
        <w:rPr>
          <w:rFonts w:ascii="宋体" w:hAnsi="宋体" w:cs="宋体"/>
          <w:szCs w:val="21"/>
        </w:rPr>
      </w:pPr>
      <w:r>
        <w:rPr>
          <w:rFonts w:hint="eastAsia" w:ascii="宋体" w:hAnsi="宋体" w:cs="宋体"/>
          <w:szCs w:val="21"/>
        </w:rPr>
        <w:t>第十八条施工现场应制定防火制度,落实防火责任人。施工单位要认真贯彻“以防为主,防消结合”的方针。现场要配足必备的灭火器材,提供充足的消防水源,并建有临时休息室,严禁作业人员乱扔烟头。</w:t>
      </w:r>
    </w:p>
    <w:p w14:paraId="37509199">
      <w:pPr>
        <w:spacing w:line="360" w:lineRule="auto"/>
        <w:ind w:firstLine="420" w:firstLineChars="200"/>
        <w:contextualSpacing/>
        <w:rPr>
          <w:rFonts w:ascii="宋体" w:hAnsi="宋体" w:cs="宋体"/>
          <w:szCs w:val="21"/>
        </w:rPr>
      </w:pPr>
      <w:r>
        <w:rPr>
          <w:rFonts w:hint="eastAsia" w:ascii="宋体" w:hAnsi="宋体" w:cs="宋体"/>
          <w:szCs w:val="21"/>
        </w:rPr>
        <w:t>第十九条施工现场应设置自冲式男、女厕所,严禁作业人员随地大小便。</w:t>
      </w:r>
    </w:p>
    <w:p w14:paraId="46DA39BE">
      <w:pPr>
        <w:spacing w:line="360" w:lineRule="auto"/>
        <w:ind w:firstLine="420" w:firstLineChars="200"/>
        <w:contextualSpacing/>
        <w:rPr>
          <w:rFonts w:ascii="宋体" w:hAnsi="宋体" w:cs="宋体"/>
          <w:szCs w:val="21"/>
        </w:rPr>
      </w:pPr>
      <w:r>
        <w:rPr>
          <w:rFonts w:hint="eastAsia" w:ascii="宋体" w:hAnsi="宋体" w:cs="宋体"/>
          <w:szCs w:val="21"/>
        </w:rPr>
        <w:t>第三章安全文明综合治理</w:t>
      </w:r>
    </w:p>
    <w:p w14:paraId="3215240E">
      <w:pPr>
        <w:spacing w:line="360" w:lineRule="auto"/>
        <w:ind w:firstLine="420" w:firstLineChars="200"/>
        <w:contextualSpacing/>
        <w:rPr>
          <w:rFonts w:ascii="宋体" w:hAnsi="宋体" w:cs="宋体"/>
          <w:szCs w:val="21"/>
        </w:rPr>
      </w:pPr>
      <w:r>
        <w:rPr>
          <w:rFonts w:hint="eastAsia" w:ascii="宋体" w:hAnsi="宋体" w:cs="宋体"/>
          <w:szCs w:val="21"/>
        </w:rPr>
        <w:t>第二十条施工单位的所有人员必须遵守国家的法律法规。各施工单位应定期对其职工加强安全文明教育和遵纪守法教育。</w:t>
      </w:r>
    </w:p>
    <w:p w14:paraId="4A2CC4D6">
      <w:pPr>
        <w:spacing w:line="360" w:lineRule="auto"/>
        <w:ind w:firstLine="420" w:firstLineChars="200"/>
        <w:contextualSpacing/>
        <w:rPr>
          <w:rFonts w:ascii="宋体" w:hAnsi="宋体" w:cs="宋体"/>
          <w:szCs w:val="21"/>
        </w:rPr>
      </w:pPr>
      <w:r>
        <w:rPr>
          <w:rFonts w:hint="eastAsia" w:ascii="宋体" w:hAnsi="宋体" w:cs="宋体"/>
          <w:szCs w:val="21"/>
        </w:rPr>
        <w:t>第二十一条施工单位应建立安全文明管理制度,采取切实可行的安全保卫和文明管理措施,落实责任人,坚决杜绝不安全和不文明行为的发生,严禁打架斗殴、赌博、行窃等违法违纪行为。</w:t>
      </w:r>
    </w:p>
    <w:p w14:paraId="780D8542">
      <w:pPr>
        <w:spacing w:line="360" w:lineRule="auto"/>
        <w:ind w:firstLine="420" w:firstLineChars="200"/>
        <w:contextualSpacing/>
        <w:rPr>
          <w:rFonts w:ascii="宋体" w:hAnsi="宋体" w:cs="宋体"/>
          <w:szCs w:val="21"/>
        </w:rPr>
      </w:pPr>
      <w:r>
        <w:rPr>
          <w:rFonts w:hint="eastAsia" w:ascii="宋体" w:hAnsi="宋体" w:cs="宋体"/>
          <w:szCs w:val="21"/>
        </w:rPr>
        <w:t>第二十二条加强施工人员生活区管理。生活区的食堂、厕所与垃圾箱应保持一定的距离。生活区与现场作业区相邻时,场内须设置带盖的垃圾桶。生活垃圾与建筑垃圾应分开堆放和处置。</w:t>
      </w:r>
    </w:p>
    <w:p w14:paraId="57126EB6">
      <w:pPr>
        <w:spacing w:line="360" w:lineRule="auto"/>
        <w:ind w:firstLine="420" w:firstLineChars="200"/>
        <w:contextualSpacing/>
        <w:rPr>
          <w:rFonts w:ascii="宋体" w:hAnsi="宋体" w:cs="宋体"/>
          <w:szCs w:val="21"/>
        </w:rPr>
      </w:pPr>
      <w:r>
        <w:rPr>
          <w:rFonts w:hint="eastAsia" w:ascii="宋体" w:hAnsi="宋体" w:cs="宋体"/>
          <w:szCs w:val="21"/>
        </w:rPr>
        <w:t>第二十三条加强施工人员宿舍内用电管理，宿舍内严禁使用大功率电器。</w:t>
      </w:r>
    </w:p>
    <w:p w14:paraId="7D8EFB8B">
      <w:pPr>
        <w:spacing w:line="360" w:lineRule="auto"/>
        <w:ind w:firstLine="420" w:firstLineChars="200"/>
        <w:contextualSpacing/>
        <w:rPr>
          <w:rFonts w:ascii="宋体" w:hAnsi="宋体" w:cs="宋体"/>
          <w:szCs w:val="21"/>
        </w:rPr>
      </w:pPr>
      <w:r>
        <w:rPr>
          <w:rFonts w:hint="eastAsia" w:ascii="宋体" w:hAnsi="宋体" w:cs="宋体"/>
          <w:szCs w:val="21"/>
        </w:rPr>
        <w:t>第二十四条施工单位所有车辆不得在院区内高速行驶和鸣号,所有建筑材料运输车辆不得在院区路道路上行驶,因施工需要,须经基建办领导批准。</w:t>
      </w:r>
    </w:p>
    <w:p w14:paraId="6D8503C9">
      <w:pPr>
        <w:spacing w:line="360" w:lineRule="auto"/>
        <w:ind w:firstLine="420" w:firstLineChars="200"/>
        <w:contextualSpacing/>
        <w:rPr>
          <w:rFonts w:ascii="宋体" w:hAnsi="宋体" w:cs="宋体"/>
          <w:szCs w:val="21"/>
        </w:rPr>
      </w:pPr>
      <w:r>
        <w:rPr>
          <w:rFonts w:hint="eastAsia" w:ascii="宋体" w:hAnsi="宋体" w:cs="宋体"/>
          <w:szCs w:val="21"/>
        </w:rPr>
        <w:t>第四章处罚措施</w:t>
      </w:r>
    </w:p>
    <w:p w14:paraId="620141F2">
      <w:pPr>
        <w:spacing w:line="360" w:lineRule="auto"/>
        <w:ind w:firstLine="420" w:firstLineChars="200"/>
        <w:contextualSpacing/>
        <w:rPr>
          <w:rFonts w:ascii="宋体" w:hAnsi="宋体" w:cs="宋体"/>
          <w:szCs w:val="21"/>
        </w:rPr>
      </w:pPr>
      <w:r>
        <w:rPr>
          <w:rFonts w:hint="eastAsia" w:ascii="宋体" w:hAnsi="宋体" w:cs="宋体"/>
          <w:szCs w:val="21"/>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5F75D294">
      <w:pPr>
        <w:spacing w:line="360" w:lineRule="auto"/>
        <w:ind w:firstLine="420" w:firstLineChars="200"/>
        <w:contextualSpacing/>
        <w:rPr>
          <w:rFonts w:ascii="宋体" w:hAnsi="宋体" w:cs="宋体"/>
          <w:szCs w:val="21"/>
        </w:rPr>
      </w:pPr>
      <w:r>
        <w:rPr>
          <w:rFonts w:hint="eastAsia" w:ascii="宋体" w:hAnsi="宋体" w:cs="宋体"/>
          <w:szCs w:val="21"/>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364054E6">
      <w:pPr>
        <w:spacing w:line="360" w:lineRule="auto"/>
        <w:ind w:firstLine="420" w:firstLineChars="200"/>
        <w:contextualSpacing/>
        <w:rPr>
          <w:rFonts w:ascii="宋体" w:hAnsi="宋体" w:cs="宋体"/>
          <w:szCs w:val="21"/>
        </w:rPr>
      </w:pPr>
      <w:r>
        <w:rPr>
          <w:rFonts w:hint="eastAsia" w:ascii="宋体" w:hAnsi="宋体" w:cs="宋体"/>
          <w:szCs w:val="21"/>
        </w:rPr>
        <w:t>第二十七条有下列行为之一者,应给予告诫整改、责令停工整顿、罚款等处理处罚。情节严重者送交司法机关,追究刑事责任。</w:t>
      </w:r>
    </w:p>
    <w:p w14:paraId="1165388B">
      <w:pPr>
        <w:spacing w:line="360" w:lineRule="auto"/>
        <w:ind w:firstLine="420" w:firstLineChars="200"/>
        <w:contextualSpacing/>
        <w:rPr>
          <w:rFonts w:ascii="宋体" w:hAnsi="宋体" w:cs="宋体"/>
          <w:szCs w:val="21"/>
        </w:rPr>
      </w:pPr>
      <w:r>
        <w:rPr>
          <w:rFonts w:hint="eastAsia" w:ascii="宋体" w:hAnsi="宋体" w:cs="宋体"/>
          <w:szCs w:val="21"/>
        </w:rPr>
        <w:t>(一)施工现场围墙及安全保护设施不符合本管理办法规定的规范要求,进行告诫整改或责令停工整顿,必要时应进行经济处罚。</w:t>
      </w:r>
    </w:p>
    <w:p w14:paraId="5A12D01E">
      <w:pPr>
        <w:spacing w:line="360" w:lineRule="auto"/>
        <w:ind w:firstLine="420" w:firstLineChars="200"/>
        <w:contextualSpacing/>
        <w:rPr>
          <w:rFonts w:ascii="宋体" w:hAnsi="宋体" w:cs="宋体"/>
          <w:szCs w:val="21"/>
        </w:rPr>
      </w:pPr>
      <w:r>
        <w:rPr>
          <w:rFonts w:hint="eastAsia" w:ascii="宋体" w:hAnsi="宋体" w:cs="宋体"/>
          <w:szCs w:val="21"/>
        </w:rPr>
        <w:t>(二)现场施工人员违反施工管理规定和施工操作规范,在告诫整改不听的情况下,处以100—500元的罚款。</w:t>
      </w:r>
    </w:p>
    <w:p w14:paraId="5E44DED7">
      <w:pPr>
        <w:spacing w:line="360" w:lineRule="auto"/>
        <w:ind w:firstLine="420" w:firstLineChars="200"/>
        <w:contextualSpacing/>
        <w:rPr>
          <w:rFonts w:ascii="宋体" w:hAnsi="宋体" w:cs="宋体"/>
          <w:szCs w:val="21"/>
        </w:rPr>
      </w:pPr>
      <w:r>
        <w:rPr>
          <w:rFonts w:hint="eastAsia" w:ascii="宋体" w:hAnsi="宋体" w:cs="宋体"/>
          <w:szCs w:val="21"/>
        </w:rPr>
        <w:t>(三)施工人员在施工过程中破坏或损坏周边环境、应保护成品,除赔偿损失外,处以200—600元的罚款。</w:t>
      </w:r>
    </w:p>
    <w:p w14:paraId="4395F8F9">
      <w:pPr>
        <w:spacing w:line="360" w:lineRule="auto"/>
        <w:ind w:firstLine="420" w:firstLineChars="200"/>
        <w:contextualSpacing/>
        <w:rPr>
          <w:rFonts w:ascii="宋体" w:hAnsi="宋体" w:cs="宋体"/>
          <w:szCs w:val="21"/>
        </w:rPr>
      </w:pPr>
      <w:r>
        <w:rPr>
          <w:rFonts w:hint="eastAsia" w:ascii="宋体" w:hAnsi="宋体" w:cs="宋体"/>
          <w:szCs w:val="21"/>
        </w:rPr>
        <w:t>(四)施工车辆未经清洗上路行驶,污染路面而未及时清扫干净,除接受城管部门处罚外，来院再处以1000—5000元的罚款。</w:t>
      </w:r>
    </w:p>
    <w:p w14:paraId="25E0B24A">
      <w:pPr>
        <w:spacing w:line="360" w:lineRule="auto"/>
        <w:ind w:firstLine="420" w:firstLineChars="200"/>
        <w:contextualSpacing/>
        <w:rPr>
          <w:rFonts w:ascii="宋体" w:hAnsi="宋体" w:cs="宋体"/>
          <w:szCs w:val="21"/>
        </w:rPr>
      </w:pPr>
      <w:r>
        <w:rPr>
          <w:rFonts w:hint="eastAsia" w:ascii="宋体" w:hAnsi="宋体" w:cs="宋体"/>
          <w:szCs w:val="21"/>
        </w:rPr>
        <w:t>(五)施工单位对职工管理不严,出现打架斗殴、盗窃、赌博等违纪违法行为,轻则告诫整改和进行经济处罚,发现一起可处以500—1000元的罚款。重则移交司法机关追究刑事责任。</w:t>
      </w:r>
    </w:p>
    <w:p w14:paraId="0405D5B8">
      <w:pPr>
        <w:spacing w:line="360" w:lineRule="auto"/>
        <w:ind w:firstLine="420" w:firstLineChars="200"/>
        <w:contextualSpacing/>
        <w:rPr>
          <w:rFonts w:ascii="宋体" w:hAnsi="宋体" w:cs="宋体"/>
          <w:szCs w:val="21"/>
        </w:rPr>
      </w:pPr>
      <w:r>
        <w:rPr>
          <w:rFonts w:hint="eastAsia" w:ascii="宋体" w:hAnsi="宋体" w:cs="宋体"/>
          <w:szCs w:val="21"/>
        </w:rPr>
        <w:t>(六)未经批准,其建筑材料运输车辆和施工车辆擅自进入院区道路行驶,处以500—1000元的罚款。</w:t>
      </w:r>
    </w:p>
    <w:p w14:paraId="0235AEFE">
      <w:pPr>
        <w:spacing w:line="360" w:lineRule="auto"/>
        <w:ind w:firstLine="420" w:firstLineChars="200"/>
        <w:contextualSpacing/>
        <w:rPr>
          <w:rFonts w:ascii="宋体" w:hAnsi="宋体" w:cs="宋体"/>
          <w:szCs w:val="21"/>
        </w:rPr>
      </w:pPr>
      <w:r>
        <w:rPr>
          <w:rFonts w:hint="eastAsia" w:ascii="宋体" w:hAnsi="宋体" w:cs="宋体"/>
          <w:szCs w:val="21"/>
        </w:rPr>
        <w:t>(七)违反本办法的其它规定,经教育不改者,可处以200—1000元的罚款。</w:t>
      </w:r>
    </w:p>
    <w:p w14:paraId="0E4D2EB5">
      <w:pPr>
        <w:pStyle w:val="10"/>
        <w:tabs>
          <w:tab w:val="left" w:pos="0"/>
          <w:tab w:val="left" w:pos="993"/>
          <w:tab w:val="left" w:pos="1134"/>
        </w:tabs>
        <w:spacing w:line="360" w:lineRule="auto"/>
        <w:ind w:left="0" w:leftChars="0" w:firstLine="420" w:firstLineChars="200"/>
        <w:jc w:val="left"/>
        <w:rPr>
          <w:rFonts w:hAnsi="宋体" w:cs="仿宋"/>
          <w:snapToGrid w:val="0"/>
          <w:szCs w:val="21"/>
        </w:rPr>
      </w:pPr>
    </w:p>
    <w:p w14:paraId="4CC3343B">
      <w:pPr>
        <w:tabs>
          <w:tab w:val="left" w:pos="0"/>
          <w:tab w:val="left" w:pos="993"/>
          <w:tab w:val="left" w:pos="1134"/>
        </w:tabs>
        <w:spacing w:line="360" w:lineRule="auto"/>
        <w:rPr>
          <w:rFonts w:eastAsia="黑体"/>
          <w:b/>
          <w:snapToGrid w:val="0"/>
          <w:sz w:val="32"/>
        </w:rPr>
      </w:pPr>
    </w:p>
    <w:p w14:paraId="6773D86A">
      <w:pPr>
        <w:tabs>
          <w:tab w:val="left" w:pos="0"/>
          <w:tab w:val="left" w:pos="993"/>
          <w:tab w:val="left" w:pos="1134"/>
        </w:tabs>
        <w:spacing w:line="360" w:lineRule="auto"/>
        <w:rPr>
          <w:rFonts w:eastAsia="黑体"/>
          <w:b/>
          <w:snapToGrid w:val="0"/>
          <w:sz w:val="32"/>
        </w:rPr>
      </w:pPr>
    </w:p>
    <w:p w14:paraId="5F9895B8">
      <w:pPr>
        <w:tabs>
          <w:tab w:val="left" w:pos="0"/>
          <w:tab w:val="left" w:pos="993"/>
          <w:tab w:val="left" w:pos="1134"/>
        </w:tabs>
        <w:spacing w:line="360" w:lineRule="auto"/>
        <w:rPr>
          <w:rFonts w:eastAsia="黑体"/>
          <w:b/>
          <w:snapToGrid w:val="0"/>
          <w:sz w:val="32"/>
        </w:rPr>
      </w:pPr>
    </w:p>
    <w:p w14:paraId="66C2828A">
      <w:pPr>
        <w:rPr>
          <w:rFonts w:ascii="宋体" w:hAnsi="宋体" w:cs="宋体"/>
          <w:b/>
          <w:bCs/>
          <w:sz w:val="32"/>
          <w:szCs w:val="32"/>
        </w:rPr>
      </w:pPr>
      <w:r>
        <w:rPr>
          <w:rFonts w:hint="eastAsia" w:ascii="宋体" w:hAnsi="宋体" w:cs="宋体"/>
          <w:b/>
          <w:bCs/>
          <w:sz w:val="32"/>
          <w:szCs w:val="32"/>
        </w:rPr>
        <w:br w:type="page"/>
      </w:r>
    </w:p>
    <w:p w14:paraId="467D6BF7">
      <w:pPr>
        <w:tabs>
          <w:tab w:val="left" w:pos="0"/>
          <w:tab w:val="left" w:pos="993"/>
          <w:tab w:val="left" w:pos="1134"/>
        </w:tabs>
        <w:spacing w:line="360" w:lineRule="auto"/>
        <w:ind w:firstLine="643" w:firstLineChars="200"/>
        <w:jc w:val="center"/>
        <w:outlineLvl w:val="1"/>
        <w:rPr>
          <w:rFonts w:ascii="宋体" w:hAnsi="宋体" w:cs="宋体"/>
          <w:b/>
          <w:bCs/>
          <w:sz w:val="32"/>
          <w:szCs w:val="32"/>
        </w:rPr>
      </w:pPr>
      <w:r>
        <w:rPr>
          <w:rFonts w:hint="eastAsia" w:ascii="宋体" w:hAnsi="宋体" w:cs="宋体"/>
          <w:b/>
          <w:bCs/>
          <w:sz w:val="32"/>
          <w:szCs w:val="32"/>
        </w:rPr>
        <w:t>工程质量保修书</w:t>
      </w:r>
    </w:p>
    <w:p w14:paraId="1811B4B4">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w:t>
      </w:r>
      <w:r>
        <w:rPr>
          <w:rFonts w:hint="eastAsia" w:ascii="宋体" w:hAnsi="宋体" w:cs="宋体"/>
          <w:b/>
          <w:sz w:val="21"/>
          <w:szCs w:val="21"/>
        </w:rPr>
        <w:t>扬州大学附属医院</w:t>
      </w:r>
    </w:p>
    <w:p w14:paraId="4DDC777F">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承包人：</w:t>
      </w:r>
      <w:r>
        <w:rPr>
          <w:rFonts w:hint="eastAsia" w:ascii="宋体" w:hAnsi="宋体" w:cs="宋体"/>
          <w:b/>
          <w:sz w:val="21"/>
          <w:szCs w:val="21"/>
        </w:rPr>
        <w:t xml:space="preserve"> </w:t>
      </w:r>
    </w:p>
    <w:p w14:paraId="5E9110E3">
      <w:pPr>
        <w:spacing w:line="360" w:lineRule="auto"/>
        <w:ind w:firstLine="420" w:firstLineChars="200"/>
        <w:contextualSpacing/>
        <w:rPr>
          <w:rFonts w:ascii="宋体" w:hAnsi="宋体" w:cs="宋体"/>
          <w:b/>
          <w:bCs/>
          <w:snapToGrid w:val="0"/>
          <w:szCs w:val="21"/>
        </w:rPr>
      </w:pPr>
      <w:r>
        <w:rPr>
          <w:rFonts w:hint="eastAsia" w:ascii="宋体" w:hAnsi="宋体" w:cs="宋体"/>
          <w:szCs w:val="21"/>
        </w:rPr>
        <w:t>发包人承包人双方根据《中华人民共和国建筑法》、《建设工程质量管理条例》和《房屋建筑工程质量保修办法》，经协商一致，对</w:t>
      </w:r>
      <w:r>
        <w:rPr>
          <w:rFonts w:hint="eastAsia" w:ascii="宋体" w:hAnsi="宋体" w:cs="宋体"/>
          <w:b/>
          <w:bCs/>
          <w:szCs w:val="21"/>
          <w:u w:val="single"/>
        </w:rPr>
        <w:t xml:space="preserve">                           </w:t>
      </w:r>
      <w:r>
        <w:rPr>
          <w:rFonts w:hint="eastAsia" w:ascii="宋体" w:hAnsi="宋体" w:cs="宋体"/>
          <w:bCs/>
          <w:snapToGrid w:val="0"/>
          <w:szCs w:val="21"/>
        </w:rPr>
        <w:t>项目</w:t>
      </w:r>
      <w:r>
        <w:rPr>
          <w:rFonts w:hint="eastAsia" w:ascii="宋体" w:hAnsi="宋体" w:cs="宋体"/>
          <w:szCs w:val="21"/>
        </w:rPr>
        <w:t>签订工程质量保修书。</w:t>
      </w:r>
    </w:p>
    <w:p w14:paraId="18921EE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一、工程质量保修范围和内容</w:t>
      </w:r>
    </w:p>
    <w:p w14:paraId="5C3580DE">
      <w:pPr>
        <w:pStyle w:val="22"/>
        <w:spacing w:before="0" w:beforeAutospacing="0" w:after="0" w:afterAutospacing="0" w:line="360" w:lineRule="auto"/>
        <w:ind w:firstLine="420" w:firstLineChars="200"/>
        <w:contextualSpacing/>
        <w:rPr>
          <w:rFonts w:ascii="宋体" w:hAnsi="宋体" w:cs="宋体"/>
          <w:b/>
          <w:sz w:val="21"/>
          <w:szCs w:val="21"/>
          <w:u w:val="single"/>
        </w:rPr>
      </w:pPr>
      <w:r>
        <w:rPr>
          <w:rFonts w:hint="eastAsia" w:ascii="宋体" w:hAnsi="宋体" w:cs="宋体"/>
          <w:sz w:val="21"/>
          <w:szCs w:val="21"/>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cs="宋体"/>
          <w:b/>
          <w:sz w:val="21"/>
          <w:szCs w:val="21"/>
          <w:u w:val="single"/>
        </w:rPr>
        <w:t>凡属承包人加工及施工工艺、施工方法及材料质量等质量问题造成的需返工修补的情况。</w:t>
      </w:r>
    </w:p>
    <w:p w14:paraId="0401F88E">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二、质量保修期</w:t>
      </w:r>
    </w:p>
    <w:p w14:paraId="2D9A77C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1、质量保修期从工程实际竣工之日起开始计算。分单项竣工验收的工程，按单项工程分别计算质量保修期。双方根据《建设工程质量管理条例》及有关规定，约定本工程的质量保修期如下：</w:t>
      </w:r>
    </w:p>
    <w:p w14:paraId="506DADCA">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本工程质量保修期为</w:t>
      </w:r>
      <w:r>
        <w:rPr>
          <w:rFonts w:hint="eastAsia" w:ascii="宋体" w:hAnsi="宋体" w:cs="宋体"/>
          <w:b/>
          <w:sz w:val="21"/>
          <w:szCs w:val="21"/>
          <w:u w:val="single"/>
          <w:lang w:val="en-US" w:eastAsia="zh-CN"/>
        </w:rPr>
        <w:t>2</w:t>
      </w:r>
      <w:r>
        <w:rPr>
          <w:rFonts w:hint="eastAsia" w:ascii="宋体" w:hAnsi="宋体" w:cs="宋体"/>
          <w:b/>
          <w:sz w:val="21"/>
          <w:szCs w:val="21"/>
          <w:u w:val="single"/>
        </w:rPr>
        <w:t>年</w:t>
      </w:r>
      <w:r>
        <w:rPr>
          <w:rFonts w:hint="eastAsia" w:ascii="宋体" w:hAnsi="宋体" w:cs="宋体"/>
          <w:sz w:val="21"/>
          <w:szCs w:val="21"/>
        </w:rPr>
        <w:t>，从工程竣工验收合格之日起，2年内因工程质量问题所发生的材料费、保修人工费等均由承包人负责免费维修和更换。</w:t>
      </w:r>
    </w:p>
    <w:p w14:paraId="035048C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2、在承包人对质量保证期内出现的质量问题进行维修时，承包人应相应延长维修或更换部分的质量保证期。</w:t>
      </w:r>
    </w:p>
    <w:p w14:paraId="70594A4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3、质量保证期内因发包人原因或自然灾害而造成的损坏，承包人不承担保修责任，但承包人有义务对此进行维修，维修发生的材料和人工费用由发包人承担。</w:t>
      </w:r>
    </w:p>
    <w:p w14:paraId="6A4B430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三、质量保修责任</w:t>
      </w:r>
    </w:p>
    <w:p w14:paraId="5EA468B5">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1、属于保修范围、内容的项目，承包人应当在接到保修通知之曰起7天内派人保修。承包人不在约定期限内派人保修的，发包人可以委托他人修理，保修费用从质量保修金内扣除。</w:t>
      </w:r>
    </w:p>
    <w:p w14:paraId="0EF74A91">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2、发生紧急抢修事故的，承包人在接到事故通知后，应当立即到达事故现场抢修。非承包人施工质量引起的事故，费用由发包人承担。</w:t>
      </w:r>
    </w:p>
    <w:p w14:paraId="1456BF3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3、在国家规定的工程合理使用年限内，承包人要确保工程质量。因承包人原因致使工程在合理使用年限内造成人身和财产损害的，承包人应承担损害赔偿责任。</w:t>
      </w:r>
    </w:p>
    <w:p w14:paraId="1F13FFE4">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四、保修费用</w:t>
      </w:r>
    </w:p>
    <w:p w14:paraId="3D81A050">
      <w:pPr>
        <w:pStyle w:val="22"/>
        <w:spacing w:before="0" w:beforeAutospacing="0" w:after="0" w:afterAutospacing="0" w:line="360" w:lineRule="auto"/>
        <w:ind w:firstLine="420" w:firstLineChars="200"/>
        <w:contextualSpacing/>
        <w:rPr>
          <w:rFonts w:hint="eastAsia" w:ascii="宋体" w:hAnsi="宋体" w:cs="宋体"/>
          <w:sz w:val="21"/>
          <w:szCs w:val="21"/>
        </w:rPr>
      </w:pPr>
      <w:r>
        <w:rPr>
          <w:rFonts w:hint="eastAsia" w:ascii="宋体" w:hAnsi="宋体" w:cs="宋体"/>
          <w:sz w:val="21"/>
          <w:szCs w:val="21"/>
        </w:rPr>
        <w:t>保修费用由造成质量缺陷的责任方承担。</w:t>
      </w:r>
    </w:p>
    <w:p w14:paraId="47DC443C">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五、质量保修金的退还</w:t>
      </w:r>
    </w:p>
    <w:p w14:paraId="30B0450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发包人在质量保修期满后21天内，将剩余保修金（不计利息）返还承包人。</w:t>
      </w:r>
    </w:p>
    <w:p w14:paraId="12E0916B">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六、其他</w:t>
      </w:r>
    </w:p>
    <w:p w14:paraId="4151AE66">
      <w:pPr>
        <w:pStyle w:val="22"/>
        <w:spacing w:before="0" w:beforeAutospacing="0" w:after="0" w:afterAutospacing="0" w:line="360" w:lineRule="auto"/>
        <w:ind w:firstLine="420" w:firstLineChars="200"/>
        <w:contextualSpacing/>
        <w:rPr>
          <w:rFonts w:ascii="宋体" w:hAnsi="宋体" w:cs="宋体"/>
          <w:b/>
          <w:sz w:val="21"/>
          <w:szCs w:val="21"/>
        </w:rPr>
      </w:pPr>
      <w:r>
        <w:rPr>
          <w:rFonts w:hint="eastAsia" w:ascii="宋体" w:hAnsi="宋体" w:cs="宋体"/>
          <w:sz w:val="21"/>
          <w:szCs w:val="21"/>
        </w:rPr>
        <w:t>双方约定的其他工程质量保修事项：</w:t>
      </w:r>
      <w:r>
        <w:rPr>
          <w:rFonts w:hint="eastAsia" w:ascii="宋体" w:hAnsi="宋体" w:cs="宋体"/>
          <w:b/>
          <w:sz w:val="21"/>
          <w:szCs w:val="21"/>
          <w:u w:val="single"/>
        </w:rPr>
        <w:t xml:space="preserve">       /       </w:t>
      </w:r>
      <w:r>
        <w:rPr>
          <w:rFonts w:hint="eastAsia" w:ascii="宋体" w:hAnsi="宋体" w:cs="宋体"/>
          <w:b/>
          <w:sz w:val="21"/>
          <w:szCs w:val="21"/>
        </w:rPr>
        <w:t>。</w:t>
      </w:r>
    </w:p>
    <w:p w14:paraId="312FCBF2">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本工程质量保修书，由施工合同发包人、承包人双方在竣工验收前共同签署，作为施工合同附件其有效期限至保修期满。</w:t>
      </w:r>
    </w:p>
    <w:p w14:paraId="04C1C308">
      <w:pPr>
        <w:spacing w:line="360" w:lineRule="auto"/>
        <w:contextualSpacing/>
        <w:rPr>
          <w:rFonts w:ascii="宋体" w:hAnsi="宋体" w:cs="宋体"/>
          <w:szCs w:val="21"/>
        </w:rPr>
      </w:pPr>
    </w:p>
    <w:p w14:paraId="17200E8D">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4190828B">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485C39E1">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04119B1">
      <w:pPr>
        <w:pStyle w:val="17"/>
        <w:rPr>
          <w:rFonts w:ascii="宋体" w:hAnsi="宋体" w:cs="宋体"/>
          <w:sz w:val="21"/>
          <w:szCs w:val="21"/>
        </w:rPr>
      </w:pPr>
      <w:r>
        <w:rPr>
          <w:rFonts w:hint="eastAsia" w:ascii="宋体" w:hAnsi="宋体" w:cs="宋体"/>
          <w:sz w:val="21"/>
          <w:szCs w:val="21"/>
        </w:rPr>
        <w:t>日期:2025年  月    日                   日期：2025年   月     日</w:t>
      </w:r>
    </w:p>
    <w:p w14:paraId="0D2F43B6">
      <w:pPr>
        <w:rPr>
          <w:rFonts w:ascii="宋体" w:hAnsi="宋体" w:cs="宋体"/>
          <w:szCs w:val="21"/>
        </w:rPr>
      </w:pPr>
      <w:r>
        <w:rPr>
          <w:rFonts w:hint="eastAsia" w:ascii="宋体" w:hAnsi="宋体" w:cs="宋体"/>
          <w:szCs w:val="21"/>
        </w:rPr>
        <w:br w:type="page"/>
      </w:r>
    </w:p>
    <w:p w14:paraId="7134F78E">
      <w:pPr>
        <w:spacing w:line="360" w:lineRule="auto"/>
        <w:ind w:firstLine="643" w:firstLineChars="200"/>
        <w:jc w:val="center"/>
        <w:rPr>
          <w:rFonts w:ascii="宋体" w:hAnsi="宋体" w:cs="宋体"/>
          <w:b/>
          <w:bCs/>
          <w:sz w:val="36"/>
          <w:szCs w:val="36"/>
        </w:rPr>
      </w:pPr>
      <w:r>
        <w:rPr>
          <w:rFonts w:hint="eastAsia" w:ascii="宋体" w:hAnsi="宋体" w:cs="宋体"/>
          <w:b/>
          <w:bCs/>
          <w:sz w:val="32"/>
          <w:szCs w:val="32"/>
        </w:rPr>
        <w:t>廉洁协议书</w:t>
      </w:r>
    </w:p>
    <w:p w14:paraId="426FF216">
      <w:pPr>
        <w:spacing w:line="360" w:lineRule="auto"/>
        <w:ind w:firstLine="420" w:firstLineChars="200"/>
        <w:rPr>
          <w:rFonts w:ascii="宋体" w:hAnsi="宋体" w:cs="宋体"/>
          <w:b/>
          <w:szCs w:val="21"/>
        </w:rPr>
      </w:pPr>
      <w:r>
        <w:rPr>
          <w:rFonts w:hint="eastAsia" w:ascii="宋体" w:hAnsi="宋体" w:cs="宋体"/>
          <w:szCs w:val="21"/>
        </w:rPr>
        <w:t>发包人名称:</w:t>
      </w:r>
      <w:r>
        <w:rPr>
          <w:rFonts w:hint="eastAsia" w:ascii="宋体" w:hAnsi="宋体" w:cs="宋体"/>
          <w:b/>
          <w:szCs w:val="21"/>
        </w:rPr>
        <w:t>扬州大学附属医院</w:t>
      </w:r>
    </w:p>
    <w:p w14:paraId="38C22BC6">
      <w:pPr>
        <w:spacing w:line="360" w:lineRule="auto"/>
        <w:ind w:firstLine="420" w:firstLineChars="200"/>
        <w:contextualSpacing/>
        <w:rPr>
          <w:rFonts w:ascii="宋体" w:hAnsi="宋体" w:cs="宋体"/>
          <w:b/>
          <w:szCs w:val="21"/>
        </w:rPr>
      </w:pPr>
      <w:r>
        <w:rPr>
          <w:rFonts w:hint="eastAsia" w:ascii="宋体" w:hAnsi="宋体" w:cs="宋体"/>
          <w:szCs w:val="21"/>
        </w:rPr>
        <w:t>承包人名称:</w:t>
      </w:r>
    </w:p>
    <w:p w14:paraId="2AE2DA22">
      <w:pPr>
        <w:spacing w:line="360" w:lineRule="auto"/>
        <w:ind w:firstLine="420" w:firstLineChars="200"/>
        <w:rPr>
          <w:rFonts w:ascii="宋体" w:hAnsi="宋体" w:cs="宋体"/>
          <w:szCs w:val="21"/>
        </w:rPr>
      </w:pPr>
      <w:r>
        <w:rPr>
          <w:rFonts w:hint="eastAsia" w:ascii="宋体" w:hAnsi="宋体" w:cs="宋体"/>
          <w:szCs w:val="21"/>
        </w:rPr>
        <w:t>在发包人承包人双方订立、履行合同过程中，为保持廉洁自律的工作作风，防止各种不正当行为的发生，发包人承包人双方订立协议如下：</w:t>
      </w:r>
    </w:p>
    <w:p w14:paraId="247162AE">
      <w:pPr>
        <w:spacing w:line="360" w:lineRule="auto"/>
        <w:ind w:firstLine="420" w:firstLineChars="200"/>
        <w:rPr>
          <w:rFonts w:ascii="宋体" w:hAnsi="宋体" w:cs="宋体"/>
          <w:szCs w:val="21"/>
        </w:rPr>
      </w:pPr>
      <w:r>
        <w:rPr>
          <w:rFonts w:hint="eastAsia" w:ascii="宋体" w:hAnsi="宋体" w:cs="宋体"/>
          <w:szCs w:val="21"/>
        </w:rPr>
        <w:t>一、发包人承包人双方应当自觉遵守国家、地方法律法规以及本协议的约定，在合同的订立、履行过程中廉洁自律。</w:t>
      </w:r>
    </w:p>
    <w:p w14:paraId="6BB41AE7">
      <w:pPr>
        <w:spacing w:line="360" w:lineRule="auto"/>
        <w:ind w:firstLine="420" w:firstLineChars="200"/>
        <w:rPr>
          <w:rFonts w:ascii="宋体" w:hAnsi="宋体" w:cs="宋体"/>
          <w:szCs w:val="21"/>
        </w:rPr>
      </w:pPr>
      <w:r>
        <w:rPr>
          <w:rFonts w:hint="eastAsia" w:ascii="宋体" w:hAnsi="宋体" w:cs="宋体"/>
          <w:szCs w:val="21"/>
        </w:rPr>
        <w:t>二、发包人工作人员严禁进行商业目的的统方，不得以任何形式向承包人索要和收受个人回扣等好处费。</w:t>
      </w:r>
    </w:p>
    <w:p w14:paraId="354BAA9A">
      <w:pPr>
        <w:spacing w:line="360" w:lineRule="auto"/>
        <w:ind w:firstLine="420" w:firstLineChars="200"/>
        <w:rPr>
          <w:rFonts w:ascii="宋体" w:hAnsi="宋体" w:cs="宋体"/>
          <w:szCs w:val="21"/>
        </w:rPr>
      </w:pPr>
      <w:r>
        <w:rPr>
          <w:rFonts w:hint="eastAsia" w:ascii="宋体" w:hAnsi="宋体" w:cs="宋体"/>
          <w:szCs w:val="21"/>
        </w:rPr>
        <w:t>三、发包人工作人员应当保持与承包人的正常业务交往，不得接受承包人的礼金、有价证券和贵重物品，不得在承包人报销任何应由其个人承担的费用。</w:t>
      </w:r>
    </w:p>
    <w:p w14:paraId="7B6EFAB8">
      <w:pPr>
        <w:spacing w:line="360" w:lineRule="auto"/>
        <w:ind w:firstLine="420" w:firstLineChars="200"/>
        <w:rPr>
          <w:rFonts w:ascii="宋体" w:hAnsi="宋体" w:cs="宋体"/>
          <w:szCs w:val="21"/>
        </w:rPr>
      </w:pPr>
      <w:r>
        <w:rPr>
          <w:rFonts w:hint="eastAsia" w:ascii="宋体" w:hAnsi="宋体" w:cs="宋体"/>
          <w:szCs w:val="21"/>
        </w:rPr>
        <w:t>四、发包人工作人员不得参加可能对公正开展业务有影响的宴请和娱乐活动。如发包人工作人员确因实际情况须参加宴请、进行娱乐活动的，须事先报上一级批准。</w:t>
      </w:r>
    </w:p>
    <w:p w14:paraId="1F7F1F67">
      <w:pPr>
        <w:spacing w:line="360" w:lineRule="auto"/>
        <w:ind w:firstLine="420" w:firstLineChars="200"/>
        <w:rPr>
          <w:rFonts w:ascii="宋体" w:hAnsi="宋体" w:cs="宋体"/>
          <w:szCs w:val="21"/>
        </w:rPr>
      </w:pPr>
      <w:r>
        <w:rPr>
          <w:rFonts w:hint="eastAsia" w:ascii="宋体" w:hAnsi="宋体" w:cs="宋体"/>
          <w:szCs w:val="21"/>
        </w:rPr>
        <w:t>五、发包人工作人员不得要求或者接受承包人为其住房装修、婚丧嫁娶、家属和子女的工作安排以及出国等提供方便。</w:t>
      </w:r>
    </w:p>
    <w:p w14:paraId="7F6815C7">
      <w:pPr>
        <w:spacing w:line="360" w:lineRule="auto"/>
        <w:ind w:firstLine="420" w:firstLineChars="200"/>
        <w:rPr>
          <w:rFonts w:ascii="宋体" w:hAnsi="宋体" w:cs="宋体"/>
          <w:szCs w:val="21"/>
        </w:rPr>
      </w:pPr>
      <w:r>
        <w:rPr>
          <w:rFonts w:hint="eastAsia" w:ascii="宋体" w:hAnsi="宋体" w:cs="宋体"/>
          <w:szCs w:val="21"/>
        </w:rPr>
        <w:t>六、承包人不得接受发包人工作人员介绍的家属或者亲友从事与合同相关的业务。</w:t>
      </w:r>
    </w:p>
    <w:p w14:paraId="162F613F">
      <w:pPr>
        <w:spacing w:line="360" w:lineRule="auto"/>
        <w:ind w:firstLine="420" w:firstLineChars="200"/>
        <w:rPr>
          <w:rFonts w:ascii="宋体" w:hAnsi="宋体" w:cs="宋体"/>
          <w:szCs w:val="21"/>
        </w:rPr>
      </w:pPr>
      <w:r>
        <w:rPr>
          <w:rFonts w:hint="eastAsia" w:ascii="宋体" w:hAnsi="宋体" w:cs="宋体"/>
          <w:szCs w:val="21"/>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D315B77">
      <w:pPr>
        <w:spacing w:line="360" w:lineRule="auto"/>
        <w:ind w:firstLine="420" w:firstLineChars="200"/>
        <w:rPr>
          <w:rFonts w:ascii="宋体" w:hAnsi="宋体" w:cs="宋体"/>
          <w:szCs w:val="21"/>
        </w:rPr>
      </w:pPr>
      <w:r>
        <w:rPr>
          <w:rFonts w:hint="eastAsia" w:ascii="宋体" w:hAnsi="宋体" w:cs="宋体"/>
          <w:szCs w:val="21"/>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7A2F93CE">
      <w:pPr>
        <w:spacing w:line="360" w:lineRule="auto"/>
        <w:ind w:firstLine="420" w:firstLineChars="200"/>
        <w:rPr>
          <w:rFonts w:ascii="宋体" w:hAnsi="宋体" w:cs="宋体"/>
          <w:szCs w:val="21"/>
        </w:rPr>
      </w:pPr>
      <w:r>
        <w:rPr>
          <w:rFonts w:hint="eastAsia" w:ascii="宋体" w:hAnsi="宋体" w:cs="宋体"/>
          <w:szCs w:val="21"/>
        </w:rPr>
        <w:t>九、发包人发现承包人有违反本协议或者采用不正当的手段行贿发包人工作人员等不正当竞争行为的，发包人有权解除合同。</w:t>
      </w:r>
    </w:p>
    <w:p w14:paraId="1A4022D8">
      <w:pPr>
        <w:spacing w:line="360" w:lineRule="auto"/>
        <w:ind w:firstLine="420" w:firstLineChars="200"/>
        <w:rPr>
          <w:rFonts w:ascii="宋体" w:hAnsi="宋体" w:cs="宋体"/>
          <w:szCs w:val="21"/>
        </w:rPr>
      </w:pPr>
      <w:r>
        <w:rPr>
          <w:rFonts w:hint="eastAsia" w:ascii="宋体" w:hAnsi="宋体" w:cs="宋体"/>
          <w:szCs w:val="21"/>
        </w:rPr>
        <w:t>十、本廉洁协议作为合同的附件，与合同具有同等法律效力。经协议双方签署后立即生效。</w:t>
      </w:r>
    </w:p>
    <w:p w14:paraId="2FB33456">
      <w:pPr>
        <w:spacing w:line="360" w:lineRule="auto"/>
        <w:ind w:firstLine="420" w:firstLineChars="200"/>
        <w:rPr>
          <w:rFonts w:ascii="宋体" w:hAnsi="宋体" w:cs="宋体"/>
          <w:szCs w:val="21"/>
        </w:rPr>
      </w:pPr>
      <w:r>
        <w:rPr>
          <w:rFonts w:hint="eastAsia" w:ascii="宋体" w:hAnsi="宋体" w:cs="宋体"/>
          <w:szCs w:val="21"/>
        </w:rPr>
        <w:t>十一、本协议一式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份，并从签订之日起生效。</w:t>
      </w:r>
    </w:p>
    <w:p w14:paraId="649393D0">
      <w:pPr>
        <w:pStyle w:val="58"/>
        <w:adjustRightInd/>
        <w:spacing w:before="0" w:after="0" w:line="360" w:lineRule="auto"/>
        <w:ind w:left="0" w:right="0" w:firstLine="420" w:firstLineChars="200"/>
        <w:contextualSpacing/>
        <w:rPr>
          <w:rFonts w:ascii="宋体" w:hAnsi="宋体" w:cs="宋体"/>
          <w:sz w:val="21"/>
          <w:szCs w:val="21"/>
        </w:rPr>
      </w:pPr>
    </w:p>
    <w:p w14:paraId="2FF57110">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0060F968">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1AC8C324">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92B9FAD">
      <w:pPr>
        <w:spacing w:line="360" w:lineRule="auto"/>
        <w:ind w:firstLine="420" w:firstLineChars="200"/>
        <w:contextualSpacing/>
        <w:rPr>
          <w:rFonts w:ascii="宋体" w:hAnsi="宋体" w:cs="宋体"/>
          <w:szCs w:val="21"/>
        </w:rPr>
      </w:pPr>
      <w:r>
        <w:rPr>
          <w:rFonts w:hint="eastAsia" w:ascii="宋体" w:hAnsi="宋体" w:cs="宋体"/>
          <w:szCs w:val="21"/>
        </w:rPr>
        <w:t>日期:2025年  月    日                   日期：2025年   月     日</w:t>
      </w:r>
    </w:p>
    <w:p w14:paraId="0D2283EA">
      <w:pPr>
        <w:rPr>
          <w:rFonts w:ascii="宋体" w:hAnsi="宋体" w:cs="宋体"/>
          <w:szCs w:val="21"/>
        </w:rPr>
      </w:pPr>
      <w:r>
        <w:rPr>
          <w:rFonts w:hint="eastAsia" w:ascii="宋体" w:hAnsi="宋体" w:cs="宋体"/>
          <w:szCs w:val="21"/>
        </w:rPr>
        <w:br w:type="page"/>
      </w:r>
    </w:p>
    <w:p w14:paraId="7675D6DE">
      <w:pPr>
        <w:pStyle w:val="17"/>
        <w:rPr>
          <w:rFonts w:ascii="宋体" w:hAnsi="宋体" w:cs="宋体"/>
          <w:sz w:val="21"/>
          <w:szCs w:val="21"/>
        </w:rPr>
      </w:pPr>
      <w:r>
        <w:rPr>
          <w:rFonts w:hint="eastAsia" w:ascii="宋体" w:hAnsi="宋体" w:cs="宋体"/>
          <w:sz w:val="21"/>
          <w:szCs w:val="21"/>
        </w:rPr>
        <w:t>附件：图纸（仅供参考）</w:t>
      </w:r>
    </w:p>
    <w:p w14:paraId="3320FC42">
      <w:pPr>
        <w:pStyle w:val="17"/>
        <w:rPr>
          <w:rFonts w:hint="default" w:ascii="宋体" w:hAnsi="宋体" w:eastAsia="宋体" w:cs="宋体"/>
          <w:sz w:val="21"/>
          <w:szCs w:val="21"/>
          <w:lang w:val="en-US" w:eastAsia="zh-CN"/>
        </w:rPr>
      </w:pPr>
      <w:r>
        <w:rPr>
          <w:rFonts w:hint="eastAsia" w:ascii="宋体" w:hAnsi="宋体" w:cs="宋体"/>
          <w:sz w:val="21"/>
          <w:szCs w:val="21"/>
          <w:lang w:val="en-US" w:eastAsia="zh-CN"/>
        </w:rPr>
        <w:t>1.12病区平面图</w:t>
      </w:r>
    </w:p>
    <w:p w14:paraId="3B005E2D">
      <w:pPr>
        <w:pStyle w:val="17"/>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79820" cy="6464935"/>
            <wp:effectExtent l="0" t="0" r="12065" b="11430"/>
            <wp:docPr id="35" name="图片 35" descr="12病区平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病区平面_00"/>
                    <pic:cNvPicPr>
                      <a:picLocks noChangeAspect="1"/>
                    </pic:cNvPicPr>
                  </pic:nvPicPr>
                  <pic:blipFill>
                    <a:blip r:embed="rId15"/>
                    <a:stretch>
                      <a:fillRect/>
                    </a:stretch>
                  </pic:blipFill>
                  <pic:spPr>
                    <a:xfrm rot="5400000">
                      <a:off x="0" y="0"/>
                      <a:ext cx="6179820" cy="6464935"/>
                    </a:xfrm>
                    <a:prstGeom prst="rect">
                      <a:avLst/>
                    </a:prstGeom>
                  </pic:spPr>
                </pic:pic>
              </a:graphicData>
            </a:graphic>
          </wp:inline>
        </w:drawing>
      </w:r>
    </w:p>
    <w:p w14:paraId="556047B6">
      <w:pPr>
        <w:rPr>
          <w:rFonts w:hint="default" w:ascii="宋体" w:hAnsi="宋体" w:cs="宋体"/>
          <w:sz w:val="21"/>
          <w:szCs w:val="21"/>
          <w:lang w:val="en-US" w:eastAsia="zh-CN"/>
        </w:rPr>
      </w:pPr>
    </w:p>
    <w:p w14:paraId="4C004F23">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14:paraId="7EC03A24">
      <w:pPr>
        <w:pStyle w:val="17"/>
        <w:rPr>
          <w:rFonts w:hint="eastAsia" w:ascii="宋体" w:hAnsi="宋体" w:cs="宋体"/>
          <w:sz w:val="21"/>
          <w:szCs w:val="21"/>
          <w:lang w:val="en-US" w:eastAsia="zh-CN"/>
        </w:rPr>
      </w:pPr>
      <w:r>
        <w:rPr>
          <w:rFonts w:hint="eastAsia" w:ascii="宋体" w:hAnsi="宋体" w:cs="宋体"/>
          <w:sz w:val="21"/>
          <w:szCs w:val="21"/>
          <w:lang w:val="en-US" w:eastAsia="zh-CN"/>
        </w:rPr>
        <w:t>2.高级医学中心门诊入口</w:t>
      </w:r>
    </w:p>
    <w:p w14:paraId="55B4C621">
      <w:pPr>
        <w:rPr>
          <w:rFonts w:hint="default" w:ascii="宋体" w:hAnsi="宋体" w:cs="宋体"/>
          <w:sz w:val="21"/>
          <w:szCs w:val="21"/>
          <w:lang w:val="en-US" w:eastAsia="zh-CN"/>
        </w:rPr>
      </w:pPr>
    </w:p>
    <w:p w14:paraId="0C82107C">
      <w:pPr>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6184265" cy="7745730"/>
            <wp:effectExtent l="0" t="0" r="0" b="0"/>
            <wp:docPr id="36" name="图片 36" descr="高级医学中心入口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高级医学中心入口_00"/>
                    <pic:cNvPicPr>
                      <a:picLocks noChangeAspect="1"/>
                    </pic:cNvPicPr>
                  </pic:nvPicPr>
                  <pic:blipFill>
                    <a:blip r:embed="rId16"/>
                    <a:srcRect t="6010"/>
                    <a:stretch>
                      <a:fillRect/>
                    </a:stretch>
                  </pic:blipFill>
                  <pic:spPr>
                    <a:xfrm>
                      <a:off x="0" y="0"/>
                      <a:ext cx="6184265" cy="7745730"/>
                    </a:xfrm>
                    <a:prstGeom prst="rect">
                      <a:avLst/>
                    </a:prstGeom>
                  </pic:spPr>
                </pic:pic>
              </a:graphicData>
            </a:graphic>
          </wp:inline>
        </w:drawing>
      </w:r>
    </w:p>
    <w:sectPr>
      <w:footerReference r:id="rId4" w:type="default"/>
      <w:pgSz w:w="11906" w:h="16838"/>
      <w:pgMar w:top="1440" w:right="1080" w:bottom="1440" w:left="108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6036190"/>
      <w:docPartObj>
        <w:docPartGallery w:val="autotext"/>
      </w:docPartObj>
    </w:sdtPr>
    <w:sdtContent>
      <w:p w14:paraId="5B5DDF4B">
        <w:pPr>
          <w:pStyle w:val="17"/>
          <w:jc w:val="center"/>
        </w:pPr>
        <w:r>
          <w:fldChar w:fldCharType="begin"/>
        </w:r>
        <w:r>
          <w:instrText xml:space="preserve">PAGE   \* MERGEFORMAT</w:instrText>
        </w:r>
        <w:r>
          <w:fldChar w:fldCharType="separate"/>
        </w:r>
        <w:r>
          <w:rPr>
            <w:lang w:val="zh-CN"/>
          </w:rPr>
          <w:t>24</w:t>
        </w:r>
        <w:r>
          <w:fldChar w:fldCharType="end"/>
        </w:r>
      </w:p>
    </w:sdtContent>
  </w:sdt>
  <w:p w14:paraId="5095FF9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102457"/>
    </w:sdtPr>
    <w:sdtContent>
      <w:p w14:paraId="483D9E34">
        <w:pPr>
          <w:pStyle w:val="17"/>
          <w:jc w:val="center"/>
        </w:pPr>
        <w:r>
          <w:fldChar w:fldCharType="begin"/>
        </w:r>
        <w:r>
          <w:instrText xml:space="preserve">PAGE   \* MERGEFORMAT</w:instrText>
        </w:r>
        <w:r>
          <w:fldChar w:fldCharType="separate"/>
        </w:r>
        <w:r>
          <w:rPr>
            <w:lang w:val="zh-CN"/>
          </w:rPr>
          <w:t>3</w:t>
        </w:r>
        <w:r>
          <w:rPr>
            <w:lang w:val="zh-CN"/>
          </w:rPr>
          <w:fldChar w:fldCharType="end"/>
        </w:r>
      </w:p>
    </w:sdtContent>
  </w:sdt>
  <w:p w14:paraId="09067505">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14C11"/>
    <w:multiLevelType w:val="singleLevel"/>
    <w:tmpl w:val="93814C11"/>
    <w:lvl w:ilvl="0" w:tentative="0">
      <w:start w:val="4"/>
      <w:numFmt w:val="chineseCounting"/>
      <w:suff w:val="nothing"/>
      <w:lvlText w:val="%1、"/>
      <w:lvlJc w:val="left"/>
      <w:rPr>
        <w:rFonts w:hint="eastAsia"/>
      </w:rPr>
    </w:lvl>
  </w:abstractNum>
  <w:abstractNum w:abstractNumId="1">
    <w:nsid w:val="96D61BFD"/>
    <w:multiLevelType w:val="singleLevel"/>
    <w:tmpl w:val="96D61BFD"/>
    <w:lvl w:ilvl="0" w:tentative="0">
      <w:start w:val="5"/>
      <w:numFmt w:val="chineseCounting"/>
      <w:suff w:val="nothing"/>
      <w:lvlText w:val="%1、"/>
      <w:lvlJc w:val="left"/>
      <w:rPr>
        <w:rFonts w:hint="eastAsia"/>
      </w:rPr>
    </w:lvl>
  </w:abstractNum>
  <w:abstractNum w:abstractNumId="2">
    <w:nsid w:val="B65BD28B"/>
    <w:multiLevelType w:val="singleLevel"/>
    <w:tmpl w:val="B65BD28B"/>
    <w:lvl w:ilvl="0" w:tentative="0">
      <w:start w:val="2"/>
      <w:numFmt w:val="decimal"/>
      <w:lvlText w:val="（%1)"/>
      <w:lvlJc w:val="left"/>
      <w:pPr>
        <w:tabs>
          <w:tab w:val="left" w:pos="312"/>
        </w:tabs>
      </w:pPr>
    </w:lvl>
  </w:abstractNum>
  <w:abstractNum w:abstractNumId="3">
    <w:nsid w:val="FFFFFF83"/>
    <w:multiLevelType w:val="singleLevel"/>
    <w:tmpl w:val="FFFFFF83"/>
    <w:lvl w:ilvl="0" w:tentative="0">
      <w:start w:val="1"/>
      <w:numFmt w:val="bullet"/>
      <w:pStyle w:val="11"/>
      <w:lvlText w:val=""/>
      <w:lvlJc w:val="left"/>
      <w:pPr>
        <w:tabs>
          <w:tab w:val="left" w:pos="780"/>
        </w:tabs>
        <w:ind w:left="780" w:leftChars="200" w:hanging="360" w:hangingChars="200"/>
      </w:pPr>
      <w:rPr>
        <w:rFonts w:hint="default" w:ascii="Wingdings" w:hAnsi="Wingdings"/>
      </w:rPr>
    </w:lvl>
  </w:abstractNum>
  <w:abstractNum w:abstractNumId="4">
    <w:nsid w:val="14E0F544"/>
    <w:multiLevelType w:val="singleLevel"/>
    <w:tmpl w:val="14E0F544"/>
    <w:lvl w:ilvl="0" w:tentative="0">
      <w:start w:val="3"/>
      <w:numFmt w:val="chineseCounting"/>
      <w:suff w:val="nothing"/>
      <w:lvlText w:val="%1、"/>
      <w:lvlJc w:val="left"/>
      <w:rPr>
        <w:rFonts w:hint="eastAsia"/>
      </w:rPr>
    </w:lvl>
  </w:abstractNum>
  <w:abstractNum w:abstractNumId="5">
    <w:nsid w:val="1E09DAB9"/>
    <w:multiLevelType w:val="singleLevel"/>
    <w:tmpl w:val="1E09DAB9"/>
    <w:lvl w:ilvl="0" w:tentative="0">
      <w:start w:val="2"/>
      <w:numFmt w:val="chineseCounting"/>
      <w:suff w:val="nothing"/>
      <w:lvlText w:val="%1、"/>
      <w:lvlJc w:val="left"/>
      <w:rPr>
        <w:rFonts w:hint="eastAsia"/>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46"/>
    <w:rsid w:val="0000270E"/>
    <w:rsid w:val="00003AF8"/>
    <w:rsid w:val="0000425E"/>
    <w:rsid w:val="000058AF"/>
    <w:rsid w:val="00006F20"/>
    <w:rsid w:val="000077B3"/>
    <w:rsid w:val="00010637"/>
    <w:rsid w:val="000106D7"/>
    <w:rsid w:val="00015063"/>
    <w:rsid w:val="00015440"/>
    <w:rsid w:val="00015CD1"/>
    <w:rsid w:val="000211A7"/>
    <w:rsid w:val="00023EE4"/>
    <w:rsid w:val="000251B0"/>
    <w:rsid w:val="00027A9E"/>
    <w:rsid w:val="000316F0"/>
    <w:rsid w:val="00031B82"/>
    <w:rsid w:val="00031E4A"/>
    <w:rsid w:val="000324B6"/>
    <w:rsid w:val="000342A5"/>
    <w:rsid w:val="0003463E"/>
    <w:rsid w:val="0003700B"/>
    <w:rsid w:val="00041B7A"/>
    <w:rsid w:val="00041BA1"/>
    <w:rsid w:val="00042874"/>
    <w:rsid w:val="00043CAB"/>
    <w:rsid w:val="000444A5"/>
    <w:rsid w:val="00047C26"/>
    <w:rsid w:val="000500A7"/>
    <w:rsid w:val="00050FFE"/>
    <w:rsid w:val="00051B95"/>
    <w:rsid w:val="00052743"/>
    <w:rsid w:val="00052CB3"/>
    <w:rsid w:val="00052F93"/>
    <w:rsid w:val="0005416E"/>
    <w:rsid w:val="0005624C"/>
    <w:rsid w:val="00056910"/>
    <w:rsid w:val="00057554"/>
    <w:rsid w:val="0005769F"/>
    <w:rsid w:val="000624DA"/>
    <w:rsid w:val="00067DCB"/>
    <w:rsid w:val="00070769"/>
    <w:rsid w:val="00070E1D"/>
    <w:rsid w:val="00072A11"/>
    <w:rsid w:val="000745EF"/>
    <w:rsid w:val="000757CB"/>
    <w:rsid w:val="00075E7E"/>
    <w:rsid w:val="0009075B"/>
    <w:rsid w:val="0009129B"/>
    <w:rsid w:val="000914DC"/>
    <w:rsid w:val="0009169D"/>
    <w:rsid w:val="00091E74"/>
    <w:rsid w:val="00092540"/>
    <w:rsid w:val="00093012"/>
    <w:rsid w:val="000967E7"/>
    <w:rsid w:val="00096ADA"/>
    <w:rsid w:val="00096B7B"/>
    <w:rsid w:val="000A2512"/>
    <w:rsid w:val="000A3D4A"/>
    <w:rsid w:val="000A6D0E"/>
    <w:rsid w:val="000A6E49"/>
    <w:rsid w:val="000B1028"/>
    <w:rsid w:val="000B34F4"/>
    <w:rsid w:val="000B3E14"/>
    <w:rsid w:val="000B50D9"/>
    <w:rsid w:val="000B6BE9"/>
    <w:rsid w:val="000C0DCD"/>
    <w:rsid w:val="000C2069"/>
    <w:rsid w:val="000C23F2"/>
    <w:rsid w:val="000C2CF2"/>
    <w:rsid w:val="000C3ACE"/>
    <w:rsid w:val="000C51AF"/>
    <w:rsid w:val="000C55D7"/>
    <w:rsid w:val="000D02D6"/>
    <w:rsid w:val="000D07DB"/>
    <w:rsid w:val="000D140E"/>
    <w:rsid w:val="000D1543"/>
    <w:rsid w:val="000D2AFA"/>
    <w:rsid w:val="000D40D9"/>
    <w:rsid w:val="000D47F6"/>
    <w:rsid w:val="000D7845"/>
    <w:rsid w:val="000D79DC"/>
    <w:rsid w:val="000E11E0"/>
    <w:rsid w:val="000E364B"/>
    <w:rsid w:val="000E4728"/>
    <w:rsid w:val="000E4B6A"/>
    <w:rsid w:val="000E4EA3"/>
    <w:rsid w:val="000E541E"/>
    <w:rsid w:val="000E54E5"/>
    <w:rsid w:val="000F0043"/>
    <w:rsid w:val="000F03D5"/>
    <w:rsid w:val="000F10CA"/>
    <w:rsid w:val="000F136E"/>
    <w:rsid w:val="000F4538"/>
    <w:rsid w:val="000F45E9"/>
    <w:rsid w:val="000F7A06"/>
    <w:rsid w:val="000F7BF6"/>
    <w:rsid w:val="000F7CEC"/>
    <w:rsid w:val="001000E6"/>
    <w:rsid w:val="00100C1C"/>
    <w:rsid w:val="00102036"/>
    <w:rsid w:val="001041DF"/>
    <w:rsid w:val="0010572D"/>
    <w:rsid w:val="001071E4"/>
    <w:rsid w:val="00110991"/>
    <w:rsid w:val="00111341"/>
    <w:rsid w:val="00112329"/>
    <w:rsid w:val="00114234"/>
    <w:rsid w:val="001153BB"/>
    <w:rsid w:val="00116DEF"/>
    <w:rsid w:val="00120FC3"/>
    <w:rsid w:val="00121AF7"/>
    <w:rsid w:val="00122E69"/>
    <w:rsid w:val="00123FB1"/>
    <w:rsid w:val="00124007"/>
    <w:rsid w:val="00124044"/>
    <w:rsid w:val="00125547"/>
    <w:rsid w:val="00125673"/>
    <w:rsid w:val="001257D7"/>
    <w:rsid w:val="00125FFC"/>
    <w:rsid w:val="0012632F"/>
    <w:rsid w:val="00126E59"/>
    <w:rsid w:val="00127F17"/>
    <w:rsid w:val="00127FC8"/>
    <w:rsid w:val="001312CF"/>
    <w:rsid w:val="00133005"/>
    <w:rsid w:val="00134CAE"/>
    <w:rsid w:val="001377C1"/>
    <w:rsid w:val="0014052F"/>
    <w:rsid w:val="00144BE6"/>
    <w:rsid w:val="001451DC"/>
    <w:rsid w:val="00146512"/>
    <w:rsid w:val="00150005"/>
    <w:rsid w:val="00152C2A"/>
    <w:rsid w:val="00153F6A"/>
    <w:rsid w:val="00155B28"/>
    <w:rsid w:val="0015741C"/>
    <w:rsid w:val="00160C59"/>
    <w:rsid w:val="00160F65"/>
    <w:rsid w:val="00162B2D"/>
    <w:rsid w:val="0016369C"/>
    <w:rsid w:val="00164056"/>
    <w:rsid w:val="0016575D"/>
    <w:rsid w:val="00165D8B"/>
    <w:rsid w:val="00172142"/>
    <w:rsid w:val="0017216F"/>
    <w:rsid w:val="0017240E"/>
    <w:rsid w:val="001726C9"/>
    <w:rsid w:val="00172DF4"/>
    <w:rsid w:val="00175320"/>
    <w:rsid w:val="0017657B"/>
    <w:rsid w:val="00176B93"/>
    <w:rsid w:val="00180953"/>
    <w:rsid w:val="001814F0"/>
    <w:rsid w:val="0018375F"/>
    <w:rsid w:val="00183A27"/>
    <w:rsid w:val="001860A4"/>
    <w:rsid w:val="0018660F"/>
    <w:rsid w:val="001929EE"/>
    <w:rsid w:val="001931CB"/>
    <w:rsid w:val="0019323C"/>
    <w:rsid w:val="00193320"/>
    <w:rsid w:val="00193FB3"/>
    <w:rsid w:val="001946C7"/>
    <w:rsid w:val="0019499D"/>
    <w:rsid w:val="001952F8"/>
    <w:rsid w:val="0019599C"/>
    <w:rsid w:val="00195FF8"/>
    <w:rsid w:val="001969B5"/>
    <w:rsid w:val="001A264D"/>
    <w:rsid w:val="001A32DA"/>
    <w:rsid w:val="001A3575"/>
    <w:rsid w:val="001A4417"/>
    <w:rsid w:val="001A49AE"/>
    <w:rsid w:val="001A6A76"/>
    <w:rsid w:val="001A6EFD"/>
    <w:rsid w:val="001B0988"/>
    <w:rsid w:val="001B1CBD"/>
    <w:rsid w:val="001B407B"/>
    <w:rsid w:val="001B5353"/>
    <w:rsid w:val="001B61F1"/>
    <w:rsid w:val="001B636F"/>
    <w:rsid w:val="001C0BDC"/>
    <w:rsid w:val="001C590E"/>
    <w:rsid w:val="001C76D3"/>
    <w:rsid w:val="001D07DA"/>
    <w:rsid w:val="001D4E25"/>
    <w:rsid w:val="001D4F3F"/>
    <w:rsid w:val="001D601B"/>
    <w:rsid w:val="001D6075"/>
    <w:rsid w:val="001E000F"/>
    <w:rsid w:val="001E0021"/>
    <w:rsid w:val="001E0618"/>
    <w:rsid w:val="001E0D2D"/>
    <w:rsid w:val="001E158C"/>
    <w:rsid w:val="001E1596"/>
    <w:rsid w:val="001E3684"/>
    <w:rsid w:val="001E65EA"/>
    <w:rsid w:val="001E7CE3"/>
    <w:rsid w:val="001F069E"/>
    <w:rsid w:val="001F1F9A"/>
    <w:rsid w:val="001F35FE"/>
    <w:rsid w:val="001F36D1"/>
    <w:rsid w:val="001F57B3"/>
    <w:rsid w:val="002106F1"/>
    <w:rsid w:val="00211F2C"/>
    <w:rsid w:val="00212CBA"/>
    <w:rsid w:val="0021423F"/>
    <w:rsid w:val="0021514D"/>
    <w:rsid w:val="002159EB"/>
    <w:rsid w:val="00217134"/>
    <w:rsid w:val="00220D94"/>
    <w:rsid w:val="00220F6C"/>
    <w:rsid w:val="00223922"/>
    <w:rsid w:val="00225F53"/>
    <w:rsid w:val="002262C8"/>
    <w:rsid w:val="00231AA9"/>
    <w:rsid w:val="00231B54"/>
    <w:rsid w:val="0023328D"/>
    <w:rsid w:val="002341AA"/>
    <w:rsid w:val="00235F90"/>
    <w:rsid w:val="00237CDE"/>
    <w:rsid w:val="00237F55"/>
    <w:rsid w:val="00240256"/>
    <w:rsid w:val="002410E4"/>
    <w:rsid w:val="002418F2"/>
    <w:rsid w:val="00241B56"/>
    <w:rsid w:val="00242F20"/>
    <w:rsid w:val="00243852"/>
    <w:rsid w:val="00244304"/>
    <w:rsid w:val="002503F2"/>
    <w:rsid w:val="002516AA"/>
    <w:rsid w:val="002534E1"/>
    <w:rsid w:val="00254742"/>
    <w:rsid w:val="002565F3"/>
    <w:rsid w:val="00256FE9"/>
    <w:rsid w:val="00261352"/>
    <w:rsid w:val="002651E3"/>
    <w:rsid w:val="00265EAF"/>
    <w:rsid w:val="00267EB9"/>
    <w:rsid w:val="0027154E"/>
    <w:rsid w:val="00271BCA"/>
    <w:rsid w:val="00273D92"/>
    <w:rsid w:val="00274AF2"/>
    <w:rsid w:val="00275663"/>
    <w:rsid w:val="002801EA"/>
    <w:rsid w:val="002808D4"/>
    <w:rsid w:val="00284D1D"/>
    <w:rsid w:val="00285D3E"/>
    <w:rsid w:val="00285E69"/>
    <w:rsid w:val="00287508"/>
    <w:rsid w:val="0028752B"/>
    <w:rsid w:val="00291B7B"/>
    <w:rsid w:val="00295864"/>
    <w:rsid w:val="0029662C"/>
    <w:rsid w:val="00296FA7"/>
    <w:rsid w:val="002A31E8"/>
    <w:rsid w:val="002A3D2D"/>
    <w:rsid w:val="002A407D"/>
    <w:rsid w:val="002A6103"/>
    <w:rsid w:val="002B115D"/>
    <w:rsid w:val="002B154D"/>
    <w:rsid w:val="002B3E1C"/>
    <w:rsid w:val="002B3F78"/>
    <w:rsid w:val="002B4315"/>
    <w:rsid w:val="002B5979"/>
    <w:rsid w:val="002B7C7B"/>
    <w:rsid w:val="002C08F2"/>
    <w:rsid w:val="002C2D5B"/>
    <w:rsid w:val="002C6CB2"/>
    <w:rsid w:val="002D0471"/>
    <w:rsid w:val="002D49BC"/>
    <w:rsid w:val="002D7331"/>
    <w:rsid w:val="002D73C6"/>
    <w:rsid w:val="002E14AF"/>
    <w:rsid w:val="002E2468"/>
    <w:rsid w:val="002E377A"/>
    <w:rsid w:val="002E3CFD"/>
    <w:rsid w:val="002E41D0"/>
    <w:rsid w:val="002E4643"/>
    <w:rsid w:val="002E6879"/>
    <w:rsid w:val="002E7A00"/>
    <w:rsid w:val="002F0C39"/>
    <w:rsid w:val="002F1327"/>
    <w:rsid w:val="002F19F1"/>
    <w:rsid w:val="002F3689"/>
    <w:rsid w:val="002F3896"/>
    <w:rsid w:val="002F46F0"/>
    <w:rsid w:val="002F4C60"/>
    <w:rsid w:val="002F586F"/>
    <w:rsid w:val="002F5D50"/>
    <w:rsid w:val="002F7CE0"/>
    <w:rsid w:val="00301F0C"/>
    <w:rsid w:val="0030401B"/>
    <w:rsid w:val="003044E4"/>
    <w:rsid w:val="00304880"/>
    <w:rsid w:val="00304D86"/>
    <w:rsid w:val="00306D77"/>
    <w:rsid w:val="003109D2"/>
    <w:rsid w:val="00312325"/>
    <w:rsid w:val="00312D45"/>
    <w:rsid w:val="0032018B"/>
    <w:rsid w:val="00321E1C"/>
    <w:rsid w:val="003221C8"/>
    <w:rsid w:val="0032221B"/>
    <w:rsid w:val="0032304A"/>
    <w:rsid w:val="00326C5C"/>
    <w:rsid w:val="0033073C"/>
    <w:rsid w:val="00330A60"/>
    <w:rsid w:val="00336511"/>
    <w:rsid w:val="00336701"/>
    <w:rsid w:val="00341CB3"/>
    <w:rsid w:val="00342647"/>
    <w:rsid w:val="003431F1"/>
    <w:rsid w:val="0034462C"/>
    <w:rsid w:val="0034709A"/>
    <w:rsid w:val="003478B4"/>
    <w:rsid w:val="00350E54"/>
    <w:rsid w:val="00351765"/>
    <w:rsid w:val="003525C6"/>
    <w:rsid w:val="003541C5"/>
    <w:rsid w:val="00354287"/>
    <w:rsid w:val="00355E4B"/>
    <w:rsid w:val="00356F1F"/>
    <w:rsid w:val="0035787B"/>
    <w:rsid w:val="0036022E"/>
    <w:rsid w:val="003623AC"/>
    <w:rsid w:val="0036250C"/>
    <w:rsid w:val="00365996"/>
    <w:rsid w:val="00370EFB"/>
    <w:rsid w:val="00371741"/>
    <w:rsid w:val="0037262D"/>
    <w:rsid w:val="00373547"/>
    <w:rsid w:val="00373948"/>
    <w:rsid w:val="00373D76"/>
    <w:rsid w:val="00375287"/>
    <w:rsid w:val="003759EF"/>
    <w:rsid w:val="00375BD8"/>
    <w:rsid w:val="00376202"/>
    <w:rsid w:val="00382E86"/>
    <w:rsid w:val="00383671"/>
    <w:rsid w:val="0038462C"/>
    <w:rsid w:val="0038595E"/>
    <w:rsid w:val="00385A9D"/>
    <w:rsid w:val="00387375"/>
    <w:rsid w:val="00387488"/>
    <w:rsid w:val="003928E9"/>
    <w:rsid w:val="00392BE0"/>
    <w:rsid w:val="003931EA"/>
    <w:rsid w:val="003932C6"/>
    <w:rsid w:val="00394065"/>
    <w:rsid w:val="003943D3"/>
    <w:rsid w:val="00394F8D"/>
    <w:rsid w:val="00395417"/>
    <w:rsid w:val="00395817"/>
    <w:rsid w:val="00396D00"/>
    <w:rsid w:val="00396F2D"/>
    <w:rsid w:val="003A0487"/>
    <w:rsid w:val="003A2D4E"/>
    <w:rsid w:val="003A2F57"/>
    <w:rsid w:val="003A334D"/>
    <w:rsid w:val="003A45ED"/>
    <w:rsid w:val="003A4C49"/>
    <w:rsid w:val="003A505F"/>
    <w:rsid w:val="003B086B"/>
    <w:rsid w:val="003B46C3"/>
    <w:rsid w:val="003B65AD"/>
    <w:rsid w:val="003B6A04"/>
    <w:rsid w:val="003B6CC9"/>
    <w:rsid w:val="003C080D"/>
    <w:rsid w:val="003C4352"/>
    <w:rsid w:val="003D0F77"/>
    <w:rsid w:val="003D3BF2"/>
    <w:rsid w:val="003D4601"/>
    <w:rsid w:val="003D5FA1"/>
    <w:rsid w:val="003D72DD"/>
    <w:rsid w:val="003D7B15"/>
    <w:rsid w:val="003E0994"/>
    <w:rsid w:val="003E0E50"/>
    <w:rsid w:val="003E12AD"/>
    <w:rsid w:val="003E1C7D"/>
    <w:rsid w:val="003E3E1B"/>
    <w:rsid w:val="003E670F"/>
    <w:rsid w:val="003E6C88"/>
    <w:rsid w:val="003E748B"/>
    <w:rsid w:val="003E75F8"/>
    <w:rsid w:val="003F09BD"/>
    <w:rsid w:val="003F0E01"/>
    <w:rsid w:val="003F0ED2"/>
    <w:rsid w:val="003F4E3E"/>
    <w:rsid w:val="003F528E"/>
    <w:rsid w:val="00401318"/>
    <w:rsid w:val="0040419A"/>
    <w:rsid w:val="004067F3"/>
    <w:rsid w:val="00407389"/>
    <w:rsid w:val="004118F0"/>
    <w:rsid w:val="00412FC6"/>
    <w:rsid w:val="004131D9"/>
    <w:rsid w:val="00414399"/>
    <w:rsid w:val="00415B4D"/>
    <w:rsid w:val="004163D9"/>
    <w:rsid w:val="00416D75"/>
    <w:rsid w:val="00417231"/>
    <w:rsid w:val="00417BC1"/>
    <w:rsid w:val="0042068D"/>
    <w:rsid w:val="004213F9"/>
    <w:rsid w:val="00421C0A"/>
    <w:rsid w:val="004264C4"/>
    <w:rsid w:val="0043156D"/>
    <w:rsid w:val="00431BB8"/>
    <w:rsid w:val="00432B2C"/>
    <w:rsid w:val="00435F0A"/>
    <w:rsid w:val="00437742"/>
    <w:rsid w:val="004417FA"/>
    <w:rsid w:val="004450D0"/>
    <w:rsid w:val="0044542F"/>
    <w:rsid w:val="004462F0"/>
    <w:rsid w:val="00447846"/>
    <w:rsid w:val="00447F0D"/>
    <w:rsid w:val="00450129"/>
    <w:rsid w:val="00451B9F"/>
    <w:rsid w:val="00452F7D"/>
    <w:rsid w:val="0045460B"/>
    <w:rsid w:val="00460FA1"/>
    <w:rsid w:val="00461031"/>
    <w:rsid w:val="00461820"/>
    <w:rsid w:val="00465790"/>
    <w:rsid w:val="004659CB"/>
    <w:rsid w:val="00471ECB"/>
    <w:rsid w:val="00472820"/>
    <w:rsid w:val="00473067"/>
    <w:rsid w:val="00473D5B"/>
    <w:rsid w:val="00475303"/>
    <w:rsid w:val="00480AED"/>
    <w:rsid w:val="00481283"/>
    <w:rsid w:val="00481872"/>
    <w:rsid w:val="004818BD"/>
    <w:rsid w:val="00482280"/>
    <w:rsid w:val="004822DF"/>
    <w:rsid w:val="00483498"/>
    <w:rsid w:val="00484905"/>
    <w:rsid w:val="00485F44"/>
    <w:rsid w:val="00486831"/>
    <w:rsid w:val="00486ED1"/>
    <w:rsid w:val="00490046"/>
    <w:rsid w:val="004900F3"/>
    <w:rsid w:val="00490712"/>
    <w:rsid w:val="00490D83"/>
    <w:rsid w:val="004916F3"/>
    <w:rsid w:val="00494DAF"/>
    <w:rsid w:val="00495CF5"/>
    <w:rsid w:val="004963E9"/>
    <w:rsid w:val="00497FF3"/>
    <w:rsid w:val="004A481C"/>
    <w:rsid w:val="004A5115"/>
    <w:rsid w:val="004A5F95"/>
    <w:rsid w:val="004A6DD6"/>
    <w:rsid w:val="004B28BE"/>
    <w:rsid w:val="004B57AD"/>
    <w:rsid w:val="004B6000"/>
    <w:rsid w:val="004B6C46"/>
    <w:rsid w:val="004B6F27"/>
    <w:rsid w:val="004B70D1"/>
    <w:rsid w:val="004B775C"/>
    <w:rsid w:val="004C203F"/>
    <w:rsid w:val="004C2FC5"/>
    <w:rsid w:val="004C4B5B"/>
    <w:rsid w:val="004C6405"/>
    <w:rsid w:val="004C787A"/>
    <w:rsid w:val="004D0E7C"/>
    <w:rsid w:val="004D0FB0"/>
    <w:rsid w:val="004D1C35"/>
    <w:rsid w:val="004D6462"/>
    <w:rsid w:val="004D799A"/>
    <w:rsid w:val="004E0088"/>
    <w:rsid w:val="004E04D7"/>
    <w:rsid w:val="004E4AE9"/>
    <w:rsid w:val="004E5F95"/>
    <w:rsid w:val="004F176C"/>
    <w:rsid w:val="004F3565"/>
    <w:rsid w:val="004F705B"/>
    <w:rsid w:val="004F72C8"/>
    <w:rsid w:val="0050181D"/>
    <w:rsid w:val="005028B9"/>
    <w:rsid w:val="00502DE5"/>
    <w:rsid w:val="00502FD9"/>
    <w:rsid w:val="00503074"/>
    <w:rsid w:val="00504176"/>
    <w:rsid w:val="00504DE1"/>
    <w:rsid w:val="00510E42"/>
    <w:rsid w:val="005118FE"/>
    <w:rsid w:val="005121DB"/>
    <w:rsid w:val="00512FDC"/>
    <w:rsid w:val="00513252"/>
    <w:rsid w:val="005135B2"/>
    <w:rsid w:val="005149F0"/>
    <w:rsid w:val="00521F5A"/>
    <w:rsid w:val="00522F64"/>
    <w:rsid w:val="00523A30"/>
    <w:rsid w:val="00523B6F"/>
    <w:rsid w:val="00523EB0"/>
    <w:rsid w:val="0052405E"/>
    <w:rsid w:val="0052553B"/>
    <w:rsid w:val="00525919"/>
    <w:rsid w:val="0053218A"/>
    <w:rsid w:val="00533A52"/>
    <w:rsid w:val="00533DBD"/>
    <w:rsid w:val="005362C2"/>
    <w:rsid w:val="0053644C"/>
    <w:rsid w:val="00541625"/>
    <w:rsid w:val="0054188F"/>
    <w:rsid w:val="00542C1F"/>
    <w:rsid w:val="00543138"/>
    <w:rsid w:val="00545406"/>
    <w:rsid w:val="00550554"/>
    <w:rsid w:val="0055147D"/>
    <w:rsid w:val="00552640"/>
    <w:rsid w:val="0055563C"/>
    <w:rsid w:val="005565CC"/>
    <w:rsid w:val="00556F31"/>
    <w:rsid w:val="00560746"/>
    <w:rsid w:val="00563833"/>
    <w:rsid w:val="00563C6B"/>
    <w:rsid w:val="00566F2F"/>
    <w:rsid w:val="00567B2A"/>
    <w:rsid w:val="0057135C"/>
    <w:rsid w:val="00571697"/>
    <w:rsid w:val="00571AEC"/>
    <w:rsid w:val="00575576"/>
    <w:rsid w:val="00577FB8"/>
    <w:rsid w:val="005800C5"/>
    <w:rsid w:val="00580985"/>
    <w:rsid w:val="0058196C"/>
    <w:rsid w:val="00581D9A"/>
    <w:rsid w:val="00585D26"/>
    <w:rsid w:val="005867C8"/>
    <w:rsid w:val="0059143E"/>
    <w:rsid w:val="0059234F"/>
    <w:rsid w:val="00592565"/>
    <w:rsid w:val="0059296F"/>
    <w:rsid w:val="00594A90"/>
    <w:rsid w:val="00595FCA"/>
    <w:rsid w:val="00597339"/>
    <w:rsid w:val="005A1F46"/>
    <w:rsid w:val="005A46E2"/>
    <w:rsid w:val="005A4836"/>
    <w:rsid w:val="005A4FB5"/>
    <w:rsid w:val="005A64E0"/>
    <w:rsid w:val="005B1769"/>
    <w:rsid w:val="005B1CBA"/>
    <w:rsid w:val="005B3EA4"/>
    <w:rsid w:val="005B50B2"/>
    <w:rsid w:val="005B56B3"/>
    <w:rsid w:val="005B594D"/>
    <w:rsid w:val="005B5E0E"/>
    <w:rsid w:val="005C0A63"/>
    <w:rsid w:val="005C214F"/>
    <w:rsid w:val="005C26E5"/>
    <w:rsid w:val="005C3B41"/>
    <w:rsid w:val="005C3C3F"/>
    <w:rsid w:val="005C448B"/>
    <w:rsid w:val="005C5EE9"/>
    <w:rsid w:val="005C6898"/>
    <w:rsid w:val="005D170A"/>
    <w:rsid w:val="005D3026"/>
    <w:rsid w:val="005D3EF0"/>
    <w:rsid w:val="005D4611"/>
    <w:rsid w:val="005D5076"/>
    <w:rsid w:val="005D6928"/>
    <w:rsid w:val="005D719D"/>
    <w:rsid w:val="005D785C"/>
    <w:rsid w:val="005E335A"/>
    <w:rsid w:val="005E36C7"/>
    <w:rsid w:val="005E3AC4"/>
    <w:rsid w:val="005E3C4B"/>
    <w:rsid w:val="005E3D9F"/>
    <w:rsid w:val="005E4C43"/>
    <w:rsid w:val="005E6CF8"/>
    <w:rsid w:val="005E6EA4"/>
    <w:rsid w:val="005E7D6A"/>
    <w:rsid w:val="005F2306"/>
    <w:rsid w:val="005F60A2"/>
    <w:rsid w:val="00600300"/>
    <w:rsid w:val="00600B17"/>
    <w:rsid w:val="00600FDE"/>
    <w:rsid w:val="00601D6F"/>
    <w:rsid w:val="00602914"/>
    <w:rsid w:val="00605DC9"/>
    <w:rsid w:val="006078D6"/>
    <w:rsid w:val="006102B0"/>
    <w:rsid w:val="00611189"/>
    <w:rsid w:val="0061139E"/>
    <w:rsid w:val="00614B3E"/>
    <w:rsid w:val="00615EC7"/>
    <w:rsid w:val="006170C1"/>
    <w:rsid w:val="0062079F"/>
    <w:rsid w:val="00620FEA"/>
    <w:rsid w:val="00621E6E"/>
    <w:rsid w:val="00625D25"/>
    <w:rsid w:val="0063028A"/>
    <w:rsid w:val="006303D1"/>
    <w:rsid w:val="00630DA3"/>
    <w:rsid w:val="00631FF0"/>
    <w:rsid w:val="00632BCE"/>
    <w:rsid w:val="00632FE3"/>
    <w:rsid w:val="00633529"/>
    <w:rsid w:val="006372DD"/>
    <w:rsid w:val="006404AB"/>
    <w:rsid w:val="00642A93"/>
    <w:rsid w:val="00642E38"/>
    <w:rsid w:val="006446AF"/>
    <w:rsid w:val="006463E1"/>
    <w:rsid w:val="0065105A"/>
    <w:rsid w:val="00651D84"/>
    <w:rsid w:val="00651E74"/>
    <w:rsid w:val="00652BE1"/>
    <w:rsid w:val="00653D25"/>
    <w:rsid w:val="00655A80"/>
    <w:rsid w:val="00655B93"/>
    <w:rsid w:val="00656BCD"/>
    <w:rsid w:val="00660885"/>
    <w:rsid w:val="00663EC7"/>
    <w:rsid w:val="006647BA"/>
    <w:rsid w:val="00672077"/>
    <w:rsid w:val="0067378C"/>
    <w:rsid w:val="0067402F"/>
    <w:rsid w:val="00674273"/>
    <w:rsid w:val="00675D6A"/>
    <w:rsid w:val="006775B2"/>
    <w:rsid w:val="006801F6"/>
    <w:rsid w:val="006808A3"/>
    <w:rsid w:val="00682169"/>
    <w:rsid w:val="00682A5B"/>
    <w:rsid w:val="00684F3E"/>
    <w:rsid w:val="006859C5"/>
    <w:rsid w:val="006860E4"/>
    <w:rsid w:val="00686198"/>
    <w:rsid w:val="00686611"/>
    <w:rsid w:val="00690E90"/>
    <w:rsid w:val="00695435"/>
    <w:rsid w:val="006964F6"/>
    <w:rsid w:val="006A04E1"/>
    <w:rsid w:val="006A1054"/>
    <w:rsid w:val="006A13B9"/>
    <w:rsid w:val="006A22B5"/>
    <w:rsid w:val="006A2331"/>
    <w:rsid w:val="006A7DB1"/>
    <w:rsid w:val="006B1475"/>
    <w:rsid w:val="006B1A94"/>
    <w:rsid w:val="006B23FF"/>
    <w:rsid w:val="006B2AC2"/>
    <w:rsid w:val="006B33E1"/>
    <w:rsid w:val="006B4583"/>
    <w:rsid w:val="006B7158"/>
    <w:rsid w:val="006C0630"/>
    <w:rsid w:val="006C0F5C"/>
    <w:rsid w:val="006C36F8"/>
    <w:rsid w:val="006C6327"/>
    <w:rsid w:val="006C7860"/>
    <w:rsid w:val="006D0355"/>
    <w:rsid w:val="006D209E"/>
    <w:rsid w:val="006D21FC"/>
    <w:rsid w:val="006D256C"/>
    <w:rsid w:val="006D3F9E"/>
    <w:rsid w:val="006D4824"/>
    <w:rsid w:val="006D4F17"/>
    <w:rsid w:val="006D5129"/>
    <w:rsid w:val="006D5B92"/>
    <w:rsid w:val="006D678F"/>
    <w:rsid w:val="006D67EA"/>
    <w:rsid w:val="006D75D3"/>
    <w:rsid w:val="006E12DA"/>
    <w:rsid w:val="006E350A"/>
    <w:rsid w:val="006F0C1F"/>
    <w:rsid w:val="006F1619"/>
    <w:rsid w:val="006F2C5B"/>
    <w:rsid w:val="006F357F"/>
    <w:rsid w:val="006F3840"/>
    <w:rsid w:val="006F407F"/>
    <w:rsid w:val="006F5A79"/>
    <w:rsid w:val="006F5CCE"/>
    <w:rsid w:val="006F7486"/>
    <w:rsid w:val="006F7DE3"/>
    <w:rsid w:val="006F7F35"/>
    <w:rsid w:val="007008B4"/>
    <w:rsid w:val="0070116E"/>
    <w:rsid w:val="007017B6"/>
    <w:rsid w:val="00701E0E"/>
    <w:rsid w:val="00704A16"/>
    <w:rsid w:val="00704CFA"/>
    <w:rsid w:val="007051DA"/>
    <w:rsid w:val="007059E9"/>
    <w:rsid w:val="00706FC7"/>
    <w:rsid w:val="007072F7"/>
    <w:rsid w:val="0070791A"/>
    <w:rsid w:val="00712999"/>
    <w:rsid w:val="00713F3F"/>
    <w:rsid w:val="00716058"/>
    <w:rsid w:val="00716F25"/>
    <w:rsid w:val="00717491"/>
    <w:rsid w:val="00717EF6"/>
    <w:rsid w:val="00720A9A"/>
    <w:rsid w:val="007217F4"/>
    <w:rsid w:val="00721BDC"/>
    <w:rsid w:val="00722589"/>
    <w:rsid w:val="007249B8"/>
    <w:rsid w:val="00727C39"/>
    <w:rsid w:val="00730EE1"/>
    <w:rsid w:val="007315AA"/>
    <w:rsid w:val="00733436"/>
    <w:rsid w:val="00734924"/>
    <w:rsid w:val="0073609B"/>
    <w:rsid w:val="0073705E"/>
    <w:rsid w:val="00742C2C"/>
    <w:rsid w:val="00742E50"/>
    <w:rsid w:val="007457FD"/>
    <w:rsid w:val="0075035E"/>
    <w:rsid w:val="0075332B"/>
    <w:rsid w:val="0075695D"/>
    <w:rsid w:val="00761227"/>
    <w:rsid w:val="00763D7D"/>
    <w:rsid w:val="00764A99"/>
    <w:rsid w:val="00764D37"/>
    <w:rsid w:val="00764D8E"/>
    <w:rsid w:val="0076515E"/>
    <w:rsid w:val="00766160"/>
    <w:rsid w:val="00770E16"/>
    <w:rsid w:val="00771D22"/>
    <w:rsid w:val="00775007"/>
    <w:rsid w:val="00782864"/>
    <w:rsid w:val="00784F3F"/>
    <w:rsid w:val="007875FD"/>
    <w:rsid w:val="007878C3"/>
    <w:rsid w:val="00787E66"/>
    <w:rsid w:val="00791B54"/>
    <w:rsid w:val="00795779"/>
    <w:rsid w:val="00796698"/>
    <w:rsid w:val="007972B9"/>
    <w:rsid w:val="00797AF6"/>
    <w:rsid w:val="007A05D9"/>
    <w:rsid w:val="007A13BF"/>
    <w:rsid w:val="007A3639"/>
    <w:rsid w:val="007A5279"/>
    <w:rsid w:val="007A7340"/>
    <w:rsid w:val="007B24A5"/>
    <w:rsid w:val="007C3160"/>
    <w:rsid w:val="007C5D5E"/>
    <w:rsid w:val="007C5FAA"/>
    <w:rsid w:val="007C60BD"/>
    <w:rsid w:val="007D295F"/>
    <w:rsid w:val="007D4484"/>
    <w:rsid w:val="007D49A7"/>
    <w:rsid w:val="007D5868"/>
    <w:rsid w:val="007D5EEC"/>
    <w:rsid w:val="007D600F"/>
    <w:rsid w:val="007E0AC6"/>
    <w:rsid w:val="007E0DE1"/>
    <w:rsid w:val="007E0F3F"/>
    <w:rsid w:val="007E1080"/>
    <w:rsid w:val="007E1B68"/>
    <w:rsid w:val="007E2727"/>
    <w:rsid w:val="007E4333"/>
    <w:rsid w:val="007E44FF"/>
    <w:rsid w:val="007E6E4D"/>
    <w:rsid w:val="007E6EEE"/>
    <w:rsid w:val="007E728A"/>
    <w:rsid w:val="007E7BC6"/>
    <w:rsid w:val="007F0BFF"/>
    <w:rsid w:val="007F2509"/>
    <w:rsid w:val="007F3471"/>
    <w:rsid w:val="007F4907"/>
    <w:rsid w:val="007F5248"/>
    <w:rsid w:val="007F573D"/>
    <w:rsid w:val="007F6DE2"/>
    <w:rsid w:val="0080360D"/>
    <w:rsid w:val="0080517C"/>
    <w:rsid w:val="008054EF"/>
    <w:rsid w:val="00806045"/>
    <w:rsid w:val="0080703C"/>
    <w:rsid w:val="00807C66"/>
    <w:rsid w:val="008125F8"/>
    <w:rsid w:val="0081487A"/>
    <w:rsid w:val="00814F05"/>
    <w:rsid w:val="00820106"/>
    <w:rsid w:val="0082011C"/>
    <w:rsid w:val="0082127F"/>
    <w:rsid w:val="0082167F"/>
    <w:rsid w:val="0082258D"/>
    <w:rsid w:val="00822BD4"/>
    <w:rsid w:val="00823614"/>
    <w:rsid w:val="008251D5"/>
    <w:rsid w:val="008262E0"/>
    <w:rsid w:val="00831899"/>
    <w:rsid w:val="008353BE"/>
    <w:rsid w:val="00836C39"/>
    <w:rsid w:val="00840605"/>
    <w:rsid w:val="008440DA"/>
    <w:rsid w:val="0084566E"/>
    <w:rsid w:val="0084760C"/>
    <w:rsid w:val="008553B6"/>
    <w:rsid w:val="00855D60"/>
    <w:rsid w:val="00857508"/>
    <w:rsid w:val="0085763C"/>
    <w:rsid w:val="00857B6E"/>
    <w:rsid w:val="00857E39"/>
    <w:rsid w:val="008605EB"/>
    <w:rsid w:val="00861878"/>
    <w:rsid w:val="00863B97"/>
    <w:rsid w:val="00864932"/>
    <w:rsid w:val="008651A5"/>
    <w:rsid w:val="00872F79"/>
    <w:rsid w:val="00873511"/>
    <w:rsid w:val="008744CC"/>
    <w:rsid w:val="00874D7F"/>
    <w:rsid w:val="00875501"/>
    <w:rsid w:val="0087619D"/>
    <w:rsid w:val="00881A2D"/>
    <w:rsid w:val="00881E5F"/>
    <w:rsid w:val="00882405"/>
    <w:rsid w:val="00882FA7"/>
    <w:rsid w:val="0089184B"/>
    <w:rsid w:val="008921FA"/>
    <w:rsid w:val="00894F7B"/>
    <w:rsid w:val="008964A9"/>
    <w:rsid w:val="008A0747"/>
    <w:rsid w:val="008A0996"/>
    <w:rsid w:val="008A1780"/>
    <w:rsid w:val="008A40EA"/>
    <w:rsid w:val="008A4A1D"/>
    <w:rsid w:val="008A58E2"/>
    <w:rsid w:val="008A5F56"/>
    <w:rsid w:val="008A735A"/>
    <w:rsid w:val="008A7E1E"/>
    <w:rsid w:val="008B2AFA"/>
    <w:rsid w:val="008B391F"/>
    <w:rsid w:val="008B6351"/>
    <w:rsid w:val="008B6740"/>
    <w:rsid w:val="008B697E"/>
    <w:rsid w:val="008B71CB"/>
    <w:rsid w:val="008C1C42"/>
    <w:rsid w:val="008C1EBA"/>
    <w:rsid w:val="008C27D9"/>
    <w:rsid w:val="008C32BE"/>
    <w:rsid w:val="008C3EB3"/>
    <w:rsid w:val="008C4DC6"/>
    <w:rsid w:val="008C56BC"/>
    <w:rsid w:val="008C5D03"/>
    <w:rsid w:val="008C5FA9"/>
    <w:rsid w:val="008C7978"/>
    <w:rsid w:val="008D22C0"/>
    <w:rsid w:val="008D33B7"/>
    <w:rsid w:val="008D3A94"/>
    <w:rsid w:val="008D450B"/>
    <w:rsid w:val="008D7547"/>
    <w:rsid w:val="008D7A4A"/>
    <w:rsid w:val="008D7B5E"/>
    <w:rsid w:val="008E1A4A"/>
    <w:rsid w:val="008E3575"/>
    <w:rsid w:val="008F19F2"/>
    <w:rsid w:val="008F3B22"/>
    <w:rsid w:val="008F421C"/>
    <w:rsid w:val="008F5D67"/>
    <w:rsid w:val="008F77F3"/>
    <w:rsid w:val="00901145"/>
    <w:rsid w:val="009019CE"/>
    <w:rsid w:val="00901E4A"/>
    <w:rsid w:val="00902275"/>
    <w:rsid w:val="00902D37"/>
    <w:rsid w:val="009030DD"/>
    <w:rsid w:val="009045BA"/>
    <w:rsid w:val="00906345"/>
    <w:rsid w:val="009070B2"/>
    <w:rsid w:val="00914BF3"/>
    <w:rsid w:val="00915BE5"/>
    <w:rsid w:val="00920CE2"/>
    <w:rsid w:val="00921035"/>
    <w:rsid w:val="00921457"/>
    <w:rsid w:val="00922BD2"/>
    <w:rsid w:val="009234A5"/>
    <w:rsid w:val="0092364B"/>
    <w:rsid w:val="0092373D"/>
    <w:rsid w:val="00924510"/>
    <w:rsid w:val="00925496"/>
    <w:rsid w:val="009303C1"/>
    <w:rsid w:val="009337DA"/>
    <w:rsid w:val="0093404B"/>
    <w:rsid w:val="009349AA"/>
    <w:rsid w:val="00935621"/>
    <w:rsid w:val="00937AC6"/>
    <w:rsid w:val="00940DF1"/>
    <w:rsid w:val="009413FF"/>
    <w:rsid w:val="00941E62"/>
    <w:rsid w:val="00942348"/>
    <w:rsid w:val="009455EF"/>
    <w:rsid w:val="00946902"/>
    <w:rsid w:val="00950394"/>
    <w:rsid w:val="00955198"/>
    <w:rsid w:val="0095543C"/>
    <w:rsid w:val="00956597"/>
    <w:rsid w:val="00957BFF"/>
    <w:rsid w:val="00957DE2"/>
    <w:rsid w:val="0096121A"/>
    <w:rsid w:val="00962294"/>
    <w:rsid w:val="009637EE"/>
    <w:rsid w:val="0096440E"/>
    <w:rsid w:val="0096641D"/>
    <w:rsid w:val="00966435"/>
    <w:rsid w:val="00966A73"/>
    <w:rsid w:val="00967730"/>
    <w:rsid w:val="00970EDB"/>
    <w:rsid w:val="009717F2"/>
    <w:rsid w:val="0097331B"/>
    <w:rsid w:val="00973E00"/>
    <w:rsid w:val="00977B9C"/>
    <w:rsid w:val="0098089D"/>
    <w:rsid w:val="00980A5C"/>
    <w:rsid w:val="00981F15"/>
    <w:rsid w:val="009827E0"/>
    <w:rsid w:val="00982F0D"/>
    <w:rsid w:val="00983ABA"/>
    <w:rsid w:val="009848B7"/>
    <w:rsid w:val="00985A7C"/>
    <w:rsid w:val="00985AFD"/>
    <w:rsid w:val="00987050"/>
    <w:rsid w:val="00991CBC"/>
    <w:rsid w:val="0099247C"/>
    <w:rsid w:val="00992E7E"/>
    <w:rsid w:val="00993BEA"/>
    <w:rsid w:val="009944AD"/>
    <w:rsid w:val="009953B4"/>
    <w:rsid w:val="009A46B4"/>
    <w:rsid w:val="009A4AA9"/>
    <w:rsid w:val="009A54BE"/>
    <w:rsid w:val="009A5634"/>
    <w:rsid w:val="009A6A1C"/>
    <w:rsid w:val="009B27AE"/>
    <w:rsid w:val="009B2B65"/>
    <w:rsid w:val="009B3F9E"/>
    <w:rsid w:val="009B61CA"/>
    <w:rsid w:val="009B6859"/>
    <w:rsid w:val="009B7446"/>
    <w:rsid w:val="009C0A13"/>
    <w:rsid w:val="009C1621"/>
    <w:rsid w:val="009C39AB"/>
    <w:rsid w:val="009C78B0"/>
    <w:rsid w:val="009D0259"/>
    <w:rsid w:val="009D0582"/>
    <w:rsid w:val="009D121C"/>
    <w:rsid w:val="009D43D1"/>
    <w:rsid w:val="009D4D00"/>
    <w:rsid w:val="009D50A5"/>
    <w:rsid w:val="009D5DC8"/>
    <w:rsid w:val="009D6017"/>
    <w:rsid w:val="009D7822"/>
    <w:rsid w:val="009E0A3B"/>
    <w:rsid w:val="009E1ACB"/>
    <w:rsid w:val="009E444A"/>
    <w:rsid w:val="009E5001"/>
    <w:rsid w:val="009E5EBC"/>
    <w:rsid w:val="009E7BA9"/>
    <w:rsid w:val="009F3F1B"/>
    <w:rsid w:val="009F4D26"/>
    <w:rsid w:val="009F53A0"/>
    <w:rsid w:val="009F5EBC"/>
    <w:rsid w:val="00A00CD8"/>
    <w:rsid w:val="00A02DDC"/>
    <w:rsid w:val="00A03559"/>
    <w:rsid w:val="00A049C7"/>
    <w:rsid w:val="00A04A25"/>
    <w:rsid w:val="00A05959"/>
    <w:rsid w:val="00A07CB1"/>
    <w:rsid w:val="00A12F61"/>
    <w:rsid w:val="00A1387A"/>
    <w:rsid w:val="00A1419F"/>
    <w:rsid w:val="00A1434B"/>
    <w:rsid w:val="00A144EA"/>
    <w:rsid w:val="00A14F93"/>
    <w:rsid w:val="00A177DF"/>
    <w:rsid w:val="00A21E95"/>
    <w:rsid w:val="00A2520C"/>
    <w:rsid w:val="00A25910"/>
    <w:rsid w:val="00A27CC5"/>
    <w:rsid w:val="00A316B1"/>
    <w:rsid w:val="00A35EA7"/>
    <w:rsid w:val="00A371A7"/>
    <w:rsid w:val="00A3794D"/>
    <w:rsid w:val="00A379BA"/>
    <w:rsid w:val="00A40B1E"/>
    <w:rsid w:val="00A42D4D"/>
    <w:rsid w:val="00A50770"/>
    <w:rsid w:val="00A50F18"/>
    <w:rsid w:val="00A51367"/>
    <w:rsid w:val="00A51641"/>
    <w:rsid w:val="00A5602F"/>
    <w:rsid w:val="00A57593"/>
    <w:rsid w:val="00A62AD7"/>
    <w:rsid w:val="00A637CA"/>
    <w:rsid w:val="00A7229B"/>
    <w:rsid w:val="00A733BB"/>
    <w:rsid w:val="00A75763"/>
    <w:rsid w:val="00A76622"/>
    <w:rsid w:val="00A77CCA"/>
    <w:rsid w:val="00A831CB"/>
    <w:rsid w:val="00A838FF"/>
    <w:rsid w:val="00A84B3C"/>
    <w:rsid w:val="00A8575A"/>
    <w:rsid w:val="00A85E29"/>
    <w:rsid w:val="00A860C0"/>
    <w:rsid w:val="00A86AA7"/>
    <w:rsid w:val="00A86BAA"/>
    <w:rsid w:val="00A93B26"/>
    <w:rsid w:val="00A93E83"/>
    <w:rsid w:val="00A9529F"/>
    <w:rsid w:val="00A952E7"/>
    <w:rsid w:val="00A96899"/>
    <w:rsid w:val="00A97226"/>
    <w:rsid w:val="00AA0307"/>
    <w:rsid w:val="00AA127E"/>
    <w:rsid w:val="00AA154C"/>
    <w:rsid w:val="00AA2102"/>
    <w:rsid w:val="00AA3894"/>
    <w:rsid w:val="00AA5483"/>
    <w:rsid w:val="00AA5AC2"/>
    <w:rsid w:val="00AA6155"/>
    <w:rsid w:val="00AA6A22"/>
    <w:rsid w:val="00AA6AD8"/>
    <w:rsid w:val="00AA6D05"/>
    <w:rsid w:val="00AB07DC"/>
    <w:rsid w:val="00AB0808"/>
    <w:rsid w:val="00AB1031"/>
    <w:rsid w:val="00AB1D11"/>
    <w:rsid w:val="00AB48F3"/>
    <w:rsid w:val="00AC0641"/>
    <w:rsid w:val="00AC1464"/>
    <w:rsid w:val="00AC1B93"/>
    <w:rsid w:val="00AC55BE"/>
    <w:rsid w:val="00AD0842"/>
    <w:rsid w:val="00AD503A"/>
    <w:rsid w:val="00AE0F54"/>
    <w:rsid w:val="00AE1608"/>
    <w:rsid w:val="00AF0896"/>
    <w:rsid w:val="00AF14FF"/>
    <w:rsid w:val="00AF1F29"/>
    <w:rsid w:val="00AF20BD"/>
    <w:rsid w:val="00AF2743"/>
    <w:rsid w:val="00AF5FE1"/>
    <w:rsid w:val="00B010B3"/>
    <w:rsid w:val="00B0169B"/>
    <w:rsid w:val="00B02154"/>
    <w:rsid w:val="00B02932"/>
    <w:rsid w:val="00B070CD"/>
    <w:rsid w:val="00B07805"/>
    <w:rsid w:val="00B07D02"/>
    <w:rsid w:val="00B07D20"/>
    <w:rsid w:val="00B11411"/>
    <w:rsid w:val="00B11628"/>
    <w:rsid w:val="00B1166D"/>
    <w:rsid w:val="00B119B8"/>
    <w:rsid w:val="00B130AC"/>
    <w:rsid w:val="00B13D91"/>
    <w:rsid w:val="00B15347"/>
    <w:rsid w:val="00B2003A"/>
    <w:rsid w:val="00B201FF"/>
    <w:rsid w:val="00B206B1"/>
    <w:rsid w:val="00B208ED"/>
    <w:rsid w:val="00B25B9C"/>
    <w:rsid w:val="00B26DD9"/>
    <w:rsid w:val="00B31E69"/>
    <w:rsid w:val="00B333A7"/>
    <w:rsid w:val="00B34E70"/>
    <w:rsid w:val="00B36547"/>
    <w:rsid w:val="00B37CD3"/>
    <w:rsid w:val="00B40342"/>
    <w:rsid w:val="00B40611"/>
    <w:rsid w:val="00B42429"/>
    <w:rsid w:val="00B4531E"/>
    <w:rsid w:val="00B462FA"/>
    <w:rsid w:val="00B47925"/>
    <w:rsid w:val="00B50E26"/>
    <w:rsid w:val="00B519E9"/>
    <w:rsid w:val="00B5488D"/>
    <w:rsid w:val="00B551C7"/>
    <w:rsid w:val="00B55A1C"/>
    <w:rsid w:val="00B57785"/>
    <w:rsid w:val="00B60082"/>
    <w:rsid w:val="00B613B6"/>
    <w:rsid w:val="00B61668"/>
    <w:rsid w:val="00B61903"/>
    <w:rsid w:val="00B62506"/>
    <w:rsid w:val="00B673A7"/>
    <w:rsid w:val="00B67715"/>
    <w:rsid w:val="00B7091C"/>
    <w:rsid w:val="00B71289"/>
    <w:rsid w:val="00B72B6A"/>
    <w:rsid w:val="00B737F3"/>
    <w:rsid w:val="00B73919"/>
    <w:rsid w:val="00B740C3"/>
    <w:rsid w:val="00B7517C"/>
    <w:rsid w:val="00B759F3"/>
    <w:rsid w:val="00B75C32"/>
    <w:rsid w:val="00B774F4"/>
    <w:rsid w:val="00B77E60"/>
    <w:rsid w:val="00B80E1D"/>
    <w:rsid w:val="00B8302E"/>
    <w:rsid w:val="00B838D1"/>
    <w:rsid w:val="00B84DEA"/>
    <w:rsid w:val="00B931D8"/>
    <w:rsid w:val="00B93942"/>
    <w:rsid w:val="00B9445A"/>
    <w:rsid w:val="00B94AD5"/>
    <w:rsid w:val="00B96F06"/>
    <w:rsid w:val="00B97453"/>
    <w:rsid w:val="00BA09E7"/>
    <w:rsid w:val="00BA0F7A"/>
    <w:rsid w:val="00BA1EB9"/>
    <w:rsid w:val="00BA42F7"/>
    <w:rsid w:val="00BA7634"/>
    <w:rsid w:val="00BB13F0"/>
    <w:rsid w:val="00BB143F"/>
    <w:rsid w:val="00BB2203"/>
    <w:rsid w:val="00BB280C"/>
    <w:rsid w:val="00BB5AF5"/>
    <w:rsid w:val="00BC0D92"/>
    <w:rsid w:val="00BC250D"/>
    <w:rsid w:val="00BC46E7"/>
    <w:rsid w:val="00BC5105"/>
    <w:rsid w:val="00BC52D1"/>
    <w:rsid w:val="00BC546A"/>
    <w:rsid w:val="00BD2853"/>
    <w:rsid w:val="00BD6688"/>
    <w:rsid w:val="00BD6EEE"/>
    <w:rsid w:val="00BD78E0"/>
    <w:rsid w:val="00BD7DC6"/>
    <w:rsid w:val="00BE2D3E"/>
    <w:rsid w:val="00BE39AD"/>
    <w:rsid w:val="00BE4FF5"/>
    <w:rsid w:val="00BF035D"/>
    <w:rsid w:val="00BF21BB"/>
    <w:rsid w:val="00BF3CD8"/>
    <w:rsid w:val="00BF429A"/>
    <w:rsid w:val="00BF49B3"/>
    <w:rsid w:val="00BF57CA"/>
    <w:rsid w:val="00BF785E"/>
    <w:rsid w:val="00C00330"/>
    <w:rsid w:val="00C0079F"/>
    <w:rsid w:val="00C00D11"/>
    <w:rsid w:val="00C01CC7"/>
    <w:rsid w:val="00C0242F"/>
    <w:rsid w:val="00C046E9"/>
    <w:rsid w:val="00C050D6"/>
    <w:rsid w:val="00C0750B"/>
    <w:rsid w:val="00C116BF"/>
    <w:rsid w:val="00C133DB"/>
    <w:rsid w:val="00C14DB6"/>
    <w:rsid w:val="00C1563C"/>
    <w:rsid w:val="00C174C9"/>
    <w:rsid w:val="00C17AFC"/>
    <w:rsid w:val="00C211A6"/>
    <w:rsid w:val="00C213D2"/>
    <w:rsid w:val="00C2166B"/>
    <w:rsid w:val="00C30D4C"/>
    <w:rsid w:val="00C43F09"/>
    <w:rsid w:val="00C44AF6"/>
    <w:rsid w:val="00C45E59"/>
    <w:rsid w:val="00C504CE"/>
    <w:rsid w:val="00C5230C"/>
    <w:rsid w:val="00C564C2"/>
    <w:rsid w:val="00C5688F"/>
    <w:rsid w:val="00C569C1"/>
    <w:rsid w:val="00C5765C"/>
    <w:rsid w:val="00C61FAF"/>
    <w:rsid w:val="00C62657"/>
    <w:rsid w:val="00C626BF"/>
    <w:rsid w:val="00C6379D"/>
    <w:rsid w:val="00C66EF6"/>
    <w:rsid w:val="00C67621"/>
    <w:rsid w:val="00C6769B"/>
    <w:rsid w:val="00C74FBB"/>
    <w:rsid w:val="00C75182"/>
    <w:rsid w:val="00C7714A"/>
    <w:rsid w:val="00C77551"/>
    <w:rsid w:val="00C77DD9"/>
    <w:rsid w:val="00C81710"/>
    <w:rsid w:val="00C81DDD"/>
    <w:rsid w:val="00C8384C"/>
    <w:rsid w:val="00C84A01"/>
    <w:rsid w:val="00C90948"/>
    <w:rsid w:val="00C90D34"/>
    <w:rsid w:val="00C93460"/>
    <w:rsid w:val="00C960CB"/>
    <w:rsid w:val="00C964DA"/>
    <w:rsid w:val="00C969AE"/>
    <w:rsid w:val="00C9724B"/>
    <w:rsid w:val="00C97B38"/>
    <w:rsid w:val="00CA0825"/>
    <w:rsid w:val="00CA246D"/>
    <w:rsid w:val="00CA50D9"/>
    <w:rsid w:val="00CA6FB6"/>
    <w:rsid w:val="00CA7198"/>
    <w:rsid w:val="00CB05D9"/>
    <w:rsid w:val="00CB07EE"/>
    <w:rsid w:val="00CC0F77"/>
    <w:rsid w:val="00CC334C"/>
    <w:rsid w:val="00CC3556"/>
    <w:rsid w:val="00CC37AF"/>
    <w:rsid w:val="00CC43D3"/>
    <w:rsid w:val="00CC4F41"/>
    <w:rsid w:val="00CC5E10"/>
    <w:rsid w:val="00CC6CEB"/>
    <w:rsid w:val="00CD0093"/>
    <w:rsid w:val="00CD076A"/>
    <w:rsid w:val="00CD10CB"/>
    <w:rsid w:val="00CD11E8"/>
    <w:rsid w:val="00CD1BC5"/>
    <w:rsid w:val="00CD1E22"/>
    <w:rsid w:val="00CD263F"/>
    <w:rsid w:val="00CD35FF"/>
    <w:rsid w:val="00CD6F70"/>
    <w:rsid w:val="00CE063D"/>
    <w:rsid w:val="00CE065D"/>
    <w:rsid w:val="00CE2F4E"/>
    <w:rsid w:val="00CE407B"/>
    <w:rsid w:val="00CE4DA0"/>
    <w:rsid w:val="00CE79D6"/>
    <w:rsid w:val="00CF0006"/>
    <w:rsid w:val="00CF5571"/>
    <w:rsid w:val="00D01120"/>
    <w:rsid w:val="00D017D3"/>
    <w:rsid w:val="00D03587"/>
    <w:rsid w:val="00D03B81"/>
    <w:rsid w:val="00D048BD"/>
    <w:rsid w:val="00D05A25"/>
    <w:rsid w:val="00D06A81"/>
    <w:rsid w:val="00D109B7"/>
    <w:rsid w:val="00D12AC7"/>
    <w:rsid w:val="00D16089"/>
    <w:rsid w:val="00D160FC"/>
    <w:rsid w:val="00D16867"/>
    <w:rsid w:val="00D20A3E"/>
    <w:rsid w:val="00D21440"/>
    <w:rsid w:val="00D2413C"/>
    <w:rsid w:val="00D25B2A"/>
    <w:rsid w:val="00D25C2C"/>
    <w:rsid w:val="00D25FDC"/>
    <w:rsid w:val="00D260CD"/>
    <w:rsid w:val="00D30023"/>
    <w:rsid w:val="00D3247A"/>
    <w:rsid w:val="00D334BD"/>
    <w:rsid w:val="00D35483"/>
    <w:rsid w:val="00D35888"/>
    <w:rsid w:val="00D364C6"/>
    <w:rsid w:val="00D41940"/>
    <w:rsid w:val="00D42DE5"/>
    <w:rsid w:val="00D42F97"/>
    <w:rsid w:val="00D43DB0"/>
    <w:rsid w:val="00D44CE3"/>
    <w:rsid w:val="00D45FDA"/>
    <w:rsid w:val="00D469A8"/>
    <w:rsid w:val="00D46D65"/>
    <w:rsid w:val="00D51084"/>
    <w:rsid w:val="00D51A64"/>
    <w:rsid w:val="00D534DA"/>
    <w:rsid w:val="00D53942"/>
    <w:rsid w:val="00D54F63"/>
    <w:rsid w:val="00D55EF2"/>
    <w:rsid w:val="00D5765E"/>
    <w:rsid w:val="00D604C3"/>
    <w:rsid w:val="00D60F9E"/>
    <w:rsid w:val="00D61C24"/>
    <w:rsid w:val="00D620EB"/>
    <w:rsid w:val="00D62D11"/>
    <w:rsid w:val="00D6447D"/>
    <w:rsid w:val="00D66298"/>
    <w:rsid w:val="00D718DE"/>
    <w:rsid w:val="00D719E8"/>
    <w:rsid w:val="00D71EED"/>
    <w:rsid w:val="00D7391A"/>
    <w:rsid w:val="00D74AAD"/>
    <w:rsid w:val="00D75ABB"/>
    <w:rsid w:val="00D77761"/>
    <w:rsid w:val="00D83EF1"/>
    <w:rsid w:val="00D93A5E"/>
    <w:rsid w:val="00D94C1A"/>
    <w:rsid w:val="00D94F92"/>
    <w:rsid w:val="00D95394"/>
    <w:rsid w:val="00D959B7"/>
    <w:rsid w:val="00D96021"/>
    <w:rsid w:val="00D97308"/>
    <w:rsid w:val="00D97B8A"/>
    <w:rsid w:val="00DA0AA5"/>
    <w:rsid w:val="00DA2A5E"/>
    <w:rsid w:val="00DA4AF6"/>
    <w:rsid w:val="00DA6173"/>
    <w:rsid w:val="00DB08BE"/>
    <w:rsid w:val="00DB0F72"/>
    <w:rsid w:val="00DB131E"/>
    <w:rsid w:val="00DB1AD6"/>
    <w:rsid w:val="00DB1DA7"/>
    <w:rsid w:val="00DB2F04"/>
    <w:rsid w:val="00DB4549"/>
    <w:rsid w:val="00DB5FCC"/>
    <w:rsid w:val="00DB6033"/>
    <w:rsid w:val="00DC0FC0"/>
    <w:rsid w:val="00DC5A63"/>
    <w:rsid w:val="00DD0265"/>
    <w:rsid w:val="00DD1663"/>
    <w:rsid w:val="00DD296E"/>
    <w:rsid w:val="00DD37D9"/>
    <w:rsid w:val="00DE26A8"/>
    <w:rsid w:val="00DE2BFF"/>
    <w:rsid w:val="00DE2C94"/>
    <w:rsid w:val="00DE3753"/>
    <w:rsid w:val="00DE5FB4"/>
    <w:rsid w:val="00DE6A3E"/>
    <w:rsid w:val="00DE72D6"/>
    <w:rsid w:val="00DF165B"/>
    <w:rsid w:val="00DF1776"/>
    <w:rsid w:val="00DF2855"/>
    <w:rsid w:val="00DF3823"/>
    <w:rsid w:val="00E001AC"/>
    <w:rsid w:val="00E018E5"/>
    <w:rsid w:val="00E02E04"/>
    <w:rsid w:val="00E03730"/>
    <w:rsid w:val="00E05EDC"/>
    <w:rsid w:val="00E06BBC"/>
    <w:rsid w:val="00E06DBC"/>
    <w:rsid w:val="00E071DB"/>
    <w:rsid w:val="00E10A48"/>
    <w:rsid w:val="00E1102A"/>
    <w:rsid w:val="00E1120C"/>
    <w:rsid w:val="00E12106"/>
    <w:rsid w:val="00E1337A"/>
    <w:rsid w:val="00E141F3"/>
    <w:rsid w:val="00E14A0A"/>
    <w:rsid w:val="00E15851"/>
    <w:rsid w:val="00E1656B"/>
    <w:rsid w:val="00E20114"/>
    <w:rsid w:val="00E20BF2"/>
    <w:rsid w:val="00E214D2"/>
    <w:rsid w:val="00E24066"/>
    <w:rsid w:val="00E24C04"/>
    <w:rsid w:val="00E251DA"/>
    <w:rsid w:val="00E258C1"/>
    <w:rsid w:val="00E26F57"/>
    <w:rsid w:val="00E30E33"/>
    <w:rsid w:val="00E31EB5"/>
    <w:rsid w:val="00E32561"/>
    <w:rsid w:val="00E34FAA"/>
    <w:rsid w:val="00E359AA"/>
    <w:rsid w:val="00E36ACB"/>
    <w:rsid w:val="00E36CF7"/>
    <w:rsid w:val="00E51C1D"/>
    <w:rsid w:val="00E57365"/>
    <w:rsid w:val="00E576F5"/>
    <w:rsid w:val="00E6040C"/>
    <w:rsid w:val="00E60493"/>
    <w:rsid w:val="00E60759"/>
    <w:rsid w:val="00E60B9B"/>
    <w:rsid w:val="00E63E7C"/>
    <w:rsid w:val="00E66ACD"/>
    <w:rsid w:val="00E6776D"/>
    <w:rsid w:val="00E714C8"/>
    <w:rsid w:val="00E73202"/>
    <w:rsid w:val="00E74802"/>
    <w:rsid w:val="00E76093"/>
    <w:rsid w:val="00E76654"/>
    <w:rsid w:val="00E76DA5"/>
    <w:rsid w:val="00E77B1A"/>
    <w:rsid w:val="00E818AC"/>
    <w:rsid w:val="00E838D7"/>
    <w:rsid w:val="00E83BA9"/>
    <w:rsid w:val="00E909E1"/>
    <w:rsid w:val="00E92D4E"/>
    <w:rsid w:val="00E97EFA"/>
    <w:rsid w:val="00EA0B96"/>
    <w:rsid w:val="00EA0BC0"/>
    <w:rsid w:val="00EA1526"/>
    <w:rsid w:val="00EA1767"/>
    <w:rsid w:val="00EA1CD5"/>
    <w:rsid w:val="00EA26C7"/>
    <w:rsid w:val="00EA319C"/>
    <w:rsid w:val="00EA39BB"/>
    <w:rsid w:val="00EA4FC6"/>
    <w:rsid w:val="00EA5103"/>
    <w:rsid w:val="00EA5A0D"/>
    <w:rsid w:val="00EA5B6D"/>
    <w:rsid w:val="00EA6299"/>
    <w:rsid w:val="00EA6403"/>
    <w:rsid w:val="00EA7115"/>
    <w:rsid w:val="00EB0487"/>
    <w:rsid w:val="00EB05C2"/>
    <w:rsid w:val="00EB22DA"/>
    <w:rsid w:val="00EB23DE"/>
    <w:rsid w:val="00EC3264"/>
    <w:rsid w:val="00EC43C5"/>
    <w:rsid w:val="00EC7A92"/>
    <w:rsid w:val="00ED12DE"/>
    <w:rsid w:val="00ED38B9"/>
    <w:rsid w:val="00ED5972"/>
    <w:rsid w:val="00ED60E0"/>
    <w:rsid w:val="00ED7A73"/>
    <w:rsid w:val="00EE0F7C"/>
    <w:rsid w:val="00EE4B0F"/>
    <w:rsid w:val="00EF0C5E"/>
    <w:rsid w:val="00EF2D9F"/>
    <w:rsid w:val="00EF4A06"/>
    <w:rsid w:val="00EF5213"/>
    <w:rsid w:val="00EF5E30"/>
    <w:rsid w:val="00EF7FDB"/>
    <w:rsid w:val="00F00E59"/>
    <w:rsid w:val="00F00E97"/>
    <w:rsid w:val="00F024A6"/>
    <w:rsid w:val="00F0475D"/>
    <w:rsid w:val="00F04A19"/>
    <w:rsid w:val="00F051D2"/>
    <w:rsid w:val="00F070BE"/>
    <w:rsid w:val="00F1214E"/>
    <w:rsid w:val="00F12651"/>
    <w:rsid w:val="00F1643A"/>
    <w:rsid w:val="00F20677"/>
    <w:rsid w:val="00F23C79"/>
    <w:rsid w:val="00F240BB"/>
    <w:rsid w:val="00F242F0"/>
    <w:rsid w:val="00F24F7B"/>
    <w:rsid w:val="00F30711"/>
    <w:rsid w:val="00F3261B"/>
    <w:rsid w:val="00F365C4"/>
    <w:rsid w:val="00F36AE2"/>
    <w:rsid w:val="00F36BB0"/>
    <w:rsid w:val="00F371D9"/>
    <w:rsid w:val="00F37A96"/>
    <w:rsid w:val="00F43666"/>
    <w:rsid w:val="00F45864"/>
    <w:rsid w:val="00F45B13"/>
    <w:rsid w:val="00F51111"/>
    <w:rsid w:val="00F513A5"/>
    <w:rsid w:val="00F53649"/>
    <w:rsid w:val="00F5422C"/>
    <w:rsid w:val="00F54CD5"/>
    <w:rsid w:val="00F55D9A"/>
    <w:rsid w:val="00F55F5D"/>
    <w:rsid w:val="00F5787A"/>
    <w:rsid w:val="00F57FD4"/>
    <w:rsid w:val="00F60784"/>
    <w:rsid w:val="00F6241B"/>
    <w:rsid w:val="00F62CEF"/>
    <w:rsid w:val="00F638B4"/>
    <w:rsid w:val="00F64500"/>
    <w:rsid w:val="00F6501E"/>
    <w:rsid w:val="00F65CF0"/>
    <w:rsid w:val="00F66C37"/>
    <w:rsid w:val="00F66FEB"/>
    <w:rsid w:val="00F6761C"/>
    <w:rsid w:val="00F70AB3"/>
    <w:rsid w:val="00F71CCC"/>
    <w:rsid w:val="00F73483"/>
    <w:rsid w:val="00F736DB"/>
    <w:rsid w:val="00F7565F"/>
    <w:rsid w:val="00F757AE"/>
    <w:rsid w:val="00F76DBA"/>
    <w:rsid w:val="00F7707C"/>
    <w:rsid w:val="00F82E64"/>
    <w:rsid w:val="00F8431A"/>
    <w:rsid w:val="00F869F0"/>
    <w:rsid w:val="00F92509"/>
    <w:rsid w:val="00F9257C"/>
    <w:rsid w:val="00F934B0"/>
    <w:rsid w:val="00F952BC"/>
    <w:rsid w:val="00F95844"/>
    <w:rsid w:val="00F96766"/>
    <w:rsid w:val="00F979B8"/>
    <w:rsid w:val="00FA08E7"/>
    <w:rsid w:val="00FA13D2"/>
    <w:rsid w:val="00FA2CE8"/>
    <w:rsid w:val="00FA3879"/>
    <w:rsid w:val="00FA3A0D"/>
    <w:rsid w:val="00FA4F5C"/>
    <w:rsid w:val="00FA664A"/>
    <w:rsid w:val="00FA76B7"/>
    <w:rsid w:val="00FA7AA1"/>
    <w:rsid w:val="00FB1042"/>
    <w:rsid w:val="00FB1A4B"/>
    <w:rsid w:val="00FB2310"/>
    <w:rsid w:val="00FB355E"/>
    <w:rsid w:val="00FB36B3"/>
    <w:rsid w:val="00FB3B41"/>
    <w:rsid w:val="00FB3F19"/>
    <w:rsid w:val="00FB66E9"/>
    <w:rsid w:val="00FB6EAD"/>
    <w:rsid w:val="00FC0128"/>
    <w:rsid w:val="00FC44A3"/>
    <w:rsid w:val="00FC5920"/>
    <w:rsid w:val="00FC5F43"/>
    <w:rsid w:val="00FC7F83"/>
    <w:rsid w:val="00FD0453"/>
    <w:rsid w:val="00FD13D5"/>
    <w:rsid w:val="00FD4C6A"/>
    <w:rsid w:val="00FD6164"/>
    <w:rsid w:val="00FD6D3D"/>
    <w:rsid w:val="00FE0165"/>
    <w:rsid w:val="00FE05F6"/>
    <w:rsid w:val="00FE2AD8"/>
    <w:rsid w:val="00FE335F"/>
    <w:rsid w:val="00FE3B07"/>
    <w:rsid w:val="00FE704F"/>
    <w:rsid w:val="00FE705E"/>
    <w:rsid w:val="00FE790B"/>
    <w:rsid w:val="00FE7E59"/>
    <w:rsid w:val="00FF0E68"/>
    <w:rsid w:val="00FF1081"/>
    <w:rsid w:val="00FF10FA"/>
    <w:rsid w:val="00FF223A"/>
    <w:rsid w:val="00FF3171"/>
    <w:rsid w:val="01D803E5"/>
    <w:rsid w:val="01E07299"/>
    <w:rsid w:val="01F3521E"/>
    <w:rsid w:val="020410A9"/>
    <w:rsid w:val="020F621C"/>
    <w:rsid w:val="02290C40"/>
    <w:rsid w:val="025649A5"/>
    <w:rsid w:val="028B36A9"/>
    <w:rsid w:val="02A14C7A"/>
    <w:rsid w:val="02B71386"/>
    <w:rsid w:val="02D432A2"/>
    <w:rsid w:val="03041433"/>
    <w:rsid w:val="03506580"/>
    <w:rsid w:val="03C0118E"/>
    <w:rsid w:val="04387860"/>
    <w:rsid w:val="043D4E77"/>
    <w:rsid w:val="0475016D"/>
    <w:rsid w:val="05031C1C"/>
    <w:rsid w:val="05F61781"/>
    <w:rsid w:val="06473D8B"/>
    <w:rsid w:val="06562220"/>
    <w:rsid w:val="06E25862"/>
    <w:rsid w:val="07131EBF"/>
    <w:rsid w:val="07443763"/>
    <w:rsid w:val="07A34FF1"/>
    <w:rsid w:val="07BA49ED"/>
    <w:rsid w:val="07C02047"/>
    <w:rsid w:val="07C733D5"/>
    <w:rsid w:val="08534C69"/>
    <w:rsid w:val="0865499C"/>
    <w:rsid w:val="090B10A0"/>
    <w:rsid w:val="092B7FA2"/>
    <w:rsid w:val="09376339"/>
    <w:rsid w:val="09436A8B"/>
    <w:rsid w:val="09954E0D"/>
    <w:rsid w:val="09E162A4"/>
    <w:rsid w:val="0A7E3AF3"/>
    <w:rsid w:val="0A943317"/>
    <w:rsid w:val="0A982E07"/>
    <w:rsid w:val="0A984BB5"/>
    <w:rsid w:val="0AC345EC"/>
    <w:rsid w:val="0B043FF8"/>
    <w:rsid w:val="0B8769D7"/>
    <w:rsid w:val="0BF57DE5"/>
    <w:rsid w:val="0C4A0131"/>
    <w:rsid w:val="0C523489"/>
    <w:rsid w:val="0C935725"/>
    <w:rsid w:val="0CE00754"/>
    <w:rsid w:val="0D2342C8"/>
    <w:rsid w:val="0DDC300B"/>
    <w:rsid w:val="0E3A41D5"/>
    <w:rsid w:val="0E3E1F17"/>
    <w:rsid w:val="0E4868F2"/>
    <w:rsid w:val="0E6574A4"/>
    <w:rsid w:val="0E9953A0"/>
    <w:rsid w:val="0EA31D7A"/>
    <w:rsid w:val="0F713C26"/>
    <w:rsid w:val="0F747896"/>
    <w:rsid w:val="10961B97"/>
    <w:rsid w:val="10A818CA"/>
    <w:rsid w:val="12DF0704"/>
    <w:rsid w:val="12E36BE9"/>
    <w:rsid w:val="133E2072"/>
    <w:rsid w:val="13B50586"/>
    <w:rsid w:val="13DD188A"/>
    <w:rsid w:val="14123C2A"/>
    <w:rsid w:val="1448764C"/>
    <w:rsid w:val="14534C64"/>
    <w:rsid w:val="14A30D26"/>
    <w:rsid w:val="14C50C9C"/>
    <w:rsid w:val="14D64C58"/>
    <w:rsid w:val="151E215B"/>
    <w:rsid w:val="156C736A"/>
    <w:rsid w:val="15F22A72"/>
    <w:rsid w:val="160B65B8"/>
    <w:rsid w:val="161812A0"/>
    <w:rsid w:val="16881F81"/>
    <w:rsid w:val="16D3646B"/>
    <w:rsid w:val="17487963"/>
    <w:rsid w:val="179F790B"/>
    <w:rsid w:val="181B00DE"/>
    <w:rsid w:val="18354B4A"/>
    <w:rsid w:val="18934C0E"/>
    <w:rsid w:val="18EB2C9C"/>
    <w:rsid w:val="1A693E78"/>
    <w:rsid w:val="1A6F1CDF"/>
    <w:rsid w:val="1AAA261B"/>
    <w:rsid w:val="1AAC634A"/>
    <w:rsid w:val="1AD75285"/>
    <w:rsid w:val="1B2A7AAB"/>
    <w:rsid w:val="1BB2184F"/>
    <w:rsid w:val="1BDB0DA5"/>
    <w:rsid w:val="1BF6706B"/>
    <w:rsid w:val="1C1F5136"/>
    <w:rsid w:val="1CF3211F"/>
    <w:rsid w:val="1CF9552A"/>
    <w:rsid w:val="1CFD4BB7"/>
    <w:rsid w:val="1D1E7436"/>
    <w:rsid w:val="1D81772B"/>
    <w:rsid w:val="1D9C27B6"/>
    <w:rsid w:val="1DB47B00"/>
    <w:rsid w:val="1DDC2BB3"/>
    <w:rsid w:val="1E5310C7"/>
    <w:rsid w:val="1E5D1F46"/>
    <w:rsid w:val="1E7352C5"/>
    <w:rsid w:val="1E967206"/>
    <w:rsid w:val="1EE97BD3"/>
    <w:rsid w:val="1F3F5AEF"/>
    <w:rsid w:val="1FAA11BB"/>
    <w:rsid w:val="20473BA3"/>
    <w:rsid w:val="20517888"/>
    <w:rsid w:val="20621A95"/>
    <w:rsid w:val="206550E2"/>
    <w:rsid w:val="209D487B"/>
    <w:rsid w:val="20A7394C"/>
    <w:rsid w:val="21035972"/>
    <w:rsid w:val="21246D4B"/>
    <w:rsid w:val="212D20A3"/>
    <w:rsid w:val="21780E44"/>
    <w:rsid w:val="218A4072"/>
    <w:rsid w:val="21AF0D0A"/>
    <w:rsid w:val="22A00653"/>
    <w:rsid w:val="22C205C9"/>
    <w:rsid w:val="23971A56"/>
    <w:rsid w:val="239D4B92"/>
    <w:rsid w:val="23D74548"/>
    <w:rsid w:val="23DD1433"/>
    <w:rsid w:val="24194B61"/>
    <w:rsid w:val="247E2C16"/>
    <w:rsid w:val="24903D54"/>
    <w:rsid w:val="24BB79C6"/>
    <w:rsid w:val="24F4656C"/>
    <w:rsid w:val="252F3F10"/>
    <w:rsid w:val="25F211C5"/>
    <w:rsid w:val="260D5FFF"/>
    <w:rsid w:val="266F6CBA"/>
    <w:rsid w:val="269229A8"/>
    <w:rsid w:val="26A1499A"/>
    <w:rsid w:val="27475E96"/>
    <w:rsid w:val="27871DE1"/>
    <w:rsid w:val="27EB2370"/>
    <w:rsid w:val="285717B4"/>
    <w:rsid w:val="28902F18"/>
    <w:rsid w:val="29177195"/>
    <w:rsid w:val="293164A9"/>
    <w:rsid w:val="29982084"/>
    <w:rsid w:val="299D58EC"/>
    <w:rsid w:val="29AC0C5F"/>
    <w:rsid w:val="29BF5862"/>
    <w:rsid w:val="2A12478B"/>
    <w:rsid w:val="2AC375D4"/>
    <w:rsid w:val="2B0A6292"/>
    <w:rsid w:val="2B3109E2"/>
    <w:rsid w:val="2B852ADC"/>
    <w:rsid w:val="2BE912BD"/>
    <w:rsid w:val="2C4402A1"/>
    <w:rsid w:val="2C8B2374"/>
    <w:rsid w:val="2CBA67B5"/>
    <w:rsid w:val="2CC118F2"/>
    <w:rsid w:val="2D0363AE"/>
    <w:rsid w:val="2D300825"/>
    <w:rsid w:val="2D6A1F89"/>
    <w:rsid w:val="2E083F3B"/>
    <w:rsid w:val="2EAF0755"/>
    <w:rsid w:val="2F012479"/>
    <w:rsid w:val="2FB27C17"/>
    <w:rsid w:val="307B59E5"/>
    <w:rsid w:val="30F6418C"/>
    <w:rsid w:val="31717D8A"/>
    <w:rsid w:val="31AB0563"/>
    <w:rsid w:val="32C40510"/>
    <w:rsid w:val="33BC72B7"/>
    <w:rsid w:val="33D20888"/>
    <w:rsid w:val="341744ED"/>
    <w:rsid w:val="341E3ACD"/>
    <w:rsid w:val="34237336"/>
    <w:rsid w:val="34733E19"/>
    <w:rsid w:val="34D41B0D"/>
    <w:rsid w:val="350607E9"/>
    <w:rsid w:val="352922AF"/>
    <w:rsid w:val="353115DE"/>
    <w:rsid w:val="35814314"/>
    <w:rsid w:val="35973B37"/>
    <w:rsid w:val="35A95619"/>
    <w:rsid w:val="35C44DEE"/>
    <w:rsid w:val="35C9101D"/>
    <w:rsid w:val="35D46B3A"/>
    <w:rsid w:val="35F8791E"/>
    <w:rsid w:val="36B83D65"/>
    <w:rsid w:val="36E326B9"/>
    <w:rsid w:val="377C4D93"/>
    <w:rsid w:val="37E62B54"/>
    <w:rsid w:val="381661D8"/>
    <w:rsid w:val="38405E56"/>
    <w:rsid w:val="38E56968"/>
    <w:rsid w:val="39180AEB"/>
    <w:rsid w:val="396F26D5"/>
    <w:rsid w:val="39822409"/>
    <w:rsid w:val="39AE1450"/>
    <w:rsid w:val="39C72511"/>
    <w:rsid w:val="39FA28E7"/>
    <w:rsid w:val="3A06128C"/>
    <w:rsid w:val="3A4941CF"/>
    <w:rsid w:val="3A8A3C6B"/>
    <w:rsid w:val="3B2319C9"/>
    <w:rsid w:val="3B312DF4"/>
    <w:rsid w:val="3B64198D"/>
    <w:rsid w:val="3B8E32E7"/>
    <w:rsid w:val="3BC0486E"/>
    <w:rsid w:val="3C2B4FD9"/>
    <w:rsid w:val="3C805325"/>
    <w:rsid w:val="3CCB0BE1"/>
    <w:rsid w:val="3D9902ED"/>
    <w:rsid w:val="3E0E4BB3"/>
    <w:rsid w:val="3E55633E"/>
    <w:rsid w:val="3E8665B1"/>
    <w:rsid w:val="3F872A6E"/>
    <w:rsid w:val="4004626D"/>
    <w:rsid w:val="40640ABA"/>
    <w:rsid w:val="407C4056"/>
    <w:rsid w:val="40907B01"/>
    <w:rsid w:val="40A47108"/>
    <w:rsid w:val="40F64D19"/>
    <w:rsid w:val="40F97454"/>
    <w:rsid w:val="414E6551"/>
    <w:rsid w:val="416E7E42"/>
    <w:rsid w:val="417C1E33"/>
    <w:rsid w:val="41AA2E44"/>
    <w:rsid w:val="41ED07ED"/>
    <w:rsid w:val="41FB36A0"/>
    <w:rsid w:val="4208360A"/>
    <w:rsid w:val="42310E70"/>
    <w:rsid w:val="423D5A66"/>
    <w:rsid w:val="4267142A"/>
    <w:rsid w:val="42B37AD7"/>
    <w:rsid w:val="42DE3341"/>
    <w:rsid w:val="4352109E"/>
    <w:rsid w:val="44823C05"/>
    <w:rsid w:val="456F454F"/>
    <w:rsid w:val="473867FC"/>
    <w:rsid w:val="47411B55"/>
    <w:rsid w:val="47D429C9"/>
    <w:rsid w:val="488C6E00"/>
    <w:rsid w:val="49290AF3"/>
    <w:rsid w:val="493A2D00"/>
    <w:rsid w:val="498D249B"/>
    <w:rsid w:val="4A037596"/>
    <w:rsid w:val="4A1240B3"/>
    <w:rsid w:val="4AC84139"/>
    <w:rsid w:val="4B013AD5"/>
    <w:rsid w:val="4C194E4E"/>
    <w:rsid w:val="4C746529"/>
    <w:rsid w:val="4CFC34F9"/>
    <w:rsid w:val="4D1B1AD8"/>
    <w:rsid w:val="4D2A7712"/>
    <w:rsid w:val="4E375A60"/>
    <w:rsid w:val="4E462DBA"/>
    <w:rsid w:val="4F2B257A"/>
    <w:rsid w:val="4F9547EC"/>
    <w:rsid w:val="4FA17635"/>
    <w:rsid w:val="501E0C85"/>
    <w:rsid w:val="50E27F05"/>
    <w:rsid w:val="513B5867"/>
    <w:rsid w:val="517E2641"/>
    <w:rsid w:val="523429E2"/>
    <w:rsid w:val="527434F3"/>
    <w:rsid w:val="52952D55"/>
    <w:rsid w:val="52BE22AC"/>
    <w:rsid w:val="52D10231"/>
    <w:rsid w:val="53281E1B"/>
    <w:rsid w:val="53285977"/>
    <w:rsid w:val="545C1D7C"/>
    <w:rsid w:val="55690BF5"/>
    <w:rsid w:val="557355CF"/>
    <w:rsid w:val="55E069DD"/>
    <w:rsid w:val="55FE375F"/>
    <w:rsid w:val="561548D9"/>
    <w:rsid w:val="56494582"/>
    <w:rsid w:val="56CB31E9"/>
    <w:rsid w:val="57A846D2"/>
    <w:rsid w:val="59081510"/>
    <w:rsid w:val="59637709"/>
    <w:rsid w:val="5A3D5D31"/>
    <w:rsid w:val="5A753B98"/>
    <w:rsid w:val="5A7871E4"/>
    <w:rsid w:val="5B173309"/>
    <w:rsid w:val="5B231846"/>
    <w:rsid w:val="5B603A70"/>
    <w:rsid w:val="5B7A6F8C"/>
    <w:rsid w:val="5BF44F90"/>
    <w:rsid w:val="5C62014C"/>
    <w:rsid w:val="5C7D31D8"/>
    <w:rsid w:val="5C835BEE"/>
    <w:rsid w:val="5C8C0757"/>
    <w:rsid w:val="5D177188"/>
    <w:rsid w:val="5D6D0B56"/>
    <w:rsid w:val="5D8C204C"/>
    <w:rsid w:val="5DD15589"/>
    <w:rsid w:val="5DE7566D"/>
    <w:rsid w:val="5DF03535"/>
    <w:rsid w:val="5DF10AEF"/>
    <w:rsid w:val="5E0771FD"/>
    <w:rsid w:val="5E086AD1"/>
    <w:rsid w:val="5EC61DC6"/>
    <w:rsid w:val="5FA6034F"/>
    <w:rsid w:val="5FD749AD"/>
    <w:rsid w:val="606C1599"/>
    <w:rsid w:val="60C63657"/>
    <w:rsid w:val="616E7593"/>
    <w:rsid w:val="618D7A19"/>
    <w:rsid w:val="618E553F"/>
    <w:rsid w:val="6242704B"/>
    <w:rsid w:val="62A52B40"/>
    <w:rsid w:val="62BE1E54"/>
    <w:rsid w:val="631F28F3"/>
    <w:rsid w:val="632C3261"/>
    <w:rsid w:val="639F1B94"/>
    <w:rsid w:val="63BA4B07"/>
    <w:rsid w:val="6408782B"/>
    <w:rsid w:val="642E6B65"/>
    <w:rsid w:val="64616F3B"/>
    <w:rsid w:val="6477675E"/>
    <w:rsid w:val="64A82DBC"/>
    <w:rsid w:val="656E7B61"/>
    <w:rsid w:val="66155AA3"/>
    <w:rsid w:val="66AA2E1B"/>
    <w:rsid w:val="66AE269A"/>
    <w:rsid w:val="66D460EA"/>
    <w:rsid w:val="670D0E9E"/>
    <w:rsid w:val="6773320D"/>
    <w:rsid w:val="67F105D6"/>
    <w:rsid w:val="694A2693"/>
    <w:rsid w:val="6990454A"/>
    <w:rsid w:val="69937B96"/>
    <w:rsid w:val="699851AD"/>
    <w:rsid w:val="69C266CE"/>
    <w:rsid w:val="69FA3B9E"/>
    <w:rsid w:val="6B056872"/>
    <w:rsid w:val="6B8C5023"/>
    <w:rsid w:val="6BC93D43"/>
    <w:rsid w:val="6CAE2AAB"/>
    <w:rsid w:val="6D376809"/>
    <w:rsid w:val="6D995997"/>
    <w:rsid w:val="6DC5053A"/>
    <w:rsid w:val="6DCC7B1B"/>
    <w:rsid w:val="6DDE4D3D"/>
    <w:rsid w:val="6DED797A"/>
    <w:rsid w:val="6EAB7730"/>
    <w:rsid w:val="6EBF31DC"/>
    <w:rsid w:val="6F0C39A1"/>
    <w:rsid w:val="6F4162E7"/>
    <w:rsid w:val="6F715FDB"/>
    <w:rsid w:val="6F795A80"/>
    <w:rsid w:val="6FA026BC"/>
    <w:rsid w:val="6FF31971"/>
    <w:rsid w:val="6FF670D1"/>
    <w:rsid w:val="70671D7D"/>
    <w:rsid w:val="70BE58ED"/>
    <w:rsid w:val="71015D2D"/>
    <w:rsid w:val="71A45F17"/>
    <w:rsid w:val="71D05A85"/>
    <w:rsid w:val="71E03B95"/>
    <w:rsid w:val="72172CB7"/>
    <w:rsid w:val="7236680F"/>
    <w:rsid w:val="724E4FA2"/>
    <w:rsid w:val="72CA0900"/>
    <w:rsid w:val="72DD6326"/>
    <w:rsid w:val="734A47CF"/>
    <w:rsid w:val="734B1181"/>
    <w:rsid w:val="73A0093B"/>
    <w:rsid w:val="73A62BBC"/>
    <w:rsid w:val="74850A24"/>
    <w:rsid w:val="75292FF9"/>
    <w:rsid w:val="75952EE8"/>
    <w:rsid w:val="75A31161"/>
    <w:rsid w:val="75B01AD0"/>
    <w:rsid w:val="75D05CCE"/>
    <w:rsid w:val="763527EB"/>
    <w:rsid w:val="76760624"/>
    <w:rsid w:val="76AC673B"/>
    <w:rsid w:val="77065E4C"/>
    <w:rsid w:val="77302EC9"/>
    <w:rsid w:val="7735228D"/>
    <w:rsid w:val="775213D7"/>
    <w:rsid w:val="775F5EBE"/>
    <w:rsid w:val="77B75CD2"/>
    <w:rsid w:val="77C6382D"/>
    <w:rsid w:val="78654DF4"/>
    <w:rsid w:val="78727511"/>
    <w:rsid w:val="788C05D2"/>
    <w:rsid w:val="78931961"/>
    <w:rsid w:val="78C91C66"/>
    <w:rsid w:val="78FB2838"/>
    <w:rsid w:val="79A76158"/>
    <w:rsid w:val="7A301431"/>
    <w:rsid w:val="7A3F3423"/>
    <w:rsid w:val="7A6730A5"/>
    <w:rsid w:val="7ABB6F4D"/>
    <w:rsid w:val="7AC64AA5"/>
    <w:rsid w:val="7B2F16E9"/>
    <w:rsid w:val="7B3C363D"/>
    <w:rsid w:val="7B7F7F7B"/>
    <w:rsid w:val="7BD77DB7"/>
    <w:rsid w:val="7C2823C0"/>
    <w:rsid w:val="7CB225D2"/>
    <w:rsid w:val="7D456FA2"/>
    <w:rsid w:val="7D851A94"/>
    <w:rsid w:val="7E6C1254"/>
    <w:rsid w:val="7EA5419C"/>
    <w:rsid w:val="7F3B72CE"/>
    <w:rsid w:val="7F6A1B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link w:val="33"/>
    <w:qFormat/>
    <w:uiPriority w:val="9"/>
    <w:pPr>
      <w:keepNext/>
      <w:spacing w:line="360" w:lineRule="auto"/>
      <w:jc w:val="center"/>
      <w:outlineLvl w:val="0"/>
    </w:pPr>
    <w:rPr>
      <w:rFonts w:ascii="宋体" w:hAnsi="宋体" w:cs="宋体"/>
      <w:sz w:val="28"/>
      <w:szCs w:val="20"/>
    </w:rPr>
  </w:style>
  <w:style w:type="paragraph" w:styleId="4">
    <w:name w:val="heading 2"/>
    <w:basedOn w:val="1"/>
    <w:next w:val="1"/>
    <w:link w:val="69"/>
    <w:unhideWhenUsed/>
    <w:qFormat/>
    <w:uiPriority w:val="9"/>
    <w:pPr>
      <w:keepNext/>
      <w:keepLines/>
      <w:widowControl/>
      <w:kinsoku w:val="0"/>
      <w:autoSpaceDE w:val="0"/>
      <w:autoSpaceDN w:val="0"/>
      <w:adjustRightInd w:val="0"/>
      <w:snapToGrid w:val="0"/>
      <w:spacing w:before="260" w:after="260" w:line="413" w:lineRule="auto"/>
      <w:jc w:val="left"/>
      <w:textAlignment w:val="baseline"/>
      <w:outlineLvl w:val="1"/>
    </w:pPr>
    <w:rPr>
      <w:rFonts w:ascii="Arial" w:hAnsi="Arial" w:eastAsia="黑体" w:cs="Arial"/>
      <w:b/>
      <w:snapToGrid w:val="0"/>
      <w:color w:val="000000"/>
      <w:kern w:val="0"/>
      <w:sz w:val="32"/>
      <w:szCs w:val="21"/>
    </w:rPr>
  </w:style>
  <w:style w:type="paragraph" w:styleId="3">
    <w:name w:val="heading 3"/>
    <w:basedOn w:val="1"/>
    <w:next w:val="1"/>
    <w:link w:val="34"/>
    <w:unhideWhenUsed/>
    <w:qFormat/>
    <w:uiPriority w:val="9"/>
    <w:pPr>
      <w:keepNext/>
      <w:keepLines/>
      <w:spacing w:before="260" w:after="260" w:line="412" w:lineRule="auto"/>
      <w:outlineLvl w:val="2"/>
    </w:pPr>
    <w:rPr>
      <w:rFonts w:cs="宋体"/>
      <w:b/>
      <w:sz w:val="32"/>
      <w:szCs w:val="20"/>
    </w:rPr>
  </w:style>
  <w:style w:type="paragraph" w:styleId="5">
    <w:name w:val="heading 4"/>
    <w:basedOn w:val="1"/>
    <w:next w:val="1"/>
    <w:link w:val="70"/>
    <w:unhideWhenUsed/>
    <w:qFormat/>
    <w:uiPriority w:val="9"/>
    <w:pPr>
      <w:keepNext/>
      <w:keepLines/>
      <w:widowControl/>
      <w:kinsoku w:val="0"/>
      <w:autoSpaceDE w:val="0"/>
      <w:autoSpaceDN w:val="0"/>
      <w:adjustRightInd w:val="0"/>
      <w:snapToGrid w:val="0"/>
      <w:spacing w:before="280" w:after="290" w:line="372" w:lineRule="auto"/>
      <w:jc w:val="left"/>
      <w:textAlignment w:val="baseline"/>
      <w:outlineLvl w:val="3"/>
    </w:pPr>
    <w:rPr>
      <w:rFonts w:ascii="Arial" w:hAnsi="Arial" w:eastAsia="黑体" w:cs="Arial"/>
      <w:b/>
      <w:snapToGrid w:val="0"/>
      <w:color w:val="000000"/>
      <w:kern w:val="0"/>
      <w:sz w:val="28"/>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unhideWhenUsed/>
    <w:qFormat/>
    <w:uiPriority w:val="99"/>
    <w:pPr>
      <w:ind w:firstLine="420"/>
    </w:pPr>
  </w:style>
  <w:style w:type="paragraph" w:styleId="7">
    <w:name w:val="annotation text"/>
    <w:basedOn w:val="1"/>
    <w:link w:val="35"/>
    <w:semiHidden/>
    <w:unhideWhenUsed/>
    <w:qFormat/>
    <w:uiPriority w:val="99"/>
    <w:pPr>
      <w:jc w:val="left"/>
    </w:pPr>
  </w:style>
  <w:style w:type="paragraph" w:styleId="8">
    <w:name w:val="Body Text"/>
    <w:basedOn w:val="1"/>
    <w:next w:val="9"/>
    <w:link w:val="39"/>
    <w:semiHidden/>
    <w:unhideWhenUsed/>
    <w:qFormat/>
    <w:uiPriority w:val="99"/>
    <w:pPr>
      <w:jc w:val="left"/>
    </w:pPr>
    <w:rPr>
      <w:rFonts w:ascii="楷体_GB2312" w:hAnsi="华文楷体" w:eastAsia="楷体_GB2312"/>
      <w:sz w:val="28"/>
      <w:szCs w:val="28"/>
    </w:rPr>
  </w:style>
  <w:style w:type="paragraph" w:styleId="9">
    <w:name w:val="Body Text 2"/>
    <w:basedOn w:val="1"/>
    <w:link w:val="61"/>
    <w:semiHidden/>
    <w:unhideWhenUsed/>
    <w:qFormat/>
    <w:uiPriority w:val="99"/>
    <w:pPr>
      <w:spacing w:after="120" w:line="480" w:lineRule="auto"/>
    </w:pPr>
  </w:style>
  <w:style w:type="paragraph" w:styleId="10">
    <w:name w:val="Body Text Indent"/>
    <w:basedOn w:val="1"/>
    <w:link w:val="40"/>
    <w:semiHidden/>
    <w:unhideWhenUsed/>
    <w:qFormat/>
    <w:uiPriority w:val="99"/>
    <w:pPr>
      <w:spacing w:after="120"/>
      <w:ind w:left="420" w:leftChars="200"/>
    </w:pPr>
  </w:style>
  <w:style w:type="paragraph" w:styleId="11">
    <w:name w:val="List Bullet 2"/>
    <w:basedOn w:val="1"/>
    <w:qFormat/>
    <w:uiPriority w:val="0"/>
    <w:pPr>
      <w:numPr>
        <w:ilvl w:val="0"/>
        <w:numId w:val="1"/>
      </w:numPr>
      <w:ind w:left="0" w:leftChars="0" w:firstLine="0" w:firstLineChars="0"/>
    </w:pPr>
    <w:rPr>
      <w:rFonts w:ascii="Times New Roman" w:hAnsi="Times New Roman"/>
      <w:szCs w:val="22"/>
    </w:rPr>
  </w:style>
  <w:style w:type="paragraph" w:styleId="12">
    <w:name w:val="index 4"/>
    <w:basedOn w:val="1"/>
    <w:next w:val="1"/>
    <w:autoRedefine/>
    <w:unhideWhenUsed/>
    <w:qFormat/>
    <w:uiPriority w:val="99"/>
    <w:pPr>
      <w:ind w:left="600" w:leftChars="600"/>
    </w:pPr>
    <w:rPr>
      <w:rFonts w:ascii="等线" w:hAnsi="等线" w:eastAsia="等线" w:cs="等线"/>
      <w:szCs w:val="21"/>
    </w:rPr>
  </w:style>
  <w:style w:type="paragraph" w:styleId="13">
    <w:name w:val="Plain Text"/>
    <w:basedOn w:val="1"/>
    <w:link w:val="43"/>
    <w:unhideWhenUsed/>
    <w:qFormat/>
    <w:uiPriority w:val="99"/>
    <w:rPr>
      <w:rFonts w:ascii="宋体" w:hAnsi="Courier New" w:cs="Courier New"/>
      <w:szCs w:val="21"/>
    </w:rPr>
  </w:style>
  <w:style w:type="paragraph" w:styleId="14">
    <w:name w:val="Date"/>
    <w:basedOn w:val="1"/>
    <w:next w:val="1"/>
    <w:link w:val="41"/>
    <w:semiHidden/>
    <w:unhideWhenUsed/>
    <w:qFormat/>
    <w:uiPriority w:val="99"/>
    <w:pPr>
      <w:ind w:left="100" w:leftChars="2500"/>
    </w:pPr>
    <w:rPr>
      <w:rFonts w:eastAsia="楷体_GB2312"/>
      <w:b/>
      <w:bCs/>
      <w:sz w:val="32"/>
    </w:rPr>
  </w:style>
  <w:style w:type="paragraph" w:styleId="15">
    <w:name w:val="Body Text Indent 2"/>
    <w:basedOn w:val="1"/>
    <w:link w:val="42"/>
    <w:semiHidden/>
    <w:unhideWhenUsed/>
    <w:qFormat/>
    <w:uiPriority w:val="99"/>
    <w:pPr>
      <w:spacing w:after="120" w:line="480" w:lineRule="auto"/>
      <w:ind w:left="420" w:leftChars="200"/>
    </w:pPr>
  </w:style>
  <w:style w:type="paragraph" w:styleId="16">
    <w:name w:val="Balloon Text"/>
    <w:basedOn w:val="1"/>
    <w:link w:val="45"/>
    <w:semiHidden/>
    <w:unhideWhenUsed/>
    <w:qFormat/>
    <w:uiPriority w:val="99"/>
    <w:rPr>
      <w:sz w:val="18"/>
      <w:szCs w:val="18"/>
    </w:rPr>
  </w:style>
  <w:style w:type="paragraph" w:styleId="17">
    <w:name w:val="footer"/>
    <w:basedOn w:val="1"/>
    <w:link w:val="37"/>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296"/>
      </w:tabs>
      <w:spacing w:line="360" w:lineRule="auto"/>
    </w:pPr>
  </w:style>
  <w:style w:type="paragraph" w:styleId="21">
    <w:name w:val="toc 2"/>
    <w:basedOn w:val="1"/>
    <w:next w:val="1"/>
    <w:unhideWhenUsed/>
    <w:qFormat/>
    <w:uiPriority w:val="39"/>
    <w:pPr>
      <w:ind w:left="420" w:leftChars="200"/>
    </w:pPr>
    <w:rPr>
      <w:rFonts w:ascii="Times New Roman" w:hAnsi="Times New Roman"/>
      <w:szCs w:val="22"/>
    </w:rPr>
  </w:style>
  <w:style w:type="paragraph" w:styleId="22">
    <w:name w:val="Normal (Web)"/>
    <w:basedOn w:val="1"/>
    <w:unhideWhenUsed/>
    <w:qFormat/>
    <w:uiPriority w:val="99"/>
    <w:pPr>
      <w:spacing w:before="100" w:beforeAutospacing="1" w:after="100" w:afterAutospacing="1"/>
      <w:jc w:val="left"/>
    </w:pPr>
    <w:rPr>
      <w:kern w:val="0"/>
      <w:sz w:val="24"/>
      <w:szCs w:val="20"/>
    </w:rPr>
  </w:style>
  <w:style w:type="paragraph" w:styleId="23">
    <w:name w:val="Title"/>
    <w:basedOn w:val="1"/>
    <w:link w:val="38"/>
    <w:qFormat/>
    <w:uiPriority w:val="10"/>
    <w:pPr>
      <w:adjustRightInd w:val="0"/>
      <w:spacing w:before="240" w:after="60" w:line="420" w:lineRule="atLeast"/>
      <w:jc w:val="center"/>
      <w:outlineLvl w:val="0"/>
    </w:pPr>
    <w:rPr>
      <w:rFonts w:ascii="Arial" w:hAnsi="Arial"/>
      <w:b/>
      <w:kern w:val="0"/>
      <w:sz w:val="32"/>
      <w:szCs w:val="20"/>
    </w:rPr>
  </w:style>
  <w:style w:type="paragraph" w:styleId="24">
    <w:name w:val="annotation subject"/>
    <w:basedOn w:val="7"/>
    <w:next w:val="7"/>
    <w:link w:val="44"/>
    <w:semiHidden/>
    <w:unhideWhenUsed/>
    <w:qFormat/>
    <w:uiPriority w:val="99"/>
    <w:rPr>
      <w:b/>
      <w:bCs/>
    </w:rPr>
  </w:style>
  <w:style w:type="paragraph" w:styleId="25">
    <w:name w:val="Body Text First Indent 2"/>
    <w:basedOn w:val="10"/>
    <w:qFormat/>
    <w:uiPriority w:val="0"/>
    <w:pPr>
      <w:tabs>
        <w:tab w:val="left" w:pos="0"/>
        <w:tab w:val="left" w:pos="993"/>
        <w:tab w:val="left" w:pos="1134"/>
      </w:tabs>
      <w:ind w:firstLine="420"/>
    </w:pPr>
    <w:rPr>
      <w:rFonts w:ascii="Times New Roman" w:hAnsi="Times New Roman"/>
    </w:rPr>
  </w:style>
  <w:style w:type="table" w:styleId="27">
    <w:name w:val="Table Grid"/>
    <w:basedOn w:val="2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0">
    <w:name w:val="Hyperlink"/>
    <w:unhideWhenUsed/>
    <w:qFormat/>
    <w:uiPriority w:val="99"/>
    <w:rPr>
      <w:color w:val="0000FF"/>
      <w:u w:val="single"/>
    </w:rPr>
  </w:style>
  <w:style w:type="character" w:styleId="31">
    <w:name w:val="annotation reference"/>
    <w:semiHidden/>
    <w:unhideWhenUsed/>
    <w:qFormat/>
    <w:uiPriority w:val="0"/>
    <w:rPr>
      <w:sz w:val="21"/>
      <w:szCs w:val="21"/>
    </w:rPr>
  </w:style>
  <w:style w:type="paragraph" w:customStyle="1" w:styleId="32">
    <w:name w:val="Default"/>
    <w:next w:val="1"/>
    <w:qFormat/>
    <w:uiPriority w:val="0"/>
    <w:pPr>
      <w:widowControl w:val="0"/>
      <w:autoSpaceDE w:val="0"/>
      <w:autoSpaceDN w:val="0"/>
      <w:adjustRightInd w:val="0"/>
    </w:pPr>
    <w:rPr>
      <w:rFonts w:ascii="等线" w:hAnsi="等线" w:eastAsia="等线" w:cs="Times New Roman"/>
      <w:color w:val="000000"/>
      <w:sz w:val="24"/>
      <w:szCs w:val="24"/>
      <w:lang w:val="en-US" w:eastAsia="zh-CN" w:bidi="ar-SA"/>
    </w:rPr>
  </w:style>
  <w:style w:type="character" w:customStyle="1" w:styleId="33">
    <w:name w:val="标题 1 Char"/>
    <w:basedOn w:val="28"/>
    <w:link w:val="2"/>
    <w:qFormat/>
    <w:uiPriority w:val="9"/>
    <w:rPr>
      <w:rFonts w:ascii="宋体" w:hAnsi="宋体" w:eastAsia="宋体" w:cs="宋体"/>
      <w:b/>
      <w:sz w:val="28"/>
      <w:szCs w:val="20"/>
    </w:rPr>
  </w:style>
  <w:style w:type="character" w:customStyle="1" w:styleId="34">
    <w:name w:val="标题 3 Char"/>
    <w:basedOn w:val="28"/>
    <w:link w:val="3"/>
    <w:qFormat/>
    <w:uiPriority w:val="9"/>
    <w:rPr>
      <w:rFonts w:ascii="Calibri" w:hAnsi="Calibri" w:eastAsia="宋体" w:cs="宋体"/>
      <w:b/>
      <w:sz w:val="32"/>
      <w:szCs w:val="20"/>
    </w:rPr>
  </w:style>
  <w:style w:type="character" w:customStyle="1" w:styleId="35">
    <w:name w:val="批注文字 Char"/>
    <w:basedOn w:val="28"/>
    <w:link w:val="7"/>
    <w:semiHidden/>
    <w:qFormat/>
    <w:uiPriority w:val="99"/>
    <w:rPr>
      <w:rFonts w:ascii="Calibri" w:hAnsi="Calibri" w:eastAsia="宋体" w:cs="Times New Roman"/>
      <w:szCs w:val="24"/>
    </w:rPr>
  </w:style>
  <w:style w:type="character" w:customStyle="1" w:styleId="36">
    <w:name w:val="页眉 Char"/>
    <w:basedOn w:val="28"/>
    <w:link w:val="19"/>
    <w:qFormat/>
    <w:uiPriority w:val="99"/>
    <w:rPr>
      <w:rFonts w:ascii="Calibri" w:hAnsi="Calibri" w:eastAsia="宋体" w:cs="Times New Roman"/>
      <w:sz w:val="18"/>
      <w:szCs w:val="18"/>
    </w:rPr>
  </w:style>
  <w:style w:type="character" w:customStyle="1" w:styleId="37">
    <w:name w:val="页脚 Char"/>
    <w:basedOn w:val="28"/>
    <w:link w:val="17"/>
    <w:qFormat/>
    <w:uiPriority w:val="99"/>
    <w:rPr>
      <w:rFonts w:ascii="Calibri" w:hAnsi="Calibri" w:eastAsia="宋体" w:cs="Times New Roman"/>
      <w:sz w:val="18"/>
      <w:szCs w:val="18"/>
    </w:rPr>
  </w:style>
  <w:style w:type="character" w:customStyle="1" w:styleId="38">
    <w:name w:val="标题 Char"/>
    <w:basedOn w:val="28"/>
    <w:link w:val="23"/>
    <w:qFormat/>
    <w:uiPriority w:val="10"/>
    <w:rPr>
      <w:rFonts w:ascii="Arial" w:hAnsi="Arial" w:eastAsia="宋体" w:cs="Times New Roman"/>
      <w:b/>
      <w:kern w:val="0"/>
      <w:sz w:val="32"/>
      <w:szCs w:val="20"/>
    </w:rPr>
  </w:style>
  <w:style w:type="character" w:customStyle="1" w:styleId="39">
    <w:name w:val="正文文本 Char"/>
    <w:basedOn w:val="28"/>
    <w:link w:val="8"/>
    <w:semiHidden/>
    <w:qFormat/>
    <w:uiPriority w:val="99"/>
    <w:rPr>
      <w:rFonts w:ascii="楷体_GB2312" w:hAnsi="华文楷体" w:eastAsia="楷体_GB2312" w:cs="Times New Roman"/>
      <w:sz w:val="28"/>
      <w:szCs w:val="28"/>
    </w:rPr>
  </w:style>
  <w:style w:type="character" w:customStyle="1" w:styleId="40">
    <w:name w:val="正文文本缩进 Char"/>
    <w:basedOn w:val="28"/>
    <w:link w:val="10"/>
    <w:semiHidden/>
    <w:qFormat/>
    <w:uiPriority w:val="99"/>
    <w:rPr>
      <w:rFonts w:ascii="Calibri" w:hAnsi="Calibri" w:eastAsia="宋体" w:cs="Times New Roman"/>
      <w:szCs w:val="24"/>
    </w:rPr>
  </w:style>
  <w:style w:type="character" w:customStyle="1" w:styleId="41">
    <w:name w:val="日期 Char"/>
    <w:basedOn w:val="28"/>
    <w:link w:val="14"/>
    <w:semiHidden/>
    <w:qFormat/>
    <w:uiPriority w:val="99"/>
    <w:rPr>
      <w:rFonts w:ascii="Calibri" w:hAnsi="Calibri" w:eastAsia="楷体_GB2312" w:cs="Times New Roman"/>
      <w:b/>
      <w:bCs/>
      <w:sz w:val="32"/>
      <w:szCs w:val="24"/>
    </w:rPr>
  </w:style>
  <w:style w:type="character" w:customStyle="1" w:styleId="42">
    <w:name w:val="正文文本缩进 2 Char"/>
    <w:basedOn w:val="28"/>
    <w:link w:val="15"/>
    <w:semiHidden/>
    <w:qFormat/>
    <w:uiPriority w:val="99"/>
    <w:rPr>
      <w:rFonts w:ascii="Calibri" w:hAnsi="Calibri" w:eastAsia="宋体" w:cs="Times New Roman"/>
      <w:szCs w:val="24"/>
    </w:rPr>
  </w:style>
  <w:style w:type="character" w:customStyle="1" w:styleId="43">
    <w:name w:val="纯文本 Char"/>
    <w:basedOn w:val="28"/>
    <w:link w:val="13"/>
    <w:qFormat/>
    <w:uiPriority w:val="99"/>
    <w:rPr>
      <w:rFonts w:ascii="宋体" w:hAnsi="Courier New" w:eastAsia="宋体" w:cs="Courier New"/>
      <w:szCs w:val="21"/>
    </w:rPr>
  </w:style>
  <w:style w:type="character" w:customStyle="1" w:styleId="44">
    <w:name w:val="批注主题 Char"/>
    <w:basedOn w:val="35"/>
    <w:link w:val="24"/>
    <w:semiHidden/>
    <w:qFormat/>
    <w:uiPriority w:val="99"/>
    <w:rPr>
      <w:rFonts w:ascii="Calibri" w:hAnsi="Calibri" w:eastAsia="宋体" w:cs="Times New Roman"/>
      <w:b/>
      <w:bCs/>
      <w:szCs w:val="24"/>
    </w:rPr>
  </w:style>
  <w:style w:type="character" w:customStyle="1" w:styleId="45">
    <w:name w:val="批注框文本 Char"/>
    <w:basedOn w:val="28"/>
    <w:link w:val="16"/>
    <w:semiHidden/>
    <w:qFormat/>
    <w:uiPriority w:val="99"/>
    <w:rPr>
      <w:rFonts w:ascii="Calibri" w:hAnsi="Calibri" w:eastAsia="宋体" w:cs="Times New Roman"/>
      <w:sz w:val="18"/>
      <w:szCs w:val="18"/>
    </w:rPr>
  </w:style>
  <w:style w:type="paragraph" w:styleId="46">
    <w:name w:val="List Paragraph"/>
    <w:basedOn w:val="1"/>
    <w:qFormat/>
    <w:uiPriority w:val="34"/>
    <w:pPr>
      <w:ind w:firstLine="420" w:firstLineChars="200"/>
    </w:pPr>
    <w:rPr>
      <w:szCs w:val="20"/>
    </w:rPr>
  </w:style>
  <w:style w:type="paragraph" w:customStyle="1" w:styleId="47">
    <w:name w:val="Char Char1 Char Char Char Char Char Char"/>
    <w:basedOn w:val="1"/>
    <w:qFormat/>
    <w:uiPriority w:val="99"/>
    <w:pPr>
      <w:widowControl/>
      <w:spacing w:after="160" w:line="240" w:lineRule="exact"/>
      <w:jc w:val="left"/>
    </w:pPr>
    <w:rPr>
      <w:szCs w:val="20"/>
    </w:rPr>
  </w:style>
  <w:style w:type="paragraph" w:customStyle="1" w:styleId="48">
    <w:name w:val="2"/>
    <w:basedOn w:val="1"/>
    <w:qFormat/>
    <w:uiPriority w:val="99"/>
    <w:pPr>
      <w:widowControl/>
      <w:spacing w:before="100" w:beforeAutospacing="1" w:after="100" w:afterAutospacing="1"/>
      <w:jc w:val="left"/>
    </w:pPr>
    <w:rPr>
      <w:rFonts w:ascii="宋体" w:hAnsi="宋体" w:cs="宋体"/>
      <w:kern w:val="0"/>
      <w:sz w:val="24"/>
    </w:rPr>
  </w:style>
  <w:style w:type="paragraph" w:customStyle="1" w:styleId="49">
    <w:name w:val="列出段落1"/>
    <w:basedOn w:val="1"/>
    <w:qFormat/>
    <w:uiPriority w:val="0"/>
    <w:pPr>
      <w:ind w:firstLine="420" w:firstLineChars="200"/>
    </w:pPr>
  </w:style>
  <w:style w:type="paragraph" w:customStyle="1" w:styleId="50">
    <w:name w:val="Char"/>
    <w:basedOn w:val="1"/>
    <w:qFormat/>
    <w:uiPriority w:val="99"/>
    <w:pPr>
      <w:widowControl/>
      <w:spacing w:after="160" w:line="240" w:lineRule="exact"/>
      <w:jc w:val="left"/>
    </w:pPr>
  </w:style>
  <w:style w:type="paragraph" w:customStyle="1" w:styleId="51">
    <w:name w:val="正文_2"/>
    <w:qFormat/>
    <w:uiPriority w:val="99"/>
    <w:rPr>
      <w:rFonts w:ascii="Calibri" w:hAnsi="Calibri" w:eastAsia="宋体" w:cs="Times New Roman"/>
      <w:sz w:val="21"/>
      <w:szCs w:val="22"/>
      <w:lang w:val="en-US" w:eastAsia="zh-CN" w:bidi="ar-SA"/>
    </w:rPr>
  </w:style>
  <w:style w:type="paragraph" w:customStyle="1" w:styleId="52">
    <w:name w:val="正文_0_0"/>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3">
    <w:name w:val="标题 Char1"/>
    <w:basedOn w:val="28"/>
    <w:qFormat/>
    <w:uiPriority w:val="10"/>
    <w:rPr>
      <w:rFonts w:hint="default" w:asciiTheme="majorHAnsi" w:hAnsiTheme="majorHAnsi" w:cstheme="majorBidi"/>
      <w:b/>
      <w:bCs/>
      <w:kern w:val="2"/>
      <w:sz w:val="32"/>
      <w:szCs w:val="32"/>
    </w:rPr>
  </w:style>
  <w:style w:type="character" w:customStyle="1" w:styleId="54">
    <w:name w:val="批注文字 Char1"/>
    <w:basedOn w:val="28"/>
    <w:semiHidden/>
    <w:qFormat/>
    <w:uiPriority w:val="99"/>
    <w:rPr>
      <w:kern w:val="2"/>
      <w:sz w:val="21"/>
      <w:szCs w:val="24"/>
    </w:rPr>
  </w:style>
  <w:style w:type="character" w:customStyle="1" w:styleId="55">
    <w:name w:val="批注主题 Char1"/>
    <w:basedOn w:val="54"/>
    <w:semiHidden/>
    <w:qFormat/>
    <w:uiPriority w:val="99"/>
    <w:rPr>
      <w:b/>
      <w:bCs/>
      <w:kern w:val="2"/>
      <w:sz w:val="21"/>
      <w:szCs w:val="24"/>
    </w:rPr>
  </w:style>
  <w:style w:type="paragraph" w:customStyle="1" w:styleId="56">
    <w:name w:val="TOC 标题1"/>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57">
    <w:name w:val="Blockquote Char Char"/>
    <w:link w:val="58"/>
    <w:qFormat/>
    <w:uiPriority w:val="0"/>
    <w:rPr>
      <w:sz w:val="24"/>
    </w:rPr>
  </w:style>
  <w:style w:type="paragraph" w:customStyle="1" w:styleId="58">
    <w:name w:val="Blockquote"/>
    <w:basedOn w:val="1"/>
    <w:link w:val="57"/>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9">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60">
    <w:name w:val="正文_0"/>
    <w:qFormat/>
    <w:uiPriority w:val="0"/>
    <w:pPr>
      <w:widowControl w:val="0"/>
      <w:ind w:firstLine="360"/>
      <w:jc w:val="both"/>
    </w:pPr>
    <w:rPr>
      <w:rFonts w:ascii="Times New Roman" w:hAnsi="Times New Roman" w:eastAsia="宋体" w:cs="Times New Roman"/>
      <w:kern w:val="2"/>
      <w:sz w:val="21"/>
      <w:szCs w:val="22"/>
      <w:lang w:val="en-US" w:eastAsia="zh-CN" w:bidi="ar-SA"/>
    </w:rPr>
  </w:style>
  <w:style w:type="character" w:customStyle="1" w:styleId="61">
    <w:name w:val="正文文本 2 Char"/>
    <w:basedOn w:val="28"/>
    <w:link w:val="9"/>
    <w:semiHidden/>
    <w:qFormat/>
    <w:uiPriority w:val="99"/>
    <w:rPr>
      <w:rFonts w:ascii="Calibri" w:hAnsi="Calibri" w:eastAsia="宋体" w:cs="Times New Roman"/>
      <w:kern w:val="2"/>
      <w:sz w:val="21"/>
      <w:szCs w:val="24"/>
    </w:rPr>
  </w:style>
  <w:style w:type="character" w:customStyle="1" w:styleId="62">
    <w:name w:val="NormalCharacter"/>
    <w:qFormat/>
    <w:uiPriority w:val="0"/>
  </w:style>
  <w:style w:type="paragraph" w:customStyle="1" w:styleId="63">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64">
    <w:name w:val="宋体小四正文"/>
    <w:basedOn w:val="1"/>
    <w:link w:val="65"/>
    <w:qFormat/>
    <w:uiPriority w:val="0"/>
    <w:pPr>
      <w:spacing w:line="360" w:lineRule="auto"/>
      <w:ind w:firstLine="200" w:firstLineChars="200"/>
    </w:pPr>
    <w:rPr>
      <w:rFonts w:ascii="宋体" w:hAnsi="宋体" w:cstheme="minorBidi"/>
      <w:color w:val="000000" w:themeColor="text1"/>
      <w:sz w:val="24"/>
      <w:szCs w:val="28"/>
      <w14:textFill>
        <w14:solidFill>
          <w14:schemeClr w14:val="tx1"/>
        </w14:solidFill>
      </w14:textFill>
    </w:rPr>
  </w:style>
  <w:style w:type="character" w:customStyle="1" w:styleId="65">
    <w:name w:val="宋体小四正文 字符"/>
    <w:basedOn w:val="28"/>
    <w:link w:val="64"/>
    <w:qFormat/>
    <w:uiPriority w:val="0"/>
    <w:rPr>
      <w:rFonts w:ascii="宋体" w:hAnsi="宋体" w:eastAsia="宋体"/>
      <w:color w:val="000000" w:themeColor="text1"/>
      <w:kern w:val="2"/>
      <w:sz w:val="24"/>
      <w:szCs w:val="28"/>
      <w14:textFill>
        <w14:solidFill>
          <w14:schemeClr w14:val="tx1"/>
        </w14:solidFill>
      </w14:textFill>
    </w:rPr>
  </w:style>
  <w:style w:type="character" w:customStyle="1" w:styleId="66">
    <w:name w:val="font31"/>
    <w:basedOn w:val="28"/>
    <w:qFormat/>
    <w:uiPriority w:val="0"/>
    <w:rPr>
      <w:rFonts w:hint="eastAsia" w:ascii="宋体" w:hAnsi="宋体" w:eastAsia="宋体" w:cs="宋体"/>
      <w:color w:val="000000"/>
      <w:sz w:val="24"/>
      <w:szCs w:val="24"/>
      <w:u w:val="none"/>
    </w:rPr>
  </w:style>
  <w:style w:type="character" w:customStyle="1" w:styleId="67">
    <w:name w:val="font51"/>
    <w:basedOn w:val="28"/>
    <w:qFormat/>
    <w:uiPriority w:val="0"/>
    <w:rPr>
      <w:rFonts w:hint="eastAsia" w:ascii="宋体" w:hAnsi="宋体" w:eastAsia="宋体" w:cs="宋体"/>
      <w:b/>
      <w:bCs/>
      <w:color w:val="000000"/>
      <w:sz w:val="21"/>
      <w:szCs w:val="21"/>
      <w:u w:val="none"/>
    </w:rPr>
  </w:style>
  <w:style w:type="paragraph" w:customStyle="1" w:styleId="68">
    <w:name w:val="__正文"/>
    <w:qFormat/>
    <w:uiPriority w:val="0"/>
    <w:pPr>
      <w:spacing w:line="360" w:lineRule="auto"/>
      <w:ind w:firstLine="200" w:firstLineChars="200"/>
    </w:pPr>
    <w:rPr>
      <w:rFonts w:ascii="Calibri" w:hAnsi="Calibri" w:eastAsia="宋体" w:cs="Times New Roman"/>
      <w:kern w:val="2"/>
      <w:sz w:val="24"/>
      <w:szCs w:val="21"/>
      <w:lang w:val="en-US" w:eastAsia="zh-CN" w:bidi="ar-SA"/>
    </w:rPr>
  </w:style>
  <w:style w:type="character" w:customStyle="1" w:styleId="69">
    <w:name w:val="标题 2 Char"/>
    <w:basedOn w:val="28"/>
    <w:link w:val="4"/>
    <w:qFormat/>
    <w:uiPriority w:val="9"/>
    <w:rPr>
      <w:rFonts w:ascii="Arial" w:hAnsi="Arial" w:eastAsia="黑体" w:cs="Arial"/>
      <w:b/>
      <w:snapToGrid w:val="0"/>
      <w:color w:val="000000"/>
      <w:sz w:val="32"/>
      <w:szCs w:val="21"/>
    </w:rPr>
  </w:style>
  <w:style w:type="character" w:customStyle="1" w:styleId="70">
    <w:name w:val="标题 4 Char"/>
    <w:basedOn w:val="28"/>
    <w:link w:val="5"/>
    <w:qFormat/>
    <w:uiPriority w:val="9"/>
    <w:rPr>
      <w:rFonts w:ascii="Arial" w:hAnsi="Arial" w:eastAsia="黑体" w:cs="Arial"/>
      <w:b/>
      <w:snapToGrid w:val="0"/>
      <w:color w:val="000000"/>
      <w:sz w:val="28"/>
      <w:szCs w:val="21"/>
    </w:rPr>
  </w:style>
  <w:style w:type="paragraph" w:styleId="71">
    <w:name w:val="No Spacing"/>
    <w:qFormat/>
    <w:uiPriority w:val="1"/>
    <w:rPr>
      <w:rFonts w:ascii="Calibri" w:hAnsi="Calibri" w:eastAsia="宋体" w:cs="Times New Roman"/>
      <w:sz w:val="22"/>
      <w:szCs w:val="22"/>
      <w:lang w:val="en-US" w:eastAsia="zh-CN" w:bidi="ar-SA"/>
    </w:rPr>
  </w:style>
  <w:style w:type="character" w:customStyle="1" w:styleId="72">
    <w:name w:val="font21"/>
    <w:basedOn w:val="28"/>
    <w:qFormat/>
    <w:uiPriority w:val="0"/>
    <w:rPr>
      <w:rFonts w:hint="eastAsia" w:ascii="宋体" w:hAnsi="宋体" w:eastAsia="宋体" w:cs="宋体"/>
      <w:color w:val="000000"/>
      <w:sz w:val="24"/>
      <w:szCs w:val="24"/>
      <w:u w:val="none"/>
    </w:rPr>
  </w:style>
  <w:style w:type="paragraph" w:customStyle="1" w:styleId="73">
    <w:name w:val="M正文"/>
    <w:basedOn w:val="1"/>
    <w:qFormat/>
    <w:uiPriority w:val="0"/>
    <w:pPr>
      <w:spacing w:line="360" w:lineRule="auto"/>
      <w:ind w:firstLine="480" w:firstLineChars="200"/>
    </w:pPr>
    <w:rPr>
      <w:rFonts w:asciiTheme="minorHAnsi" w:hAnsiTheme="minorHAnsi" w:eastAsiaTheme="minorEastAsia" w:cstheme="minorBidi"/>
      <w:sz w:val="24"/>
    </w:rPr>
  </w:style>
  <w:style w:type="paragraph" w:customStyle="1" w:styleId="74">
    <w:name w:val="表格"/>
    <w:link w:val="75"/>
    <w:qFormat/>
    <w:uiPriority w:val="0"/>
    <w:pPr>
      <w:jc w:val="center"/>
    </w:pPr>
    <w:rPr>
      <w:rFonts w:ascii="Times New Roman" w:hAnsi="Times New Roman" w:eastAsia="仿宋" w:cs="Times New Roman"/>
      <w:kern w:val="2"/>
      <w:sz w:val="21"/>
      <w:szCs w:val="22"/>
      <w:lang w:val="en-US" w:eastAsia="zh-CN" w:bidi="ar-SA"/>
    </w:rPr>
  </w:style>
  <w:style w:type="character" w:customStyle="1" w:styleId="75">
    <w:name w:val="表格 Char"/>
    <w:link w:val="74"/>
    <w:qFormat/>
    <w:uiPriority w:val="0"/>
    <w:rPr>
      <w:rFonts w:ascii="Times New Roman" w:hAnsi="Times New Roman" w:eastAsia="仿宋" w:cs="Times New Roman"/>
      <w:kern w:val="2"/>
      <w:sz w:val="21"/>
      <w:szCs w:val="22"/>
    </w:rPr>
  </w:style>
  <w:style w:type="character" w:customStyle="1" w:styleId="76">
    <w:name w:val="font01"/>
    <w:basedOn w:val="28"/>
    <w:qFormat/>
    <w:uiPriority w:val="0"/>
    <w:rPr>
      <w:rFonts w:hint="eastAsia" w:ascii="等线" w:hAnsi="等线" w:eastAsia="等线" w:cs="等线"/>
      <w:color w:val="000000"/>
      <w:sz w:val="22"/>
      <w:szCs w:val="22"/>
      <w:u w:val="none"/>
    </w:rPr>
  </w:style>
  <w:style w:type="character" w:customStyle="1" w:styleId="77">
    <w:name w:val="font61"/>
    <w:basedOn w:val="28"/>
    <w:qFormat/>
    <w:uiPriority w:val="0"/>
    <w:rPr>
      <w:rFonts w:ascii="Calibri" w:hAnsi="Calibri" w:cs="Calibri"/>
      <w:color w:val="000000"/>
      <w:sz w:val="20"/>
      <w:szCs w:val="20"/>
      <w:u w:val="none"/>
    </w:rPr>
  </w:style>
  <w:style w:type="character" w:customStyle="1" w:styleId="78">
    <w:name w:val="font11"/>
    <w:basedOn w:val="28"/>
    <w:qFormat/>
    <w:uiPriority w:val="0"/>
    <w:rPr>
      <w:rFonts w:hint="eastAsia" w:ascii="宋体" w:hAnsi="宋体" w:eastAsia="宋体" w:cs="宋体"/>
      <w:color w:val="000000"/>
      <w:sz w:val="20"/>
      <w:szCs w:val="20"/>
      <w:u w:val="none"/>
    </w:rPr>
  </w:style>
  <w:style w:type="character" w:customStyle="1" w:styleId="79">
    <w:name w:val="PageNumber"/>
    <w:basedOn w:val="62"/>
    <w:qFormat/>
    <w:uiPriority w:val="0"/>
  </w:style>
  <w:style w:type="character" w:customStyle="1" w:styleId="80">
    <w:name w:val="font71"/>
    <w:basedOn w:val="28"/>
    <w:qFormat/>
    <w:uiPriority w:val="0"/>
    <w:rPr>
      <w:rFonts w:hint="eastAsia" w:ascii="微软雅黑" w:hAnsi="微软雅黑" w:eastAsia="微软雅黑" w:cs="微软雅黑"/>
      <w:b/>
      <w:bCs/>
      <w:color w:val="000000"/>
      <w:sz w:val="24"/>
      <w:szCs w:val="24"/>
      <w:u w:val="none"/>
    </w:rPr>
  </w:style>
  <w:style w:type="paragraph" w:customStyle="1" w:styleId="81">
    <w:name w:val="正文缩进_0"/>
    <w:basedOn w:val="1"/>
    <w:qFormat/>
    <w:uiPriority w:val="0"/>
    <w:pPr>
      <w:widowControl/>
      <w:snapToGrid/>
      <w:spacing w:line="240" w:lineRule="auto"/>
      <w:jc w:val="left"/>
    </w:pPr>
    <w:rPr>
      <w:rFonts w:ascii="Times New Roman" w:hAnsi="Times New Roman" w:cs="Times New Roman"/>
      <w:kern w:val="0"/>
      <w:sz w:val="20"/>
      <w:szCs w:val="20"/>
    </w:rPr>
  </w:style>
  <w:style w:type="character" w:customStyle="1" w:styleId="82">
    <w:name w:val="font41"/>
    <w:basedOn w:val="28"/>
    <w:qFormat/>
    <w:uiPriority w:val="0"/>
    <w:rPr>
      <w:rFonts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6085-D959-42A5-9762-85E36C5C130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54</Pages>
  <Words>1385</Words>
  <Characters>1457</Characters>
  <Lines>333</Lines>
  <Paragraphs>93</Paragraphs>
  <TotalTime>7</TotalTime>
  <ScaleCrop>false</ScaleCrop>
  <LinksUpToDate>false</LinksUpToDate>
  <CharactersWithSpaces>1471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2023-03-09T06:08:00Z</dcterms:created>
  <dc:creator>未定义</dc:creator>
  <cp:lastModifiedBy>张长君</cp:lastModifiedBy>
  <cp:lastPrinted>2024-12-25T05:57:00Z</cp:lastPrinted>
  <dcterms:modified xsi:type="dcterms:W3CDTF">2025-05-20T04:09:53Z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F404057135AD42DC95DDE20210038BB9_13</vt:lpwstr>
  </property>
  <property fmtid="{D5CDD505-2E9C-101B-9397-08002B2CF9AE}" pid="4" name="KSOTemplateDocerSaveRecord">
    <vt:lpwstr>eyJoZGlkIjoiN2Y4ZDNhMDVmNDIzOTA1MDMwMTAyNmQxZjFhNzlmNGYiLCJ1c2VySWQiOiIxMjEwNDIxMzA4In0=</vt:lpwstr>
  </property>
</Properties>
</file>