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450579">
      <w:pPr>
        <w:adjustRightInd w:val="0"/>
        <w:snapToGrid w:val="0"/>
        <w:spacing w:line="560" w:lineRule="exact"/>
        <w:jc w:val="center"/>
        <w:rPr>
          <w:rFonts w:ascii="宋体" w:hAnsi="宋体" w:cs="仿宋"/>
          <w:spacing w:val="28"/>
          <w:sz w:val="44"/>
          <w:szCs w:val="44"/>
        </w:rPr>
      </w:pPr>
    </w:p>
    <w:p w14:paraId="49F8DDFE">
      <w:pPr>
        <w:jc w:val="center"/>
        <w:rPr>
          <w:rFonts w:hint="eastAsia" w:ascii="宋体" w:hAnsi="宋体" w:cs="宋体"/>
          <w:b/>
          <w:bCs/>
          <w:sz w:val="48"/>
          <w:szCs w:val="48"/>
        </w:rPr>
      </w:pPr>
      <w:r>
        <w:rPr>
          <w:rFonts w:hint="eastAsia" w:ascii="宋体" w:hAnsi="宋体" w:cs="宋体"/>
          <w:b/>
          <w:bCs/>
          <w:sz w:val="48"/>
          <w:szCs w:val="48"/>
        </w:rPr>
        <w:t>扬州大学附属医院京沪高级医学中心电动窗帘纱帘、隔帘、卷帘采购安装项目</w:t>
      </w:r>
    </w:p>
    <w:p w14:paraId="415F1439">
      <w:pPr>
        <w:jc w:val="center"/>
        <w:rPr>
          <w:rFonts w:hint="default" w:ascii="宋体" w:hAnsi="宋体" w:eastAsia="宋体" w:cs="宋体"/>
          <w:b/>
          <w:bCs/>
          <w:sz w:val="48"/>
          <w:szCs w:val="48"/>
          <w:lang w:val="en-US" w:eastAsia="zh-CN"/>
        </w:rPr>
      </w:pPr>
      <w:r>
        <w:rPr>
          <w:rFonts w:hint="eastAsia" w:ascii="宋体" w:hAnsi="宋体" w:cs="宋体"/>
          <w:b/>
          <w:bCs/>
          <w:sz w:val="48"/>
          <w:szCs w:val="48"/>
        </w:rPr>
        <w:t>院内公开谈判文件</w:t>
      </w:r>
      <w:r>
        <w:rPr>
          <w:rFonts w:hint="eastAsia" w:ascii="宋体" w:hAnsi="宋体" w:cs="宋体"/>
          <w:b/>
          <w:bCs/>
          <w:sz w:val="48"/>
          <w:szCs w:val="48"/>
          <w:lang w:eastAsia="zh-CN"/>
        </w:rPr>
        <w:t>（</w:t>
      </w:r>
      <w:r>
        <w:rPr>
          <w:rFonts w:hint="eastAsia" w:ascii="宋体" w:hAnsi="宋体" w:cs="宋体"/>
          <w:b/>
          <w:bCs/>
          <w:sz w:val="48"/>
          <w:szCs w:val="48"/>
          <w:lang w:val="en-US" w:eastAsia="zh-CN"/>
        </w:rPr>
        <w:t>二次）</w:t>
      </w:r>
    </w:p>
    <w:p w14:paraId="790B9DFF">
      <w:pPr>
        <w:adjustRightInd w:val="0"/>
        <w:snapToGrid w:val="0"/>
        <w:spacing w:line="560" w:lineRule="exact"/>
        <w:jc w:val="center"/>
        <w:rPr>
          <w:rFonts w:ascii="宋体" w:hAnsi="宋体" w:cs="仿宋"/>
          <w:spacing w:val="28"/>
          <w:sz w:val="44"/>
          <w:szCs w:val="44"/>
        </w:rPr>
      </w:pPr>
    </w:p>
    <w:p w14:paraId="0A6B73AB">
      <w:pPr>
        <w:adjustRightInd w:val="0"/>
        <w:snapToGrid w:val="0"/>
        <w:spacing w:line="360" w:lineRule="auto"/>
        <w:jc w:val="center"/>
        <w:rPr>
          <w:rFonts w:eastAsia="黑体"/>
          <w:b/>
          <w:snapToGrid w:val="0"/>
          <w:sz w:val="72"/>
        </w:rPr>
      </w:pPr>
      <w:r>
        <w:drawing>
          <wp:inline distT="0" distB="0" distL="114300" distR="114300">
            <wp:extent cx="5480685" cy="4157345"/>
            <wp:effectExtent l="0" t="0" r="5715" b="14605"/>
            <wp:docPr id="1" name="图片 1" descr="980834574712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808345747129441"/>
                    <pic:cNvPicPr>
                      <a:picLocks noChangeAspect="1"/>
                    </pic:cNvPicPr>
                  </pic:nvPicPr>
                  <pic:blipFill>
                    <a:blip r:embed="rId6" cstate="print"/>
                    <a:stretch>
                      <a:fillRect/>
                    </a:stretch>
                  </pic:blipFill>
                  <pic:spPr>
                    <a:xfrm>
                      <a:off x="0" y="0"/>
                      <a:ext cx="5480685" cy="4157345"/>
                    </a:xfrm>
                    <a:prstGeom prst="rect">
                      <a:avLst/>
                    </a:prstGeom>
                    <a:noFill/>
                    <a:ln>
                      <a:noFill/>
                    </a:ln>
                  </pic:spPr>
                </pic:pic>
              </a:graphicData>
            </a:graphic>
          </wp:inline>
        </w:drawing>
      </w:r>
    </w:p>
    <w:p w14:paraId="7ABAEA02">
      <w:pPr>
        <w:spacing w:line="360" w:lineRule="auto"/>
        <w:ind w:firstLine="848" w:firstLineChars="265"/>
        <w:jc w:val="center"/>
        <w:rPr>
          <w:rFonts w:ascii="宋体" w:hAnsi="宋体" w:cs="宋体"/>
          <w:sz w:val="32"/>
          <w:szCs w:val="32"/>
        </w:rPr>
      </w:pPr>
    </w:p>
    <w:p w14:paraId="69EC3182">
      <w:pPr>
        <w:spacing w:line="360" w:lineRule="auto"/>
        <w:jc w:val="center"/>
        <w:rPr>
          <w:rFonts w:ascii="宋体" w:hAnsi="宋体" w:cs="宋体"/>
          <w:b/>
          <w:sz w:val="32"/>
          <w:szCs w:val="32"/>
        </w:rPr>
      </w:pPr>
      <w:r>
        <w:rPr>
          <w:rFonts w:hint="eastAsia" w:ascii="宋体" w:hAnsi="宋体" w:cs="宋体"/>
          <w:sz w:val="32"/>
          <w:szCs w:val="32"/>
        </w:rPr>
        <w:t>采   购  人：</w:t>
      </w:r>
      <w:r>
        <w:rPr>
          <w:rFonts w:hint="eastAsia" w:ascii="宋体" w:hAnsi="宋体" w:cs="宋体"/>
          <w:b/>
          <w:sz w:val="32"/>
          <w:szCs w:val="32"/>
        </w:rPr>
        <w:t>扬州大学附属医院</w:t>
      </w:r>
    </w:p>
    <w:p w14:paraId="381EF017">
      <w:pPr>
        <w:spacing w:line="360" w:lineRule="auto"/>
        <w:ind w:firstLine="848" w:firstLineChars="265"/>
        <w:jc w:val="center"/>
        <w:rPr>
          <w:rFonts w:ascii="宋体" w:hAnsi="宋体" w:cs="宋体"/>
          <w:sz w:val="32"/>
          <w:szCs w:val="32"/>
        </w:rPr>
      </w:pPr>
    </w:p>
    <w:p w14:paraId="1B9BF7FB">
      <w:pPr>
        <w:spacing w:line="360" w:lineRule="auto"/>
        <w:jc w:val="center"/>
        <w:rPr>
          <w:rFonts w:ascii="宋体" w:hAnsi="宋体" w:cs="宋体"/>
          <w:sz w:val="32"/>
          <w:szCs w:val="32"/>
        </w:rPr>
      </w:pPr>
      <w:r>
        <w:rPr>
          <w:rFonts w:hint="eastAsia" w:ascii="宋体" w:hAnsi="宋体" w:cs="宋体"/>
          <w:sz w:val="32"/>
          <w:szCs w:val="32"/>
        </w:rPr>
        <w:t>发 放 日 期：</w:t>
      </w:r>
      <w:bookmarkStart w:id="0" w:name="EB59c3faf64f2a4bd092a206fb1d0c3c03"/>
      <w:r>
        <w:rPr>
          <w:rFonts w:hint="eastAsia" w:ascii="宋体" w:hAnsi="宋体" w:cs="宋体"/>
          <w:b/>
          <w:sz w:val="32"/>
          <w:szCs w:val="32"/>
        </w:rPr>
        <w:t>2025年</w:t>
      </w:r>
      <w:r>
        <w:rPr>
          <w:rFonts w:hint="eastAsia" w:ascii="宋体" w:hAnsi="宋体" w:cs="宋体"/>
          <w:b/>
          <w:sz w:val="32"/>
          <w:szCs w:val="32"/>
          <w:lang w:val="en-US" w:eastAsia="zh-CN"/>
        </w:rPr>
        <w:t>5</w:t>
      </w:r>
      <w:r>
        <w:rPr>
          <w:rFonts w:hint="eastAsia" w:ascii="宋体" w:hAnsi="宋体" w:cs="宋体"/>
          <w:b/>
          <w:sz w:val="32"/>
          <w:szCs w:val="32"/>
        </w:rPr>
        <w:t>月</w:t>
      </w:r>
      <w:bookmarkEnd w:id="0"/>
    </w:p>
    <w:p w14:paraId="5D501653">
      <w:pPr>
        <w:jc w:val="center"/>
        <w:rPr>
          <w:rFonts w:ascii="宋体" w:hAnsi="宋体"/>
          <w:b/>
          <w:bCs/>
          <w:sz w:val="48"/>
          <w:szCs w:val="48"/>
        </w:rPr>
      </w:pPr>
    </w:p>
    <w:p w14:paraId="67BE12EF">
      <w:pPr>
        <w:spacing w:line="360" w:lineRule="auto"/>
        <w:ind w:firstLine="4200" w:firstLineChars="1400"/>
        <w:rPr>
          <w:rFonts w:ascii="宋体" w:hAnsi="宋体"/>
          <w:b/>
          <w:bCs/>
          <w:sz w:val="36"/>
          <w:szCs w:val="36"/>
        </w:rPr>
      </w:pPr>
      <w:r>
        <w:rPr>
          <w:rFonts w:hint="eastAsia" w:ascii="宋体" w:hAnsi="宋体"/>
          <w:sz w:val="30"/>
          <w:szCs w:val="30"/>
        </w:rPr>
        <w:br w:type="page"/>
      </w:r>
      <w:r>
        <w:rPr>
          <w:rFonts w:hint="eastAsia" w:ascii="宋体" w:hAnsi="宋体"/>
          <w:b/>
          <w:bCs/>
          <w:sz w:val="36"/>
          <w:szCs w:val="36"/>
        </w:rPr>
        <w:t>目  录</w:t>
      </w:r>
    </w:p>
    <w:p w14:paraId="675DD7B5">
      <w:pPr>
        <w:pStyle w:val="20"/>
        <w:ind w:firstLine="630" w:firstLineChars="300"/>
      </w:pPr>
    </w:p>
    <w:p w14:paraId="1637E05A">
      <w:pPr>
        <w:pStyle w:val="20"/>
        <w:ind w:firstLine="240" w:firstLineChars="100"/>
        <w:contextualSpacing/>
        <w:jc w:val="left"/>
        <w:rPr>
          <w:rFonts w:asciiTheme="minorEastAsia" w:hAnsiTheme="minorEastAsia" w:eastAsiaTheme="minorEastAsia"/>
          <w:sz w:val="24"/>
        </w:rPr>
      </w:pPr>
      <w:r>
        <w:rPr>
          <w:rFonts w:asciiTheme="minorEastAsia" w:hAnsiTheme="minorEastAsia" w:eastAsiaTheme="minorEastAsia"/>
          <w:sz w:val="24"/>
        </w:rPr>
        <w:t>一、</w:t>
      </w:r>
      <w:r>
        <w:rPr>
          <w:rFonts w:hint="eastAsia" w:asciiTheme="minorEastAsia" w:hAnsiTheme="minorEastAsia" w:eastAsiaTheme="minorEastAsia"/>
          <w:sz w:val="24"/>
        </w:rPr>
        <w:t>招标邀请</w:t>
      </w:r>
      <w:r>
        <w:rPr>
          <w:rFonts w:asciiTheme="minorEastAsia" w:hAnsiTheme="minorEastAsia" w:eastAsiaTheme="minorEastAsia"/>
          <w:sz w:val="24"/>
        </w:rPr>
        <w:t>………………………………………………………………………</w:t>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_Toc39744251 \h </w:instrText>
      </w:r>
      <w:r>
        <w:rPr>
          <w:rFonts w:asciiTheme="minorEastAsia" w:hAnsiTheme="minorEastAsia" w:eastAsiaTheme="minorEastAsia"/>
          <w:sz w:val="24"/>
        </w:rPr>
        <w:fldChar w:fldCharType="separate"/>
      </w:r>
      <w:r>
        <w:rPr>
          <w:rFonts w:asciiTheme="minorEastAsia" w:hAnsiTheme="minorEastAsia" w:eastAsiaTheme="minorEastAsia"/>
          <w:sz w:val="24"/>
        </w:rPr>
        <w:t>2</w:t>
      </w:r>
      <w:r>
        <w:rPr>
          <w:rFonts w:asciiTheme="minorEastAsia" w:hAnsiTheme="minorEastAsia" w:eastAsiaTheme="minorEastAsia"/>
          <w:sz w:val="24"/>
        </w:rPr>
        <w:fldChar w:fldCharType="end"/>
      </w:r>
    </w:p>
    <w:p w14:paraId="7EACB3C1">
      <w:pPr>
        <w:spacing w:line="360" w:lineRule="auto"/>
        <w:ind w:firstLine="240" w:firstLineChars="100"/>
        <w:contextualSpacing/>
        <w:jc w:val="left"/>
        <w:rPr>
          <w:rFonts w:asciiTheme="minorEastAsia" w:hAnsiTheme="minorEastAsia" w:eastAsiaTheme="minorEastAsia"/>
          <w:sz w:val="24"/>
        </w:rPr>
      </w:pPr>
      <w:r>
        <w:rPr>
          <w:rFonts w:hint="eastAsia" w:asciiTheme="minorEastAsia" w:hAnsiTheme="minorEastAsia" w:eastAsiaTheme="minorEastAsia"/>
          <w:sz w:val="24"/>
        </w:rPr>
        <w:t>二、项目需求</w:t>
      </w:r>
      <w:r>
        <w:rPr>
          <w:rFonts w:asciiTheme="minorEastAsia" w:hAnsiTheme="minorEastAsia" w:eastAsiaTheme="minorEastAsia"/>
          <w:sz w:val="24"/>
        </w:rPr>
        <w:t>………………………………………………………………………</w:t>
      </w:r>
      <w:r>
        <w:rPr>
          <w:rFonts w:hint="eastAsia" w:asciiTheme="minorEastAsia" w:hAnsiTheme="minorEastAsia" w:eastAsiaTheme="minorEastAsia"/>
          <w:sz w:val="24"/>
        </w:rPr>
        <w:t>3</w:t>
      </w:r>
    </w:p>
    <w:p w14:paraId="2B43D751">
      <w:pPr>
        <w:spacing w:line="360" w:lineRule="auto"/>
        <w:ind w:firstLine="240" w:firstLineChars="100"/>
        <w:contextualSpacing/>
        <w:jc w:val="left"/>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投标人须知……………………………………………………………………</w:t>
      </w:r>
      <w:r>
        <w:rPr>
          <w:rFonts w:hint="eastAsia" w:asciiTheme="minorEastAsia" w:hAnsiTheme="minorEastAsia" w:eastAsiaTheme="minorEastAsia"/>
          <w:sz w:val="24"/>
        </w:rPr>
        <w:t>4</w:t>
      </w:r>
    </w:p>
    <w:p w14:paraId="63CA17AD">
      <w:pPr>
        <w:spacing w:line="360" w:lineRule="auto"/>
        <w:ind w:firstLine="240" w:firstLineChars="100"/>
        <w:contextualSpacing/>
        <w:jc w:val="left"/>
        <w:rPr>
          <w:rFonts w:ascii="宋体" w:hAnsi="宋体"/>
          <w:bCs/>
          <w:sz w:val="24"/>
        </w:rPr>
      </w:pPr>
      <w:r>
        <w:rPr>
          <w:rFonts w:hint="eastAsia" w:ascii="宋体" w:hAnsi="宋体"/>
          <w:bCs/>
          <w:sz w:val="24"/>
        </w:rPr>
        <w:t>四、投标文件格式及附件要求</w:t>
      </w:r>
      <w:r>
        <w:rPr>
          <w:rFonts w:ascii="宋体" w:hAnsi="宋体"/>
          <w:bCs/>
          <w:sz w:val="24"/>
        </w:rPr>
        <w:t>……………………………………………………</w:t>
      </w:r>
      <w:r>
        <w:rPr>
          <w:rFonts w:hint="eastAsia" w:ascii="宋体" w:hAnsi="宋体"/>
          <w:bCs/>
          <w:sz w:val="24"/>
        </w:rPr>
        <w:t>7</w:t>
      </w:r>
    </w:p>
    <w:p w14:paraId="09900219">
      <w:pPr>
        <w:spacing w:line="360" w:lineRule="auto"/>
        <w:ind w:firstLine="240" w:firstLineChars="100"/>
        <w:contextualSpacing/>
        <w:jc w:val="left"/>
        <w:rPr>
          <w:rFonts w:ascii="宋体" w:hAnsi="宋体"/>
          <w:bCs/>
          <w:sz w:val="24"/>
        </w:rPr>
      </w:pPr>
      <w:r>
        <w:rPr>
          <w:rFonts w:hint="eastAsia" w:ascii="宋体" w:hAnsi="宋体"/>
          <w:bCs/>
          <w:sz w:val="24"/>
        </w:rPr>
        <w:t>五、供应商廉洁自律承诺书</w:t>
      </w:r>
      <w:r>
        <w:rPr>
          <w:rFonts w:ascii="宋体" w:hAnsi="宋体"/>
          <w:bCs/>
          <w:sz w:val="24"/>
        </w:rPr>
        <w:t>………………………………………………………</w:t>
      </w:r>
      <w:r>
        <w:rPr>
          <w:rFonts w:hint="eastAsia" w:ascii="宋体" w:hAnsi="宋体"/>
          <w:bCs/>
          <w:sz w:val="24"/>
        </w:rPr>
        <w:t>12</w:t>
      </w:r>
    </w:p>
    <w:p w14:paraId="29A19B2B">
      <w:pPr>
        <w:spacing w:line="360" w:lineRule="auto"/>
        <w:contextualSpacing/>
        <w:jc w:val="center"/>
        <w:rPr>
          <w:rFonts w:ascii="宋体" w:hAnsi="宋体"/>
          <w:bCs/>
          <w:sz w:val="24"/>
        </w:rPr>
      </w:pPr>
    </w:p>
    <w:p w14:paraId="7CE53448">
      <w:pPr>
        <w:rPr>
          <w:rFonts w:ascii="宋体" w:hAnsi="宋体"/>
          <w:sz w:val="30"/>
          <w:szCs w:val="30"/>
        </w:rPr>
      </w:pPr>
    </w:p>
    <w:p w14:paraId="18626B7B">
      <w:pPr>
        <w:spacing w:line="360" w:lineRule="auto"/>
        <w:jc w:val="center"/>
      </w:pPr>
      <w:bookmarkStart w:id="1" w:name="_Toc39744251"/>
    </w:p>
    <w:p w14:paraId="7F3811EB">
      <w:pPr>
        <w:spacing w:line="360" w:lineRule="auto"/>
        <w:jc w:val="center"/>
      </w:pPr>
    </w:p>
    <w:p w14:paraId="35BCFFA0">
      <w:pPr>
        <w:spacing w:line="360" w:lineRule="auto"/>
        <w:jc w:val="center"/>
      </w:pPr>
    </w:p>
    <w:p w14:paraId="33FDFEEF">
      <w:pPr>
        <w:spacing w:line="360" w:lineRule="auto"/>
        <w:jc w:val="center"/>
      </w:pPr>
    </w:p>
    <w:p w14:paraId="184D0A90">
      <w:pPr>
        <w:spacing w:line="360" w:lineRule="auto"/>
        <w:jc w:val="center"/>
      </w:pPr>
    </w:p>
    <w:p w14:paraId="54F9C286">
      <w:pPr>
        <w:spacing w:line="360" w:lineRule="auto"/>
        <w:jc w:val="center"/>
      </w:pPr>
    </w:p>
    <w:p w14:paraId="70F134FC">
      <w:pPr>
        <w:spacing w:line="360" w:lineRule="auto"/>
        <w:jc w:val="center"/>
      </w:pPr>
    </w:p>
    <w:p w14:paraId="62F64995">
      <w:pPr>
        <w:spacing w:line="360" w:lineRule="auto"/>
        <w:jc w:val="center"/>
      </w:pPr>
    </w:p>
    <w:p w14:paraId="34806EDC">
      <w:pPr>
        <w:spacing w:line="360" w:lineRule="auto"/>
        <w:jc w:val="center"/>
      </w:pPr>
    </w:p>
    <w:p w14:paraId="3C6AF79A">
      <w:pPr>
        <w:spacing w:line="360" w:lineRule="auto"/>
        <w:jc w:val="center"/>
      </w:pPr>
    </w:p>
    <w:p w14:paraId="4E76E0FB">
      <w:pPr>
        <w:spacing w:line="360" w:lineRule="auto"/>
        <w:jc w:val="center"/>
      </w:pPr>
    </w:p>
    <w:p w14:paraId="5909B7BA">
      <w:pPr>
        <w:spacing w:line="360" w:lineRule="auto"/>
        <w:jc w:val="center"/>
      </w:pPr>
    </w:p>
    <w:p w14:paraId="692D340C">
      <w:pPr>
        <w:spacing w:line="360" w:lineRule="auto"/>
        <w:jc w:val="center"/>
      </w:pPr>
    </w:p>
    <w:p w14:paraId="48910A44">
      <w:pPr>
        <w:spacing w:line="360" w:lineRule="auto"/>
        <w:jc w:val="center"/>
      </w:pPr>
    </w:p>
    <w:p w14:paraId="3F0DAA9A">
      <w:pPr>
        <w:spacing w:line="360" w:lineRule="auto"/>
        <w:jc w:val="center"/>
      </w:pPr>
    </w:p>
    <w:p w14:paraId="5E399C85">
      <w:pPr>
        <w:spacing w:line="360" w:lineRule="auto"/>
        <w:jc w:val="center"/>
      </w:pPr>
    </w:p>
    <w:p w14:paraId="102B1C91">
      <w:pPr>
        <w:spacing w:line="360" w:lineRule="auto"/>
        <w:jc w:val="center"/>
      </w:pPr>
    </w:p>
    <w:p w14:paraId="6458346A">
      <w:pPr>
        <w:spacing w:line="360" w:lineRule="auto"/>
        <w:jc w:val="center"/>
      </w:pPr>
    </w:p>
    <w:p w14:paraId="1DD016A5">
      <w:pPr>
        <w:rPr>
          <w:rFonts w:ascii="宋体" w:hAnsi="宋体" w:cs="宋体"/>
          <w:b/>
          <w:sz w:val="28"/>
          <w:szCs w:val="20"/>
        </w:rPr>
      </w:pPr>
      <w:r>
        <w:rPr>
          <w:rFonts w:ascii="宋体" w:hAnsi="宋体" w:cs="宋体"/>
          <w:b/>
          <w:sz w:val="28"/>
          <w:szCs w:val="20"/>
        </w:rPr>
        <w:br w:type="page"/>
      </w:r>
    </w:p>
    <w:p w14:paraId="33FC294E">
      <w:pPr>
        <w:pStyle w:val="17"/>
      </w:pPr>
    </w:p>
    <w:p w14:paraId="3BBE89D6">
      <w:pPr>
        <w:keepNext w:val="0"/>
        <w:keepLines w:val="0"/>
        <w:pageBreakBefore w:val="0"/>
        <w:widowControl w:val="0"/>
        <w:kinsoku/>
        <w:wordWrap/>
        <w:overflowPunct/>
        <w:topLinePunct w:val="0"/>
        <w:autoSpaceDE/>
        <w:autoSpaceDN/>
        <w:bidi w:val="0"/>
        <w:adjustRightInd/>
        <w:snapToGrid/>
        <w:jc w:val="center"/>
        <w:textAlignment w:val="auto"/>
        <w:outlineLvl w:val="0"/>
        <w:rPr>
          <w:b/>
          <w:sz w:val="32"/>
          <w:szCs w:val="32"/>
        </w:rPr>
      </w:pPr>
      <w:r>
        <w:rPr>
          <w:rFonts w:hint="eastAsia"/>
          <w:b/>
          <w:sz w:val="32"/>
          <w:szCs w:val="32"/>
        </w:rPr>
        <w:t>一、</w:t>
      </w:r>
      <w:bookmarkEnd w:id="1"/>
      <w:r>
        <w:rPr>
          <w:rFonts w:hint="eastAsia"/>
          <w:b/>
          <w:sz w:val="32"/>
          <w:szCs w:val="32"/>
        </w:rPr>
        <w:t>谈判邀请</w:t>
      </w:r>
    </w:p>
    <w:tbl>
      <w:tblPr>
        <w:tblStyle w:val="26"/>
        <w:tblW w:w="4997" w:type="pct"/>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5"/>
        <w:gridCol w:w="2172"/>
        <w:gridCol w:w="864"/>
        <w:gridCol w:w="604"/>
        <w:gridCol w:w="235"/>
        <w:gridCol w:w="3163"/>
      </w:tblGrid>
      <w:tr w14:paraId="23058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871" w:type="pct"/>
            <w:tcBorders>
              <w:top w:val="single" w:color="auto" w:sz="4" w:space="0"/>
              <w:left w:val="single" w:color="auto" w:sz="4" w:space="0"/>
              <w:bottom w:val="single" w:color="auto" w:sz="4" w:space="0"/>
              <w:right w:val="single" w:color="auto" w:sz="4" w:space="0"/>
            </w:tcBorders>
            <w:vAlign w:val="center"/>
          </w:tcPr>
          <w:p w14:paraId="6C2981FF">
            <w:pPr>
              <w:jc w:val="center"/>
              <w:rPr>
                <w:rFonts w:ascii="宋体" w:hAnsi="宋体"/>
                <w:szCs w:val="21"/>
              </w:rPr>
            </w:pPr>
            <w:r>
              <w:rPr>
                <w:rFonts w:hint="eastAsia" w:ascii="宋体" w:hAnsi="宋体"/>
                <w:szCs w:val="21"/>
              </w:rPr>
              <w:t>项目名称</w:t>
            </w:r>
          </w:p>
        </w:tc>
        <w:tc>
          <w:tcPr>
            <w:tcW w:w="4128" w:type="pct"/>
            <w:gridSpan w:val="5"/>
            <w:tcBorders>
              <w:top w:val="single" w:color="auto" w:sz="4" w:space="0"/>
              <w:left w:val="single" w:color="auto" w:sz="4" w:space="0"/>
              <w:bottom w:val="single" w:color="auto" w:sz="4" w:space="0"/>
              <w:right w:val="single" w:color="auto" w:sz="4" w:space="0"/>
            </w:tcBorders>
            <w:vAlign w:val="center"/>
          </w:tcPr>
          <w:p w14:paraId="336B89D5">
            <w:pPr>
              <w:jc w:val="center"/>
              <w:rPr>
                <w:rFonts w:hint="eastAsia" w:ascii="宋体" w:hAnsi="宋体"/>
                <w:szCs w:val="21"/>
              </w:rPr>
            </w:pPr>
            <w:r>
              <w:rPr>
                <w:rFonts w:hint="eastAsia" w:ascii="宋体" w:hAnsi="宋体"/>
                <w:szCs w:val="21"/>
              </w:rPr>
              <w:t>扬州大学附属医院</w:t>
            </w:r>
          </w:p>
          <w:p w14:paraId="7A7FCDC2">
            <w:pPr>
              <w:jc w:val="center"/>
              <w:rPr>
                <w:rFonts w:ascii="宋体" w:hAnsi="宋体"/>
                <w:szCs w:val="21"/>
              </w:rPr>
            </w:pPr>
            <w:r>
              <w:rPr>
                <w:rFonts w:hint="eastAsia" w:ascii="宋体" w:hAnsi="宋体"/>
                <w:szCs w:val="21"/>
              </w:rPr>
              <w:t>京沪高级医学中心电动窗帘纱帘、隔帘、卷帘采购安装项目</w:t>
            </w:r>
          </w:p>
        </w:tc>
      </w:tr>
      <w:tr w14:paraId="7406F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871" w:type="pct"/>
            <w:tcBorders>
              <w:top w:val="single" w:color="auto" w:sz="4" w:space="0"/>
              <w:left w:val="single" w:color="auto" w:sz="4" w:space="0"/>
              <w:bottom w:val="single" w:color="auto" w:sz="4" w:space="0"/>
              <w:right w:val="single" w:color="auto" w:sz="4" w:space="0"/>
            </w:tcBorders>
            <w:vAlign w:val="center"/>
          </w:tcPr>
          <w:p w14:paraId="7EF63E14">
            <w:pPr>
              <w:jc w:val="center"/>
              <w:rPr>
                <w:rFonts w:ascii="宋体" w:hAnsi="宋体"/>
                <w:szCs w:val="21"/>
              </w:rPr>
            </w:pPr>
            <w:r>
              <w:rPr>
                <w:rFonts w:hint="eastAsia" w:ascii="宋体" w:hAnsi="宋体"/>
                <w:szCs w:val="21"/>
              </w:rPr>
              <w:t>服务地点</w:t>
            </w:r>
          </w:p>
        </w:tc>
        <w:tc>
          <w:tcPr>
            <w:tcW w:w="4128" w:type="pct"/>
            <w:gridSpan w:val="5"/>
            <w:tcBorders>
              <w:top w:val="single" w:color="auto" w:sz="4" w:space="0"/>
              <w:left w:val="single" w:color="auto" w:sz="4" w:space="0"/>
              <w:bottom w:val="single" w:color="auto" w:sz="4" w:space="0"/>
              <w:right w:val="single" w:color="auto" w:sz="4" w:space="0"/>
            </w:tcBorders>
            <w:vAlign w:val="center"/>
          </w:tcPr>
          <w:p w14:paraId="36E39688">
            <w:pPr>
              <w:rPr>
                <w:rFonts w:hint="eastAsia" w:ascii="宋体" w:hAnsi="宋体" w:eastAsia="宋体"/>
                <w:b/>
                <w:szCs w:val="21"/>
                <w:lang w:val="en-US" w:eastAsia="zh-CN"/>
              </w:rPr>
            </w:pPr>
            <w:r>
              <w:rPr>
                <w:rFonts w:hint="eastAsia" w:ascii="宋体" w:hAnsi="宋体"/>
                <w:bCs/>
                <w:szCs w:val="21"/>
              </w:rPr>
              <w:t>扬州大学附属医院</w:t>
            </w:r>
            <w:r>
              <w:rPr>
                <w:rFonts w:hint="eastAsia" w:ascii="宋体" w:hAnsi="宋体"/>
                <w:bCs/>
                <w:szCs w:val="21"/>
                <w:lang w:val="en-US" w:eastAsia="zh-CN"/>
              </w:rPr>
              <w:t>十二病区</w:t>
            </w:r>
          </w:p>
        </w:tc>
      </w:tr>
      <w:tr w14:paraId="53DB8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trPr>
        <w:tc>
          <w:tcPr>
            <w:tcW w:w="871" w:type="pct"/>
            <w:tcBorders>
              <w:top w:val="single" w:color="auto" w:sz="4" w:space="0"/>
              <w:left w:val="single" w:color="auto" w:sz="4" w:space="0"/>
              <w:bottom w:val="single" w:color="auto" w:sz="4" w:space="0"/>
              <w:right w:val="single" w:color="auto" w:sz="4" w:space="0"/>
            </w:tcBorders>
            <w:vAlign w:val="center"/>
          </w:tcPr>
          <w:p w14:paraId="19C16387">
            <w:pPr>
              <w:jc w:val="center"/>
              <w:rPr>
                <w:rFonts w:ascii="宋体" w:hAnsi="宋体"/>
                <w:szCs w:val="21"/>
              </w:rPr>
            </w:pPr>
            <w:r>
              <w:rPr>
                <w:rFonts w:hint="eastAsia" w:ascii="宋体" w:hAnsi="宋体"/>
                <w:szCs w:val="21"/>
              </w:rPr>
              <w:t>承包方式</w:t>
            </w:r>
          </w:p>
        </w:tc>
        <w:tc>
          <w:tcPr>
            <w:tcW w:w="1274" w:type="pct"/>
            <w:tcBorders>
              <w:top w:val="single" w:color="auto" w:sz="4" w:space="0"/>
              <w:left w:val="single" w:color="auto" w:sz="4" w:space="0"/>
              <w:bottom w:val="single" w:color="auto" w:sz="4" w:space="0"/>
              <w:right w:val="single" w:color="auto" w:sz="4" w:space="0"/>
            </w:tcBorders>
            <w:vAlign w:val="center"/>
          </w:tcPr>
          <w:p w14:paraId="7DF98A3D">
            <w:pPr>
              <w:spacing w:line="320" w:lineRule="exact"/>
              <w:rPr>
                <w:rFonts w:ascii="宋体" w:hAnsi="宋体"/>
                <w:szCs w:val="21"/>
              </w:rPr>
            </w:pPr>
            <w:r>
              <w:rPr>
                <w:rFonts w:hint="eastAsia" w:ascii="宋体" w:hAnsi="宋体"/>
                <w:szCs w:val="21"/>
              </w:rPr>
              <w:t>/</w:t>
            </w:r>
          </w:p>
        </w:tc>
        <w:tc>
          <w:tcPr>
            <w:tcW w:w="861" w:type="pct"/>
            <w:gridSpan w:val="2"/>
            <w:tcBorders>
              <w:top w:val="single" w:color="auto" w:sz="4" w:space="0"/>
              <w:left w:val="single" w:color="auto" w:sz="4" w:space="0"/>
              <w:bottom w:val="single" w:color="auto" w:sz="4" w:space="0"/>
              <w:right w:val="single" w:color="auto" w:sz="4" w:space="0"/>
            </w:tcBorders>
            <w:vAlign w:val="center"/>
          </w:tcPr>
          <w:p w14:paraId="3C30A5C1">
            <w:pPr>
              <w:jc w:val="center"/>
              <w:rPr>
                <w:rFonts w:ascii="宋体" w:hAnsi="宋体"/>
                <w:szCs w:val="21"/>
              </w:rPr>
            </w:pPr>
            <w:r>
              <w:rPr>
                <w:rFonts w:hint="eastAsia" w:ascii="宋体" w:hAnsi="宋体"/>
                <w:szCs w:val="21"/>
              </w:rPr>
              <w:t>质量标准</w:t>
            </w:r>
          </w:p>
        </w:tc>
        <w:tc>
          <w:tcPr>
            <w:tcW w:w="1993" w:type="pct"/>
            <w:gridSpan w:val="2"/>
            <w:tcBorders>
              <w:top w:val="single" w:color="auto" w:sz="4" w:space="0"/>
              <w:left w:val="single" w:color="auto" w:sz="4" w:space="0"/>
              <w:bottom w:val="single" w:color="auto" w:sz="4" w:space="0"/>
              <w:right w:val="single" w:color="auto" w:sz="4" w:space="0"/>
            </w:tcBorders>
            <w:vAlign w:val="center"/>
          </w:tcPr>
          <w:p w14:paraId="4546E612">
            <w:pPr>
              <w:jc w:val="center"/>
              <w:rPr>
                <w:rFonts w:ascii="宋体" w:hAnsi="宋体"/>
                <w:szCs w:val="21"/>
              </w:rPr>
            </w:pPr>
            <w:r>
              <w:rPr>
                <w:rFonts w:hint="eastAsia" w:ascii="宋体" w:hAnsi="宋体"/>
                <w:szCs w:val="21"/>
              </w:rPr>
              <w:t>合 格</w:t>
            </w:r>
          </w:p>
        </w:tc>
      </w:tr>
      <w:tr w14:paraId="7BDE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trPr>
        <w:tc>
          <w:tcPr>
            <w:tcW w:w="871" w:type="pct"/>
            <w:tcBorders>
              <w:top w:val="single" w:color="auto" w:sz="4" w:space="0"/>
              <w:left w:val="single" w:color="auto" w:sz="4" w:space="0"/>
              <w:bottom w:val="single" w:color="auto" w:sz="4" w:space="0"/>
              <w:right w:val="single" w:color="auto" w:sz="4" w:space="0"/>
            </w:tcBorders>
            <w:vAlign w:val="center"/>
          </w:tcPr>
          <w:p w14:paraId="51255E89">
            <w:pPr>
              <w:jc w:val="center"/>
              <w:rPr>
                <w:rFonts w:ascii="宋体" w:hAnsi="宋体"/>
                <w:color w:val="auto"/>
                <w:szCs w:val="21"/>
              </w:rPr>
            </w:pPr>
            <w:r>
              <w:rPr>
                <w:rFonts w:hint="eastAsia" w:ascii="宋体" w:hAnsi="宋体"/>
                <w:color w:val="auto"/>
                <w:szCs w:val="21"/>
              </w:rPr>
              <w:t>预算价</w:t>
            </w:r>
          </w:p>
        </w:tc>
        <w:tc>
          <w:tcPr>
            <w:tcW w:w="1274" w:type="pct"/>
            <w:tcBorders>
              <w:top w:val="single" w:color="auto" w:sz="4" w:space="0"/>
              <w:left w:val="single" w:color="auto" w:sz="4" w:space="0"/>
              <w:bottom w:val="single" w:color="auto" w:sz="4" w:space="0"/>
              <w:right w:val="single" w:color="auto" w:sz="4" w:space="0"/>
            </w:tcBorders>
            <w:vAlign w:val="center"/>
          </w:tcPr>
          <w:p w14:paraId="17A0D40E">
            <w:pPr>
              <w:spacing w:line="320" w:lineRule="exact"/>
              <w:rPr>
                <w:rFonts w:ascii="宋体" w:hAnsi="宋体"/>
                <w:color w:val="auto"/>
                <w:szCs w:val="21"/>
              </w:rPr>
            </w:pPr>
            <w:r>
              <w:rPr>
                <w:rFonts w:hint="eastAsia" w:ascii="宋体" w:hAnsi="宋体"/>
                <w:color w:val="auto"/>
                <w:szCs w:val="21"/>
                <w:lang w:val="en-US" w:eastAsia="zh-CN"/>
              </w:rPr>
              <w:t>15</w:t>
            </w:r>
            <w:r>
              <w:rPr>
                <w:rFonts w:hint="eastAsia" w:ascii="宋体" w:hAnsi="宋体"/>
                <w:color w:val="auto"/>
                <w:szCs w:val="21"/>
              </w:rPr>
              <w:t>万</w:t>
            </w:r>
          </w:p>
        </w:tc>
        <w:tc>
          <w:tcPr>
            <w:tcW w:w="861" w:type="pct"/>
            <w:gridSpan w:val="2"/>
            <w:tcBorders>
              <w:top w:val="single" w:color="auto" w:sz="4" w:space="0"/>
              <w:left w:val="single" w:color="auto" w:sz="4" w:space="0"/>
              <w:right w:val="single" w:color="auto" w:sz="4" w:space="0"/>
            </w:tcBorders>
            <w:vAlign w:val="center"/>
          </w:tcPr>
          <w:p w14:paraId="14F87CE0">
            <w:pPr>
              <w:jc w:val="center"/>
              <w:rPr>
                <w:rFonts w:ascii="宋体" w:hAnsi="宋体"/>
                <w:szCs w:val="21"/>
              </w:rPr>
            </w:pPr>
            <w:r>
              <w:rPr>
                <w:rFonts w:hint="eastAsia" w:ascii="宋体" w:hAnsi="宋体"/>
                <w:szCs w:val="21"/>
              </w:rPr>
              <w:t>标书工本费</w:t>
            </w:r>
          </w:p>
        </w:tc>
        <w:tc>
          <w:tcPr>
            <w:tcW w:w="1993" w:type="pct"/>
            <w:gridSpan w:val="2"/>
            <w:tcBorders>
              <w:top w:val="single" w:color="auto" w:sz="4" w:space="0"/>
              <w:left w:val="single" w:color="auto" w:sz="4" w:space="0"/>
              <w:bottom w:val="single" w:color="auto" w:sz="4" w:space="0"/>
              <w:right w:val="single" w:color="auto" w:sz="4" w:space="0"/>
            </w:tcBorders>
            <w:vAlign w:val="center"/>
          </w:tcPr>
          <w:p w14:paraId="09358737">
            <w:pPr>
              <w:jc w:val="center"/>
              <w:rPr>
                <w:rFonts w:ascii="宋体" w:hAnsi="宋体"/>
                <w:szCs w:val="21"/>
              </w:rPr>
            </w:pPr>
            <w:r>
              <w:rPr>
                <w:rFonts w:hint="eastAsia" w:ascii="宋体" w:hAnsi="宋体"/>
                <w:szCs w:val="21"/>
              </w:rPr>
              <w:t>/</w:t>
            </w:r>
          </w:p>
        </w:tc>
      </w:tr>
      <w:tr w14:paraId="2325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871" w:type="pct"/>
            <w:tcBorders>
              <w:top w:val="single" w:color="auto" w:sz="4" w:space="0"/>
              <w:left w:val="single" w:color="auto" w:sz="4" w:space="0"/>
              <w:bottom w:val="single" w:color="auto" w:sz="4" w:space="0"/>
              <w:right w:val="single" w:color="auto" w:sz="4" w:space="0"/>
            </w:tcBorders>
            <w:vAlign w:val="center"/>
          </w:tcPr>
          <w:p w14:paraId="4545F4FC">
            <w:pPr>
              <w:jc w:val="center"/>
              <w:rPr>
                <w:rFonts w:ascii="宋体" w:hAnsi="宋体"/>
                <w:szCs w:val="21"/>
              </w:rPr>
            </w:pPr>
            <w:r>
              <w:rPr>
                <w:rFonts w:hint="eastAsia"/>
                <w:szCs w:val="21"/>
              </w:rPr>
              <w:t>投标文件要求</w:t>
            </w:r>
          </w:p>
        </w:tc>
        <w:tc>
          <w:tcPr>
            <w:tcW w:w="4128" w:type="pct"/>
            <w:gridSpan w:val="5"/>
            <w:tcBorders>
              <w:top w:val="single" w:color="auto" w:sz="4" w:space="0"/>
              <w:left w:val="single" w:color="auto" w:sz="4" w:space="0"/>
              <w:bottom w:val="single" w:color="auto" w:sz="4" w:space="0"/>
              <w:right w:val="single" w:color="auto" w:sz="4" w:space="0"/>
            </w:tcBorders>
            <w:vAlign w:val="center"/>
          </w:tcPr>
          <w:p w14:paraId="09268D26">
            <w:pPr>
              <w:spacing w:line="360" w:lineRule="auto"/>
              <w:rPr>
                <w:rFonts w:ascii="宋体" w:hAnsi="宋体"/>
                <w:szCs w:val="21"/>
              </w:rPr>
            </w:pPr>
            <w:r>
              <w:rPr>
                <w:rFonts w:hint="eastAsia" w:ascii="宋体" w:hAnsi="宋体"/>
                <w:szCs w:val="21"/>
              </w:rPr>
              <w:t>投标文件正本1份，副本4份；所有投标文件的封面及封袋上都必须加盖投标单位法人公章及其法定代表人或授权委托人的签字。</w:t>
            </w:r>
          </w:p>
        </w:tc>
      </w:tr>
      <w:tr w14:paraId="30FA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trPr>
        <w:tc>
          <w:tcPr>
            <w:tcW w:w="871" w:type="pct"/>
            <w:tcBorders>
              <w:top w:val="single" w:color="auto" w:sz="4" w:space="0"/>
              <w:left w:val="single" w:color="auto" w:sz="4" w:space="0"/>
              <w:bottom w:val="single" w:color="auto" w:sz="4" w:space="0"/>
              <w:right w:val="single" w:color="auto" w:sz="4" w:space="0"/>
            </w:tcBorders>
            <w:vAlign w:val="center"/>
          </w:tcPr>
          <w:p w14:paraId="0476A5F5">
            <w:pPr>
              <w:jc w:val="center"/>
              <w:rPr>
                <w:rFonts w:ascii="宋体" w:hAnsi="宋体"/>
                <w:color w:val="auto"/>
                <w:szCs w:val="21"/>
              </w:rPr>
            </w:pPr>
            <w:r>
              <w:rPr>
                <w:rFonts w:hint="eastAsia" w:ascii="宋体" w:hAnsi="宋体"/>
                <w:color w:val="auto"/>
                <w:szCs w:val="21"/>
              </w:rPr>
              <w:t>建设周期</w:t>
            </w:r>
          </w:p>
        </w:tc>
        <w:tc>
          <w:tcPr>
            <w:tcW w:w="1274" w:type="pct"/>
            <w:tcBorders>
              <w:top w:val="single" w:color="auto" w:sz="4" w:space="0"/>
              <w:left w:val="single" w:color="auto" w:sz="4" w:space="0"/>
              <w:bottom w:val="single" w:color="auto" w:sz="4" w:space="0"/>
              <w:right w:val="single" w:color="auto" w:sz="4" w:space="0"/>
            </w:tcBorders>
            <w:vAlign w:val="center"/>
          </w:tcPr>
          <w:p w14:paraId="7547B280">
            <w:pPr>
              <w:spacing w:line="320" w:lineRule="exact"/>
              <w:jc w:val="center"/>
              <w:rPr>
                <w:rFonts w:hint="eastAsia" w:ascii="宋体" w:hAnsi="宋体"/>
                <w:b/>
                <w:bCs/>
                <w:color w:val="auto"/>
                <w:szCs w:val="21"/>
              </w:rPr>
            </w:pPr>
            <w:r>
              <w:rPr>
                <w:rFonts w:hint="eastAsia" w:ascii="宋体" w:hAnsi="宋体"/>
                <w:b/>
                <w:bCs/>
                <w:color w:val="auto"/>
                <w:szCs w:val="21"/>
                <w:lang w:val="en-US" w:eastAsia="zh-CN"/>
              </w:rPr>
              <w:t>10</w:t>
            </w:r>
            <w:r>
              <w:rPr>
                <w:rFonts w:hint="eastAsia" w:ascii="宋体" w:hAnsi="宋体"/>
                <w:b/>
                <w:bCs/>
                <w:color w:val="auto"/>
                <w:szCs w:val="21"/>
              </w:rPr>
              <w:t>个日历天</w:t>
            </w:r>
          </w:p>
          <w:p w14:paraId="075CF432">
            <w:pPr>
              <w:spacing w:line="320" w:lineRule="exact"/>
              <w:jc w:val="center"/>
              <w:rPr>
                <w:rFonts w:hint="eastAsia" w:ascii="宋体" w:hAnsi="宋体" w:eastAsia="宋体"/>
                <w:color w:val="auto"/>
                <w:szCs w:val="21"/>
                <w:lang w:eastAsia="zh-CN"/>
              </w:rPr>
            </w:pPr>
            <w:r>
              <w:rPr>
                <w:rFonts w:hint="eastAsia" w:ascii="宋体" w:hAnsi="宋体"/>
                <w:b/>
                <w:bCs/>
                <w:color w:val="FF0000"/>
                <w:szCs w:val="21"/>
              </w:rPr>
              <w:t>202</w:t>
            </w:r>
            <w:r>
              <w:rPr>
                <w:rFonts w:hint="eastAsia" w:ascii="宋体" w:hAnsi="宋体"/>
                <w:b/>
                <w:bCs/>
                <w:color w:val="FF0000"/>
                <w:szCs w:val="21"/>
                <w:lang w:val="en-US" w:eastAsia="zh-CN"/>
              </w:rPr>
              <w:t>5</w:t>
            </w:r>
            <w:r>
              <w:rPr>
                <w:rFonts w:hint="eastAsia" w:ascii="宋体" w:hAnsi="宋体"/>
                <w:b/>
                <w:bCs/>
                <w:color w:val="FF0000"/>
                <w:szCs w:val="21"/>
              </w:rPr>
              <w:t>年</w:t>
            </w:r>
            <w:r>
              <w:rPr>
                <w:rFonts w:hint="eastAsia" w:ascii="宋体" w:hAnsi="宋体"/>
                <w:b/>
                <w:bCs/>
                <w:color w:val="FF0000"/>
                <w:szCs w:val="21"/>
                <w:lang w:val="en-US" w:eastAsia="zh-CN"/>
              </w:rPr>
              <w:t>6</w:t>
            </w:r>
            <w:r>
              <w:rPr>
                <w:rFonts w:hint="eastAsia" w:ascii="宋体" w:hAnsi="宋体"/>
                <w:b/>
                <w:bCs/>
                <w:color w:val="FF0000"/>
                <w:szCs w:val="21"/>
              </w:rPr>
              <w:t>月15日前</w:t>
            </w:r>
            <w:r>
              <w:rPr>
                <w:rFonts w:hint="eastAsia" w:ascii="宋体" w:hAnsi="宋体"/>
                <w:b/>
                <w:bCs/>
                <w:color w:val="FF0000"/>
                <w:szCs w:val="21"/>
                <w:lang w:eastAsia="zh-CN"/>
              </w:rPr>
              <w:t>，</w:t>
            </w:r>
            <w:r>
              <w:rPr>
                <w:rFonts w:hint="eastAsia" w:ascii="宋体" w:hAnsi="宋体"/>
                <w:b/>
                <w:bCs/>
                <w:color w:val="FF0000"/>
                <w:szCs w:val="21"/>
              </w:rPr>
              <w:t>供货安装</w:t>
            </w:r>
            <w:r>
              <w:rPr>
                <w:rFonts w:hint="eastAsia" w:ascii="宋体" w:hAnsi="宋体"/>
                <w:b/>
                <w:bCs/>
                <w:color w:val="FF0000"/>
                <w:szCs w:val="21"/>
                <w:lang w:val="en-US" w:eastAsia="zh-CN"/>
              </w:rPr>
              <w:t>调试</w:t>
            </w:r>
            <w:r>
              <w:rPr>
                <w:rFonts w:hint="eastAsia" w:ascii="宋体" w:hAnsi="宋体"/>
                <w:b/>
                <w:bCs/>
                <w:color w:val="FF0000"/>
                <w:szCs w:val="21"/>
              </w:rPr>
              <w:t>到位</w:t>
            </w:r>
            <w:r>
              <w:rPr>
                <w:rFonts w:hint="eastAsia" w:ascii="宋体" w:hAnsi="宋体"/>
                <w:b/>
                <w:bCs/>
                <w:color w:val="FF0000"/>
                <w:szCs w:val="21"/>
                <w:lang w:eastAsia="zh-CN"/>
              </w:rPr>
              <w:t>。</w:t>
            </w:r>
          </w:p>
        </w:tc>
        <w:tc>
          <w:tcPr>
            <w:tcW w:w="861" w:type="pct"/>
            <w:gridSpan w:val="2"/>
            <w:tcBorders>
              <w:top w:val="single" w:color="auto" w:sz="4" w:space="0"/>
              <w:left w:val="single" w:color="auto" w:sz="4" w:space="0"/>
              <w:right w:val="single" w:color="auto" w:sz="4" w:space="0"/>
            </w:tcBorders>
            <w:vAlign w:val="center"/>
          </w:tcPr>
          <w:p w14:paraId="2576E2FC">
            <w:pPr>
              <w:jc w:val="center"/>
              <w:rPr>
                <w:rFonts w:ascii="宋体" w:hAnsi="宋体"/>
                <w:color w:val="auto"/>
                <w:szCs w:val="21"/>
                <w:highlight w:val="none"/>
              </w:rPr>
            </w:pPr>
            <w:r>
              <w:rPr>
                <w:rFonts w:hint="eastAsia" w:ascii="宋体" w:hAnsi="宋体"/>
                <w:color w:val="auto"/>
                <w:szCs w:val="21"/>
                <w:highlight w:val="none"/>
              </w:rPr>
              <w:t>付款方式</w:t>
            </w:r>
          </w:p>
        </w:tc>
        <w:tc>
          <w:tcPr>
            <w:tcW w:w="1993" w:type="pct"/>
            <w:gridSpan w:val="2"/>
            <w:tcBorders>
              <w:top w:val="single" w:color="auto" w:sz="4" w:space="0"/>
              <w:left w:val="single" w:color="auto" w:sz="4" w:space="0"/>
              <w:bottom w:val="single" w:color="auto" w:sz="4" w:space="0"/>
              <w:right w:val="single" w:color="auto" w:sz="4" w:space="0"/>
            </w:tcBorders>
            <w:vAlign w:val="center"/>
          </w:tcPr>
          <w:p w14:paraId="6FA5974A">
            <w:pPr>
              <w:jc w:val="left"/>
              <w:rPr>
                <w:rFonts w:ascii="宋体" w:hAnsi="宋体"/>
                <w:color w:val="auto"/>
                <w:szCs w:val="21"/>
                <w:highlight w:val="none"/>
              </w:rPr>
            </w:pPr>
            <w:r>
              <w:rPr>
                <w:rFonts w:hint="eastAsia" w:ascii="宋体" w:hAnsi="宋体"/>
                <w:b/>
                <w:bCs/>
                <w:color w:val="auto"/>
                <w:szCs w:val="21"/>
                <w:highlight w:val="none"/>
              </w:rPr>
              <w:t>合同签订后电动窗帘</w:t>
            </w:r>
            <w:r>
              <w:rPr>
                <w:rFonts w:hint="eastAsia" w:ascii="宋体" w:hAnsi="宋体"/>
                <w:b/>
                <w:bCs/>
                <w:color w:val="auto"/>
                <w:szCs w:val="21"/>
                <w:highlight w:val="none"/>
                <w:lang w:eastAsia="zh-CN"/>
              </w:rPr>
              <w:t>、</w:t>
            </w:r>
            <w:r>
              <w:rPr>
                <w:rFonts w:hint="eastAsia" w:ascii="宋体" w:hAnsi="宋体"/>
                <w:b/>
                <w:bCs/>
                <w:color w:val="auto"/>
                <w:szCs w:val="21"/>
                <w:highlight w:val="none"/>
                <w:lang w:val="en-US" w:eastAsia="zh-CN"/>
              </w:rPr>
              <w:t>电动</w:t>
            </w:r>
            <w:r>
              <w:rPr>
                <w:rFonts w:hint="eastAsia" w:ascii="宋体" w:hAnsi="宋体"/>
                <w:b/>
                <w:bCs/>
                <w:color w:val="auto"/>
                <w:szCs w:val="21"/>
                <w:highlight w:val="none"/>
              </w:rPr>
              <w:t>纱帘、隔帘、卷帘制作完毕安装结束，甲方一次性验收合格后，乙方可开具正规增值税票据交由甲方办理付款手续，甲方凭手续齐全的单据向乙方支付合同总价的</w:t>
            </w:r>
            <w:r>
              <w:rPr>
                <w:rFonts w:hint="eastAsia" w:ascii="宋体" w:hAnsi="宋体"/>
                <w:b/>
                <w:bCs/>
                <w:color w:val="auto"/>
                <w:szCs w:val="21"/>
                <w:highlight w:val="none"/>
                <w:lang w:val="en-US" w:eastAsia="zh-CN"/>
              </w:rPr>
              <w:t>100</w:t>
            </w:r>
            <w:r>
              <w:rPr>
                <w:rFonts w:hint="eastAsia" w:ascii="宋体" w:hAnsi="宋体"/>
                <w:b/>
                <w:bCs/>
                <w:color w:val="auto"/>
                <w:szCs w:val="21"/>
                <w:highlight w:val="none"/>
              </w:rPr>
              <w:t>%货款</w:t>
            </w:r>
            <w:r>
              <w:rPr>
                <w:rFonts w:hint="eastAsia" w:ascii="宋体" w:hAnsi="宋体"/>
                <w:b/>
                <w:bCs/>
                <w:color w:val="auto"/>
                <w:szCs w:val="21"/>
                <w:highlight w:val="none"/>
                <w:lang w:eastAsia="zh-CN"/>
              </w:rPr>
              <w:t>。</w:t>
            </w:r>
            <w:r>
              <w:rPr>
                <w:rFonts w:hint="eastAsia" w:ascii="宋体" w:hAnsi="宋体"/>
                <w:b/>
                <w:bCs/>
                <w:color w:val="auto"/>
                <w:szCs w:val="21"/>
                <w:highlight w:val="none"/>
              </w:rPr>
              <w:t>（以上均不计息）。</w:t>
            </w:r>
          </w:p>
        </w:tc>
      </w:tr>
      <w:tr w14:paraId="1E1CB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trPr>
        <w:tc>
          <w:tcPr>
            <w:tcW w:w="871" w:type="pct"/>
            <w:tcBorders>
              <w:top w:val="single" w:color="auto" w:sz="4" w:space="0"/>
              <w:left w:val="single" w:color="auto" w:sz="4" w:space="0"/>
              <w:bottom w:val="single" w:color="auto" w:sz="4" w:space="0"/>
              <w:right w:val="single" w:color="auto" w:sz="4" w:space="0"/>
            </w:tcBorders>
            <w:vAlign w:val="center"/>
          </w:tcPr>
          <w:p w14:paraId="2E0F8806">
            <w:pPr>
              <w:jc w:val="center"/>
              <w:rPr>
                <w:rFonts w:hint="default" w:ascii="宋体" w:hAnsi="宋体" w:eastAsia="宋体"/>
                <w:color w:val="auto"/>
                <w:szCs w:val="21"/>
                <w:lang w:val="en-US" w:eastAsia="zh-CN"/>
              </w:rPr>
            </w:pPr>
            <w:r>
              <w:rPr>
                <w:rFonts w:hint="eastAsia" w:ascii="宋体" w:hAnsi="宋体"/>
                <w:color w:val="auto"/>
                <w:szCs w:val="21"/>
                <w:lang w:val="en-US" w:eastAsia="zh-CN"/>
              </w:rPr>
              <w:t>履约保证金</w:t>
            </w:r>
          </w:p>
        </w:tc>
        <w:tc>
          <w:tcPr>
            <w:tcW w:w="4128" w:type="pct"/>
            <w:gridSpan w:val="5"/>
            <w:tcBorders>
              <w:top w:val="single" w:color="auto" w:sz="4" w:space="0"/>
              <w:left w:val="single" w:color="auto" w:sz="4" w:space="0"/>
              <w:bottom w:val="single" w:color="auto" w:sz="4" w:space="0"/>
              <w:right w:val="single" w:color="auto" w:sz="4" w:space="0"/>
            </w:tcBorders>
            <w:vAlign w:val="center"/>
          </w:tcPr>
          <w:p w14:paraId="6BF51A9B">
            <w:pPr>
              <w:jc w:val="left"/>
              <w:rPr>
                <w:rFonts w:hint="default" w:ascii="宋体" w:hAnsi="宋体" w:eastAsia="宋体"/>
                <w:b/>
                <w:bCs/>
                <w:color w:val="auto"/>
                <w:szCs w:val="21"/>
                <w:highlight w:val="none"/>
                <w:lang w:val="en-US" w:eastAsia="zh-CN"/>
              </w:rPr>
            </w:pPr>
            <w:r>
              <w:rPr>
                <w:rFonts w:hint="eastAsia" w:ascii="宋体" w:hAnsi="宋体"/>
                <w:b/>
                <w:bCs/>
                <w:color w:val="auto"/>
                <w:szCs w:val="21"/>
                <w:highlight w:val="none"/>
                <w:lang w:val="en-US" w:eastAsia="zh-CN"/>
              </w:rPr>
              <w:t>中标单位签订合同前需缴纳合同价的10%履约保证金，待项目质保期（2年）满后无息退还。</w:t>
            </w:r>
          </w:p>
        </w:tc>
      </w:tr>
      <w:tr w14:paraId="44F11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71" w:type="pct"/>
            <w:tcBorders>
              <w:top w:val="single" w:color="auto" w:sz="4" w:space="0"/>
              <w:left w:val="single" w:color="auto" w:sz="4" w:space="0"/>
              <w:bottom w:val="single" w:color="auto" w:sz="4" w:space="0"/>
              <w:right w:val="single" w:color="auto" w:sz="4" w:space="0"/>
            </w:tcBorders>
            <w:vAlign w:val="center"/>
          </w:tcPr>
          <w:p w14:paraId="45345A7A">
            <w:pPr>
              <w:spacing w:line="360" w:lineRule="auto"/>
              <w:jc w:val="center"/>
              <w:rPr>
                <w:rFonts w:ascii="宋体" w:hAnsi="宋体"/>
                <w:color w:val="auto"/>
                <w:szCs w:val="21"/>
              </w:rPr>
            </w:pPr>
            <w:r>
              <w:rPr>
                <w:rFonts w:hint="eastAsia" w:ascii="宋体" w:hAnsi="宋体"/>
                <w:color w:val="auto"/>
                <w:szCs w:val="21"/>
              </w:rPr>
              <w:t>报名截止时间</w:t>
            </w:r>
          </w:p>
        </w:tc>
        <w:tc>
          <w:tcPr>
            <w:tcW w:w="4128" w:type="pct"/>
            <w:gridSpan w:val="5"/>
            <w:tcBorders>
              <w:top w:val="single" w:color="auto" w:sz="4" w:space="0"/>
              <w:left w:val="single" w:color="auto" w:sz="4" w:space="0"/>
              <w:bottom w:val="single" w:color="auto" w:sz="4" w:space="0"/>
              <w:right w:val="single" w:color="auto" w:sz="4" w:space="0"/>
            </w:tcBorders>
            <w:vAlign w:val="center"/>
          </w:tcPr>
          <w:p w14:paraId="5D94AB83">
            <w:pPr>
              <w:spacing w:line="360" w:lineRule="auto"/>
              <w:rPr>
                <w:rFonts w:ascii="宋体" w:hAnsi="宋体"/>
                <w:color w:val="auto"/>
                <w:szCs w:val="21"/>
                <w:highlight w:val="yellow"/>
              </w:rPr>
            </w:pPr>
            <w:r>
              <w:rPr>
                <w:rFonts w:hint="eastAsia" w:ascii="宋体" w:hAnsi="宋体"/>
                <w:color w:val="auto"/>
                <w:szCs w:val="21"/>
              </w:rPr>
              <w:t>2025年</w:t>
            </w:r>
            <w:r>
              <w:rPr>
                <w:rFonts w:hint="eastAsia" w:ascii="宋体" w:hAnsi="宋体"/>
                <w:color w:val="auto"/>
                <w:szCs w:val="21"/>
                <w:lang w:val="en-US" w:eastAsia="zh-CN"/>
              </w:rPr>
              <w:t>6</w:t>
            </w:r>
            <w:r>
              <w:rPr>
                <w:rFonts w:hint="eastAsia" w:ascii="宋体" w:hAnsi="宋体"/>
                <w:color w:val="auto"/>
                <w:szCs w:val="21"/>
              </w:rPr>
              <w:t>月</w:t>
            </w:r>
            <w:r>
              <w:rPr>
                <w:rFonts w:hint="eastAsia" w:ascii="宋体" w:hAnsi="宋体"/>
                <w:color w:val="auto"/>
                <w:szCs w:val="21"/>
                <w:lang w:val="en-US" w:eastAsia="zh-CN"/>
              </w:rPr>
              <w:t>3</w:t>
            </w:r>
            <w:r>
              <w:rPr>
                <w:rFonts w:hint="eastAsia" w:ascii="宋体" w:hAnsi="宋体"/>
                <w:color w:val="auto"/>
                <w:szCs w:val="21"/>
              </w:rPr>
              <w:t>日1</w:t>
            </w:r>
            <w:r>
              <w:rPr>
                <w:rFonts w:hint="eastAsia" w:ascii="宋体" w:hAnsi="宋体"/>
                <w:color w:val="auto"/>
                <w:szCs w:val="21"/>
                <w:lang w:val="en-US" w:eastAsia="zh-CN"/>
              </w:rPr>
              <w:t>8</w:t>
            </w:r>
            <w:r>
              <w:rPr>
                <w:rFonts w:hint="eastAsia" w:ascii="宋体" w:hAnsi="宋体"/>
                <w:color w:val="auto"/>
                <w:szCs w:val="21"/>
              </w:rPr>
              <w:t>：00</w:t>
            </w:r>
          </w:p>
        </w:tc>
      </w:tr>
      <w:tr w14:paraId="50827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trPr>
        <w:tc>
          <w:tcPr>
            <w:tcW w:w="871" w:type="pct"/>
            <w:tcBorders>
              <w:top w:val="single" w:color="auto" w:sz="4" w:space="0"/>
              <w:left w:val="single" w:color="auto" w:sz="4" w:space="0"/>
              <w:bottom w:val="single" w:color="auto" w:sz="4" w:space="0"/>
              <w:right w:val="single" w:color="auto" w:sz="4" w:space="0"/>
            </w:tcBorders>
            <w:vAlign w:val="center"/>
          </w:tcPr>
          <w:p w14:paraId="52D02DCC">
            <w:pPr>
              <w:spacing w:line="360" w:lineRule="auto"/>
              <w:jc w:val="center"/>
              <w:rPr>
                <w:rFonts w:ascii="宋体" w:hAnsi="宋体"/>
                <w:szCs w:val="21"/>
              </w:rPr>
            </w:pPr>
            <w:r>
              <w:rPr>
                <w:rFonts w:hint="eastAsia" w:ascii="宋体" w:hAnsi="宋体"/>
                <w:szCs w:val="21"/>
              </w:rPr>
              <w:t>文件递交地址</w:t>
            </w:r>
          </w:p>
        </w:tc>
        <w:tc>
          <w:tcPr>
            <w:tcW w:w="4128" w:type="pct"/>
            <w:gridSpan w:val="5"/>
            <w:tcBorders>
              <w:top w:val="single" w:color="auto" w:sz="4" w:space="0"/>
              <w:left w:val="single" w:color="auto" w:sz="4" w:space="0"/>
              <w:bottom w:val="single" w:color="auto" w:sz="4" w:space="0"/>
              <w:right w:val="single" w:color="auto" w:sz="4" w:space="0"/>
            </w:tcBorders>
            <w:vAlign w:val="center"/>
          </w:tcPr>
          <w:p w14:paraId="25623272">
            <w:pPr>
              <w:spacing w:line="360" w:lineRule="auto"/>
              <w:rPr>
                <w:rFonts w:ascii="宋体" w:hAnsi="宋体"/>
                <w:szCs w:val="21"/>
              </w:rPr>
            </w:pPr>
            <w:r>
              <w:rPr>
                <w:rFonts w:hint="eastAsia" w:ascii="宋体" w:hAnsi="宋体"/>
                <w:szCs w:val="21"/>
              </w:rPr>
              <w:t>扬大附院西区行政楼</w:t>
            </w:r>
            <w:r>
              <w:rPr>
                <w:rFonts w:hint="eastAsia" w:ascii="宋体" w:hAnsi="宋体"/>
                <w:szCs w:val="21"/>
                <w:lang w:val="en-US" w:eastAsia="zh-CN"/>
              </w:rPr>
              <w:t>407</w:t>
            </w:r>
            <w:r>
              <w:rPr>
                <w:rFonts w:hint="eastAsia" w:ascii="宋体" w:hAnsi="宋体"/>
                <w:szCs w:val="21"/>
              </w:rPr>
              <w:t>室</w:t>
            </w:r>
          </w:p>
        </w:tc>
      </w:tr>
      <w:tr w14:paraId="56A26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871" w:type="pct"/>
            <w:tcBorders>
              <w:top w:val="single" w:color="auto" w:sz="4" w:space="0"/>
              <w:left w:val="single" w:color="auto" w:sz="4" w:space="0"/>
              <w:bottom w:val="single" w:color="auto" w:sz="4" w:space="0"/>
              <w:right w:val="single" w:color="auto" w:sz="4" w:space="0"/>
            </w:tcBorders>
            <w:vAlign w:val="center"/>
          </w:tcPr>
          <w:p w14:paraId="05139CF8">
            <w:pPr>
              <w:spacing w:line="360" w:lineRule="auto"/>
              <w:jc w:val="center"/>
              <w:rPr>
                <w:rFonts w:ascii="宋体" w:hAnsi="宋体" w:eastAsia="微软雅黑"/>
                <w:color w:val="FF0000"/>
                <w:szCs w:val="21"/>
              </w:rPr>
            </w:pPr>
            <w:r>
              <w:rPr>
                <w:rFonts w:hint="eastAsia" w:ascii="宋体" w:hAnsi="宋体"/>
                <w:color w:val="FF0000"/>
                <w:szCs w:val="21"/>
              </w:rPr>
              <w:t>招标时间</w:t>
            </w:r>
          </w:p>
        </w:tc>
        <w:tc>
          <w:tcPr>
            <w:tcW w:w="1781" w:type="pct"/>
            <w:gridSpan w:val="2"/>
            <w:tcBorders>
              <w:top w:val="single" w:color="auto" w:sz="4" w:space="0"/>
              <w:left w:val="single" w:color="auto" w:sz="4" w:space="0"/>
              <w:bottom w:val="single" w:color="auto" w:sz="4" w:space="0"/>
              <w:right w:val="single" w:color="auto" w:sz="4" w:space="0"/>
            </w:tcBorders>
            <w:vAlign w:val="center"/>
          </w:tcPr>
          <w:p w14:paraId="2B8563A6">
            <w:pPr>
              <w:spacing w:line="360" w:lineRule="auto"/>
              <w:jc w:val="center"/>
              <w:rPr>
                <w:rFonts w:ascii="宋体" w:hAnsi="宋体"/>
                <w:color w:val="FF0000"/>
                <w:szCs w:val="21"/>
              </w:rPr>
            </w:pPr>
            <w:r>
              <w:rPr>
                <w:rFonts w:hint="eastAsia" w:ascii="宋体" w:hAnsi="宋体"/>
                <w:color w:val="FF0000"/>
                <w:szCs w:val="21"/>
              </w:rPr>
              <w:t>2025年</w:t>
            </w:r>
            <w:r>
              <w:rPr>
                <w:rFonts w:hint="eastAsia" w:ascii="宋体" w:hAnsi="宋体"/>
                <w:color w:val="FF0000"/>
                <w:szCs w:val="21"/>
                <w:lang w:val="en-US" w:eastAsia="zh-CN"/>
              </w:rPr>
              <w:t>6</w:t>
            </w:r>
            <w:r>
              <w:rPr>
                <w:rFonts w:hint="eastAsia" w:ascii="宋体" w:hAnsi="宋体"/>
                <w:color w:val="FF0000"/>
                <w:szCs w:val="21"/>
              </w:rPr>
              <w:t>月</w:t>
            </w:r>
            <w:r>
              <w:rPr>
                <w:rFonts w:hint="eastAsia" w:ascii="宋体" w:hAnsi="宋体"/>
                <w:color w:val="FF0000"/>
                <w:szCs w:val="21"/>
                <w:lang w:val="en-US" w:eastAsia="zh-CN"/>
              </w:rPr>
              <w:t>4</w:t>
            </w:r>
            <w:r>
              <w:rPr>
                <w:rFonts w:hint="eastAsia" w:ascii="宋体" w:hAnsi="宋体"/>
                <w:color w:val="FF0000"/>
                <w:szCs w:val="21"/>
              </w:rPr>
              <w:t>日</w:t>
            </w:r>
            <w:r>
              <w:rPr>
                <w:rFonts w:hint="eastAsia" w:ascii="宋体" w:hAnsi="宋体"/>
                <w:color w:val="FF0000"/>
                <w:szCs w:val="21"/>
                <w:lang w:val="en-US" w:eastAsia="zh-CN"/>
              </w:rPr>
              <w:t>14：30</w:t>
            </w:r>
          </w:p>
        </w:tc>
        <w:tc>
          <w:tcPr>
            <w:tcW w:w="492" w:type="pct"/>
            <w:gridSpan w:val="2"/>
            <w:tcBorders>
              <w:top w:val="single" w:color="auto" w:sz="4" w:space="0"/>
              <w:left w:val="single" w:color="auto" w:sz="4" w:space="0"/>
              <w:bottom w:val="single" w:color="auto" w:sz="4" w:space="0"/>
              <w:right w:val="single" w:color="auto" w:sz="4" w:space="0"/>
            </w:tcBorders>
            <w:vAlign w:val="center"/>
          </w:tcPr>
          <w:p w14:paraId="66606CE6">
            <w:pPr>
              <w:spacing w:line="360" w:lineRule="auto"/>
              <w:jc w:val="center"/>
              <w:rPr>
                <w:rFonts w:ascii="宋体" w:hAnsi="宋体"/>
                <w:color w:val="FF0000"/>
                <w:szCs w:val="21"/>
              </w:rPr>
            </w:pPr>
            <w:r>
              <w:rPr>
                <w:rFonts w:hint="eastAsia" w:ascii="宋体" w:hAnsi="宋体"/>
                <w:color w:val="FF0000"/>
                <w:szCs w:val="21"/>
              </w:rPr>
              <w:t>地点</w:t>
            </w:r>
          </w:p>
        </w:tc>
        <w:tc>
          <w:tcPr>
            <w:tcW w:w="1855" w:type="pct"/>
            <w:tcBorders>
              <w:top w:val="single" w:color="auto" w:sz="4" w:space="0"/>
              <w:left w:val="single" w:color="auto" w:sz="4" w:space="0"/>
              <w:bottom w:val="single" w:color="auto" w:sz="4" w:space="0"/>
              <w:right w:val="single" w:color="auto" w:sz="4" w:space="0"/>
            </w:tcBorders>
            <w:vAlign w:val="center"/>
          </w:tcPr>
          <w:p w14:paraId="37A0E836">
            <w:pPr>
              <w:spacing w:line="360" w:lineRule="auto"/>
              <w:jc w:val="center"/>
              <w:rPr>
                <w:rFonts w:asciiTheme="minorEastAsia" w:hAnsiTheme="minorEastAsia" w:eastAsiaTheme="minorEastAsia"/>
                <w:color w:val="FF0000"/>
                <w:szCs w:val="21"/>
              </w:rPr>
            </w:pPr>
            <w:r>
              <w:rPr>
                <w:rFonts w:hint="eastAsia" w:ascii="宋体" w:hAnsi="宋体"/>
                <w:b/>
                <w:color w:val="FF0000"/>
                <w:szCs w:val="21"/>
              </w:rPr>
              <w:t>扬大附院西区行政楼</w:t>
            </w:r>
            <w:r>
              <w:rPr>
                <w:rFonts w:hint="eastAsia" w:ascii="宋体" w:hAnsi="宋体"/>
                <w:b/>
                <w:color w:val="FF0000"/>
                <w:szCs w:val="21"/>
                <w:lang w:val="en-US" w:eastAsia="zh-CN"/>
              </w:rPr>
              <w:t>407</w:t>
            </w:r>
            <w:r>
              <w:rPr>
                <w:rFonts w:hint="eastAsia" w:ascii="宋体" w:hAnsi="宋体"/>
                <w:b/>
                <w:color w:val="FF0000"/>
                <w:szCs w:val="21"/>
              </w:rPr>
              <w:t>会议室</w:t>
            </w:r>
          </w:p>
        </w:tc>
      </w:tr>
      <w:tr w14:paraId="5F3D4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871" w:type="pct"/>
            <w:tcBorders>
              <w:top w:val="single" w:color="auto" w:sz="4" w:space="0"/>
              <w:left w:val="single" w:color="auto" w:sz="4" w:space="0"/>
              <w:bottom w:val="single" w:color="auto" w:sz="4" w:space="0"/>
              <w:right w:val="single" w:color="auto" w:sz="4" w:space="0"/>
            </w:tcBorders>
            <w:vAlign w:val="center"/>
          </w:tcPr>
          <w:p w14:paraId="3A7E76A1">
            <w:pPr>
              <w:spacing w:line="360" w:lineRule="auto"/>
              <w:jc w:val="center"/>
              <w:rPr>
                <w:rFonts w:ascii="宋体" w:hAnsi="宋体"/>
                <w:szCs w:val="21"/>
              </w:rPr>
            </w:pPr>
            <w:r>
              <w:rPr>
                <w:rFonts w:hint="eastAsia" w:ascii="宋体" w:hAnsi="宋体"/>
                <w:szCs w:val="21"/>
              </w:rPr>
              <w:t>联系方式</w:t>
            </w:r>
          </w:p>
        </w:tc>
        <w:tc>
          <w:tcPr>
            <w:tcW w:w="4128" w:type="pct"/>
            <w:gridSpan w:val="5"/>
            <w:tcBorders>
              <w:top w:val="single" w:color="auto" w:sz="4" w:space="0"/>
              <w:left w:val="single" w:color="auto" w:sz="4" w:space="0"/>
              <w:bottom w:val="single" w:color="auto" w:sz="4" w:space="0"/>
              <w:right w:val="single" w:color="auto" w:sz="4" w:space="0"/>
            </w:tcBorders>
            <w:vAlign w:val="center"/>
          </w:tcPr>
          <w:p w14:paraId="1C072442">
            <w:pPr>
              <w:adjustRightInd w:val="0"/>
              <w:snapToGrid w:val="0"/>
              <w:spacing w:line="360" w:lineRule="auto"/>
              <w:contextualSpacing/>
              <w:rPr>
                <w:rFonts w:ascii="宋体" w:hAnsi="宋体" w:cs="宋体"/>
                <w:snapToGrid w:val="0"/>
                <w:szCs w:val="21"/>
              </w:rPr>
            </w:pPr>
            <w:r>
              <w:rPr>
                <w:rFonts w:hint="eastAsia" w:ascii="宋体" w:hAnsi="宋体" w:cs="宋体"/>
                <w:snapToGrid w:val="0"/>
                <w:szCs w:val="21"/>
              </w:rPr>
              <w:t>联系人：张老师   联系电话：0514-82099552</w:t>
            </w:r>
          </w:p>
          <w:p w14:paraId="521E5152">
            <w:pPr>
              <w:adjustRightInd w:val="0"/>
              <w:snapToGrid w:val="0"/>
              <w:spacing w:line="360" w:lineRule="auto"/>
              <w:contextualSpacing/>
              <w:rPr>
                <w:rFonts w:ascii="宋体" w:hAnsi="宋体" w:cs="宋体"/>
                <w:snapToGrid w:val="0"/>
                <w:szCs w:val="21"/>
              </w:rPr>
            </w:pPr>
            <w:r>
              <w:rPr>
                <w:rFonts w:hint="eastAsia" w:ascii="宋体" w:hAnsi="宋体" w:cs="宋体"/>
                <w:snapToGrid w:val="0"/>
                <w:szCs w:val="21"/>
              </w:rPr>
              <w:t>地址：扬大附院西区行政楼403办公室</w:t>
            </w:r>
          </w:p>
        </w:tc>
      </w:tr>
      <w:tr w14:paraId="3D98C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871" w:type="pct"/>
            <w:tcBorders>
              <w:top w:val="single" w:color="auto" w:sz="4" w:space="0"/>
              <w:left w:val="single" w:color="auto" w:sz="4" w:space="0"/>
              <w:bottom w:val="single" w:color="auto" w:sz="4" w:space="0"/>
              <w:right w:val="single" w:color="auto" w:sz="4" w:space="0"/>
            </w:tcBorders>
            <w:vAlign w:val="center"/>
          </w:tcPr>
          <w:p w14:paraId="5045A3D4">
            <w:pPr>
              <w:spacing w:line="360" w:lineRule="auto"/>
              <w:jc w:val="center"/>
              <w:rPr>
                <w:rFonts w:ascii="宋体" w:hAnsi="宋体"/>
                <w:szCs w:val="21"/>
              </w:rPr>
            </w:pPr>
            <w:r>
              <w:rPr>
                <w:rFonts w:hint="eastAsia" w:ascii="宋体" w:hAnsi="宋体"/>
                <w:szCs w:val="21"/>
              </w:rPr>
              <w:t>备注</w:t>
            </w:r>
          </w:p>
        </w:tc>
        <w:tc>
          <w:tcPr>
            <w:tcW w:w="4128" w:type="pct"/>
            <w:gridSpan w:val="5"/>
            <w:tcBorders>
              <w:top w:val="single" w:color="auto" w:sz="4" w:space="0"/>
              <w:left w:val="single" w:color="auto" w:sz="4" w:space="0"/>
              <w:bottom w:val="single" w:color="auto" w:sz="4" w:space="0"/>
              <w:right w:val="single" w:color="auto" w:sz="4" w:space="0"/>
            </w:tcBorders>
            <w:vAlign w:val="center"/>
          </w:tcPr>
          <w:p w14:paraId="105DABB3">
            <w:pPr>
              <w:spacing w:line="360" w:lineRule="auto"/>
              <w:ind w:firstLine="422" w:firstLineChars="200"/>
              <w:jc w:val="left"/>
              <w:rPr>
                <w:rFonts w:ascii="宋体" w:hAnsi="宋体" w:cs="宋体"/>
                <w:b/>
                <w:bCs/>
                <w:szCs w:val="21"/>
              </w:rPr>
            </w:pPr>
            <w:r>
              <w:rPr>
                <w:rFonts w:hint="eastAsia" w:ascii="宋体" w:hAnsi="宋体" w:cs="宋体"/>
                <w:b/>
                <w:bCs/>
                <w:szCs w:val="21"/>
              </w:rPr>
              <w:t>本项目不接受分包及转包；</w:t>
            </w:r>
          </w:p>
          <w:p w14:paraId="34F6304F">
            <w:pPr>
              <w:spacing w:line="360" w:lineRule="auto"/>
              <w:ind w:firstLine="422" w:firstLineChars="200"/>
              <w:jc w:val="left"/>
              <w:rPr>
                <w:rFonts w:ascii="宋体" w:hAnsi="宋体" w:cs="宋体"/>
                <w:szCs w:val="21"/>
              </w:rPr>
            </w:pPr>
            <w:r>
              <w:rPr>
                <w:rFonts w:hint="eastAsia" w:ascii="宋体" w:hAnsi="宋体" w:cs="宋体"/>
                <w:b/>
                <w:bCs/>
                <w:szCs w:val="21"/>
              </w:rPr>
              <w:t>未提供格式的投标人自拟。</w:t>
            </w:r>
          </w:p>
        </w:tc>
      </w:tr>
    </w:tbl>
    <w:p w14:paraId="6D2C9E1F">
      <w:pPr>
        <w:ind w:firstLine="4176" w:firstLineChars="1300"/>
        <w:rPr>
          <w:b/>
          <w:sz w:val="32"/>
          <w:szCs w:val="32"/>
        </w:rPr>
      </w:pPr>
      <w:bookmarkStart w:id="2" w:name="_Toc39744253"/>
    </w:p>
    <w:p w14:paraId="03E9D960">
      <w:pPr>
        <w:ind w:firstLine="4176" w:firstLineChars="1300"/>
        <w:rPr>
          <w:b/>
          <w:sz w:val="32"/>
          <w:szCs w:val="32"/>
        </w:rPr>
      </w:pPr>
    </w:p>
    <w:p w14:paraId="7D66F88E">
      <w:pPr>
        <w:ind w:firstLine="4176" w:firstLineChars="1300"/>
        <w:rPr>
          <w:b/>
          <w:sz w:val="32"/>
          <w:szCs w:val="32"/>
        </w:rPr>
      </w:pPr>
    </w:p>
    <w:p w14:paraId="33EFD1A1">
      <w:pPr>
        <w:ind w:firstLine="4176" w:firstLineChars="1300"/>
        <w:rPr>
          <w:b/>
          <w:sz w:val="32"/>
          <w:szCs w:val="32"/>
        </w:rPr>
      </w:pPr>
    </w:p>
    <w:p w14:paraId="6C551EB6">
      <w:pPr>
        <w:ind w:firstLine="4176" w:firstLineChars="1300"/>
        <w:rPr>
          <w:b/>
          <w:sz w:val="32"/>
          <w:szCs w:val="32"/>
        </w:rPr>
      </w:pPr>
    </w:p>
    <w:p w14:paraId="72B02CCB">
      <w:r>
        <w:br w:type="page"/>
      </w:r>
    </w:p>
    <w:p w14:paraId="6E8582F5">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b/>
          <w:sz w:val="32"/>
          <w:szCs w:val="32"/>
        </w:rPr>
      </w:pPr>
      <w:r>
        <w:rPr>
          <w:rFonts w:hint="eastAsia"/>
          <w:b/>
          <w:sz w:val="32"/>
          <w:szCs w:val="32"/>
        </w:rPr>
        <w:t>二、项目需求</w:t>
      </w:r>
    </w:p>
    <w:p w14:paraId="6FD888E2">
      <w:pPr>
        <w:spacing w:line="440" w:lineRule="exact"/>
        <w:ind w:left="372" w:leftChars="177" w:right="124" w:rightChars="59" w:firstLine="569" w:firstLineChars="236"/>
        <w:contextualSpacing/>
        <w:rPr>
          <w:b/>
          <w:bCs w:val="0"/>
          <w:sz w:val="24"/>
          <w:szCs w:val="24"/>
        </w:rPr>
      </w:pPr>
      <w:r>
        <w:rPr>
          <w:rFonts w:hint="eastAsia"/>
          <w:b/>
          <w:bCs w:val="0"/>
          <w:sz w:val="24"/>
          <w:szCs w:val="24"/>
        </w:rPr>
        <w:t>一、项目内容</w:t>
      </w:r>
    </w:p>
    <w:p w14:paraId="6B4F96FD">
      <w:pPr>
        <w:adjustRightInd w:val="0"/>
        <w:spacing w:line="440" w:lineRule="exact"/>
        <w:ind w:left="372" w:leftChars="177" w:firstLine="480" w:firstLineChars="200"/>
        <w:contextualSpacing/>
        <w:rPr>
          <w:rFonts w:hint="eastAsia"/>
          <w:sz w:val="24"/>
          <w:szCs w:val="24"/>
        </w:rPr>
      </w:pPr>
      <w:r>
        <w:rPr>
          <w:rFonts w:hint="eastAsia"/>
          <w:sz w:val="24"/>
          <w:szCs w:val="24"/>
        </w:rPr>
        <w:t>扬州大学附属医院西区医院对12病区进行提升改造，</w:t>
      </w:r>
      <w:r>
        <w:rPr>
          <w:rFonts w:hint="eastAsia" w:cs="宋体"/>
          <w:color w:val="000000"/>
          <w:sz w:val="24"/>
          <w:szCs w:val="24"/>
        </w:rPr>
        <w:t>需对</w:t>
      </w:r>
      <w:r>
        <w:rPr>
          <w:rFonts w:hint="eastAsia"/>
          <w:sz w:val="24"/>
          <w:szCs w:val="24"/>
        </w:rPr>
        <w:t>京沪高级医学中心</w:t>
      </w:r>
      <w:r>
        <w:rPr>
          <w:rFonts w:hint="eastAsia"/>
          <w:sz w:val="24"/>
          <w:szCs w:val="24"/>
          <w:lang w:val="en-US" w:eastAsia="zh-CN"/>
        </w:rPr>
        <w:t>病房电动窗帘纱帘、隔帘、卷帘采购安装项目</w:t>
      </w:r>
      <w:r>
        <w:rPr>
          <w:rFonts w:hint="eastAsia" w:cs="宋体"/>
          <w:color w:val="000000"/>
          <w:sz w:val="24"/>
          <w:szCs w:val="24"/>
        </w:rPr>
        <w:t>进行</w:t>
      </w:r>
      <w:r>
        <w:rPr>
          <w:rFonts w:hint="eastAsia" w:cs="宋体"/>
          <w:color w:val="000000"/>
          <w:sz w:val="24"/>
          <w:szCs w:val="24"/>
          <w:lang w:val="en-US" w:eastAsia="zh-CN"/>
        </w:rPr>
        <w:t>定制、</w:t>
      </w:r>
      <w:r>
        <w:rPr>
          <w:rFonts w:hint="eastAsia" w:cs="宋体"/>
          <w:color w:val="000000"/>
          <w:sz w:val="24"/>
          <w:szCs w:val="24"/>
        </w:rPr>
        <w:t>制作和安装</w:t>
      </w:r>
      <w:r>
        <w:rPr>
          <w:rFonts w:hint="eastAsia"/>
          <w:sz w:val="24"/>
          <w:szCs w:val="24"/>
        </w:rPr>
        <w:t>。本次项目包括按照设计要求、国家最新规范标准，对</w:t>
      </w:r>
      <w:r>
        <w:rPr>
          <w:rFonts w:hint="eastAsia"/>
          <w:sz w:val="24"/>
          <w:szCs w:val="24"/>
          <w:lang w:val="en-US" w:eastAsia="zh-CN"/>
        </w:rPr>
        <w:t>电动窗帘纱帘、隔帘、卷帘</w:t>
      </w:r>
      <w:r>
        <w:rPr>
          <w:rFonts w:hint="eastAsia"/>
          <w:sz w:val="24"/>
          <w:szCs w:val="24"/>
        </w:rPr>
        <w:t>等进行</w:t>
      </w:r>
      <w:r>
        <w:rPr>
          <w:rFonts w:hint="eastAsia"/>
          <w:sz w:val="24"/>
          <w:szCs w:val="24"/>
          <w:lang w:val="en-US" w:eastAsia="zh-CN"/>
        </w:rPr>
        <w:t>定制制作安装</w:t>
      </w:r>
      <w:r>
        <w:rPr>
          <w:rFonts w:hint="eastAsia"/>
          <w:sz w:val="24"/>
          <w:szCs w:val="24"/>
        </w:rPr>
        <w:t>及配套服务</w:t>
      </w:r>
      <w:r>
        <w:rPr>
          <w:rFonts w:hint="eastAsia"/>
          <w:sz w:val="24"/>
          <w:szCs w:val="24"/>
          <w:lang w:eastAsia="zh-CN"/>
        </w:rPr>
        <w:t>，</w:t>
      </w:r>
      <w:r>
        <w:rPr>
          <w:rFonts w:hint="eastAsia"/>
          <w:sz w:val="24"/>
          <w:szCs w:val="24"/>
          <w:lang w:val="en-US" w:eastAsia="zh-CN"/>
        </w:rPr>
        <w:t>其中19间病房包含窗帘、纱帘、轨道、电机，其余房间包含窗帘、轨道等，详见平面图</w:t>
      </w:r>
      <w:r>
        <w:rPr>
          <w:rFonts w:hint="eastAsia"/>
          <w:sz w:val="24"/>
          <w:szCs w:val="24"/>
        </w:rPr>
        <w:t>。</w:t>
      </w:r>
      <w:r>
        <w:rPr>
          <w:rFonts w:hint="eastAsia"/>
          <w:b/>
          <w:bCs/>
          <w:sz w:val="24"/>
          <w:szCs w:val="24"/>
        </w:rPr>
        <w:t>本项目为交钥匙工程，本次采购包括</w:t>
      </w:r>
      <w:r>
        <w:rPr>
          <w:rFonts w:hint="eastAsia"/>
          <w:b/>
          <w:bCs/>
          <w:sz w:val="24"/>
          <w:szCs w:val="24"/>
          <w:lang w:val="en-US" w:eastAsia="zh-CN"/>
        </w:rPr>
        <w:t>原窗帘纱帘、隔帘、卷帘</w:t>
      </w:r>
      <w:r>
        <w:rPr>
          <w:rFonts w:hint="eastAsia"/>
          <w:b/>
          <w:bCs/>
          <w:sz w:val="24"/>
          <w:szCs w:val="24"/>
        </w:rPr>
        <w:t>的</w:t>
      </w:r>
      <w:r>
        <w:rPr>
          <w:rFonts w:hint="eastAsia"/>
          <w:b/>
          <w:bCs/>
          <w:sz w:val="24"/>
          <w:szCs w:val="24"/>
          <w:lang w:val="en-US" w:eastAsia="zh-CN"/>
        </w:rPr>
        <w:t>定制、安装、</w:t>
      </w:r>
      <w:r>
        <w:rPr>
          <w:rFonts w:hint="eastAsia"/>
          <w:b/>
          <w:bCs/>
          <w:sz w:val="24"/>
          <w:szCs w:val="24"/>
        </w:rPr>
        <w:t>选型设计、供货、运输、卸货、施工安全防护</w:t>
      </w:r>
      <w:r>
        <w:rPr>
          <w:rFonts w:hint="eastAsia"/>
          <w:b/>
          <w:bCs/>
          <w:sz w:val="24"/>
          <w:szCs w:val="24"/>
          <w:lang w:val="en-US" w:eastAsia="zh-CN"/>
        </w:rPr>
        <w:t>等服务。</w:t>
      </w:r>
    </w:p>
    <w:p w14:paraId="38C63DD0">
      <w:pPr>
        <w:spacing w:line="440" w:lineRule="exact"/>
        <w:ind w:left="372" w:leftChars="177" w:right="124" w:rightChars="59" w:firstLine="569" w:firstLineChars="236"/>
        <w:contextualSpacing/>
        <w:rPr>
          <w:b/>
          <w:bCs w:val="0"/>
          <w:sz w:val="24"/>
          <w:szCs w:val="24"/>
        </w:rPr>
      </w:pPr>
      <w:r>
        <w:rPr>
          <w:rFonts w:hint="eastAsia"/>
          <w:b/>
          <w:bCs w:val="0"/>
          <w:sz w:val="24"/>
          <w:szCs w:val="24"/>
        </w:rPr>
        <w:t>二、</w:t>
      </w:r>
      <w:r>
        <w:rPr>
          <w:rFonts w:hint="eastAsia"/>
          <w:b/>
          <w:bCs w:val="0"/>
          <w:sz w:val="24"/>
          <w:szCs w:val="24"/>
          <w:lang w:val="en-US" w:eastAsia="zh-CN"/>
        </w:rPr>
        <w:t>相关</w:t>
      </w:r>
      <w:r>
        <w:rPr>
          <w:rFonts w:hint="eastAsia"/>
          <w:b/>
          <w:bCs w:val="0"/>
          <w:sz w:val="24"/>
          <w:szCs w:val="24"/>
        </w:rPr>
        <w:t>要求</w:t>
      </w:r>
    </w:p>
    <w:p w14:paraId="49AF12FB">
      <w:pPr>
        <w:spacing w:line="440" w:lineRule="exact"/>
        <w:ind w:left="372" w:leftChars="177" w:right="124" w:rightChars="59" w:firstLine="569" w:firstLineChars="236"/>
        <w:contextualSpacing/>
        <w:rPr>
          <w:rFonts w:hint="eastAsia" w:eastAsia="宋体"/>
          <w:b/>
          <w:bCs/>
          <w:sz w:val="24"/>
          <w:szCs w:val="24"/>
          <w:lang w:val="en-US" w:eastAsia="zh-CN"/>
        </w:rPr>
      </w:pPr>
      <w:r>
        <w:rPr>
          <w:rFonts w:hint="eastAsia"/>
          <w:b/>
          <w:bCs/>
          <w:sz w:val="24"/>
          <w:szCs w:val="24"/>
          <w:lang w:val="en-US" w:eastAsia="zh-CN"/>
        </w:rPr>
        <w:t>1.工期要求</w:t>
      </w:r>
      <w:r>
        <w:rPr>
          <w:rFonts w:hint="eastAsia" w:eastAsia="宋体"/>
          <w:b/>
          <w:bCs/>
          <w:sz w:val="24"/>
          <w:szCs w:val="24"/>
          <w:lang w:val="en-US" w:eastAsia="zh-CN"/>
        </w:rPr>
        <w:t>：经甲方确认同意后，1</w:t>
      </w:r>
      <w:r>
        <w:rPr>
          <w:rFonts w:hint="eastAsia"/>
          <w:b/>
          <w:bCs/>
          <w:sz w:val="24"/>
          <w:szCs w:val="24"/>
          <w:lang w:val="en-US" w:eastAsia="zh-CN"/>
        </w:rPr>
        <w:t>0</w:t>
      </w:r>
      <w:r>
        <w:rPr>
          <w:rFonts w:hint="eastAsia" w:eastAsia="宋体"/>
          <w:b/>
          <w:bCs/>
          <w:sz w:val="24"/>
          <w:szCs w:val="24"/>
        </w:rPr>
        <w:t>个日历天</w:t>
      </w:r>
      <w:r>
        <w:rPr>
          <w:rFonts w:hint="eastAsia"/>
          <w:b/>
          <w:bCs/>
          <w:sz w:val="24"/>
          <w:szCs w:val="24"/>
          <w:lang w:eastAsia="zh-CN"/>
        </w:rPr>
        <w:t>，2025年6月15日前，供货安装调试到位。</w:t>
      </w:r>
    </w:p>
    <w:p w14:paraId="2633AD6D">
      <w:pPr>
        <w:spacing w:line="440" w:lineRule="exact"/>
        <w:ind w:left="372" w:leftChars="177" w:right="124" w:rightChars="59" w:firstLine="597" w:firstLineChars="249"/>
        <w:contextualSpacing/>
        <w:rPr>
          <w:rFonts w:hint="eastAsia" w:eastAsia="宋体"/>
          <w:b w:val="0"/>
          <w:bCs w:val="0"/>
          <w:sz w:val="24"/>
          <w:szCs w:val="24"/>
          <w:lang w:val="en-US" w:eastAsia="zh-CN"/>
        </w:rPr>
      </w:pPr>
      <w:r>
        <w:rPr>
          <w:rFonts w:hint="eastAsia"/>
          <w:b w:val="0"/>
          <w:bCs w:val="0"/>
          <w:sz w:val="24"/>
          <w:szCs w:val="24"/>
          <w:lang w:val="en-US" w:eastAsia="zh-CN"/>
        </w:rPr>
        <w:t>2</w:t>
      </w:r>
      <w:r>
        <w:rPr>
          <w:rFonts w:hint="eastAsia" w:eastAsia="宋体"/>
          <w:b w:val="0"/>
          <w:bCs w:val="0"/>
          <w:sz w:val="24"/>
          <w:szCs w:val="24"/>
          <w:lang w:val="en-US" w:eastAsia="zh-CN"/>
        </w:rPr>
        <w:t>.甲方提供形式、规格、图纸仅供参考。</w:t>
      </w:r>
    </w:p>
    <w:p w14:paraId="0C284292">
      <w:pPr>
        <w:spacing w:line="440" w:lineRule="exact"/>
        <w:ind w:left="372" w:leftChars="177" w:right="124" w:rightChars="59" w:firstLine="566" w:firstLineChars="236"/>
        <w:contextualSpacing/>
        <w:rPr>
          <w:rFonts w:hint="eastAsia" w:eastAsia="宋体" w:cs="Times New Roman"/>
          <w:b w:val="0"/>
          <w:bCs w:val="0"/>
          <w:sz w:val="24"/>
          <w:szCs w:val="24"/>
          <w:lang w:val="en-US" w:eastAsia="zh-CN"/>
        </w:rPr>
      </w:pPr>
      <w:r>
        <w:rPr>
          <w:rFonts w:hint="eastAsia" w:eastAsia="宋体" w:cs="Times New Roman"/>
          <w:b w:val="0"/>
          <w:bCs w:val="0"/>
          <w:sz w:val="24"/>
          <w:szCs w:val="24"/>
          <w:lang w:val="en-US" w:eastAsia="zh-CN"/>
        </w:rPr>
        <w:t>3.保修期：2年</w:t>
      </w:r>
    </w:p>
    <w:p w14:paraId="43A7C6A5">
      <w:pPr>
        <w:spacing w:line="440" w:lineRule="exact"/>
        <w:ind w:left="372" w:leftChars="177" w:right="124" w:rightChars="59" w:firstLine="566" w:firstLineChars="236"/>
        <w:contextualSpacing/>
        <w:rPr>
          <w:rFonts w:hint="default" w:eastAsia="宋体" w:cs="Times New Roman"/>
          <w:b w:val="0"/>
          <w:bCs w:val="0"/>
          <w:sz w:val="24"/>
          <w:szCs w:val="24"/>
          <w:lang w:val="en-US" w:eastAsia="zh-CN"/>
        </w:rPr>
      </w:pPr>
      <w:r>
        <w:rPr>
          <w:rFonts w:hint="eastAsia" w:eastAsia="宋体" w:cs="Times New Roman"/>
          <w:b w:val="0"/>
          <w:bCs w:val="0"/>
          <w:sz w:val="24"/>
          <w:szCs w:val="24"/>
          <w:lang w:val="en-US" w:eastAsia="zh-CN"/>
        </w:rPr>
        <w:t>4</w:t>
      </w:r>
      <w:r>
        <w:rPr>
          <w:rFonts w:hint="default" w:eastAsia="宋体" w:cs="Times New Roman"/>
          <w:b w:val="0"/>
          <w:bCs w:val="0"/>
          <w:sz w:val="24"/>
          <w:szCs w:val="24"/>
          <w:lang w:val="en-US" w:eastAsia="zh-CN"/>
        </w:rPr>
        <w:t>.</w:t>
      </w:r>
      <w:r>
        <w:rPr>
          <w:rFonts w:hint="eastAsia"/>
          <w:b w:val="0"/>
          <w:bCs w:val="0"/>
          <w:sz w:val="24"/>
          <w:szCs w:val="24"/>
        </w:rPr>
        <w:t>乙方</w:t>
      </w:r>
      <w:bookmarkStart w:id="17" w:name="_GoBack"/>
      <w:bookmarkEnd w:id="17"/>
      <w:r>
        <w:rPr>
          <w:rFonts w:hint="default" w:eastAsia="宋体" w:cs="Times New Roman"/>
          <w:b w:val="0"/>
          <w:bCs w:val="0"/>
          <w:sz w:val="24"/>
          <w:szCs w:val="24"/>
          <w:lang w:val="en-US" w:eastAsia="zh-CN"/>
        </w:rPr>
        <w:t>为确保所投货物质保期结束后正常使用、维护，需向</w:t>
      </w:r>
      <w:r>
        <w:rPr>
          <w:rFonts w:hint="eastAsia" w:eastAsia="宋体"/>
          <w:b w:val="0"/>
          <w:bCs w:val="0"/>
          <w:sz w:val="24"/>
          <w:szCs w:val="24"/>
          <w:lang w:val="en-US" w:eastAsia="zh-CN"/>
        </w:rPr>
        <w:t>甲方</w:t>
      </w:r>
      <w:r>
        <w:rPr>
          <w:rFonts w:hint="default" w:eastAsia="宋体" w:cs="Times New Roman"/>
          <w:b w:val="0"/>
          <w:bCs w:val="0"/>
          <w:sz w:val="24"/>
          <w:szCs w:val="24"/>
          <w:lang w:val="en-US" w:eastAsia="zh-CN"/>
        </w:rPr>
        <w:t>提供的备品备件及专用工具、提供的货物应是全新、未使用过的原装合格正品。安装前中标人需自行清洗一次。</w:t>
      </w:r>
    </w:p>
    <w:p w14:paraId="2434DF82">
      <w:pPr>
        <w:spacing w:line="440" w:lineRule="exact"/>
        <w:ind w:left="372" w:leftChars="177" w:right="124" w:rightChars="59" w:firstLine="566" w:firstLineChars="236"/>
        <w:contextualSpacing/>
        <w:rPr>
          <w:rFonts w:hint="default" w:eastAsia="宋体" w:cs="Times New Roman"/>
          <w:b w:val="0"/>
          <w:bCs w:val="0"/>
          <w:sz w:val="24"/>
          <w:szCs w:val="24"/>
          <w:lang w:val="en-US" w:eastAsia="zh-CN"/>
        </w:rPr>
      </w:pPr>
      <w:r>
        <w:rPr>
          <w:rFonts w:hint="eastAsia" w:eastAsia="宋体" w:cs="Times New Roman"/>
          <w:b w:val="0"/>
          <w:bCs w:val="0"/>
          <w:sz w:val="24"/>
          <w:szCs w:val="24"/>
          <w:lang w:val="en-US" w:eastAsia="zh-CN"/>
        </w:rPr>
        <w:t>5.</w:t>
      </w:r>
      <w:r>
        <w:rPr>
          <w:rFonts w:hint="default" w:eastAsia="宋体" w:cs="Times New Roman"/>
          <w:b w:val="0"/>
          <w:bCs w:val="0"/>
          <w:sz w:val="24"/>
          <w:szCs w:val="24"/>
          <w:lang w:val="en-US" w:eastAsia="zh-CN"/>
        </w:rPr>
        <w:t>产品制作前，</w:t>
      </w:r>
      <w:r>
        <w:rPr>
          <w:rFonts w:hint="eastAsia"/>
          <w:b w:val="0"/>
          <w:bCs w:val="0"/>
          <w:sz w:val="24"/>
          <w:szCs w:val="24"/>
        </w:rPr>
        <w:t>乙方</w:t>
      </w:r>
      <w:r>
        <w:rPr>
          <w:rFonts w:hint="default" w:eastAsia="宋体" w:cs="Times New Roman"/>
          <w:b w:val="0"/>
          <w:bCs w:val="0"/>
          <w:sz w:val="24"/>
          <w:szCs w:val="24"/>
          <w:lang w:val="en-US" w:eastAsia="zh-CN"/>
        </w:rPr>
        <w:t>必须与</w:t>
      </w:r>
      <w:r>
        <w:rPr>
          <w:rFonts w:hint="eastAsia" w:eastAsia="宋体"/>
          <w:b w:val="0"/>
          <w:bCs w:val="0"/>
          <w:sz w:val="24"/>
          <w:szCs w:val="24"/>
          <w:lang w:val="en-US" w:eastAsia="zh-CN"/>
        </w:rPr>
        <w:t>甲方</w:t>
      </w:r>
      <w:r>
        <w:rPr>
          <w:rFonts w:hint="default" w:eastAsia="宋体" w:cs="Times New Roman"/>
          <w:b w:val="0"/>
          <w:bCs w:val="0"/>
          <w:sz w:val="24"/>
          <w:szCs w:val="24"/>
          <w:lang w:val="en-US" w:eastAsia="zh-CN"/>
        </w:rPr>
        <w:t>进行充分沟通，关于窗帘的颜色、款式设计等方面。需严格按</w:t>
      </w:r>
      <w:r>
        <w:rPr>
          <w:rFonts w:hint="eastAsia" w:eastAsia="宋体"/>
          <w:b w:val="0"/>
          <w:bCs w:val="0"/>
          <w:sz w:val="24"/>
          <w:szCs w:val="24"/>
          <w:lang w:val="en-US" w:eastAsia="zh-CN"/>
        </w:rPr>
        <w:t>甲方</w:t>
      </w:r>
      <w:r>
        <w:rPr>
          <w:rFonts w:hint="default" w:eastAsia="宋体" w:cs="Times New Roman"/>
          <w:b w:val="0"/>
          <w:bCs w:val="0"/>
          <w:sz w:val="24"/>
          <w:szCs w:val="24"/>
          <w:lang w:val="en-US" w:eastAsia="zh-CN"/>
        </w:rPr>
        <w:t>要求执行提供全部的技术资料，包括国家有关部门的材质检测报告等文书等；对于要求提供的证明材料，</w:t>
      </w:r>
      <w:r>
        <w:rPr>
          <w:rFonts w:hint="eastAsia" w:eastAsia="宋体"/>
          <w:b w:val="0"/>
          <w:bCs w:val="0"/>
          <w:sz w:val="24"/>
          <w:szCs w:val="24"/>
          <w:lang w:val="en-US" w:eastAsia="zh-CN"/>
        </w:rPr>
        <w:t>甲方</w:t>
      </w:r>
      <w:r>
        <w:rPr>
          <w:rFonts w:hint="default" w:eastAsia="宋体" w:cs="Times New Roman"/>
          <w:b w:val="0"/>
          <w:bCs w:val="0"/>
          <w:sz w:val="24"/>
          <w:szCs w:val="24"/>
          <w:lang w:val="en-US" w:eastAsia="zh-CN"/>
        </w:rPr>
        <w:t>有权在合同签订前、供货前，针对任何采购产品要求中标人进行参数验证，检测费用由中标人承担；若验证结果显示产品不符合招标文件及投标文件要求，</w:t>
      </w:r>
      <w:r>
        <w:rPr>
          <w:rFonts w:hint="eastAsia" w:eastAsia="宋体"/>
          <w:b w:val="0"/>
          <w:bCs w:val="0"/>
          <w:sz w:val="24"/>
          <w:szCs w:val="24"/>
          <w:lang w:val="en-US" w:eastAsia="zh-CN"/>
        </w:rPr>
        <w:t>甲方</w:t>
      </w:r>
      <w:r>
        <w:rPr>
          <w:rFonts w:hint="default" w:eastAsia="宋体" w:cs="Times New Roman"/>
          <w:b w:val="0"/>
          <w:bCs w:val="0"/>
          <w:sz w:val="24"/>
          <w:szCs w:val="24"/>
          <w:lang w:val="en-US" w:eastAsia="zh-CN"/>
        </w:rPr>
        <w:t>有权解除合同并要求赔偿。</w:t>
      </w:r>
    </w:p>
    <w:p w14:paraId="39078922">
      <w:pPr>
        <w:spacing w:line="440" w:lineRule="exact"/>
        <w:ind w:left="372" w:leftChars="177" w:right="124" w:rightChars="59" w:firstLine="566" w:firstLineChars="236"/>
        <w:contextualSpacing/>
        <w:rPr>
          <w:b w:val="0"/>
          <w:bCs w:val="0"/>
          <w:sz w:val="24"/>
          <w:szCs w:val="24"/>
        </w:rPr>
      </w:pPr>
      <w:r>
        <w:rPr>
          <w:rFonts w:hint="eastAsia"/>
          <w:b w:val="0"/>
          <w:bCs w:val="0"/>
          <w:sz w:val="24"/>
          <w:szCs w:val="24"/>
          <w:lang w:val="en-US" w:eastAsia="zh-CN"/>
        </w:rPr>
        <w:t>6.</w:t>
      </w:r>
      <w:r>
        <w:rPr>
          <w:rFonts w:hint="eastAsia"/>
          <w:b w:val="0"/>
          <w:bCs w:val="0"/>
          <w:sz w:val="24"/>
          <w:szCs w:val="24"/>
        </w:rPr>
        <w:t>乙方在施工时要确保安全生产、文明施工、疫情防控，杜绝各类不良事件的发生，因不规范施工管理造成的后果，一切责任由乙方承担。</w:t>
      </w:r>
    </w:p>
    <w:p w14:paraId="65620275">
      <w:pPr>
        <w:spacing w:line="440" w:lineRule="exact"/>
        <w:ind w:left="372" w:leftChars="177" w:right="124" w:rightChars="59" w:firstLine="597" w:firstLineChars="249"/>
        <w:contextualSpacing/>
        <w:rPr>
          <w:rFonts w:hint="default"/>
          <w:lang w:val="en-US" w:eastAsia="zh-CN"/>
        </w:rPr>
      </w:pPr>
      <w:r>
        <w:rPr>
          <w:rFonts w:hint="eastAsia" w:eastAsia="宋体"/>
          <w:b w:val="0"/>
          <w:bCs w:val="0"/>
          <w:sz w:val="24"/>
          <w:szCs w:val="24"/>
          <w:lang w:val="en-US" w:eastAsia="zh-CN"/>
        </w:rPr>
        <w:t>7.因施工的特殊性，施工要严格控噪音防止干扰住院病人，施工期间严格按照监理管理要求同装饰单位进行配合作业。</w:t>
      </w:r>
    </w:p>
    <w:p w14:paraId="55831F18">
      <w:pPr>
        <w:rPr>
          <w:rFonts w:hint="eastAsia"/>
          <w:b/>
          <w:bCs w:val="0"/>
          <w:sz w:val="24"/>
          <w:szCs w:val="24"/>
          <w:lang w:val="en-US" w:eastAsia="zh-CN"/>
        </w:rPr>
      </w:pPr>
      <w:r>
        <w:rPr>
          <w:rFonts w:hint="eastAsia"/>
          <w:b/>
          <w:bCs w:val="0"/>
          <w:sz w:val="24"/>
          <w:szCs w:val="24"/>
          <w:lang w:val="en-US" w:eastAsia="zh-CN"/>
        </w:rPr>
        <w:br w:type="page"/>
      </w:r>
    </w:p>
    <w:p w14:paraId="0656EEB1">
      <w:pPr>
        <w:spacing w:line="440" w:lineRule="exact"/>
        <w:ind w:left="372" w:leftChars="177" w:right="124" w:rightChars="59" w:firstLine="569" w:firstLineChars="236"/>
        <w:contextualSpacing/>
        <w:rPr>
          <w:rFonts w:hint="eastAsia"/>
          <w:sz w:val="24"/>
          <w:szCs w:val="24"/>
          <w:lang w:val="en-US" w:eastAsia="zh-CN"/>
        </w:rPr>
      </w:pPr>
      <w:r>
        <w:rPr>
          <w:rFonts w:hint="eastAsia"/>
          <w:b/>
          <w:bCs w:val="0"/>
          <w:sz w:val="24"/>
          <w:szCs w:val="24"/>
          <w:lang w:val="en-US" w:eastAsia="zh-CN"/>
        </w:rPr>
        <w:t>三</w:t>
      </w:r>
      <w:r>
        <w:rPr>
          <w:rFonts w:hint="eastAsia"/>
          <w:b/>
          <w:bCs w:val="0"/>
          <w:sz w:val="24"/>
          <w:szCs w:val="24"/>
        </w:rPr>
        <w:t>、</w:t>
      </w:r>
      <w:r>
        <w:rPr>
          <w:rFonts w:hint="eastAsia"/>
          <w:b/>
          <w:bCs w:val="0"/>
          <w:sz w:val="24"/>
          <w:szCs w:val="24"/>
          <w:lang w:val="en-US" w:eastAsia="zh-CN"/>
        </w:rPr>
        <w:t>技术</w:t>
      </w:r>
      <w:r>
        <w:rPr>
          <w:rFonts w:hint="eastAsia"/>
          <w:b/>
          <w:bCs w:val="0"/>
          <w:sz w:val="24"/>
          <w:szCs w:val="24"/>
        </w:rPr>
        <w:t>要求</w:t>
      </w:r>
    </w:p>
    <w:tbl>
      <w:tblPr>
        <w:tblStyle w:val="26"/>
        <w:tblW w:w="88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60"/>
        <w:gridCol w:w="766"/>
        <w:gridCol w:w="699"/>
        <w:gridCol w:w="716"/>
        <w:gridCol w:w="876"/>
        <w:gridCol w:w="3534"/>
        <w:gridCol w:w="1545"/>
      </w:tblGrid>
      <w:tr w14:paraId="094A5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jc w:val="center"/>
        </w:trPr>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9287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序号</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4328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品名</w:t>
            </w:r>
          </w:p>
        </w:tc>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0A775">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单位</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A4AD6">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数量</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A875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规格</w:t>
            </w: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44FF6">
            <w:pPr>
              <w:keepNext w:val="0"/>
              <w:keepLines w:val="0"/>
              <w:widowControl/>
              <w:suppressLineNumbers w:val="0"/>
              <w:jc w:val="center"/>
              <w:textAlignment w:val="top"/>
              <w:rPr>
                <w:rFonts w:hint="default" w:ascii="宋体" w:hAnsi="宋体" w:eastAsia="宋体" w:cs="宋体"/>
                <w:i w:val="0"/>
                <w:iCs w:val="0"/>
                <w:color w:val="000000"/>
                <w:kern w:val="0"/>
                <w:sz w:val="22"/>
                <w:szCs w:val="22"/>
                <w:u w:val="none"/>
                <w:lang w:val="en-US" w:eastAsia="zh-CN" w:bidi="ar"/>
              </w:rPr>
            </w:pPr>
            <w:bookmarkStart w:id="3" w:name="OLE_LINK7"/>
            <w:r>
              <w:rPr>
                <w:rFonts w:hint="eastAsia" w:ascii="宋体" w:hAnsi="宋体" w:cs="宋体"/>
                <w:i w:val="0"/>
                <w:iCs w:val="0"/>
                <w:color w:val="000000"/>
                <w:kern w:val="0"/>
                <w:sz w:val="22"/>
                <w:szCs w:val="22"/>
                <w:u w:val="none"/>
                <w:lang w:val="en-US" w:eastAsia="zh-CN" w:bidi="ar"/>
              </w:rPr>
              <w:t>技术参数要求</w:t>
            </w:r>
            <w:bookmarkEnd w:id="3"/>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D01B4">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bdr w:val="single" w:color="000000" w:sz="4" w:space="0"/>
                <w:lang w:val="en-US" w:eastAsia="zh-CN" w:bidi="ar"/>
              </w:rPr>
            </w:pPr>
            <w:r>
              <w:rPr>
                <w:rFonts w:hint="eastAsia" w:ascii="宋体" w:hAnsi="宋体" w:cs="宋体"/>
                <w:i w:val="0"/>
                <w:iCs w:val="0"/>
                <w:color w:val="000000"/>
                <w:kern w:val="0"/>
                <w:sz w:val="22"/>
                <w:szCs w:val="22"/>
                <w:u w:val="none"/>
                <w:lang w:val="en-US" w:eastAsia="zh-CN" w:bidi="ar"/>
              </w:rPr>
              <w:t>参考款式</w:t>
            </w:r>
          </w:p>
        </w:tc>
      </w:tr>
      <w:tr w14:paraId="347F2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3"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6B4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9377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窗帘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highlight w:val="yellow"/>
                <w:u w:val="none"/>
                <w:shd w:val="clear" w:fill="FFFF00"/>
                <w:lang w:val="en-US" w:eastAsia="zh-CN" w:bidi="ar"/>
              </w:rPr>
              <w:t>（投标提供样品）</w:t>
            </w:r>
          </w:p>
        </w:tc>
        <w:tc>
          <w:tcPr>
            <w:tcW w:w="6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ACE5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08B3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约</w:t>
            </w:r>
            <w:r>
              <w:rPr>
                <w:rFonts w:hint="eastAsia" w:ascii="宋体" w:hAnsi="宋体" w:eastAsia="宋体" w:cs="宋体"/>
                <w:i w:val="0"/>
                <w:iCs w:val="0"/>
                <w:color w:val="000000"/>
                <w:kern w:val="0"/>
                <w:sz w:val="22"/>
                <w:szCs w:val="22"/>
                <w:u w:val="none"/>
                <w:lang w:val="en-US" w:eastAsia="zh-CN" w:bidi="ar"/>
              </w:rPr>
              <w:t>600</w:t>
            </w: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4DC8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成品高度3m，窗帘褶皱1:2</w:t>
            </w: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420A2">
            <w:pPr>
              <w:adjustRightInd w:val="0"/>
              <w:snapToGrid w:val="0"/>
              <w:spacing w:line="360" w:lineRule="auto"/>
              <w:jc w:val="left"/>
              <w:rPr>
                <w:rFonts w:hint="eastAsia" w:asciiTheme="minorEastAsia" w:hAnsiTheme="minorEastAsia" w:eastAsiaTheme="minorEastAsia" w:cstheme="minorEastAsia"/>
                <w:sz w:val="22"/>
                <w:szCs w:val="22"/>
                <w:lang w:val="en-US" w:eastAsia="zh-CN"/>
              </w:rPr>
            </w:pPr>
            <w:bookmarkStart w:id="4" w:name="OLE_LINK10"/>
            <w:r>
              <w:rPr>
                <w:rFonts w:hint="eastAsia" w:asciiTheme="minorEastAsia" w:hAnsiTheme="minorEastAsia" w:eastAsiaTheme="minorEastAsia" w:cstheme="minorEastAsia"/>
                <w:sz w:val="22"/>
                <w:szCs w:val="22"/>
              </w:rPr>
              <w:t>面料为奶米色提花雪尼尔，花型可自由选择，结实耐用。有良好的隔音</w:t>
            </w:r>
            <w:r>
              <w:rPr>
                <w:rFonts w:hint="eastAsia" w:asciiTheme="minorEastAsia" w:hAnsiTheme="minorEastAsia" w:eastAsiaTheme="minorEastAsia" w:cstheme="minorEastAsia"/>
                <w:sz w:val="22"/>
                <w:szCs w:val="22"/>
                <w:lang w:val="en-US" w:eastAsia="zh-CN"/>
              </w:rPr>
              <w:t>效果。</w:t>
            </w:r>
            <w:bookmarkEnd w:id="4"/>
          </w:p>
          <w:p w14:paraId="45CD5346">
            <w:pPr>
              <w:adjustRightInd w:val="0"/>
              <w:snapToGrid w:val="0"/>
              <w:spacing w:line="360" w:lineRule="auto"/>
              <w:jc w:val="left"/>
              <w:rPr>
                <w:rFonts w:hint="eastAsia" w:ascii="宋体" w:hAnsi="宋体" w:eastAsia="宋体" w:cs="宋体"/>
                <w:i w:val="0"/>
                <w:iCs w:val="0"/>
                <w:color w:val="000000"/>
                <w:sz w:val="22"/>
                <w:szCs w:val="22"/>
                <w:u w:val="none"/>
              </w:rPr>
            </w:pPr>
            <w:r>
              <w:rPr>
                <w:rFonts w:hint="eastAsia"/>
                <w:szCs w:val="21"/>
                <w:lang w:val="en-US" w:eastAsia="zh-CN"/>
              </w:rPr>
              <w:t>1.</w:t>
            </w:r>
            <w:r>
              <w:rPr>
                <w:rFonts w:hint="eastAsia" w:ascii="宋体" w:hAnsi="宋体" w:eastAsia="宋体" w:cs="宋体"/>
                <w:i w:val="0"/>
                <w:iCs w:val="0"/>
                <w:color w:val="000000"/>
                <w:kern w:val="0"/>
                <w:sz w:val="22"/>
                <w:szCs w:val="22"/>
                <w:u w:val="none"/>
                <w:lang w:val="en-US" w:eastAsia="zh-CN" w:bidi="ar"/>
              </w:rPr>
              <w:t>材质：100%聚酯纤维；依据FZ/T01057-2007</w:t>
            </w:r>
          </w:p>
        </w:tc>
        <w:tc>
          <w:tcPr>
            <w:tcW w:w="15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627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wp:posOffset>
                  </wp:positionH>
                  <wp:positionV relativeFrom="paragraph">
                    <wp:posOffset>80645</wp:posOffset>
                  </wp:positionV>
                  <wp:extent cx="901065" cy="2470150"/>
                  <wp:effectExtent l="0" t="0" r="13335" b="6350"/>
                  <wp:wrapNone/>
                  <wp:docPr id="3" name="图片_1"/>
                  <wp:cNvGraphicFramePr/>
                  <a:graphic xmlns:a="http://schemas.openxmlformats.org/drawingml/2006/main">
                    <a:graphicData uri="http://schemas.openxmlformats.org/drawingml/2006/picture">
                      <pic:pic xmlns:pic="http://schemas.openxmlformats.org/drawingml/2006/picture">
                        <pic:nvPicPr>
                          <pic:cNvPr id="3" name="图片_1"/>
                          <pic:cNvPicPr/>
                        </pic:nvPicPr>
                        <pic:blipFill>
                          <a:blip r:embed="rId7"/>
                          <a:stretch>
                            <a:fillRect/>
                          </a:stretch>
                        </pic:blipFill>
                        <pic:spPr>
                          <a:xfrm>
                            <a:off x="0" y="0"/>
                            <a:ext cx="901065" cy="2470150"/>
                          </a:xfrm>
                          <a:prstGeom prst="rect">
                            <a:avLst/>
                          </a:prstGeom>
                          <a:noFill/>
                          <a:ln>
                            <a:noFill/>
                          </a:ln>
                        </pic:spPr>
                      </pic:pic>
                    </a:graphicData>
                  </a:graphic>
                </wp:anchor>
              </w:drawing>
            </w:r>
          </w:p>
        </w:tc>
      </w:tr>
      <w:tr w14:paraId="2DAF8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F6742">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21722">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4C5DC">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CDDBF">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18478">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B5D23">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★2.克重（g/m²）≥ 380；依据GB/T4669-2008</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29558">
            <w:pPr>
              <w:jc w:val="center"/>
              <w:rPr>
                <w:rFonts w:hint="eastAsia" w:ascii="宋体" w:hAnsi="宋体" w:eastAsia="宋体" w:cs="宋体"/>
                <w:i w:val="0"/>
                <w:iCs w:val="0"/>
                <w:color w:val="000000"/>
                <w:sz w:val="22"/>
                <w:szCs w:val="22"/>
                <w:u w:val="none"/>
              </w:rPr>
            </w:pPr>
          </w:p>
        </w:tc>
      </w:tr>
      <w:tr w14:paraId="5338F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B5E9F">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CE95B1">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01038">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594F0">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9C7283">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DA235">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★3.厚度：≥0.7MM；依据GB/T3820-1997</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862C2">
            <w:pPr>
              <w:jc w:val="center"/>
              <w:rPr>
                <w:rFonts w:hint="eastAsia" w:ascii="宋体" w:hAnsi="宋体" w:eastAsia="宋体" w:cs="宋体"/>
                <w:i w:val="0"/>
                <w:iCs w:val="0"/>
                <w:color w:val="000000"/>
                <w:sz w:val="22"/>
                <w:szCs w:val="22"/>
                <w:u w:val="none"/>
              </w:rPr>
            </w:pPr>
          </w:p>
        </w:tc>
      </w:tr>
      <w:tr w14:paraId="4C0E9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A0EBC">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F0740">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D689F">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C305CC">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1F6663">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8B5D9">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4.甲醛含量≤20mk/kg；依据GB/T2912.1-2009</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E282F">
            <w:pPr>
              <w:jc w:val="center"/>
              <w:rPr>
                <w:rFonts w:hint="eastAsia" w:ascii="宋体" w:hAnsi="宋体" w:eastAsia="宋体" w:cs="宋体"/>
                <w:i w:val="0"/>
                <w:iCs w:val="0"/>
                <w:color w:val="000000"/>
                <w:sz w:val="22"/>
                <w:szCs w:val="22"/>
                <w:u w:val="none"/>
              </w:rPr>
            </w:pPr>
          </w:p>
        </w:tc>
      </w:tr>
      <w:tr w14:paraId="1E551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45154">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6679F9">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48104">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9A4CB">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963852">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AAB7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5.PH值：4.0-7.5；依据GB/T7573-2009</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9A546">
            <w:pPr>
              <w:jc w:val="center"/>
              <w:rPr>
                <w:rFonts w:hint="eastAsia" w:ascii="宋体" w:hAnsi="宋体" w:eastAsia="宋体" w:cs="宋体"/>
                <w:i w:val="0"/>
                <w:iCs w:val="0"/>
                <w:color w:val="000000"/>
                <w:sz w:val="22"/>
                <w:szCs w:val="22"/>
                <w:u w:val="none"/>
              </w:rPr>
            </w:pPr>
          </w:p>
        </w:tc>
      </w:tr>
      <w:tr w14:paraId="15927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6C3E6">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34DAA">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BB5019">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C934F2">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B8EDB">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EF791">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6.异味：无异味；依据GB/T18401-2010</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3EA72">
            <w:pPr>
              <w:jc w:val="center"/>
              <w:rPr>
                <w:rFonts w:hint="eastAsia" w:ascii="宋体" w:hAnsi="宋体" w:eastAsia="宋体" w:cs="宋体"/>
                <w:i w:val="0"/>
                <w:iCs w:val="0"/>
                <w:color w:val="000000"/>
                <w:sz w:val="22"/>
                <w:szCs w:val="22"/>
                <w:u w:val="none"/>
              </w:rPr>
            </w:pPr>
          </w:p>
        </w:tc>
      </w:tr>
      <w:tr w14:paraId="29871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8508C">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FEB9B">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AF7089">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7EF882">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1C49F">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84B46">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7.可分解致癌芳香胺染料（mg/kg）：禁用；依据GB/T17592-2011</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73E76">
            <w:pPr>
              <w:jc w:val="center"/>
              <w:rPr>
                <w:rFonts w:hint="eastAsia" w:ascii="宋体" w:hAnsi="宋体" w:eastAsia="宋体" w:cs="宋体"/>
                <w:i w:val="0"/>
                <w:iCs w:val="0"/>
                <w:color w:val="000000"/>
                <w:sz w:val="22"/>
                <w:szCs w:val="22"/>
                <w:u w:val="none"/>
              </w:rPr>
            </w:pPr>
          </w:p>
        </w:tc>
      </w:tr>
      <w:tr w14:paraId="361A2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97FA4">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2954E7">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8C32B">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89634">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79B77">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C0C2C">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★8.富马酸二甲酯（mg/kg）≤1mg/kg依据GB/T28190-2011</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4B33C">
            <w:pPr>
              <w:jc w:val="center"/>
              <w:rPr>
                <w:rFonts w:hint="eastAsia" w:ascii="宋体" w:hAnsi="宋体" w:eastAsia="宋体" w:cs="宋体"/>
                <w:i w:val="0"/>
                <w:iCs w:val="0"/>
                <w:color w:val="000000"/>
                <w:sz w:val="22"/>
                <w:szCs w:val="22"/>
                <w:u w:val="none"/>
              </w:rPr>
            </w:pPr>
          </w:p>
        </w:tc>
      </w:tr>
      <w:tr w14:paraId="198EB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C30D7">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8CA169">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4C0257">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12FC1D">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BE9FE">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F193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9.断裂强力：经向:≥1900N；纬向≥2200N；依据GB/T3923.1-2013</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F7ABD">
            <w:pPr>
              <w:jc w:val="center"/>
              <w:rPr>
                <w:rFonts w:hint="eastAsia" w:ascii="宋体" w:hAnsi="宋体" w:eastAsia="宋体" w:cs="宋体"/>
                <w:i w:val="0"/>
                <w:iCs w:val="0"/>
                <w:color w:val="000000"/>
                <w:sz w:val="22"/>
                <w:szCs w:val="22"/>
                <w:u w:val="none"/>
              </w:rPr>
            </w:pPr>
          </w:p>
        </w:tc>
      </w:tr>
      <w:tr w14:paraId="6360F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93E08">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0D995">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774789">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38FDF">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01317D">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C9B14">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★10.遮光率≥99%；依据FZ/T62025-2015</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4615E">
            <w:pPr>
              <w:jc w:val="center"/>
              <w:rPr>
                <w:rFonts w:hint="eastAsia" w:ascii="宋体" w:hAnsi="宋体" w:eastAsia="宋体" w:cs="宋体"/>
                <w:i w:val="0"/>
                <w:iCs w:val="0"/>
                <w:color w:val="000000"/>
                <w:sz w:val="22"/>
                <w:szCs w:val="22"/>
                <w:u w:val="none"/>
              </w:rPr>
            </w:pPr>
          </w:p>
        </w:tc>
      </w:tr>
      <w:tr w14:paraId="51B07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B1270">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3A4BA0">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33742D">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912A6">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A13ABA">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CB556">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★11.易去污性≥3级；依据GB/T01118-2012</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48C4C">
            <w:pPr>
              <w:jc w:val="center"/>
              <w:rPr>
                <w:rFonts w:hint="eastAsia" w:ascii="宋体" w:hAnsi="宋体" w:eastAsia="宋体" w:cs="宋体"/>
                <w:i w:val="0"/>
                <w:iCs w:val="0"/>
                <w:color w:val="000000"/>
                <w:sz w:val="22"/>
                <w:szCs w:val="22"/>
                <w:u w:val="none"/>
              </w:rPr>
            </w:pPr>
          </w:p>
        </w:tc>
      </w:tr>
      <w:tr w14:paraId="4847E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B0037">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DE640">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CE5CD">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88830">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20BE8E">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F7697">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★12.悬垂性60-80%；依据GB/T23329-2009</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324B6">
            <w:pPr>
              <w:jc w:val="center"/>
              <w:rPr>
                <w:rFonts w:hint="eastAsia" w:ascii="宋体" w:hAnsi="宋体" w:eastAsia="宋体" w:cs="宋体"/>
                <w:i w:val="0"/>
                <w:iCs w:val="0"/>
                <w:color w:val="000000"/>
                <w:sz w:val="22"/>
                <w:szCs w:val="22"/>
                <w:u w:val="none"/>
              </w:rPr>
            </w:pPr>
          </w:p>
        </w:tc>
      </w:tr>
      <w:tr w14:paraId="60570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7"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3B651">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28F66D">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8E960">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A8205">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E7B178">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BE2D7">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★13.吸声系数：频率250HZ吸声系数≥0.2、频率500HZ 吸声系数≥0.35、频率1000HZ吸声系数≥0.45、频率2000HZ吸声系数≥0.55、频率4000HZ吸声系数≥0.65；（依据 GB/T 33620-2017标准）</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A2016">
            <w:pPr>
              <w:jc w:val="center"/>
              <w:rPr>
                <w:rFonts w:hint="eastAsia" w:ascii="宋体" w:hAnsi="宋体" w:eastAsia="宋体" w:cs="宋体"/>
                <w:i w:val="0"/>
                <w:iCs w:val="0"/>
                <w:color w:val="000000"/>
                <w:sz w:val="22"/>
                <w:szCs w:val="22"/>
                <w:u w:val="none"/>
              </w:rPr>
            </w:pPr>
          </w:p>
        </w:tc>
      </w:tr>
      <w:tr w14:paraId="4193E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9FA14">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86E476">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664E4">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C369ED">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EEB4BF">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D3E94">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★14.阻燃性能:B1级；符合GB8624-2012</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BDE43">
            <w:pPr>
              <w:jc w:val="center"/>
              <w:rPr>
                <w:rFonts w:hint="eastAsia" w:ascii="宋体" w:hAnsi="宋体" w:eastAsia="宋体" w:cs="宋体"/>
                <w:i w:val="0"/>
                <w:iCs w:val="0"/>
                <w:color w:val="000000"/>
                <w:sz w:val="22"/>
                <w:szCs w:val="22"/>
                <w:u w:val="none"/>
              </w:rPr>
            </w:pPr>
          </w:p>
        </w:tc>
      </w:tr>
      <w:tr w14:paraId="6E797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ABCBD">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F8E8A6">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F5DE19">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8BF16">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EB488">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0925C">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15.损毁长度:经向:≤150mm，纬向:≤150mm(依据GB/T5455-2014标准)；</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415EF">
            <w:pPr>
              <w:jc w:val="center"/>
              <w:rPr>
                <w:rFonts w:hint="eastAsia" w:ascii="宋体" w:hAnsi="宋体" w:eastAsia="宋体" w:cs="宋体"/>
                <w:i w:val="0"/>
                <w:iCs w:val="0"/>
                <w:color w:val="000000"/>
                <w:sz w:val="22"/>
                <w:szCs w:val="22"/>
                <w:u w:val="none"/>
              </w:rPr>
            </w:pPr>
          </w:p>
        </w:tc>
      </w:tr>
      <w:tr w14:paraId="6CE6C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EEB62">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0E6FE9">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3ED36">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447612">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BC601">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B1662">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16.续燃时间:经向:≤5s，纬向:&lt;5s(依据GB/T 5455-2014标准)</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DF42C">
            <w:pPr>
              <w:jc w:val="center"/>
              <w:rPr>
                <w:rFonts w:hint="eastAsia" w:ascii="宋体" w:hAnsi="宋体" w:eastAsia="宋体" w:cs="宋体"/>
                <w:i w:val="0"/>
                <w:iCs w:val="0"/>
                <w:color w:val="000000"/>
                <w:sz w:val="22"/>
                <w:szCs w:val="22"/>
                <w:u w:val="none"/>
              </w:rPr>
            </w:pPr>
          </w:p>
        </w:tc>
      </w:tr>
      <w:tr w14:paraId="65270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FF6AC">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72E4B">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08915">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45356">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86232">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1FC11">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17.阴燃时间:经向:≤15s，纬向:≤15s(依据GB/T 5455-2014标准)</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4656C">
            <w:pPr>
              <w:jc w:val="center"/>
              <w:rPr>
                <w:rFonts w:hint="eastAsia" w:ascii="宋体" w:hAnsi="宋体" w:eastAsia="宋体" w:cs="宋体"/>
                <w:i w:val="0"/>
                <w:iCs w:val="0"/>
                <w:color w:val="000000"/>
                <w:sz w:val="22"/>
                <w:szCs w:val="22"/>
                <w:u w:val="none"/>
              </w:rPr>
            </w:pPr>
          </w:p>
        </w:tc>
      </w:tr>
      <w:tr w14:paraId="3CCCD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D3352">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02225">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CB4A06">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6F2921">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7AE9A">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1BA42">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18.氧指数OI%:≥32(依据GB/T 5454-1997标准)；</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8752A">
            <w:pPr>
              <w:jc w:val="center"/>
              <w:rPr>
                <w:rFonts w:hint="eastAsia" w:ascii="宋体" w:hAnsi="宋体" w:eastAsia="宋体" w:cs="宋体"/>
                <w:i w:val="0"/>
                <w:iCs w:val="0"/>
                <w:color w:val="000000"/>
                <w:sz w:val="22"/>
                <w:szCs w:val="22"/>
                <w:u w:val="none"/>
              </w:rPr>
            </w:pPr>
          </w:p>
        </w:tc>
      </w:tr>
      <w:tr w14:paraId="488CF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85B24">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70E1E">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72892">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12FCF">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D925A">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97537">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注：以上需提供有效的第三方检测机构出具的带有“CMA 标识的检测报告；所</w:t>
            </w:r>
            <w:r>
              <w:rPr>
                <w:rFonts w:hint="eastAsia" w:ascii="宋体" w:hAnsi="宋体" w:cs="宋体"/>
                <w:i w:val="0"/>
                <w:iCs w:val="0"/>
                <w:color w:val="000000"/>
                <w:kern w:val="0"/>
                <w:sz w:val="22"/>
                <w:szCs w:val="22"/>
                <w:u w:val="none"/>
                <w:lang w:val="en-US" w:eastAsia="zh-CN" w:bidi="ar"/>
              </w:rPr>
              <w:t>有</w:t>
            </w:r>
            <w:r>
              <w:rPr>
                <w:rFonts w:hint="eastAsia" w:ascii="宋体" w:hAnsi="宋体" w:eastAsia="宋体" w:cs="宋体"/>
                <w:i w:val="0"/>
                <w:iCs w:val="0"/>
                <w:color w:val="000000"/>
                <w:kern w:val="0"/>
                <w:sz w:val="22"/>
                <w:szCs w:val="22"/>
                <w:u w:val="none"/>
                <w:lang w:val="en-US" w:eastAsia="zh-CN" w:bidi="ar"/>
              </w:rPr>
              <w:t>参数需在同一份检测报告中。</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DEFA8">
            <w:pPr>
              <w:jc w:val="center"/>
              <w:rPr>
                <w:rFonts w:hint="eastAsia" w:ascii="宋体" w:hAnsi="宋体" w:eastAsia="宋体" w:cs="宋体"/>
                <w:i w:val="0"/>
                <w:iCs w:val="0"/>
                <w:color w:val="000000"/>
                <w:sz w:val="22"/>
                <w:szCs w:val="22"/>
                <w:u w:val="none"/>
              </w:rPr>
            </w:pPr>
          </w:p>
        </w:tc>
      </w:tr>
      <w:tr w14:paraId="07462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4E09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F05E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遮光卷帘</w:t>
            </w:r>
          </w:p>
        </w:tc>
        <w:tc>
          <w:tcPr>
            <w:tcW w:w="6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CB94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4691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约</w:t>
            </w:r>
            <w:r>
              <w:rPr>
                <w:rFonts w:hint="eastAsia" w:ascii="宋体" w:hAnsi="宋体" w:eastAsia="宋体" w:cs="宋体"/>
                <w:i w:val="0"/>
                <w:iCs w:val="0"/>
                <w:color w:val="000000"/>
                <w:kern w:val="0"/>
                <w:sz w:val="22"/>
                <w:szCs w:val="22"/>
                <w:u w:val="none"/>
                <w:lang w:val="en-US" w:eastAsia="zh-CN" w:bidi="ar"/>
              </w:rPr>
              <w:t>10</w:t>
            </w: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7944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成品高度 2.3m</w:t>
            </w: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1A642">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1.材质：100%纤维，涂层除外；</w:t>
            </w:r>
          </w:p>
        </w:tc>
        <w:tc>
          <w:tcPr>
            <w:tcW w:w="15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BC8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189865</wp:posOffset>
                  </wp:positionV>
                  <wp:extent cx="895350" cy="1153160"/>
                  <wp:effectExtent l="0" t="0" r="0" b="8890"/>
                  <wp:wrapNone/>
                  <wp:docPr id="37" name="图片_3"/>
                  <wp:cNvGraphicFramePr/>
                  <a:graphic xmlns:a="http://schemas.openxmlformats.org/drawingml/2006/main">
                    <a:graphicData uri="http://schemas.openxmlformats.org/drawingml/2006/picture">
                      <pic:pic xmlns:pic="http://schemas.openxmlformats.org/drawingml/2006/picture">
                        <pic:nvPicPr>
                          <pic:cNvPr id="37" name="图片_3"/>
                          <pic:cNvPicPr/>
                        </pic:nvPicPr>
                        <pic:blipFill>
                          <a:blip r:embed="rId8"/>
                          <a:stretch>
                            <a:fillRect/>
                          </a:stretch>
                        </pic:blipFill>
                        <pic:spPr>
                          <a:xfrm>
                            <a:off x="0" y="0"/>
                            <a:ext cx="895350" cy="1153160"/>
                          </a:xfrm>
                          <a:prstGeom prst="rect">
                            <a:avLst/>
                          </a:prstGeom>
                          <a:noFill/>
                          <a:ln>
                            <a:noFill/>
                          </a:ln>
                        </pic:spPr>
                      </pic:pic>
                    </a:graphicData>
                  </a:graphic>
                </wp:anchor>
              </w:drawing>
            </w:r>
          </w:p>
        </w:tc>
      </w:tr>
      <w:tr w14:paraId="55100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FE017">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AF174">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2C278">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E9A09">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B26BDA">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C022D">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★2.克重（g/m²）≥ 580；</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B43AD">
            <w:pPr>
              <w:jc w:val="center"/>
              <w:rPr>
                <w:rFonts w:hint="eastAsia" w:ascii="宋体" w:hAnsi="宋体" w:eastAsia="宋体" w:cs="宋体"/>
                <w:i w:val="0"/>
                <w:iCs w:val="0"/>
                <w:color w:val="000000"/>
                <w:sz w:val="22"/>
                <w:szCs w:val="22"/>
                <w:u w:val="none"/>
              </w:rPr>
            </w:pPr>
          </w:p>
        </w:tc>
      </w:tr>
      <w:tr w14:paraId="4DEE8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6DBB71">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9590B3">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45049">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AA6B8">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82ADE0">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F46A7">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3.静电性能：静电电压:≤2000V；半衰期≤12.5S；</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9BF03">
            <w:pPr>
              <w:jc w:val="center"/>
              <w:rPr>
                <w:rFonts w:hint="eastAsia" w:ascii="宋体" w:hAnsi="宋体" w:eastAsia="宋体" w:cs="宋体"/>
                <w:i w:val="0"/>
                <w:iCs w:val="0"/>
                <w:color w:val="000000"/>
                <w:sz w:val="22"/>
                <w:szCs w:val="22"/>
                <w:u w:val="none"/>
              </w:rPr>
            </w:pPr>
          </w:p>
        </w:tc>
      </w:tr>
      <w:tr w14:paraId="3E6E4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BBA652">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8C382">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9E736B">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B6F72D">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E676E">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CB7CF">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4.织物密度：经向:≥205.6tex；纬向≥189.9tex；</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0C9FC">
            <w:pPr>
              <w:jc w:val="center"/>
              <w:rPr>
                <w:rFonts w:hint="eastAsia" w:ascii="宋体" w:hAnsi="宋体" w:eastAsia="宋体" w:cs="宋体"/>
                <w:i w:val="0"/>
                <w:iCs w:val="0"/>
                <w:color w:val="000000"/>
                <w:sz w:val="22"/>
                <w:szCs w:val="22"/>
                <w:u w:val="none"/>
              </w:rPr>
            </w:pPr>
          </w:p>
        </w:tc>
      </w:tr>
      <w:tr w14:paraId="4F1D7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CC8A59">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6B2349">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15669">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90AC5">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CC5C6B">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69D9A">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5.断裂强力：经向:≥1800N；纬向≥2000N；</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01CF5">
            <w:pPr>
              <w:jc w:val="center"/>
              <w:rPr>
                <w:rFonts w:hint="eastAsia" w:ascii="宋体" w:hAnsi="宋体" w:eastAsia="宋体" w:cs="宋体"/>
                <w:i w:val="0"/>
                <w:iCs w:val="0"/>
                <w:color w:val="000000"/>
                <w:sz w:val="22"/>
                <w:szCs w:val="22"/>
                <w:u w:val="none"/>
              </w:rPr>
            </w:pPr>
          </w:p>
        </w:tc>
      </w:tr>
      <w:tr w14:paraId="6509A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988972">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C2DDA0">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45059">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C3ACA">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B13214">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100C3">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注：以上需提供有效的第三方检测机构出具的带有“CMA 标识的检测报告；所</w:t>
            </w:r>
            <w:r>
              <w:rPr>
                <w:rFonts w:hint="eastAsia" w:ascii="宋体" w:hAnsi="宋体" w:cs="宋体"/>
                <w:i w:val="0"/>
                <w:iCs w:val="0"/>
                <w:color w:val="000000"/>
                <w:kern w:val="0"/>
                <w:sz w:val="22"/>
                <w:szCs w:val="22"/>
                <w:u w:val="none"/>
                <w:lang w:val="en-US" w:eastAsia="zh-CN" w:bidi="ar"/>
              </w:rPr>
              <w:t>有</w:t>
            </w:r>
            <w:r>
              <w:rPr>
                <w:rFonts w:hint="eastAsia" w:ascii="宋体" w:hAnsi="宋体" w:eastAsia="宋体" w:cs="宋体"/>
                <w:i w:val="0"/>
                <w:iCs w:val="0"/>
                <w:color w:val="000000"/>
                <w:kern w:val="0"/>
                <w:sz w:val="22"/>
                <w:szCs w:val="22"/>
                <w:u w:val="none"/>
                <w:lang w:val="en-US" w:eastAsia="zh-CN" w:bidi="ar"/>
              </w:rPr>
              <w:t>参数需在同一份检测报告中。</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1B844">
            <w:pPr>
              <w:jc w:val="center"/>
              <w:rPr>
                <w:rFonts w:hint="eastAsia" w:ascii="宋体" w:hAnsi="宋体" w:eastAsia="宋体" w:cs="宋体"/>
                <w:i w:val="0"/>
                <w:iCs w:val="0"/>
                <w:color w:val="000000"/>
                <w:sz w:val="22"/>
                <w:szCs w:val="22"/>
                <w:u w:val="none"/>
              </w:rPr>
            </w:pPr>
          </w:p>
        </w:tc>
      </w:tr>
      <w:tr w14:paraId="0A1FE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D93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5C26B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窗纱</w:t>
            </w:r>
          </w:p>
          <w:p w14:paraId="0AD230AC">
            <w:pPr>
              <w:pStyle w:val="20"/>
              <w:rPr>
                <w:rFonts w:hint="eastAsia"/>
              </w:rPr>
            </w:pPr>
            <w:r>
              <w:rPr>
                <w:rFonts w:hint="eastAsia" w:ascii="宋体" w:hAnsi="宋体" w:eastAsia="宋体" w:cs="宋体"/>
                <w:i w:val="0"/>
                <w:iCs w:val="0"/>
                <w:color w:val="000000"/>
                <w:kern w:val="0"/>
                <w:sz w:val="22"/>
                <w:szCs w:val="22"/>
                <w:highlight w:val="yellow"/>
                <w:u w:val="none"/>
                <w:shd w:val="clear" w:fill="FFFF00"/>
                <w:lang w:val="en-US" w:eastAsia="zh-CN" w:bidi="ar"/>
              </w:rPr>
              <w:t>（投标提供样品）</w:t>
            </w:r>
          </w:p>
        </w:tc>
        <w:tc>
          <w:tcPr>
            <w:tcW w:w="6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49DB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F558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约</w:t>
            </w:r>
            <w:r>
              <w:rPr>
                <w:rFonts w:hint="eastAsia" w:ascii="宋体" w:hAnsi="宋体" w:eastAsia="宋体" w:cs="宋体"/>
                <w:i w:val="0"/>
                <w:iCs w:val="0"/>
                <w:color w:val="000000"/>
                <w:kern w:val="0"/>
                <w:sz w:val="22"/>
                <w:szCs w:val="22"/>
                <w:u w:val="none"/>
                <w:lang w:val="en-US" w:eastAsia="zh-CN" w:bidi="ar"/>
              </w:rPr>
              <w:t>450</w:t>
            </w: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94AF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成品高度 3m，纱帘褶皱1:2</w:t>
            </w: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798D1">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1.材质：100%聚酯纤维；依据FZ/T01057-2007</w:t>
            </w:r>
          </w:p>
        </w:tc>
        <w:tc>
          <w:tcPr>
            <w:tcW w:w="15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E52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884555</wp:posOffset>
                  </wp:positionV>
                  <wp:extent cx="895350" cy="1915160"/>
                  <wp:effectExtent l="0" t="0" r="0" b="8890"/>
                  <wp:wrapNone/>
                  <wp:docPr id="38" name="图片_2"/>
                  <wp:cNvGraphicFramePr/>
                  <a:graphic xmlns:a="http://schemas.openxmlformats.org/drawingml/2006/main">
                    <a:graphicData uri="http://schemas.openxmlformats.org/drawingml/2006/picture">
                      <pic:pic xmlns:pic="http://schemas.openxmlformats.org/drawingml/2006/picture">
                        <pic:nvPicPr>
                          <pic:cNvPr id="38" name="图片_2"/>
                          <pic:cNvPicPr/>
                        </pic:nvPicPr>
                        <pic:blipFill>
                          <a:blip r:embed="rId9"/>
                          <a:stretch>
                            <a:fillRect/>
                          </a:stretch>
                        </pic:blipFill>
                        <pic:spPr>
                          <a:xfrm>
                            <a:off x="0" y="0"/>
                            <a:ext cx="895350" cy="1915160"/>
                          </a:xfrm>
                          <a:prstGeom prst="rect">
                            <a:avLst/>
                          </a:prstGeom>
                          <a:noFill/>
                          <a:ln>
                            <a:noFill/>
                          </a:ln>
                        </pic:spPr>
                      </pic:pic>
                    </a:graphicData>
                  </a:graphic>
                </wp:anchor>
              </w:drawing>
            </w:r>
          </w:p>
        </w:tc>
      </w:tr>
      <w:tr w14:paraId="76C99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285D9">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A08EB">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D20FDE">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2121F">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A9AA46">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AEED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★2.克重（g/m²）≥ 60；依据GB/T4669-2008</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C297B">
            <w:pPr>
              <w:jc w:val="center"/>
              <w:rPr>
                <w:rFonts w:hint="eastAsia" w:ascii="宋体" w:hAnsi="宋体" w:eastAsia="宋体" w:cs="宋体"/>
                <w:i w:val="0"/>
                <w:iCs w:val="0"/>
                <w:color w:val="000000"/>
                <w:sz w:val="22"/>
                <w:szCs w:val="22"/>
                <w:u w:val="none"/>
              </w:rPr>
            </w:pPr>
          </w:p>
        </w:tc>
      </w:tr>
      <w:tr w14:paraId="38460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D0F99">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964F6C">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330998">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2E3C9">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D3ECE">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B7909">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★3.厚度：≥0.4；依据GB/T3820-1997</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EB719">
            <w:pPr>
              <w:jc w:val="center"/>
              <w:rPr>
                <w:rFonts w:hint="eastAsia" w:ascii="宋体" w:hAnsi="宋体" w:eastAsia="宋体" w:cs="宋体"/>
                <w:i w:val="0"/>
                <w:iCs w:val="0"/>
                <w:color w:val="000000"/>
                <w:sz w:val="22"/>
                <w:szCs w:val="22"/>
                <w:u w:val="none"/>
              </w:rPr>
            </w:pPr>
          </w:p>
        </w:tc>
      </w:tr>
      <w:tr w14:paraId="59225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48A06">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86F4FA">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C5639E">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172613">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CDDC0">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6A825">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4.甲醛含量≤20mk/kg；依据GB/T2912.1-2009</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92203">
            <w:pPr>
              <w:jc w:val="center"/>
              <w:rPr>
                <w:rFonts w:hint="eastAsia" w:ascii="宋体" w:hAnsi="宋体" w:eastAsia="宋体" w:cs="宋体"/>
                <w:i w:val="0"/>
                <w:iCs w:val="0"/>
                <w:color w:val="000000"/>
                <w:sz w:val="22"/>
                <w:szCs w:val="22"/>
                <w:u w:val="none"/>
              </w:rPr>
            </w:pPr>
          </w:p>
        </w:tc>
      </w:tr>
      <w:tr w14:paraId="18ABF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DD6C1">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2267AF">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A628E">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C3988">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7BC6E">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2A05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5.PH值：4.0-7.5；依据GB/T7573-2009</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F4448">
            <w:pPr>
              <w:jc w:val="center"/>
              <w:rPr>
                <w:rFonts w:hint="eastAsia" w:ascii="宋体" w:hAnsi="宋体" w:eastAsia="宋体" w:cs="宋体"/>
                <w:i w:val="0"/>
                <w:iCs w:val="0"/>
                <w:color w:val="000000"/>
                <w:sz w:val="22"/>
                <w:szCs w:val="22"/>
                <w:u w:val="none"/>
              </w:rPr>
            </w:pPr>
          </w:p>
        </w:tc>
      </w:tr>
      <w:tr w14:paraId="63B86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6A99">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38F45">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5C6D64">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F9B1B">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97E39">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534F3">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6.异味：无异味；依据GB/T18401-2010</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8283B">
            <w:pPr>
              <w:jc w:val="center"/>
              <w:rPr>
                <w:rFonts w:hint="eastAsia" w:ascii="宋体" w:hAnsi="宋体" w:eastAsia="宋体" w:cs="宋体"/>
                <w:i w:val="0"/>
                <w:iCs w:val="0"/>
                <w:color w:val="000000"/>
                <w:sz w:val="22"/>
                <w:szCs w:val="22"/>
                <w:u w:val="none"/>
              </w:rPr>
            </w:pPr>
          </w:p>
        </w:tc>
      </w:tr>
      <w:tr w14:paraId="71944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F18AD">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526F8B">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BA4E5">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D70B0">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A0879">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7EF76">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7.可分解致癌芳香胺染料（mg/kg）：禁用；依据GB/T17592-2011</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01F46">
            <w:pPr>
              <w:jc w:val="center"/>
              <w:rPr>
                <w:rFonts w:hint="eastAsia" w:ascii="宋体" w:hAnsi="宋体" w:eastAsia="宋体" w:cs="宋体"/>
                <w:i w:val="0"/>
                <w:iCs w:val="0"/>
                <w:color w:val="000000"/>
                <w:sz w:val="22"/>
                <w:szCs w:val="22"/>
                <w:u w:val="none"/>
              </w:rPr>
            </w:pPr>
          </w:p>
        </w:tc>
      </w:tr>
      <w:tr w14:paraId="1F8DE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263A9">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0BFC8A">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6B90A">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CECB69">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4AA5F2">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F9C1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★8.富马酸二甲酯（mg/kg）≤1mg/kg依据GB/T28190-2011</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365F4">
            <w:pPr>
              <w:jc w:val="center"/>
              <w:rPr>
                <w:rFonts w:hint="eastAsia" w:ascii="宋体" w:hAnsi="宋体" w:eastAsia="宋体" w:cs="宋体"/>
                <w:i w:val="0"/>
                <w:iCs w:val="0"/>
                <w:color w:val="000000"/>
                <w:sz w:val="22"/>
                <w:szCs w:val="22"/>
                <w:u w:val="none"/>
              </w:rPr>
            </w:pPr>
          </w:p>
        </w:tc>
      </w:tr>
      <w:tr w14:paraId="303D9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A4042">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23EE4">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7D9AB0">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47B907">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183343">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E7616">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9.断裂强力：经向:≥460N；纬向≥850N；；依据GB/T3923.1-2013</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20518">
            <w:pPr>
              <w:jc w:val="center"/>
              <w:rPr>
                <w:rFonts w:hint="eastAsia" w:ascii="宋体" w:hAnsi="宋体" w:eastAsia="宋体" w:cs="宋体"/>
                <w:i w:val="0"/>
                <w:iCs w:val="0"/>
                <w:color w:val="000000"/>
                <w:sz w:val="22"/>
                <w:szCs w:val="22"/>
                <w:u w:val="none"/>
              </w:rPr>
            </w:pPr>
          </w:p>
        </w:tc>
      </w:tr>
      <w:tr w14:paraId="05F1E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84DE">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FCE43">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D0531">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35F7D">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C056A">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DE0D6">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★10.接缝强力：经向:≥400N；纬向≥400N；依据GB/T13773.1-2008</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B8086">
            <w:pPr>
              <w:jc w:val="center"/>
              <w:rPr>
                <w:rFonts w:hint="eastAsia" w:ascii="宋体" w:hAnsi="宋体" w:eastAsia="宋体" w:cs="宋体"/>
                <w:i w:val="0"/>
                <w:iCs w:val="0"/>
                <w:color w:val="000000"/>
                <w:sz w:val="22"/>
                <w:szCs w:val="22"/>
                <w:u w:val="none"/>
              </w:rPr>
            </w:pPr>
          </w:p>
        </w:tc>
      </w:tr>
      <w:tr w14:paraId="0EC03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85BC1">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FFB12E">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32D8F">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54444">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6F9814">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7086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★11.接缝纱线滑移：经纱:≤3mm；纬纱:≤3mm；依据GB/T13773.1-2008</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4FF9A">
            <w:pPr>
              <w:jc w:val="center"/>
              <w:rPr>
                <w:rFonts w:hint="eastAsia" w:ascii="宋体" w:hAnsi="宋体" w:eastAsia="宋体" w:cs="宋体"/>
                <w:i w:val="0"/>
                <w:iCs w:val="0"/>
                <w:color w:val="000000"/>
                <w:sz w:val="22"/>
                <w:szCs w:val="22"/>
                <w:u w:val="none"/>
              </w:rPr>
            </w:pPr>
          </w:p>
        </w:tc>
      </w:tr>
      <w:tr w14:paraId="2900E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A3AA1">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B668A">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87B877">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B631F">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6D6C2">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F7E39">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★12.悬垂性30-50%；依据GB/T23329-2009</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DCE6D">
            <w:pPr>
              <w:jc w:val="center"/>
              <w:rPr>
                <w:rFonts w:hint="eastAsia" w:ascii="宋体" w:hAnsi="宋体" w:eastAsia="宋体" w:cs="宋体"/>
                <w:i w:val="0"/>
                <w:iCs w:val="0"/>
                <w:color w:val="000000"/>
                <w:sz w:val="22"/>
                <w:szCs w:val="22"/>
                <w:u w:val="none"/>
              </w:rPr>
            </w:pPr>
          </w:p>
        </w:tc>
      </w:tr>
      <w:tr w14:paraId="62EB8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9EFED">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78EF55">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CBEB5">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294C9">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9D58F">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80D2C">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★13.勾丝性能≥1级；依据GB/T1107-2008</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E160A">
            <w:pPr>
              <w:jc w:val="center"/>
              <w:rPr>
                <w:rFonts w:hint="eastAsia" w:ascii="宋体" w:hAnsi="宋体" w:eastAsia="宋体" w:cs="宋体"/>
                <w:i w:val="0"/>
                <w:iCs w:val="0"/>
                <w:color w:val="000000"/>
                <w:sz w:val="22"/>
                <w:szCs w:val="22"/>
                <w:u w:val="none"/>
              </w:rPr>
            </w:pPr>
          </w:p>
        </w:tc>
      </w:tr>
      <w:tr w14:paraId="289F7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09F04">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7154C4">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2C4B3">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8D5F05">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A0FFE">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0CCCD">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★14.阻燃性能:B1级；符合GB8624-2012</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5685A">
            <w:pPr>
              <w:jc w:val="center"/>
              <w:rPr>
                <w:rFonts w:hint="eastAsia" w:ascii="宋体" w:hAnsi="宋体" w:eastAsia="宋体" w:cs="宋体"/>
                <w:i w:val="0"/>
                <w:iCs w:val="0"/>
                <w:color w:val="000000"/>
                <w:sz w:val="22"/>
                <w:szCs w:val="22"/>
                <w:u w:val="none"/>
              </w:rPr>
            </w:pPr>
          </w:p>
        </w:tc>
      </w:tr>
      <w:tr w14:paraId="154FF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A4829">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6DB1D">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F3EE4">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6023F4">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63DB9">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A0DE6">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15.损毁长度:经向:≤150mm，纬向:≤150mm(依据GB/T5455-2014标准)；</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55EE5">
            <w:pPr>
              <w:jc w:val="center"/>
              <w:rPr>
                <w:rFonts w:hint="eastAsia" w:ascii="宋体" w:hAnsi="宋体" w:eastAsia="宋体" w:cs="宋体"/>
                <w:i w:val="0"/>
                <w:iCs w:val="0"/>
                <w:color w:val="000000"/>
                <w:sz w:val="22"/>
                <w:szCs w:val="22"/>
                <w:u w:val="none"/>
              </w:rPr>
            </w:pPr>
          </w:p>
        </w:tc>
      </w:tr>
      <w:tr w14:paraId="5E26B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71A6B">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7E031">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757F39">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5C527B">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8092E">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366FE">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16.续燃时间:经向:≤5s，纬向:&lt;5s(依据GB/T 5455-2014标准)</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53B8A">
            <w:pPr>
              <w:jc w:val="center"/>
              <w:rPr>
                <w:rFonts w:hint="eastAsia" w:ascii="宋体" w:hAnsi="宋体" w:eastAsia="宋体" w:cs="宋体"/>
                <w:i w:val="0"/>
                <w:iCs w:val="0"/>
                <w:color w:val="000000"/>
                <w:sz w:val="22"/>
                <w:szCs w:val="22"/>
                <w:u w:val="none"/>
              </w:rPr>
            </w:pPr>
          </w:p>
        </w:tc>
      </w:tr>
      <w:tr w14:paraId="6EA03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CE9EE">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D4636A">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8E6E7">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663D5E">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9ECB0">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AE730">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17.阴燃时间:经向:≤15s，纬向:≤15s(依据GB/T 5455-2014标准)</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ACA5E">
            <w:pPr>
              <w:jc w:val="center"/>
              <w:rPr>
                <w:rFonts w:hint="eastAsia" w:ascii="宋体" w:hAnsi="宋体" w:eastAsia="宋体" w:cs="宋体"/>
                <w:i w:val="0"/>
                <w:iCs w:val="0"/>
                <w:color w:val="000000"/>
                <w:sz w:val="22"/>
                <w:szCs w:val="22"/>
                <w:u w:val="none"/>
              </w:rPr>
            </w:pPr>
          </w:p>
        </w:tc>
      </w:tr>
      <w:tr w14:paraId="7F618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BB4F5">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B541E4">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982806">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158EC">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64CAD4">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1D079">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18.氧指数OI%:≥32(依据GB/T 5454-1997标准)；</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52EE4">
            <w:pPr>
              <w:jc w:val="center"/>
              <w:rPr>
                <w:rFonts w:hint="eastAsia" w:ascii="宋体" w:hAnsi="宋体" w:eastAsia="宋体" w:cs="宋体"/>
                <w:i w:val="0"/>
                <w:iCs w:val="0"/>
                <w:color w:val="000000"/>
                <w:sz w:val="22"/>
                <w:szCs w:val="22"/>
                <w:u w:val="none"/>
              </w:rPr>
            </w:pPr>
          </w:p>
        </w:tc>
      </w:tr>
      <w:tr w14:paraId="2261A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6"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73083">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F822A1">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45778">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49BB72">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6231F">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1F031">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2189480</wp:posOffset>
                  </wp:positionH>
                  <wp:positionV relativeFrom="paragraph">
                    <wp:posOffset>686435</wp:posOffset>
                  </wp:positionV>
                  <wp:extent cx="904240" cy="1056005"/>
                  <wp:effectExtent l="0" t="0" r="10160" b="10795"/>
                  <wp:wrapNone/>
                  <wp:docPr id="39" name="图片_5"/>
                  <wp:cNvGraphicFramePr/>
                  <a:graphic xmlns:a="http://schemas.openxmlformats.org/drawingml/2006/main">
                    <a:graphicData uri="http://schemas.openxmlformats.org/drawingml/2006/picture">
                      <pic:pic xmlns:pic="http://schemas.openxmlformats.org/drawingml/2006/picture">
                        <pic:nvPicPr>
                          <pic:cNvPr id="39" name="图片_5"/>
                          <pic:cNvPicPr/>
                        </pic:nvPicPr>
                        <pic:blipFill>
                          <a:blip r:embed="rId10"/>
                          <a:stretch>
                            <a:fillRect/>
                          </a:stretch>
                        </pic:blipFill>
                        <pic:spPr>
                          <a:xfrm>
                            <a:off x="0" y="0"/>
                            <a:ext cx="904240" cy="10560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注：以上需提供有效的第三方检测机构出具的带有“CMA 标识的检测报告；所</w:t>
            </w:r>
            <w:r>
              <w:rPr>
                <w:rFonts w:hint="eastAsia" w:ascii="宋体" w:hAnsi="宋体" w:cs="宋体"/>
                <w:i w:val="0"/>
                <w:iCs w:val="0"/>
                <w:color w:val="000000"/>
                <w:kern w:val="0"/>
                <w:sz w:val="22"/>
                <w:szCs w:val="22"/>
                <w:u w:val="none"/>
                <w:lang w:val="en-US" w:eastAsia="zh-CN" w:bidi="ar"/>
              </w:rPr>
              <w:t>有</w:t>
            </w:r>
            <w:r>
              <w:rPr>
                <w:rFonts w:hint="eastAsia" w:ascii="宋体" w:hAnsi="宋体" w:eastAsia="宋体" w:cs="宋体"/>
                <w:i w:val="0"/>
                <w:iCs w:val="0"/>
                <w:color w:val="000000"/>
                <w:kern w:val="0"/>
                <w:sz w:val="22"/>
                <w:szCs w:val="22"/>
                <w:u w:val="none"/>
                <w:lang w:val="en-US" w:eastAsia="zh-CN" w:bidi="ar"/>
              </w:rPr>
              <w:t>参数需在同一份检测报告中。</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BF964">
            <w:pPr>
              <w:jc w:val="center"/>
              <w:rPr>
                <w:rFonts w:hint="eastAsia" w:ascii="宋体" w:hAnsi="宋体" w:eastAsia="宋体" w:cs="宋体"/>
                <w:i w:val="0"/>
                <w:iCs w:val="0"/>
                <w:color w:val="000000"/>
                <w:sz w:val="22"/>
                <w:szCs w:val="22"/>
                <w:u w:val="none"/>
              </w:rPr>
            </w:pPr>
          </w:p>
        </w:tc>
      </w:tr>
      <w:tr w14:paraId="703FA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682C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3C82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电动开合轨道</w:t>
            </w:r>
            <w:r>
              <w:rPr>
                <w:rFonts w:hint="eastAsia" w:ascii="宋体" w:hAnsi="宋体" w:eastAsia="宋体" w:cs="宋体"/>
                <w:i w:val="0"/>
                <w:iCs w:val="0"/>
                <w:color w:val="000000"/>
                <w:kern w:val="0"/>
                <w:sz w:val="22"/>
                <w:szCs w:val="22"/>
                <w:highlight w:val="yellow"/>
                <w:u w:val="none"/>
                <w:shd w:val="clear" w:fill="FFFF00"/>
                <w:lang w:val="en-US" w:eastAsia="zh-CN" w:bidi="ar"/>
              </w:rPr>
              <w:t>（投标提供样品）</w:t>
            </w:r>
          </w:p>
        </w:tc>
        <w:tc>
          <w:tcPr>
            <w:tcW w:w="6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D666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6540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约</w:t>
            </w:r>
            <w:r>
              <w:rPr>
                <w:rFonts w:hint="eastAsia" w:ascii="宋体" w:hAnsi="宋体" w:eastAsia="宋体" w:cs="宋体"/>
                <w:i w:val="0"/>
                <w:iCs w:val="0"/>
                <w:color w:val="000000"/>
                <w:kern w:val="0"/>
                <w:sz w:val="22"/>
                <w:szCs w:val="22"/>
                <w:u w:val="none"/>
                <w:lang w:val="en-US" w:eastAsia="zh-CN" w:bidi="ar"/>
              </w:rPr>
              <w:t>200</w:t>
            </w: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ECF8B2">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36765">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1.壁厚≥</w:t>
            </w:r>
            <w:r>
              <w:rPr>
                <w:rFonts w:hint="eastAsia" w:ascii="宋体" w:hAnsi="宋体" w:cs="宋体"/>
                <w:i w:val="0"/>
                <w:iCs w:val="0"/>
                <w:color w:val="000000"/>
                <w:kern w:val="0"/>
                <w:sz w:val="22"/>
                <w:szCs w:val="22"/>
                <w:u w:val="none"/>
                <w:lang w:val="en-US" w:eastAsia="zh-CN" w:bidi="ar"/>
              </w:rPr>
              <w:t>2.0</w:t>
            </w:r>
            <w:r>
              <w:rPr>
                <w:rFonts w:hint="eastAsia" w:ascii="宋体" w:hAnsi="宋体" w:eastAsia="宋体" w:cs="宋体"/>
                <w:i w:val="0"/>
                <w:iCs w:val="0"/>
                <w:color w:val="000000"/>
                <w:kern w:val="0"/>
                <w:sz w:val="22"/>
                <w:szCs w:val="22"/>
                <w:u w:val="none"/>
                <w:lang w:val="en-US" w:eastAsia="zh-CN" w:bidi="ar"/>
              </w:rPr>
              <w:t>mm；</w:t>
            </w:r>
          </w:p>
        </w:tc>
        <w:tc>
          <w:tcPr>
            <w:tcW w:w="15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31F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32C1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A3A4C">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8AF1D9">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60571E">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388C1A">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2E73F">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7463E">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2.规格：32*26mm；；</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D2997">
            <w:pPr>
              <w:jc w:val="center"/>
              <w:rPr>
                <w:rFonts w:hint="eastAsia" w:ascii="宋体" w:hAnsi="宋体" w:eastAsia="宋体" w:cs="宋体"/>
                <w:i w:val="0"/>
                <w:iCs w:val="0"/>
                <w:color w:val="000000"/>
                <w:sz w:val="22"/>
                <w:szCs w:val="22"/>
                <w:u w:val="none"/>
              </w:rPr>
            </w:pPr>
          </w:p>
        </w:tc>
      </w:tr>
      <w:tr w14:paraId="6A0D7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512B08">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0D0047">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2828A">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882DBE">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DC135">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95D82">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3.抗拉强度≥229MPa；</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DC0D4">
            <w:pPr>
              <w:jc w:val="center"/>
              <w:rPr>
                <w:rFonts w:hint="eastAsia" w:ascii="宋体" w:hAnsi="宋体" w:eastAsia="宋体" w:cs="宋体"/>
                <w:i w:val="0"/>
                <w:iCs w:val="0"/>
                <w:color w:val="000000"/>
                <w:sz w:val="22"/>
                <w:szCs w:val="22"/>
                <w:u w:val="none"/>
              </w:rPr>
            </w:pPr>
          </w:p>
        </w:tc>
      </w:tr>
      <w:tr w14:paraId="5F97F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EB825">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039C3">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8BA923">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F8F040">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3C3A8C">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1DADC">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4.断后伸长率≥14.5%；</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DA95A">
            <w:pPr>
              <w:jc w:val="center"/>
              <w:rPr>
                <w:rFonts w:hint="eastAsia" w:ascii="宋体" w:hAnsi="宋体" w:eastAsia="宋体" w:cs="宋体"/>
                <w:i w:val="0"/>
                <w:iCs w:val="0"/>
                <w:color w:val="000000"/>
                <w:sz w:val="22"/>
                <w:szCs w:val="22"/>
                <w:u w:val="none"/>
              </w:rPr>
            </w:pPr>
          </w:p>
        </w:tc>
      </w:tr>
      <w:tr w14:paraId="18195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A2988F">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0F7A73">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77BFAD">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CD59E">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46F91">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F5504">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5.漆膜硬度≥6H；</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C90AF">
            <w:pPr>
              <w:jc w:val="center"/>
              <w:rPr>
                <w:rFonts w:hint="eastAsia" w:ascii="宋体" w:hAnsi="宋体" w:eastAsia="宋体" w:cs="宋体"/>
                <w:i w:val="0"/>
                <w:iCs w:val="0"/>
                <w:color w:val="000000"/>
                <w:sz w:val="22"/>
                <w:szCs w:val="22"/>
                <w:u w:val="none"/>
              </w:rPr>
            </w:pPr>
          </w:p>
        </w:tc>
      </w:tr>
      <w:tr w14:paraId="7F50A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2F94A">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0D7DA">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FECFFC">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38030D">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D8D7B">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0EE2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6.滑轮承重(单个）：施加20千克载荷未破坏</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BFB19">
            <w:pPr>
              <w:jc w:val="center"/>
              <w:rPr>
                <w:rFonts w:hint="eastAsia" w:ascii="宋体" w:hAnsi="宋体" w:eastAsia="宋体" w:cs="宋体"/>
                <w:i w:val="0"/>
                <w:iCs w:val="0"/>
                <w:color w:val="000000"/>
                <w:sz w:val="22"/>
                <w:szCs w:val="22"/>
                <w:u w:val="none"/>
              </w:rPr>
            </w:pPr>
          </w:p>
        </w:tc>
      </w:tr>
      <w:tr w14:paraId="7B514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923CA3">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FD806">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DFCBF3">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E53824">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42E60">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04CB0">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7.封口承重：施加20千克载荷未破坏</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D3435">
            <w:pPr>
              <w:jc w:val="center"/>
              <w:rPr>
                <w:rFonts w:hint="eastAsia" w:ascii="宋体" w:hAnsi="宋体" w:eastAsia="宋体" w:cs="宋体"/>
                <w:i w:val="0"/>
                <w:iCs w:val="0"/>
                <w:color w:val="000000"/>
                <w:sz w:val="22"/>
                <w:szCs w:val="22"/>
                <w:u w:val="none"/>
              </w:rPr>
            </w:pPr>
          </w:p>
        </w:tc>
      </w:tr>
      <w:tr w14:paraId="4609C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A3F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0855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医用隔帘</w:t>
            </w:r>
            <w:r>
              <w:rPr>
                <w:rFonts w:hint="eastAsia" w:ascii="宋体" w:hAnsi="宋体" w:eastAsia="宋体" w:cs="宋体"/>
                <w:i w:val="0"/>
                <w:iCs w:val="0"/>
                <w:color w:val="000000"/>
                <w:kern w:val="0"/>
                <w:sz w:val="22"/>
                <w:szCs w:val="22"/>
                <w:highlight w:val="yellow"/>
                <w:u w:val="none"/>
                <w:shd w:val="clear" w:fill="FFFF00"/>
                <w:lang w:val="en-US" w:eastAsia="zh-CN" w:bidi="ar"/>
              </w:rPr>
              <w:t>（投标提供样品）</w:t>
            </w:r>
          </w:p>
        </w:tc>
        <w:tc>
          <w:tcPr>
            <w:tcW w:w="6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4182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A92B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约</w:t>
            </w:r>
            <w:r>
              <w:rPr>
                <w:rFonts w:hint="eastAsia" w:ascii="宋体" w:hAnsi="宋体" w:eastAsia="宋体" w:cs="宋体"/>
                <w:i w:val="0"/>
                <w:iCs w:val="0"/>
                <w:color w:val="000000"/>
                <w:kern w:val="0"/>
                <w:sz w:val="22"/>
                <w:szCs w:val="22"/>
                <w:u w:val="none"/>
                <w:lang w:val="en-US" w:eastAsia="zh-CN" w:bidi="ar"/>
              </w:rPr>
              <w:t>150</w:t>
            </w: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F73A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成品高度 2.7m，隔帘褶皱1:1.3</w:t>
            </w: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D0600">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1.材质：100%聚酯纤维；依据FZ/T01057-2007</w:t>
            </w:r>
          </w:p>
        </w:tc>
        <w:tc>
          <w:tcPr>
            <w:tcW w:w="15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10F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wp:posOffset>
                  </wp:positionH>
                  <wp:positionV relativeFrom="paragraph">
                    <wp:posOffset>419100</wp:posOffset>
                  </wp:positionV>
                  <wp:extent cx="782320" cy="2501900"/>
                  <wp:effectExtent l="0" t="0" r="17780" b="12700"/>
                  <wp:wrapNone/>
                  <wp:docPr id="40" name="图片_7"/>
                  <wp:cNvGraphicFramePr/>
                  <a:graphic xmlns:a="http://schemas.openxmlformats.org/drawingml/2006/main">
                    <a:graphicData uri="http://schemas.openxmlformats.org/drawingml/2006/picture">
                      <pic:pic xmlns:pic="http://schemas.openxmlformats.org/drawingml/2006/picture">
                        <pic:nvPicPr>
                          <pic:cNvPr id="40" name="图片_7"/>
                          <pic:cNvPicPr/>
                        </pic:nvPicPr>
                        <pic:blipFill>
                          <a:blip r:embed="rId11"/>
                          <a:stretch>
                            <a:fillRect/>
                          </a:stretch>
                        </pic:blipFill>
                        <pic:spPr>
                          <a:xfrm>
                            <a:off x="0" y="0"/>
                            <a:ext cx="782320" cy="2501900"/>
                          </a:xfrm>
                          <a:prstGeom prst="rect">
                            <a:avLst/>
                          </a:prstGeom>
                          <a:noFill/>
                          <a:ln>
                            <a:noFill/>
                          </a:ln>
                        </pic:spPr>
                      </pic:pic>
                    </a:graphicData>
                  </a:graphic>
                </wp:anchor>
              </w:drawing>
            </w:r>
          </w:p>
        </w:tc>
      </w:tr>
      <w:tr w14:paraId="4AF96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0E203">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583CC">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3E4CA">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42E2AE">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2B48D">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4F423">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★2.克重（g/m²）≥ 230；依据GB/T4669-2008</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0AD1E">
            <w:pPr>
              <w:jc w:val="center"/>
              <w:rPr>
                <w:rFonts w:hint="eastAsia" w:ascii="宋体" w:hAnsi="宋体" w:eastAsia="宋体" w:cs="宋体"/>
                <w:i w:val="0"/>
                <w:iCs w:val="0"/>
                <w:color w:val="000000"/>
                <w:sz w:val="22"/>
                <w:szCs w:val="22"/>
                <w:u w:val="none"/>
              </w:rPr>
            </w:pPr>
          </w:p>
        </w:tc>
      </w:tr>
      <w:tr w14:paraId="28E6F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FE24A">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89E71">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692C5B">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44098">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04AC54">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47696">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★3.厚度：≥0.6；依据GB/T3820-1997</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CD25A">
            <w:pPr>
              <w:jc w:val="center"/>
              <w:rPr>
                <w:rFonts w:hint="eastAsia" w:ascii="宋体" w:hAnsi="宋体" w:eastAsia="宋体" w:cs="宋体"/>
                <w:i w:val="0"/>
                <w:iCs w:val="0"/>
                <w:color w:val="000000"/>
                <w:sz w:val="22"/>
                <w:szCs w:val="22"/>
                <w:u w:val="none"/>
              </w:rPr>
            </w:pPr>
          </w:p>
        </w:tc>
      </w:tr>
      <w:tr w14:paraId="7CE76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EF2D8">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119EFC">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5FCD2">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AF8E77">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8939D2">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F9A00">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4.甲醛含量≤20mk/kg；依据GB/T2912.1-2009</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570F7">
            <w:pPr>
              <w:jc w:val="center"/>
              <w:rPr>
                <w:rFonts w:hint="eastAsia" w:ascii="宋体" w:hAnsi="宋体" w:eastAsia="宋体" w:cs="宋体"/>
                <w:i w:val="0"/>
                <w:iCs w:val="0"/>
                <w:color w:val="000000"/>
                <w:sz w:val="22"/>
                <w:szCs w:val="22"/>
                <w:u w:val="none"/>
              </w:rPr>
            </w:pPr>
          </w:p>
        </w:tc>
      </w:tr>
      <w:tr w14:paraId="5C2E5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8E036">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DFCF19">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FCB899">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DD71A">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1697C7">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96F9E">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5.PH值：4.0-7.5；依据GB/T7573-2009</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9D570">
            <w:pPr>
              <w:jc w:val="center"/>
              <w:rPr>
                <w:rFonts w:hint="eastAsia" w:ascii="宋体" w:hAnsi="宋体" w:eastAsia="宋体" w:cs="宋体"/>
                <w:i w:val="0"/>
                <w:iCs w:val="0"/>
                <w:color w:val="000000"/>
                <w:sz w:val="22"/>
                <w:szCs w:val="22"/>
                <w:u w:val="none"/>
              </w:rPr>
            </w:pPr>
          </w:p>
        </w:tc>
      </w:tr>
      <w:tr w14:paraId="28207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9F2CE">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4C741">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8F6D09">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F042FF">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08AC8">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100F8">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6.异味：无异味；依据GB/T18401-2010</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7D807">
            <w:pPr>
              <w:jc w:val="center"/>
              <w:rPr>
                <w:rFonts w:hint="eastAsia" w:ascii="宋体" w:hAnsi="宋体" w:eastAsia="宋体" w:cs="宋体"/>
                <w:i w:val="0"/>
                <w:iCs w:val="0"/>
                <w:color w:val="000000"/>
                <w:sz w:val="22"/>
                <w:szCs w:val="22"/>
                <w:u w:val="none"/>
              </w:rPr>
            </w:pPr>
          </w:p>
        </w:tc>
      </w:tr>
      <w:tr w14:paraId="742D3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F6FB9">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2EFB41">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9986D">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DD47F">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14E4E">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DECA6">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7.可分解致癌芳香胺染料（mg/kg）：禁用；依据GB/T17592-2011</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257AB">
            <w:pPr>
              <w:jc w:val="center"/>
              <w:rPr>
                <w:rFonts w:hint="eastAsia" w:ascii="宋体" w:hAnsi="宋体" w:eastAsia="宋体" w:cs="宋体"/>
                <w:i w:val="0"/>
                <w:iCs w:val="0"/>
                <w:color w:val="000000"/>
                <w:sz w:val="22"/>
                <w:szCs w:val="22"/>
                <w:u w:val="none"/>
              </w:rPr>
            </w:pPr>
          </w:p>
        </w:tc>
      </w:tr>
      <w:tr w14:paraId="7C50C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24404">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A936AD">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3C48D">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A552B1">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7F408">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7D60D">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★8.致敏致癌染料（mg/kg）：禁用；依据GB/T20382-2006</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07CE2">
            <w:pPr>
              <w:jc w:val="center"/>
              <w:rPr>
                <w:rFonts w:hint="eastAsia" w:ascii="宋体" w:hAnsi="宋体" w:eastAsia="宋体" w:cs="宋体"/>
                <w:i w:val="0"/>
                <w:iCs w:val="0"/>
                <w:color w:val="000000"/>
                <w:sz w:val="22"/>
                <w:szCs w:val="22"/>
                <w:u w:val="none"/>
              </w:rPr>
            </w:pPr>
          </w:p>
        </w:tc>
      </w:tr>
      <w:tr w14:paraId="13F61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D78E8">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EADD9">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3E878">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67441">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CF9DF">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7C1FA">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9.断裂强力：经向:≥460N；纬向≥850N；；依据GB/T3923.1-2013</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8FEBE">
            <w:pPr>
              <w:jc w:val="center"/>
              <w:rPr>
                <w:rFonts w:hint="eastAsia" w:ascii="宋体" w:hAnsi="宋体" w:eastAsia="宋体" w:cs="宋体"/>
                <w:i w:val="0"/>
                <w:iCs w:val="0"/>
                <w:color w:val="000000"/>
                <w:sz w:val="22"/>
                <w:szCs w:val="22"/>
                <w:u w:val="none"/>
              </w:rPr>
            </w:pPr>
          </w:p>
        </w:tc>
      </w:tr>
      <w:tr w14:paraId="7AA45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FF869">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B7CC90">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FBF9BA">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A6F03">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A10BA">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83EA4">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★10.接缝强力：经向:≥400N；纬向≥400N；依据GB/T13773.1-2008</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6DCC4">
            <w:pPr>
              <w:jc w:val="center"/>
              <w:rPr>
                <w:rFonts w:hint="eastAsia" w:ascii="宋体" w:hAnsi="宋体" w:eastAsia="宋体" w:cs="宋体"/>
                <w:i w:val="0"/>
                <w:iCs w:val="0"/>
                <w:color w:val="000000"/>
                <w:sz w:val="22"/>
                <w:szCs w:val="22"/>
                <w:u w:val="none"/>
              </w:rPr>
            </w:pPr>
          </w:p>
        </w:tc>
      </w:tr>
      <w:tr w14:paraId="1B87C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10BD4">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82FA3E">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F559B1">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02261">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24894">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207A9">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★11.负离子发生量（个/m³）：＞1000；依据GB/T30128-2013</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A9E08">
            <w:pPr>
              <w:jc w:val="center"/>
              <w:rPr>
                <w:rFonts w:hint="eastAsia" w:ascii="宋体" w:hAnsi="宋体" w:eastAsia="宋体" w:cs="宋体"/>
                <w:i w:val="0"/>
                <w:iCs w:val="0"/>
                <w:color w:val="000000"/>
                <w:sz w:val="22"/>
                <w:szCs w:val="22"/>
                <w:u w:val="none"/>
              </w:rPr>
            </w:pPr>
          </w:p>
        </w:tc>
      </w:tr>
      <w:tr w14:paraId="43E80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0908F">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55879C">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2271A">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E5CAF">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3ED2F">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31EDD">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★12.酚黄变 ≥4级；依据GB/T29778-2013</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D29F2">
            <w:pPr>
              <w:jc w:val="center"/>
              <w:rPr>
                <w:rFonts w:hint="eastAsia" w:ascii="宋体" w:hAnsi="宋体" w:eastAsia="宋体" w:cs="宋体"/>
                <w:i w:val="0"/>
                <w:iCs w:val="0"/>
                <w:color w:val="000000"/>
                <w:sz w:val="22"/>
                <w:szCs w:val="22"/>
                <w:u w:val="none"/>
              </w:rPr>
            </w:pPr>
          </w:p>
        </w:tc>
      </w:tr>
      <w:tr w14:paraId="30DB9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7B2A1">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96F37">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BD698F">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9698F">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6C596">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A858E">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★13.可萃取重金属含量（mg/kg）：未检出；依据GB/17593.4-2006；GB/17593.2-2006</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A24EB">
            <w:pPr>
              <w:jc w:val="center"/>
              <w:rPr>
                <w:rFonts w:hint="eastAsia" w:ascii="宋体" w:hAnsi="宋体" w:eastAsia="宋体" w:cs="宋体"/>
                <w:i w:val="0"/>
                <w:iCs w:val="0"/>
                <w:color w:val="000000"/>
                <w:sz w:val="22"/>
                <w:szCs w:val="22"/>
                <w:u w:val="none"/>
              </w:rPr>
            </w:pPr>
          </w:p>
        </w:tc>
      </w:tr>
      <w:tr w14:paraId="48D25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F7C51">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FEA1D">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626F2">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1D7F0">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BFDC2D">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C26A8">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★14.阻燃性能:B1级；符合GB8624-2012</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35443">
            <w:pPr>
              <w:jc w:val="center"/>
              <w:rPr>
                <w:rFonts w:hint="eastAsia" w:ascii="宋体" w:hAnsi="宋体" w:eastAsia="宋体" w:cs="宋体"/>
                <w:i w:val="0"/>
                <w:iCs w:val="0"/>
                <w:color w:val="000000"/>
                <w:sz w:val="22"/>
                <w:szCs w:val="22"/>
                <w:u w:val="none"/>
              </w:rPr>
            </w:pPr>
          </w:p>
        </w:tc>
      </w:tr>
      <w:tr w14:paraId="25698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A94B5">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D92A1D">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2EA1E">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3B375">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A2D5B">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8969D">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15.损毁长度:经向:≤150mm，纬向:≤150mm(依据GB/T5455-2014标准)；</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0EDCA">
            <w:pPr>
              <w:jc w:val="center"/>
              <w:rPr>
                <w:rFonts w:hint="eastAsia" w:ascii="宋体" w:hAnsi="宋体" w:eastAsia="宋体" w:cs="宋体"/>
                <w:i w:val="0"/>
                <w:iCs w:val="0"/>
                <w:color w:val="000000"/>
                <w:sz w:val="22"/>
                <w:szCs w:val="22"/>
                <w:u w:val="none"/>
              </w:rPr>
            </w:pPr>
          </w:p>
        </w:tc>
      </w:tr>
      <w:tr w14:paraId="46752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8C870">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4A132">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081F60">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4CBD8">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7C24B">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744ED">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16.续燃时间:经向:≤5s，纬向:&lt;5s(依据GB/T 5455-2014标准)</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82373">
            <w:pPr>
              <w:jc w:val="center"/>
              <w:rPr>
                <w:rFonts w:hint="eastAsia" w:ascii="宋体" w:hAnsi="宋体" w:eastAsia="宋体" w:cs="宋体"/>
                <w:i w:val="0"/>
                <w:iCs w:val="0"/>
                <w:color w:val="000000"/>
                <w:sz w:val="22"/>
                <w:szCs w:val="22"/>
                <w:u w:val="none"/>
              </w:rPr>
            </w:pPr>
          </w:p>
        </w:tc>
      </w:tr>
      <w:tr w14:paraId="22DDD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0FEDF">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16CDAC">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D232A1">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D4B10">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476C4">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D0709">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17.阴燃时间:经向:≤15s，纬向:≤15s(依据GB/T 5455-2014标准)</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6B90A">
            <w:pPr>
              <w:jc w:val="center"/>
              <w:rPr>
                <w:rFonts w:hint="eastAsia" w:ascii="宋体" w:hAnsi="宋体" w:eastAsia="宋体" w:cs="宋体"/>
                <w:i w:val="0"/>
                <w:iCs w:val="0"/>
                <w:color w:val="000000"/>
                <w:sz w:val="22"/>
                <w:szCs w:val="22"/>
                <w:u w:val="none"/>
              </w:rPr>
            </w:pPr>
          </w:p>
        </w:tc>
      </w:tr>
      <w:tr w14:paraId="3A815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0EA1D">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A71C3">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8E64E3">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4E7498">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B98F2">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76391">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18.氧指数OI%:≥32(依据GB/T 5454-1997标准)；</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CEEDF">
            <w:pPr>
              <w:jc w:val="center"/>
              <w:rPr>
                <w:rFonts w:hint="eastAsia" w:ascii="宋体" w:hAnsi="宋体" w:eastAsia="宋体" w:cs="宋体"/>
                <w:i w:val="0"/>
                <w:iCs w:val="0"/>
                <w:color w:val="000000"/>
                <w:sz w:val="22"/>
                <w:szCs w:val="22"/>
                <w:u w:val="none"/>
              </w:rPr>
            </w:pPr>
          </w:p>
        </w:tc>
      </w:tr>
      <w:tr w14:paraId="4A40C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6"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0B7FF">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710CB">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BB9AF">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878F5">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AB87DF">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CE3BD">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w:t>
            </w:r>
            <w:bookmarkStart w:id="5" w:name="OLE_LINK9"/>
            <w:r>
              <w:rPr>
                <w:rFonts w:hint="eastAsia" w:ascii="宋体" w:hAnsi="宋体" w:eastAsia="宋体" w:cs="宋体"/>
                <w:i w:val="0"/>
                <w:iCs w:val="0"/>
                <w:color w:val="000000"/>
                <w:kern w:val="0"/>
                <w:sz w:val="22"/>
                <w:szCs w:val="22"/>
                <w:u w:val="none"/>
                <w:lang w:val="en-US" w:eastAsia="zh-CN" w:bidi="ar"/>
              </w:rPr>
              <w:t>以上需提供有效的第三方检测机构出具的带有“CMA 标识的检测报告；所</w:t>
            </w:r>
            <w:r>
              <w:rPr>
                <w:rFonts w:hint="eastAsia" w:ascii="宋体" w:hAnsi="宋体" w:cs="宋体"/>
                <w:i w:val="0"/>
                <w:iCs w:val="0"/>
                <w:color w:val="000000"/>
                <w:kern w:val="0"/>
                <w:sz w:val="22"/>
                <w:szCs w:val="22"/>
                <w:u w:val="none"/>
                <w:lang w:val="en-US" w:eastAsia="zh-CN" w:bidi="ar"/>
              </w:rPr>
              <w:t>有</w:t>
            </w:r>
            <w:r>
              <w:rPr>
                <w:rFonts w:hint="eastAsia" w:ascii="宋体" w:hAnsi="宋体" w:eastAsia="宋体" w:cs="宋体"/>
                <w:i w:val="0"/>
                <w:iCs w:val="0"/>
                <w:color w:val="000000"/>
                <w:kern w:val="0"/>
                <w:sz w:val="22"/>
                <w:szCs w:val="22"/>
                <w:u w:val="none"/>
                <w:lang w:val="en-US" w:eastAsia="zh-CN" w:bidi="ar"/>
              </w:rPr>
              <w:t>参数需在同一份检测报告中。</w:t>
            </w:r>
            <w:bookmarkEnd w:id="5"/>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D8270">
            <w:pPr>
              <w:jc w:val="center"/>
              <w:rPr>
                <w:rFonts w:hint="eastAsia" w:ascii="宋体" w:hAnsi="宋体" w:eastAsia="宋体" w:cs="宋体"/>
                <w:i w:val="0"/>
                <w:iCs w:val="0"/>
                <w:color w:val="000000"/>
                <w:sz w:val="22"/>
                <w:szCs w:val="22"/>
                <w:u w:val="none"/>
              </w:rPr>
            </w:pPr>
          </w:p>
        </w:tc>
      </w:tr>
      <w:tr w14:paraId="777E1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6CCD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5FDA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轨道</w:t>
            </w:r>
          </w:p>
        </w:tc>
        <w:tc>
          <w:tcPr>
            <w:tcW w:w="6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098B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8E90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约</w:t>
            </w:r>
            <w:r>
              <w:rPr>
                <w:rFonts w:hint="eastAsia" w:ascii="宋体" w:hAnsi="宋体" w:eastAsia="宋体" w:cs="宋体"/>
                <w:i w:val="0"/>
                <w:iCs w:val="0"/>
                <w:color w:val="000000"/>
                <w:kern w:val="0"/>
                <w:sz w:val="22"/>
                <w:szCs w:val="22"/>
                <w:u w:val="none"/>
                <w:lang w:val="en-US" w:eastAsia="zh-CN" w:bidi="ar"/>
              </w:rPr>
              <w:t>200</w:t>
            </w: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49B03F">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52DE2">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★1.壁厚≥1.4mm；安装码壁厚≥0.60mm；</w:t>
            </w:r>
          </w:p>
        </w:tc>
        <w:tc>
          <w:tcPr>
            <w:tcW w:w="15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5AAF7">
            <w:pPr>
              <w:jc w:val="center"/>
              <w:rPr>
                <w:rFonts w:hint="eastAsia" w:ascii="宋体" w:hAnsi="宋体" w:eastAsia="宋体" w:cs="宋体"/>
                <w:i w:val="0"/>
                <w:iCs w:val="0"/>
                <w:color w:val="000000"/>
                <w:sz w:val="22"/>
                <w:szCs w:val="22"/>
                <w:u w:val="none"/>
              </w:rPr>
            </w:pPr>
          </w:p>
        </w:tc>
      </w:tr>
      <w:tr w14:paraId="601C3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B0EAE7">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F1874">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F78BB8">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3EFCD">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1F9AE7">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A9B4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2.米克重≥490g/m；</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72288">
            <w:pPr>
              <w:jc w:val="center"/>
              <w:rPr>
                <w:rFonts w:hint="eastAsia" w:ascii="宋体" w:hAnsi="宋体" w:eastAsia="宋体" w:cs="宋体"/>
                <w:i w:val="0"/>
                <w:iCs w:val="0"/>
                <w:color w:val="000000"/>
                <w:sz w:val="22"/>
                <w:szCs w:val="22"/>
                <w:u w:val="none"/>
              </w:rPr>
            </w:pPr>
          </w:p>
        </w:tc>
      </w:tr>
      <w:tr w14:paraId="527EB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EDB9C">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C8282">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427EAA">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2ECA9">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D1722">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E320C">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3.抗拉强度≥229MPa；</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07B45">
            <w:pPr>
              <w:jc w:val="center"/>
              <w:rPr>
                <w:rFonts w:hint="eastAsia" w:ascii="宋体" w:hAnsi="宋体" w:eastAsia="宋体" w:cs="宋体"/>
                <w:i w:val="0"/>
                <w:iCs w:val="0"/>
                <w:color w:val="000000"/>
                <w:sz w:val="22"/>
                <w:szCs w:val="22"/>
                <w:u w:val="none"/>
              </w:rPr>
            </w:pPr>
          </w:p>
        </w:tc>
      </w:tr>
      <w:tr w14:paraId="1A60C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D4162">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63DDE4">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504B0">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DE1DE">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45263">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0B556">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4.断后伸长率≥14.5%；</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F8FE8">
            <w:pPr>
              <w:jc w:val="center"/>
              <w:rPr>
                <w:rFonts w:hint="eastAsia" w:ascii="宋体" w:hAnsi="宋体" w:eastAsia="宋体" w:cs="宋体"/>
                <w:i w:val="0"/>
                <w:iCs w:val="0"/>
                <w:color w:val="000000"/>
                <w:sz w:val="22"/>
                <w:szCs w:val="22"/>
                <w:u w:val="none"/>
              </w:rPr>
            </w:pPr>
          </w:p>
        </w:tc>
      </w:tr>
      <w:tr w14:paraId="7CE6B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E026B">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F623C6">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948350">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A8ED4">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B89C1">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0BACF">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bookmarkStart w:id="6" w:name="OLE_LINK4"/>
            <w:r>
              <w:rPr>
                <w:rFonts w:hint="eastAsia" w:ascii="宋体" w:hAnsi="宋体" w:eastAsia="宋体" w:cs="宋体"/>
                <w:i w:val="0"/>
                <w:iCs w:val="0"/>
                <w:color w:val="000000"/>
                <w:kern w:val="0"/>
                <w:sz w:val="22"/>
                <w:szCs w:val="22"/>
                <w:u w:val="none"/>
                <w:lang w:val="en-US" w:eastAsia="zh-CN" w:bidi="ar"/>
              </w:rPr>
              <w:t>★</w:t>
            </w:r>
            <w:bookmarkEnd w:id="6"/>
            <w:r>
              <w:rPr>
                <w:rFonts w:hint="eastAsia" w:ascii="宋体" w:hAnsi="宋体" w:eastAsia="宋体" w:cs="宋体"/>
                <w:i w:val="0"/>
                <w:iCs w:val="0"/>
                <w:color w:val="000000"/>
                <w:kern w:val="0"/>
                <w:sz w:val="22"/>
                <w:szCs w:val="22"/>
                <w:u w:val="none"/>
                <w:lang w:val="en-US" w:eastAsia="zh-CN" w:bidi="ar"/>
              </w:rPr>
              <w:t>5.漆膜硬度≥6H；</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E04DE">
            <w:pPr>
              <w:jc w:val="center"/>
              <w:rPr>
                <w:rFonts w:hint="eastAsia" w:ascii="宋体" w:hAnsi="宋体" w:eastAsia="宋体" w:cs="宋体"/>
                <w:i w:val="0"/>
                <w:iCs w:val="0"/>
                <w:color w:val="000000"/>
                <w:sz w:val="22"/>
                <w:szCs w:val="22"/>
                <w:u w:val="none"/>
              </w:rPr>
            </w:pPr>
          </w:p>
        </w:tc>
      </w:tr>
      <w:tr w14:paraId="718DC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CCA04F">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186DC">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533D8">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1691D5">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FE025">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93958">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6.滑轮承重(单个）：施加20千克载荷未破坏</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FA3D8">
            <w:pPr>
              <w:jc w:val="center"/>
              <w:rPr>
                <w:rFonts w:hint="eastAsia" w:ascii="宋体" w:hAnsi="宋体" w:eastAsia="宋体" w:cs="宋体"/>
                <w:i w:val="0"/>
                <w:iCs w:val="0"/>
                <w:color w:val="000000"/>
                <w:sz w:val="22"/>
                <w:szCs w:val="22"/>
                <w:u w:val="none"/>
              </w:rPr>
            </w:pPr>
          </w:p>
        </w:tc>
      </w:tr>
      <w:tr w14:paraId="44C49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D6A82">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D4AE4">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5FB7F">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22C53">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2C9DAE">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F6748">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7.封口承重：施加20千克载荷未破坏</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C25E3">
            <w:pPr>
              <w:jc w:val="center"/>
              <w:rPr>
                <w:rFonts w:hint="eastAsia" w:ascii="宋体" w:hAnsi="宋体" w:eastAsia="宋体" w:cs="宋体"/>
                <w:i w:val="0"/>
                <w:iCs w:val="0"/>
                <w:color w:val="000000"/>
                <w:sz w:val="22"/>
                <w:szCs w:val="22"/>
                <w:u w:val="none"/>
              </w:rPr>
            </w:pPr>
          </w:p>
        </w:tc>
      </w:tr>
      <w:tr w14:paraId="2C9C6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9"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C0170">
            <w:pPr>
              <w:jc w:val="center"/>
              <w:rPr>
                <w:rFonts w:hint="eastAsia" w:ascii="宋体" w:hAnsi="宋体" w:eastAsia="宋体" w:cs="宋体"/>
                <w:i w:val="0"/>
                <w:iCs w:val="0"/>
                <w:color w:val="000000"/>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52D7E5">
            <w:pPr>
              <w:jc w:val="center"/>
              <w:rPr>
                <w:rFonts w:hint="eastAsia" w:ascii="宋体" w:hAnsi="宋体" w:eastAsia="宋体" w:cs="宋体"/>
                <w:i w:val="0"/>
                <w:iCs w:val="0"/>
                <w:color w:val="000000"/>
                <w:sz w:val="22"/>
                <w:szCs w:val="22"/>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50D922">
            <w:pPr>
              <w:jc w:val="center"/>
              <w:rPr>
                <w:rFonts w:hint="eastAsia" w:ascii="宋体" w:hAnsi="宋体" w:eastAsia="宋体" w:cs="宋体"/>
                <w:i w:val="0"/>
                <w:iCs w:val="0"/>
                <w:color w:val="000000"/>
                <w:sz w:val="22"/>
                <w:szCs w:val="22"/>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C64C2">
            <w:pPr>
              <w:jc w:val="center"/>
              <w:rPr>
                <w:rFonts w:hint="eastAsia" w:ascii="宋体" w:hAnsi="宋体" w:eastAsia="宋体" w:cs="宋体"/>
                <w:i w:val="0"/>
                <w:iCs w:val="0"/>
                <w:color w:val="000000"/>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231E6">
            <w:pPr>
              <w:jc w:val="center"/>
              <w:rPr>
                <w:rFonts w:hint="eastAsia" w:ascii="宋体" w:hAnsi="宋体" w:eastAsia="宋体" w:cs="宋体"/>
                <w:i w:val="0"/>
                <w:iCs w:val="0"/>
                <w:color w:val="000000"/>
                <w:sz w:val="22"/>
                <w:szCs w:val="22"/>
                <w:u w:val="none"/>
              </w:rPr>
            </w:pP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7A395">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注：以上需提供有效的第三方检测机构出具的带有“CMA 标识的检测报告；所</w:t>
            </w:r>
            <w:r>
              <w:rPr>
                <w:rFonts w:hint="eastAsia" w:ascii="宋体" w:hAnsi="宋体" w:cs="宋体"/>
                <w:i w:val="0"/>
                <w:iCs w:val="0"/>
                <w:color w:val="000000"/>
                <w:kern w:val="0"/>
                <w:sz w:val="22"/>
                <w:szCs w:val="22"/>
                <w:u w:val="none"/>
                <w:lang w:val="en-US" w:eastAsia="zh-CN" w:bidi="ar"/>
              </w:rPr>
              <w:t>有</w:t>
            </w:r>
            <w:r>
              <w:rPr>
                <w:rFonts w:hint="eastAsia" w:ascii="宋体" w:hAnsi="宋体" w:eastAsia="宋体" w:cs="宋体"/>
                <w:i w:val="0"/>
                <w:iCs w:val="0"/>
                <w:color w:val="000000"/>
                <w:kern w:val="0"/>
                <w:sz w:val="22"/>
                <w:szCs w:val="22"/>
                <w:u w:val="none"/>
                <w:lang w:val="en-US" w:eastAsia="zh-CN" w:bidi="ar"/>
              </w:rPr>
              <w:t>参数需在同一份检测报告中。</w:t>
            </w: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AE580">
            <w:pPr>
              <w:jc w:val="center"/>
              <w:rPr>
                <w:rFonts w:hint="eastAsia" w:ascii="宋体" w:hAnsi="宋体" w:eastAsia="宋体" w:cs="宋体"/>
                <w:i w:val="0"/>
                <w:iCs w:val="0"/>
                <w:color w:val="000000"/>
                <w:sz w:val="22"/>
                <w:szCs w:val="22"/>
                <w:u w:val="none"/>
              </w:rPr>
            </w:pPr>
          </w:p>
        </w:tc>
      </w:tr>
      <w:tr w14:paraId="5C153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269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9F8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智能窗帘电机</w:t>
            </w:r>
            <w:r>
              <w:rPr>
                <w:rFonts w:hint="eastAsia" w:ascii="宋体" w:hAnsi="宋体" w:eastAsia="宋体" w:cs="宋体"/>
                <w:i w:val="0"/>
                <w:iCs w:val="0"/>
                <w:color w:val="000000"/>
                <w:kern w:val="0"/>
                <w:sz w:val="22"/>
                <w:szCs w:val="22"/>
                <w:highlight w:val="none"/>
                <w:u w:val="none"/>
                <w:shd w:val="clear" w:fill="FFFF00"/>
                <w:lang w:val="en-US" w:eastAsia="zh-CN" w:bidi="ar"/>
              </w:rPr>
              <w:t>（投标提供样品）</w:t>
            </w:r>
          </w:p>
        </w:tc>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FA7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7F0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571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匹配网关</w:t>
            </w:r>
          </w:p>
        </w:tc>
        <w:tc>
          <w:tcPr>
            <w:tcW w:w="3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B488B">
            <w:pPr>
              <w:keepNext w:val="0"/>
              <w:keepLines w:val="0"/>
              <w:widowControl/>
              <w:suppressLineNumbers w:val="0"/>
              <w:jc w:val="left"/>
              <w:textAlignment w:val="top"/>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1.无线连接Zigbee3.0；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2.可语音控制、接入小爱同学</w:t>
            </w:r>
            <w:r>
              <w:rPr>
                <w:rFonts w:hint="eastAsia" w:ascii="宋体" w:hAnsi="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3.含适配遥控器</w:t>
            </w:r>
            <w:r>
              <w:rPr>
                <w:rFonts w:hint="eastAsia" w:ascii="宋体" w:hAnsi="宋体" w:cs="宋体"/>
                <w:i w:val="0"/>
                <w:iCs w:val="0"/>
                <w:color w:val="000000"/>
                <w:kern w:val="0"/>
                <w:sz w:val="22"/>
                <w:szCs w:val="22"/>
                <w:u w:val="none"/>
                <w:lang w:val="en-US" w:eastAsia="zh-CN" w:bidi="ar"/>
              </w:rPr>
              <w:br w:type="textWrapping"/>
            </w:r>
            <w:r>
              <w:rPr>
                <w:rFonts w:hint="eastAsia" w:ascii="宋体" w:hAnsi="宋体" w:cs="宋体"/>
                <w:b/>
                <w:bCs/>
                <w:i w:val="0"/>
                <w:iCs w:val="0"/>
                <w:color w:val="000000"/>
                <w:kern w:val="0"/>
                <w:sz w:val="22"/>
                <w:szCs w:val="22"/>
                <w:u w:val="none"/>
                <w:lang w:val="en-US" w:eastAsia="zh-CN" w:bidi="ar"/>
              </w:rPr>
              <w:t>4.品牌：小米、绿米、杜亚</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604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wp:posOffset>
                  </wp:positionH>
                  <wp:positionV relativeFrom="paragraph">
                    <wp:posOffset>69850</wp:posOffset>
                  </wp:positionV>
                  <wp:extent cx="932815" cy="1047750"/>
                  <wp:effectExtent l="0" t="0" r="635" b="0"/>
                  <wp:wrapNone/>
                  <wp:docPr id="41" name="图片_6"/>
                  <wp:cNvGraphicFramePr/>
                  <a:graphic xmlns:a="http://schemas.openxmlformats.org/drawingml/2006/main">
                    <a:graphicData uri="http://schemas.openxmlformats.org/drawingml/2006/picture">
                      <pic:pic xmlns:pic="http://schemas.openxmlformats.org/drawingml/2006/picture">
                        <pic:nvPicPr>
                          <pic:cNvPr id="41" name="图片_6"/>
                          <pic:cNvPicPr/>
                        </pic:nvPicPr>
                        <pic:blipFill>
                          <a:blip r:embed="rId12"/>
                          <a:stretch>
                            <a:fillRect/>
                          </a:stretch>
                        </pic:blipFill>
                        <pic:spPr>
                          <a:xfrm>
                            <a:off x="0" y="0"/>
                            <a:ext cx="932815" cy="1047750"/>
                          </a:xfrm>
                          <a:prstGeom prst="rect">
                            <a:avLst/>
                          </a:prstGeom>
                          <a:noFill/>
                          <a:ln>
                            <a:noFill/>
                          </a:ln>
                        </pic:spPr>
                      </pic:pic>
                    </a:graphicData>
                  </a:graphic>
                </wp:anchor>
              </w:drawing>
            </w:r>
          </w:p>
        </w:tc>
      </w:tr>
      <w:tr w14:paraId="2CF7A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9" w:hRule="atLeast"/>
          <w:jc w:val="center"/>
        </w:trPr>
        <w:tc>
          <w:tcPr>
            <w:tcW w:w="889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A84BD8F">
            <w:pPr>
              <w:spacing w:line="360" w:lineRule="auto"/>
              <w:ind w:right="124" w:rightChars="59"/>
              <w:contextualSpacing/>
              <w:rPr>
                <w:rFonts w:hint="eastAsia" w:eastAsia="宋体"/>
                <w:sz w:val="22"/>
                <w:szCs w:val="22"/>
                <w:lang w:val="en-US" w:eastAsia="zh-CN"/>
              </w:rPr>
            </w:pPr>
            <w:r>
              <w:rPr>
                <w:rFonts w:hint="eastAsia"/>
                <w:sz w:val="22"/>
                <w:szCs w:val="22"/>
                <w:lang w:val="en-US" w:eastAsia="zh-CN"/>
              </w:rPr>
              <w:t>1.</w:t>
            </w:r>
            <w:r>
              <w:rPr>
                <w:rFonts w:hint="eastAsia" w:eastAsia="宋体"/>
                <w:sz w:val="22"/>
                <w:szCs w:val="22"/>
                <w:lang w:val="en-US" w:eastAsia="zh-CN"/>
              </w:rPr>
              <w:t>.中标单位需自行上门测量每个窗户的实际尺寸，最终按实际数量来结算</w:t>
            </w:r>
          </w:p>
          <w:p w14:paraId="5D138405">
            <w:pPr>
              <w:pStyle w:val="20"/>
              <w:spacing w:line="360" w:lineRule="auto"/>
              <w:rPr>
                <w:rFonts w:hint="default"/>
                <w:lang w:val="en-US" w:eastAsia="zh-CN"/>
              </w:rPr>
            </w:pPr>
            <w:r>
              <w:rPr>
                <w:rFonts w:hint="eastAsia"/>
                <w:b/>
                <w:bCs/>
                <w:color w:val="auto"/>
                <w:sz w:val="22"/>
                <w:szCs w:val="22"/>
                <w:highlight w:val="yellow"/>
                <w:shd w:val="clear" w:fill="FFFF00"/>
                <w:lang w:val="en-US" w:eastAsia="zh-CN"/>
              </w:rPr>
              <w:t>2.</w:t>
            </w:r>
            <w:r>
              <w:rPr>
                <w:rFonts w:hint="eastAsia" w:eastAsia="宋体"/>
                <w:b/>
                <w:bCs/>
                <w:color w:val="auto"/>
                <w:sz w:val="22"/>
                <w:szCs w:val="22"/>
                <w:highlight w:val="yellow"/>
                <w:shd w:val="clear" w:fill="FFFF00"/>
                <w:lang w:val="en-US" w:eastAsia="zh-CN"/>
              </w:rPr>
              <w:t>.投标样品要求：窗帘≥1*2.</w:t>
            </w:r>
            <w:r>
              <w:rPr>
                <w:rFonts w:hint="eastAsia"/>
                <w:b/>
                <w:bCs/>
                <w:color w:val="auto"/>
                <w:sz w:val="22"/>
                <w:szCs w:val="22"/>
                <w:highlight w:val="yellow"/>
                <w:shd w:val="clear" w:fill="FFFF00"/>
                <w:lang w:val="en-US" w:eastAsia="zh-CN"/>
              </w:rPr>
              <w:t>5</w:t>
            </w:r>
            <w:r>
              <w:rPr>
                <w:rFonts w:hint="eastAsia" w:eastAsia="宋体"/>
                <w:b/>
                <w:bCs/>
                <w:color w:val="auto"/>
                <w:sz w:val="22"/>
                <w:szCs w:val="22"/>
                <w:highlight w:val="yellow"/>
                <w:shd w:val="clear" w:fill="FFFF00"/>
                <w:lang w:val="en-US" w:eastAsia="zh-CN"/>
              </w:rPr>
              <w:t>m、纱帘≥1*2.</w:t>
            </w:r>
            <w:r>
              <w:rPr>
                <w:rFonts w:hint="eastAsia"/>
                <w:b/>
                <w:bCs/>
                <w:color w:val="auto"/>
                <w:sz w:val="22"/>
                <w:szCs w:val="22"/>
                <w:highlight w:val="yellow"/>
                <w:shd w:val="clear" w:fill="FFFF00"/>
                <w:lang w:val="en-US" w:eastAsia="zh-CN"/>
              </w:rPr>
              <w:t>5</w:t>
            </w:r>
            <w:r>
              <w:rPr>
                <w:rFonts w:hint="eastAsia" w:eastAsia="宋体"/>
                <w:b/>
                <w:bCs/>
                <w:color w:val="auto"/>
                <w:sz w:val="22"/>
                <w:szCs w:val="22"/>
                <w:highlight w:val="yellow"/>
                <w:shd w:val="clear" w:fill="FFFF00"/>
                <w:lang w:val="en-US" w:eastAsia="zh-CN"/>
              </w:rPr>
              <w:t>m、隔帘≥1*2.</w:t>
            </w:r>
            <w:r>
              <w:rPr>
                <w:rFonts w:hint="eastAsia"/>
                <w:b/>
                <w:bCs/>
                <w:color w:val="auto"/>
                <w:sz w:val="22"/>
                <w:szCs w:val="22"/>
                <w:highlight w:val="yellow"/>
                <w:shd w:val="clear" w:fill="FFFF00"/>
                <w:lang w:val="en-US" w:eastAsia="zh-CN"/>
              </w:rPr>
              <w:t>5</w:t>
            </w:r>
            <w:r>
              <w:rPr>
                <w:rFonts w:hint="eastAsia" w:eastAsia="宋体"/>
                <w:b/>
                <w:bCs/>
                <w:color w:val="auto"/>
                <w:sz w:val="22"/>
                <w:szCs w:val="22"/>
                <w:highlight w:val="yellow"/>
                <w:shd w:val="clear" w:fill="FFFF00"/>
                <w:lang w:val="en-US" w:eastAsia="zh-CN"/>
              </w:rPr>
              <w:t>m、电动开合轨道长度≥0.5m。</w:t>
            </w:r>
          </w:p>
        </w:tc>
      </w:tr>
    </w:tbl>
    <w:p w14:paraId="25848B5E">
      <w:pPr>
        <w:numPr>
          <w:ilvl w:val="0"/>
          <w:numId w:val="2"/>
        </w:numPr>
        <w:spacing w:line="440" w:lineRule="exact"/>
        <w:ind w:left="372" w:leftChars="177" w:right="124" w:rightChars="59" w:firstLine="569" w:firstLineChars="236"/>
        <w:contextualSpacing/>
        <w:rPr>
          <w:rFonts w:hint="eastAsia" w:eastAsia="宋体"/>
          <w:b/>
          <w:bCs w:val="0"/>
          <w:sz w:val="24"/>
          <w:szCs w:val="24"/>
          <w:lang w:val="en-US" w:eastAsia="zh-CN"/>
        </w:rPr>
      </w:pPr>
      <w:r>
        <w:rPr>
          <w:rFonts w:hint="eastAsia" w:eastAsia="宋体"/>
          <w:b/>
          <w:bCs w:val="0"/>
          <w:sz w:val="24"/>
          <w:szCs w:val="24"/>
          <w:lang w:val="en-US" w:eastAsia="zh-CN"/>
        </w:rPr>
        <w:t>制作要求</w:t>
      </w:r>
    </w:p>
    <w:p w14:paraId="15EE2394">
      <w:pPr>
        <w:spacing w:line="440" w:lineRule="exact"/>
        <w:ind w:left="372" w:leftChars="177" w:right="124" w:rightChars="59" w:firstLine="566" w:firstLineChars="236"/>
        <w:contextualSpacing/>
        <w:rPr>
          <w:rFonts w:hint="eastAsia" w:eastAsia="宋体"/>
          <w:sz w:val="24"/>
          <w:szCs w:val="24"/>
          <w:lang w:val="en-US" w:eastAsia="zh-CN"/>
        </w:rPr>
      </w:pPr>
      <w:r>
        <w:rPr>
          <w:rFonts w:hint="eastAsia"/>
          <w:sz w:val="24"/>
          <w:szCs w:val="24"/>
          <w:lang w:val="en-US" w:eastAsia="zh-CN"/>
        </w:rPr>
        <w:t>1.</w:t>
      </w:r>
      <w:r>
        <w:rPr>
          <w:rFonts w:hint="eastAsia" w:eastAsia="宋体"/>
          <w:sz w:val="24"/>
          <w:szCs w:val="24"/>
          <w:lang w:val="en-US" w:eastAsia="zh-CN"/>
        </w:rPr>
        <w:t>制作工艺：定位打韩折。窗帘宽度褶皱比为1：2（不计折边）、纱帘宽度褶皱比为1：2（不计折边）、隔帘宽度褶皱比为1：1.3（不计折边），顶部卷边双层≥8cm，底部卷边双层≥8cm，左右卷边各≥3cm，制作工艺精细，缝纫线路笔直，缝制时面料张紧有度，针距一致，无褶皱堆集现象，不得有漏针跳针现象。有纺布带采用10CM宽的布带，挂钩采用塑料可调节挂钩，窗帘、窗纱、隔帘帘须在锅炉内进行高温杀菌及真空定型处理，经过高温整烫定型后，帘布须达到自然波浪、皱折挺括、间距均匀、垂坠美观的效果；每幅窗帘要缝制扎带一条所有窗帘布料必须褶皱定型热处理，并经过预缩水处理；</w:t>
      </w:r>
    </w:p>
    <w:p w14:paraId="20979AEF">
      <w:pPr>
        <w:spacing w:line="440" w:lineRule="exact"/>
        <w:ind w:left="372" w:leftChars="177" w:right="124" w:rightChars="59" w:firstLine="566" w:firstLineChars="236"/>
        <w:contextualSpacing/>
        <w:rPr>
          <w:rFonts w:hint="eastAsia" w:eastAsia="宋体"/>
          <w:sz w:val="24"/>
          <w:szCs w:val="24"/>
          <w:lang w:val="en-US" w:eastAsia="zh-CN"/>
        </w:rPr>
      </w:pPr>
      <w:r>
        <w:rPr>
          <w:rFonts w:hint="eastAsia"/>
          <w:sz w:val="24"/>
          <w:szCs w:val="24"/>
          <w:lang w:val="en-US" w:eastAsia="zh-CN"/>
        </w:rPr>
        <w:t>2.</w:t>
      </w:r>
      <w:r>
        <w:rPr>
          <w:rFonts w:hint="eastAsia" w:eastAsia="宋体"/>
          <w:sz w:val="24"/>
          <w:szCs w:val="24"/>
          <w:lang w:val="en-US" w:eastAsia="zh-CN"/>
        </w:rPr>
        <w:t>线迹均匀平直，侧边不扭斜；缝纫线与布料颜色相同或相近；</w:t>
      </w:r>
    </w:p>
    <w:p w14:paraId="324EA1F3">
      <w:pPr>
        <w:spacing w:line="440" w:lineRule="exact"/>
        <w:ind w:left="372" w:leftChars="177" w:right="124" w:rightChars="59" w:firstLine="566" w:firstLineChars="236"/>
        <w:contextualSpacing/>
        <w:rPr>
          <w:rFonts w:hint="eastAsia" w:eastAsia="宋体"/>
          <w:sz w:val="24"/>
          <w:szCs w:val="24"/>
          <w:lang w:val="en-US" w:eastAsia="zh-CN"/>
        </w:rPr>
      </w:pPr>
      <w:r>
        <w:rPr>
          <w:rFonts w:hint="eastAsia"/>
          <w:sz w:val="24"/>
          <w:szCs w:val="24"/>
          <w:lang w:val="en-US" w:eastAsia="zh-CN"/>
        </w:rPr>
        <w:t>3.</w:t>
      </w:r>
      <w:r>
        <w:rPr>
          <w:rFonts w:hint="eastAsia" w:eastAsia="宋体"/>
          <w:sz w:val="24"/>
          <w:szCs w:val="24"/>
          <w:lang w:val="en-US" w:eastAsia="zh-CN"/>
        </w:rPr>
        <w:t>拼接处不扭斜，拼缝锁三线；</w:t>
      </w:r>
    </w:p>
    <w:p w14:paraId="0EB84EDC">
      <w:pPr>
        <w:spacing w:line="440" w:lineRule="exact"/>
        <w:ind w:left="372" w:leftChars="177" w:right="124" w:rightChars="59" w:firstLine="566" w:firstLineChars="236"/>
        <w:contextualSpacing/>
        <w:rPr>
          <w:rFonts w:hint="eastAsia" w:eastAsia="宋体"/>
          <w:sz w:val="24"/>
          <w:szCs w:val="24"/>
          <w:lang w:val="en-US" w:eastAsia="zh-CN"/>
        </w:rPr>
      </w:pPr>
      <w:r>
        <w:rPr>
          <w:rFonts w:hint="eastAsia"/>
          <w:sz w:val="24"/>
          <w:szCs w:val="24"/>
          <w:lang w:val="en-US" w:eastAsia="zh-CN"/>
        </w:rPr>
        <w:t>4.</w:t>
      </w:r>
      <w:r>
        <w:rPr>
          <w:rFonts w:hint="eastAsia" w:eastAsia="宋体"/>
          <w:sz w:val="24"/>
          <w:szCs w:val="24"/>
          <w:lang w:val="en-US" w:eastAsia="zh-CN"/>
        </w:rPr>
        <w:t>安装轨道支架间距≤50cm；</w:t>
      </w:r>
    </w:p>
    <w:p w14:paraId="34F2EB42">
      <w:pPr>
        <w:spacing w:line="440" w:lineRule="exact"/>
        <w:ind w:left="372" w:leftChars="177" w:right="124" w:rightChars="59" w:firstLine="566" w:firstLineChars="236"/>
        <w:contextualSpacing/>
        <w:rPr>
          <w:rFonts w:hint="eastAsia" w:eastAsia="宋体"/>
          <w:sz w:val="24"/>
          <w:szCs w:val="24"/>
          <w:lang w:val="en-US" w:eastAsia="zh-CN"/>
        </w:rPr>
      </w:pPr>
      <w:r>
        <w:rPr>
          <w:rFonts w:hint="eastAsia"/>
          <w:sz w:val="24"/>
          <w:szCs w:val="24"/>
          <w:lang w:val="en-US" w:eastAsia="zh-CN"/>
        </w:rPr>
        <w:t>5.</w:t>
      </w:r>
      <w:r>
        <w:rPr>
          <w:rFonts w:hint="eastAsia" w:eastAsia="宋体"/>
          <w:sz w:val="24"/>
          <w:szCs w:val="24"/>
          <w:lang w:val="en-US" w:eastAsia="zh-CN"/>
        </w:rPr>
        <w:t>遮光卷帘上梁用加厚38mm管，壁厚≧1.2mm，3.5cm铝合金椭圆重铝合金下梁；配重型拉莫斯制头；</w:t>
      </w:r>
    </w:p>
    <w:p w14:paraId="3B6EB5DB">
      <w:pPr>
        <w:spacing w:line="440" w:lineRule="exact"/>
        <w:ind w:left="372" w:leftChars="177" w:right="124" w:rightChars="59" w:firstLine="569" w:firstLineChars="236"/>
        <w:contextualSpacing/>
        <w:rPr>
          <w:rFonts w:hint="eastAsia" w:eastAsia="宋体"/>
          <w:b/>
          <w:bCs w:val="0"/>
          <w:sz w:val="24"/>
          <w:szCs w:val="24"/>
          <w:lang w:val="en-US" w:eastAsia="zh-CN"/>
        </w:rPr>
      </w:pPr>
      <w:r>
        <w:rPr>
          <w:rFonts w:hint="eastAsia" w:eastAsia="宋体"/>
          <w:b/>
          <w:bCs w:val="0"/>
          <w:sz w:val="24"/>
          <w:szCs w:val="24"/>
          <w:lang w:val="en-US" w:eastAsia="zh-CN"/>
        </w:rPr>
        <w:t>五、施工安装要求</w:t>
      </w:r>
    </w:p>
    <w:p w14:paraId="02F6B26B">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1.所有施工材料质量及施工质量必须严格按照国家规范及江苏省、扬州市相应地方规范、招标文件、材料厂家的技术规范的有关要求执行，如果在合同履行过程中有新的国家或行业（部）规范和标准出台的，则中标人应确保其合同产品达到并符合新的国家或行业（部）规范和标准，因此而增加的费用及风险由中标人自行承担。</w:t>
      </w:r>
    </w:p>
    <w:p w14:paraId="6E1A2D73">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2.点位安装须考虑与空间环境及其他设施的关系，避免冲突、遮蔽。</w:t>
      </w:r>
    </w:p>
    <w:p w14:paraId="0D2ACB56">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3.项目实施期间应无条件的接受采购人的监督管理，提出的质量问题要及时整改，整改完毕后通知采购人检查验收，合格后书面报送采购人备案。</w:t>
      </w:r>
    </w:p>
    <w:p w14:paraId="1CF18387">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4.按照设计要求和技术标准施工安装，不得擅自修改设计，不得偷工减料。</w:t>
      </w:r>
    </w:p>
    <w:p w14:paraId="34D9B580">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5.施工时应根据设计效果图和制作工程量清单要求施工，安装辅材必须采用优质产品</w:t>
      </w:r>
    </w:p>
    <w:p w14:paraId="28397F29">
      <w:pPr>
        <w:spacing w:line="440" w:lineRule="exact"/>
        <w:ind w:left="372" w:leftChars="177" w:right="124" w:rightChars="59" w:firstLine="569" w:firstLineChars="236"/>
        <w:contextualSpacing/>
        <w:rPr>
          <w:rFonts w:hint="eastAsia" w:eastAsia="宋体"/>
          <w:b/>
          <w:bCs w:val="0"/>
          <w:sz w:val="24"/>
          <w:szCs w:val="24"/>
          <w:lang w:val="en-US" w:eastAsia="zh-CN"/>
        </w:rPr>
      </w:pPr>
      <w:r>
        <w:rPr>
          <w:rFonts w:hint="eastAsia" w:eastAsia="宋体"/>
          <w:b/>
          <w:bCs w:val="0"/>
          <w:sz w:val="24"/>
          <w:szCs w:val="24"/>
          <w:lang w:val="en-US" w:eastAsia="zh-CN"/>
        </w:rPr>
        <w:t>六、履约保证金</w:t>
      </w:r>
    </w:p>
    <w:p w14:paraId="5F3C679B">
      <w:pPr>
        <w:shd w:val="clear"/>
        <w:spacing w:line="440" w:lineRule="exact"/>
        <w:ind w:left="372" w:leftChars="177" w:right="124" w:rightChars="59" w:firstLine="569" w:firstLineChars="236"/>
        <w:contextualSpacing/>
        <w:rPr>
          <w:rFonts w:hint="eastAsia"/>
          <w:b/>
          <w:bCs/>
          <w:sz w:val="24"/>
          <w:szCs w:val="24"/>
          <w:lang w:val="en-US" w:eastAsia="zh-CN"/>
        </w:rPr>
      </w:pPr>
      <w:bookmarkStart w:id="7" w:name="_Toc497145843"/>
      <w:r>
        <w:rPr>
          <w:rFonts w:hint="eastAsia"/>
          <w:b/>
          <w:bCs/>
          <w:sz w:val="24"/>
          <w:szCs w:val="24"/>
          <w:lang w:val="en-US" w:eastAsia="zh-CN"/>
        </w:rPr>
        <w:t>1.中标人在收到中标通知书后，须在签订合同前应向甲方缴纳合同金额10%的履约保证金。如果承包人在规定时间内未能提交履约保证金，将被视为放弃中标资格，由此给发包人造成的损失，应予以赔偿。</w:t>
      </w:r>
    </w:p>
    <w:p w14:paraId="01001A1E">
      <w:pPr>
        <w:shd w:val="clea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2.履约保证金用以约束投标人在合同履行中的行为，弥补合同执行中由于自身行为可能给采购人带来的各种损失。如果中标投标人不同意按照规定去做，采购人有权取消本次采购中标决定。</w:t>
      </w:r>
    </w:p>
    <w:p w14:paraId="25F49693">
      <w:pPr>
        <w:shd w:val="clear"/>
        <w:spacing w:line="440" w:lineRule="exact"/>
        <w:ind w:left="372" w:leftChars="177" w:right="124" w:rightChars="59" w:firstLine="569" w:firstLineChars="236"/>
        <w:contextualSpacing/>
        <w:rPr>
          <w:rFonts w:hint="eastAsia"/>
          <w:b/>
          <w:bCs/>
          <w:sz w:val="24"/>
          <w:szCs w:val="24"/>
          <w:lang w:val="en-US" w:eastAsia="zh-CN"/>
        </w:rPr>
      </w:pPr>
      <w:r>
        <w:rPr>
          <w:rFonts w:hint="eastAsia"/>
          <w:b/>
          <w:bCs/>
          <w:sz w:val="24"/>
          <w:szCs w:val="24"/>
          <w:lang w:val="en-US" w:eastAsia="zh-CN"/>
        </w:rPr>
        <w:t>3.履约保证金的退还：合同履行完毕无质量问题，待保修期满且无违约行为，扣除维修金后退还。</w:t>
      </w:r>
    </w:p>
    <w:p w14:paraId="54BACBC0">
      <w:pPr>
        <w:spacing w:line="440" w:lineRule="exact"/>
        <w:ind w:left="372" w:leftChars="177" w:right="124" w:rightChars="59" w:firstLine="569" w:firstLineChars="236"/>
        <w:contextualSpacing/>
        <w:rPr>
          <w:rFonts w:hint="default" w:eastAsia="宋体"/>
          <w:b/>
          <w:bCs w:val="0"/>
          <w:sz w:val="24"/>
          <w:szCs w:val="24"/>
          <w:lang w:val="en-US" w:eastAsia="zh-CN"/>
        </w:rPr>
      </w:pPr>
      <w:r>
        <w:rPr>
          <w:rFonts w:hint="eastAsia" w:eastAsia="宋体"/>
          <w:b/>
          <w:bCs w:val="0"/>
          <w:sz w:val="24"/>
          <w:szCs w:val="24"/>
          <w:lang w:val="en-US" w:eastAsia="zh-CN"/>
        </w:rPr>
        <w:t>七、附件</w:t>
      </w:r>
    </w:p>
    <w:p w14:paraId="6DBEBA3B">
      <w:pPr>
        <w:numPr>
          <w:ilvl w:val="0"/>
          <w:numId w:val="0"/>
        </w:numPr>
        <w:spacing w:line="440" w:lineRule="exact"/>
        <w:ind w:leftChars="413" w:right="124" w:rightChars="59"/>
        <w:contextualSpacing/>
        <w:rPr>
          <w:rFonts w:hint="default"/>
          <w:lang w:val="en-US" w:eastAsia="zh-CN"/>
        </w:rPr>
      </w:pPr>
      <w:r>
        <w:rPr>
          <w:rFonts w:hint="eastAsia" w:eastAsia="宋体"/>
          <w:sz w:val="24"/>
          <w:szCs w:val="24"/>
          <w:lang w:val="en-US" w:eastAsia="zh-CN"/>
        </w:rPr>
        <w:t>1.现场照片</w:t>
      </w:r>
    </w:p>
    <w:p w14:paraId="5AA8019D">
      <w:pPr>
        <w:rPr>
          <w:rFonts w:ascii="宋体" w:hAnsi="宋体"/>
          <w:b/>
          <w:bCs/>
          <w:sz w:val="36"/>
        </w:rPr>
      </w:pPr>
      <w:r>
        <w:rPr>
          <w:rFonts w:hint="eastAsia" w:eastAsia="宋体"/>
          <w:sz w:val="24"/>
          <w:szCs w:val="24"/>
          <w:lang w:val="en-US" w:eastAsia="zh-CN"/>
        </w:rPr>
        <w:drawing>
          <wp:anchor distT="0" distB="0" distL="114300" distR="114300" simplePos="0" relativeHeight="251660288" behindDoc="0" locked="0" layoutInCell="1" allowOverlap="1">
            <wp:simplePos x="0" y="0"/>
            <wp:positionH relativeFrom="column">
              <wp:posOffset>1030605</wp:posOffset>
            </wp:positionH>
            <wp:positionV relativeFrom="paragraph">
              <wp:posOffset>67310</wp:posOffset>
            </wp:positionV>
            <wp:extent cx="3825875" cy="2449830"/>
            <wp:effectExtent l="0" t="0" r="3175" b="7620"/>
            <wp:wrapNone/>
            <wp:docPr id="42" name="图片 42" descr="f6425ed309b182c8cde7671ad9308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f6425ed309b182c8cde7671ad93080f"/>
                    <pic:cNvPicPr>
                      <a:picLocks noChangeAspect="1"/>
                    </pic:cNvPicPr>
                  </pic:nvPicPr>
                  <pic:blipFill>
                    <a:blip r:embed="rId13"/>
                    <a:stretch>
                      <a:fillRect/>
                    </a:stretch>
                  </pic:blipFill>
                  <pic:spPr>
                    <a:xfrm>
                      <a:off x="0" y="0"/>
                      <a:ext cx="3825875" cy="2449830"/>
                    </a:xfrm>
                    <a:prstGeom prst="rect">
                      <a:avLst/>
                    </a:prstGeom>
                  </pic:spPr>
                </pic:pic>
              </a:graphicData>
            </a:graphic>
          </wp:anchor>
        </w:drawing>
      </w:r>
    </w:p>
    <w:p w14:paraId="7857674A">
      <w:pPr>
        <w:rPr>
          <w:rFonts w:hint="eastAsia" w:ascii="宋体" w:hAnsi="宋体"/>
          <w:b/>
          <w:bCs/>
          <w:sz w:val="36"/>
        </w:rPr>
      </w:pPr>
    </w:p>
    <w:p w14:paraId="5CDDF68B">
      <w:pPr>
        <w:pStyle w:val="20"/>
        <w:rPr>
          <w:rFonts w:hint="eastAsia" w:ascii="宋体" w:hAnsi="宋体"/>
          <w:b/>
          <w:bCs/>
          <w:sz w:val="36"/>
        </w:rPr>
      </w:pPr>
    </w:p>
    <w:p w14:paraId="5B2218F6">
      <w:pPr>
        <w:rPr>
          <w:rFonts w:hint="eastAsia" w:ascii="宋体" w:hAnsi="宋体"/>
          <w:b/>
          <w:bCs/>
          <w:sz w:val="36"/>
        </w:rPr>
      </w:pPr>
    </w:p>
    <w:p w14:paraId="10A038A2">
      <w:pPr>
        <w:rPr>
          <w:rFonts w:hint="eastAsia" w:ascii="宋体" w:hAnsi="宋体"/>
          <w:b/>
          <w:bCs/>
          <w:sz w:val="36"/>
        </w:rPr>
      </w:pPr>
    </w:p>
    <w:p w14:paraId="5739CE2E">
      <w:pPr>
        <w:rPr>
          <w:rFonts w:hint="eastAsia" w:ascii="宋体" w:hAnsi="宋体"/>
          <w:b/>
          <w:bCs/>
          <w:sz w:val="36"/>
        </w:rPr>
      </w:pPr>
    </w:p>
    <w:p w14:paraId="37F432F3">
      <w:pPr>
        <w:rPr>
          <w:rFonts w:hint="eastAsia" w:eastAsia="宋体"/>
          <w:sz w:val="24"/>
          <w:szCs w:val="24"/>
          <w:lang w:val="en-US" w:eastAsia="zh-CN"/>
        </w:rPr>
      </w:pPr>
      <w:r>
        <w:rPr>
          <w:rFonts w:hint="eastAsia" w:eastAsia="宋体"/>
          <w:sz w:val="24"/>
          <w:szCs w:val="24"/>
          <w:lang w:val="en-US" w:eastAsia="zh-CN"/>
        </w:rPr>
        <w:br w:type="page"/>
      </w:r>
    </w:p>
    <w:p w14:paraId="21E1B821">
      <w:pPr>
        <w:numPr>
          <w:ilvl w:val="0"/>
          <w:numId w:val="0"/>
        </w:numPr>
        <w:spacing w:line="440" w:lineRule="exact"/>
        <w:ind w:leftChars="413" w:right="124" w:rightChars="59"/>
        <w:contextualSpacing/>
        <w:rPr>
          <w:rFonts w:hint="default" w:eastAsia="宋体" w:cs="Times New Roman"/>
          <w:sz w:val="24"/>
          <w:szCs w:val="24"/>
          <w:lang w:val="en-US" w:eastAsia="zh-CN"/>
        </w:rPr>
      </w:pPr>
      <w:r>
        <w:rPr>
          <w:rFonts w:hint="eastAsia" w:eastAsia="宋体" w:cs="Times New Roman"/>
          <w:sz w:val="24"/>
          <w:szCs w:val="24"/>
          <w:lang w:val="en-US" w:eastAsia="zh-CN"/>
        </w:rPr>
        <w:t>2.十二病区平面图</w:t>
      </w:r>
    </w:p>
    <w:p w14:paraId="36E54396">
      <w:pPr>
        <w:numPr>
          <w:ilvl w:val="0"/>
          <w:numId w:val="0"/>
        </w:numPr>
        <w:spacing w:line="440" w:lineRule="exact"/>
        <w:ind w:leftChars="413" w:right="124" w:rightChars="59"/>
        <w:contextualSpacing/>
        <w:rPr>
          <w:rFonts w:hint="eastAsia" w:eastAsia="宋体"/>
          <w:sz w:val="24"/>
          <w:szCs w:val="24"/>
          <w:lang w:val="en-US" w:eastAsia="zh-CN"/>
        </w:rPr>
      </w:pPr>
      <w:r>
        <w:rPr>
          <w:rFonts w:hint="default" w:eastAsia="宋体"/>
          <w:sz w:val="24"/>
          <w:szCs w:val="24"/>
          <w:lang w:val="en-US" w:eastAsia="zh-CN"/>
        </w:rPr>
        <w:drawing>
          <wp:anchor distT="0" distB="0" distL="114300" distR="114300" simplePos="0" relativeHeight="251661312" behindDoc="0" locked="0" layoutInCell="1" allowOverlap="1">
            <wp:simplePos x="0" y="0"/>
            <wp:positionH relativeFrom="column">
              <wp:posOffset>-363220</wp:posOffset>
            </wp:positionH>
            <wp:positionV relativeFrom="paragraph">
              <wp:posOffset>124460</wp:posOffset>
            </wp:positionV>
            <wp:extent cx="6213475" cy="3020060"/>
            <wp:effectExtent l="0" t="0" r="15875" b="8890"/>
            <wp:wrapNone/>
            <wp:docPr id="43" name="图片 43" descr="12病区平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2病区平面_00"/>
                    <pic:cNvPicPr>
                      <a:picLocks noChangeAspect="1"/>
                    </pic:cNvPicPr>
                  </pic:nvPicPr>
                  <pic:blipFill>
                    <a:blip r:embed="rId14"/>
                    <a:srcRect t="15520" b="15741"/>
                    <a:stretch>
                      <a:fillRect/>
                    </a:stretch>
                  </pic:blipFill>
                  <pic:spPr>
                    <a:xfrm>
                      <a:off x="0" y="0"/>
                      <a:ext cx="6213475" cy="3020060"/>
                    </a:xfrm>
                    <a:prstGeom prst="rect">
                      <a:avLst/>
                    </a:prstGeom>
                  </pic:spPr>
                </pic:pic>
              </a:graphicData>
            </a:graphic>
          </wp:anchor>
        </w:drawing>
      </w:r>
    </w:p>
    <w:p w14:paraId="6BC89C8D">
      <w:pPr>
        <w:numPr>
          <w:ilvl w:val="0"/>
          <w:numId w:val="0"/>
        </w:numPr>
        <w:spacing w:line="440" w:lineRule="exact"/>
        <w:ind w:leftChars="413" w:right="124" w:rightChars="59"/>
        <w:contextualSpacing/>
        <w:rPr>
          <w:rFonts w:hint="eastAsia" w:eastAsia="宋体"/>
          <w:sz w:val="24"/>
          <w:szCs w:val="24"/>
          <w:lang w:val="en-US" w:eastAsia="zh-CN"/>
        </w:rPr>
      </w:pPr>
    </w:p>
    <w:p w14:paraId="5E69783F">
      <w:pPr>
        <w:numPr>
          <w:ilvl w:val="0"/>
          <w:numId w:val="0"/>
        </w:numPr>
        <w:spacing w:line="440" w:lineRule="exact"/>
        <w:ind w:leftChars="413" w:right="124" w:rightChars="59"/>
        <w:contextualSpacing/>
        <w:rPr>
          <w:rFonts w:hint="eastAsia" w:eastAsia="宋体"/>
          <w:sz w:val="24"/>
          <w:szCs w:val="24"/>
          <w:lang w:val="en-US" w:eastAsia="zh-CN"/>
        </w:rPr>
      </w:pPr>
    </w:p>
    <w:p w14:paraId="3250162F">
      <w:pPr>
        <w:numPr>
          <w:ilvl w:val="0"/>
          <w:numId w:val="0"/>
        </w:numPr>
        <w:spacing w:line="440" w:lineRule="exact"/>
        <w:ind w:leftChars="413" w:right="124" w:rightChars="59"/>
        <w:contextualSpacing/>
        <w:rPr>
          <w:rFonts w:hint="eastAsia" w:eastAsia="宋体"/>
          <w:sz w:val="24"/>
          <w:szCs w:val="24"/>
          <w:lang w:val="en-US" w:eastAsia="zh-CN"/>
        </w:rPr>
      </w:pPr>
    </w:p>
    <w:p w14:paraId="7CE323FC">
      <w:pPr>
        <w:numPr>
          <w:ilvl w:val="0"/>
          <w:numId w:val="0"/>
        </w:numPr>
        <w:spacing w:line="440" w:lineRule="exact"/>
        <w:ind w:leftChars="413" w:right="124" w:rightChars="59"/>
        <w:contextualSpacing/>
        <w:rPr>
          <w:rFonts w:ascii="宋体" w:hAnsi="宋体"/>
          <w:b/>
          <w:bCs/>
          <w:sz w:val="36"/>
        </w:rPr>
      </w:pPr>
      <w:r>
        <w:rPr>
          <w:rFonts w:hint="eastAsia" w:ascii="宋体" w:hAnsi="宋体"/>
          <w:b/>
          <w:bCs/>
          <w:sz w:val="36"/>
        </w:rPr>
        <w:br w:type="page"/>
      </w:r>
    </w:p>
    <w:p w14:paraId="379FA010">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b/>
          <w:sz w:val="32"/>
          <w:szCs w:val="32"/>
        </w:rPr>
      </w:pPr>
      <w:r>
        <w:rPr>
          <w:rFonts w:hint="eastAsia"/>
          <w:b/>
          <w:sz w:val="32"/>
          <w:szCs w:val="32"/>
        </w:rPr>
        <w:t>三、评审方法</w:t>
      </w:r>
      <w:bookmarkEnd w:id="7"/>
    </w:p>
    <w:p w14:paraId="6C825EA4">
      <w:pPr>
        <w:pStyle w:val="63"/>
        <w:ind w:firstLine="482" w:firstLineChars="200"/>
        <w:rPr>
          <w:rFonts w:ascii="宋体" w:hAnsi="宋体"/>
          <w:b/>
          <w:kern w:val="2"/>
        </w:rPr>
      </w:pPr>
      <w:r>
        <w:rPr>
          <w:rFonts w:hint="eastAsia" w:ascii="宋体" w:hAnsi="宋体"/>
          <w:b/>
          <w:kern w:val="2"/>
        </w:rPr>
        <w:t>一、评审方法</w:t>
      </w:r>
    </w:p>
    <w:p w14:paraId="0DA921CF">
      <w:pPr>
        <w:spacing w:line="360" w:lineRule="auto"/>
        <w:ind w:firstLine="480" w:firstLineChars="200"/>
        <w:rPr>
          <w:sz w:val="24"/>
        </w:rPr>
      </w:pPr>
      <w:r>
        <w:rPr>
          <w:rFonts w:hint="eastAsia"/>
          <w:sz w:val="24"/>
        </w:rPr>
        <w:t>本项目采用综合评分法，评委会将对确定为实质性响应磋商文件要求的响应文件进行评价和比较。评审结果按评审后得分由高到低顺序排列。得分相同的，按最终报价单价由高到低顺序排列，得分且最终报价相同的并列。响应文件满足磋商文件全部实质性要求，且按照评审因素的量化指标评审得分最高的供应商为排名第一的成交候选人。</w:t>
      </w:r>
    </w:p>
    <w:p w14:paraId="6D77BE39">
      <w:pPr>
        <w:numPr>
          <w:ilvl w:val="0"/>
          <w:numId w:val="3"/>
        </w:numPr>
        <w:spacing w:line="360" w:lineRule="auto"/>
        <w:ind w:firstLine="482" w:firstLineChars="200"/>
        <w:rPr>
          <w:rFonts w:ascii="宋体" w:hAnsi="宋体"/>
          <w:b/>
          <w:sz w:val="24"/>
        </w:rPr>
      </w:pPr>
      <w:bookmarkStart w:id="8" w:name="_Toc449017024"/>
      <w:bookmarkStart w:id="9" w:name="_Toc449016388"/>
      <w:r>
        <w:rPr>
          <w:rFonts w:hint="eastAsia" w:ascii="宋体" w:hAnsi="宋体"/>
          <w:b/>
          <w:sz w:val="24"/>
        </w:rPr>
        <w:t>落实政府采购政策</w:t>
      </w:r>
      <w:r>
        <w:rPr>
          <w:rFonts w:ascii="宋体" w:hAnsi="宋体"/>
          <w:b/>
          <w:sz w:val="24"/>
        </w:rPr>
        <w:t>及政府采购不诚信记录扣分评审</w:t>
      </w:r>
      <w:bookmarkEnd w:id="8"/>
      <w:bookmarkEnd w:id="9"/>
      <w:r>
        <w:rPr>
          <w:rFonts w:ascii="宋体" w:hAnsi="宋体"/>
          <w:b/>
          <w:sz w:val="24"/>
        </w:rPr>
        <w:br w:type="textWrapping"/>
      </w:r>
      <w:r>
        <w:rPr>
          <w:rFonts w:hint="eastAsia" w:ascii="宋体" w:hAnsi="宋体"/>
          <w:b w:val="0"/>
          <w:bCs/>
          <w:sz w:val="24"/>
          <w:lang w:val="en-US" w:eastAsia="zh-CN"/>
        </w:rPr>
        <w:t>无</w:t>
      </w:r>
    </w:p>
    <w:p w14:paraId="6BFC7CEB">
      <w:pPr>
        <w:numPr>
          <w:ilvl w:val="0"/>
          <w:numId w:val="4"/>
        </w:numPr>
        <w:spacing w:line="360" w:lineRule="auto"/>
        <w:ind w:firstLine="482" w:firstLineChars="200"/>
        <w:rPr>
          <w:rFonts w:ascii="宋体" w:hAnsi="宋体"/>
          <w:b/>
          <w:sz w:val="24"/>
        </w:rPr>
      </w:pPr>
      <w:r>
        <w:rPr>
          <w:rFonts w:hint="eastAsia"/>
          <w:b/>
          <w:sz w:val="24"/>
        </w:rPr>
        <w:t>评分标准</w:t>
      </w:r>
    </w:p>
    <w:tbl>
      <w:tblPr>
        <w:tblStyle w:val="26"/>
        <w:tblW w:w="10350" w:type="dxa"/>
        <w:jc w:val="center"/>
        <w:tblLayout w:type="fixed"/>
        <w:tblCellMar>
          <w:top w:w="0" w:type="dxa"/>
          <w:left w:w="108" w:type="dxa"/>
          <w:bottom w:w="0" w:type="dxa"/>
          <w:right w:w="108" w:type="dxa"/>
        </w:tblCellMar>
      </w:tblPr>
      <w:tblGrid>
        <w:gridCol w:w="2204"/>
        <w:gridCol w:w="900"/>
        <w:gridCol w:w="7246"/>
      </w:tblGrid>
      <w:tr w14:paraId="349488C6">
        <w:tblPrEx>
          <w:tblCellMar>
            <w:top w:w="0" w:type="dxa"/>
            <w:left w:w="108" w:type="dxa"/>
            <w:bottom w:w="0" w:type="dxa"/>
            <w:right w:w="108" w:type="dxa"/>
          </w:tblCellMar>
        </w:tblPrEx>
        <w:trPr>
          <w:trHeight w:val="601" w:hRule="atLeast"/>
          <w:jc w:val="center"/>
        </w:trPr>
        <w:tc>
          <w:tcPr>
            <w:tcW w:w="22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CA94B0">
            <w:pPr>
              <w:widowControl/>
              <w:jc w:val="center"/>
              <w:textAlignment w:val="center"/>
              <w:rPr>
                <w:rFonts w:hAnsi="仿宋" w:cs="宋体"/>
                <w:b/>
                <w:bCs/>
                <w:color w:val="000000" w:themeColor="text1"/>
                <w:sz w:val="24"/>
                <w14:textFill>
                  <w14:solidFill>
                    <w14:schemeClr w14:val="tx1"/>
                  </w14:solidFill>
                </w14:textFill>
              </w:rPr>
            </w:pPr>
            <w:r>
              <w:rPr>
                <w:rFonts w:hint="eastAsia" w:hAnsi="仿宋" w:cs="宋体"/>
                <w:b/>
                <w:bCs/>
                <w:color w:val="000000" w:themeColor="text1"/>
                <w:kern w:val="0"/>
                <w:sz w:val="24"/>
                <w:lang w:bidi="ar"/>
                <w14:textFill>
                  <w14:solidFill>
                    <w14:schemeClr w14:val="tx1"/>
                  </w14:solidFill>
                </w14:textFill>
              </w:rPr>
              <w:t>内容</w:t>
            </w:r>
          </w:p>
        </w:tc>
        <w:tc>
          <w:tcPr>
            <w:tcW w:w="9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DB52E7">
            <w:pPr>
              <w:widowControl/>
              <w:jc w:val="center"/>
              <w:textAlignment w:val="center"/>
              <w:rPr>
                <w:rFonts w:hAnsi="仿宋" w:cs="宋体"/>
                <w:b/>
                <w:bCs/>
                <w:color w:val="000000" w:themeColor="text1"/>
                <w:sz w:val="24"/>
                <w14:textFill>
                  <w14:solidFill>
                    <w14:schemeClr w14:val="tx1"/>
                  </w14:solidFill>
                </w14:textFill>
              </w:rPr>
            </w:pPr>
            <w:r>
              <w:rPr>
                <w:rFonts w:hint="eastAsia" w:hAnsi="仿宋" w:cs="宋体"/>
                <w:b/>
                <w:bCs/>
                <w:color w:val="000000" w:themeColor="text1"/>
                <w:kern w:val="0"/>
                <w:sz w:val="24"/>
                <w:lang w:bidi="ar"/>
                <w14:textFill>
                  <w14:solidFill>
                    <w14:schemeClr w14:val="tx1"/>
                  </w14:solidFill>
                </w14:textFill>
              </w:rPr>
              <w:t>分值</w:t>
            </w:r>
          </w:p>
        </w:tc>
        <w:tc>
          <w:tcPr>
            <w:tcW w:w="7246" w:type="dxa"/>
            <w:tcBorders>
              <w:top w:val="single" w:color="auto" w:sz="4" w:space="0"/>
              <w:left w:val="single" w:color="auto" w:sz="4" w:space="0"/>
              <w:bottom w:val="single" w:color="auto" w:sz="4" w:space="0"/>
              <w:right w:val="single" w:color="auto" w:sz="4" w:space="0"/>
            </w:tcBorders>
            <w:shd w:val="clear" w:color="auto" w:fill="auto"/>
            <w:vAlign w:val="center"/>
          </w:tcPr>
          <w:p w14:paraId="3F93F537">
            <w:pPr>
              <w:widowControl/>
              <w:jc w:val="center"/>
              <w:textAlignment w:val="center"/>
              <w:rPr>
                <w:rFonts w:hAnsi="仿宋" w:cs="宋体"/>
                <w:b/>
                <w:bCs/>
                <w:color w:val="000000" w:themeColor="text1"/>
                <w:sz w:val="24"/>
                <w14:textFill>
                  <w14:solidFill>
                    <w14:schemeClr w14:val="tx1"/>
                  </w14:solidFill>
                </w14:textFill>
              </w:rPr>
            </w:pPr>
            <w:r>
              <w:rPr>
                <w:rFonts w:hint="eastAsia" w:hAnsi="仿宋" w:cs="宋体"/>
                <w:b/>
                <w:bCs/>
                <w:color w:val="000000" w:themeColor="text1"/>
                <w:kern w:val="0"/>
                <w:sz w:val="24"/>
                <w:lang w:bidi="ar"/>
                <w14:textFill>
                  <w14:solidFill>
                    <w14:schemeClr w14:val="tx1"/>
                  </w14:solidFill>
                </w14:textFill>
              </w:rPr>
              <w:t>评分方法</w:t>
            </w:r>
          </w:p>
        </w:tc>
      </w:tr>
      <w:tr w14:paraId="0E50EDCE">
        <w:tblPrEx>
          <w:tblCellMar>
            <w:top w:w="0" w:type="dxa"/>
            <w:left w:w="108" w:type="dxa"/>
            <w:bottom w:w="0" w:type="dxa"/>
            <w:right w:w="108" w:type="dxa"/>
          </w:tblCellMar>
        </w:tblPrEx>
        <w:trPr>
          <w:trHeight w:val="270" w:hRule="atLeast"/>
          <w:jc w:val="center"/>
        </w:trPr>
        <w:tc>
          <w:tcPr>
            <w:tcW w:w="22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078B4E">
            <w:pPr>
              <w:widowControl/>
              <w:jc w:val="center"/>
              <w:textAlignment w:val="center"/>
              <w:rPr>
                <w:rFonts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价格</w:t>
            </w:r>
          </w:p>
          <w:p w14:paraId="4DD78944">
            <w:pPr>
              <w:jc w:val="center"/>
              <w:rPr>
                <w:rFonts w:hAnsi="仿宋" w:cs="宋体"/>
                <w:color w:val="000000" w:themeColor="text1"/>
                <w:sz w:val="24"/>
                <w:szCs w:val="24"/>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w:t>
            </w:r>
            <w:r>
              <w:rPr>
                <w:rFonts w:hint="eastAsia" w:hAnsi="仿宋" w:cs="宋体"/>
                <w:color w:val="000000" w:themeColor="text1"/>
                <w:kern w:val="0"/>
                <w:sz w:val="24"/>
                <w:szCs w:val="24"/>
                <w:lang w:val="en-US" w:eastAsia="zh-CN" w:bidi="ar"/>
                <w14:textFill>
                  <w14:solidFill>
                    <w14:schemeClr w14:val="tx1"/>
                  </w14:solidFill>
                </w14:textFill>
              </w:rPr>
              <w:t>30</w:t>
            </w:r>
            <w:r>
              <w:rPr>
                <w:rFonts w:hint="eastAsia" w:hAnsi="仿宋" w:cs="宋体"/>
                <w:color w:val="000000" w:themeColor="text1"/>
                <w:kern w:val="0"/>
                <w:sz w:val="24"/>
                <w:szCs w:val="24"/>
                <w:lang w:bidi="ar"/>
                <w14:textFill>
                  <w14:solidFill>
                    <w14:schemeClr w14:val="tx1"/>
                  </w14:solidFill>
                </w14:textFill>
              </w:rPr>
              <w:t>分）</w:t>
            </w:r>
          </w:p>
        </w:tc>
        <w:tc>
          <w:tcPr>
            <w:tcW w:w="9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4ECCE1">
            <w:pPr>
              <w:widowControl/>
              <w:jc w:val="center"/>
              <w:textAlignment w:val="center"/>
              <w:rPr>
                <w:rFonts w:hint="default" w:hAnsi="仿宋" w:eastAsia="宋体" w:cs="宋体"/>
                <w:color w:val="000000" w:themeColor="text1"/>
                <w:sz w:val="24"/>
                <w:szCs w:val="24"/>
                <w:lang w:val="en-US" w:eastAsia="zh-CN"/>
                <w14:textFill>
                  <w14:solidFill>
                    <w14:schemeClr w14:val="tx1"/>
                  </w14:solidFill>
                </w14:textFill>
              </w:rPr>
            </w:pPr>
            <w:r>
              <w:rPr>
                <w:rFonts w:hint="eastAsia" w:hAnsi="仿宋" w:cs="宋体"/>
                <w:color w:val="000000" w:themeColor="text1"/>
                <w:kern w:val="0"/>
                <w:sz w:val="24"/>
                <w:szCs w:val="24"/>
                <w:lang w:val="en-US" w:eastAsia="zh-CN" w:bidi="ar"/>
                <w14:textFill>
                  <w14:solidFill>
                    <w14:schemeClr w14:val="tx1"/>
                  </w14:solidFill>
                </w14:textFill>
              </w:rPr>
              <w:t>30</w:t>
            </w:r>
          </w:p>
        </w:tc>
        <w:tc>
          <w:tcPr>
            <w:tcW w:w="7246" w:type="dxa"/>
            <w:tcBorders>
              <w:top w:val="single" w:color="auto" w:sz="4" w:space="0"/>
              <w:left w:val="single" w:color="auto" w:sz="4" w:space="0"/>
              <w:bottom w:val="single" w:color="auto" w:sz="4" w:space="0"/>
              <w:right w:val="single" w:color="auto" w:sz="4" w:space="0"/>
            </w:tcBorders>
            <w:shd w:val="clear" w:color="auto" w:fill="auto"/>
            <w:vAlign w:val="center"/>
          </w:tcPr>
          <w:p w14:paraId="1EBA0630">
            <w:pP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以满足</w:t>
            </w:r>
            <w:r>
              <w:rPr>
                <w:rFonts w:hint="eastAsia" w:ascii="宋体" w:hAnsi="宋体" w:cs="宋体"/>
                <w:color w:val="000000" w:themeColor="text1"/>
                <w:sz w:val="24"/>
                <w:szCs w:val="24"/>
                <w:lang w:val="en-US" w:eastAsia="zh-CN"/>
                <w14:textFill>
                  <w14:solidFill>
                    <w14:schemeClr w14:val="tx1"/>
                  </w14:solidFill>
                </w14:textFill>
              </w:rPr>
              <w:t>谈判</w:t>
            </w:r>
            <w:r>
              <w:rPr>
                <w:rFonts w:hint="eastAsia" w:ascii="宋体" w:hAnsi="宋体" w:cs="宋体"/>
                <w:color w:val="000000" w:themeColor="text1"/>
                <w:sz w:val="24"/>
                <w:szCs w:val="24"/>
                <w14:textFill>
                  <w14:solidFill>
                    <w14:schemeClr w14:val="tx1"/>
                  </w14:solidFill>
                </w14:textFill>
              </w:rPr>
              <w:t>文件要求且最终报价最低的供应商的价格为</w:t>
            </w:r>
            <w:r>
              <w:rPr>
                <w:rFonts w:hint="eastAsia" w:ascii="宋体" w:hAnsi="宋体" w:cs="宋体"/>
                <w:color w:val="000000" w:themeColor="text1"/>
                <w:sz w:val="24"/>
                <w:szCs w:val="24"/>
                <w:lang w:val="en-US" w:eastAsia="zh-CN"/>
                <w14:textFill>
                  <w14:solidFill>
                    <w14:schemeClr w14:val="tx1"/>
                  </w14:solidFill>
                </w14:textFill>
              </w:rPr>
              <w:t>谈判</w:t>
            </w:r>
            <w:r>
              <w:rPr>
                <w:rFonts w:hint="eastAsia" w:ascii="宋体" w:hAnsi="宋体" w:cs="宋体"/>
                <w:color w:val="000000" w:themeColor="text1"/>
                <w:sz w:val="24"/>
                <w:szCs w:val="24"/>
                <w14:textFill>
                  <w14:solidFill>
                    <w14:schemeClr w14:val="tx1"/>
                  </w14:solidFill>
                </w14:textFill>
              </w:rPr>
              <w:t>基准价，其价格分得满分</w:t>
            </w:r>
            <w:r>
              <w:rPr>
                <w:rFonts w:hint="eastAsia" w:ascii="宋体" w:hAnsi="宋体" w:cs="宋体"/>
                <w:color w:val="000000" w:themeColor="text1"/>
                <w:sz w:val="24"/>
                <w:szCs w:val="24"/>
                <w:lang w:val="en-US" w:eastAsia="zh-CN"/>
                <w14:textFill>
                  <w14:solidFill>
                    <w14:schemeClr w14:val="tx1"/>
                  </w14:solidFill>
                </w14:textFill>
              </w:rPr>
              <w:t>30</w:t>
            </w:r>
            <w:r>
              <w:rPr>
                <w:rFonts w:hint="eastAsia" w:ascii="宋体" w:hAnsi="宋体" w:cs="宋体"/>
                <w:color w:val="000000" w:themeColor="text1"/>
                <w:sz w:val="24"/>
                <w:szCs w:val="24"/>
                <w14:textFill>
                  <w14:solidFill>
                    <w14:schemeClr w14:val="tx1"/>
                  </w14:solidFill>
                </w14:textFill>
              </w:rPr>
              <w:t>分。其他供应商价格得分统一按下列公式计算：磋商报价得分=（</w:t>
            </w:r>
            <w:r>
              <w:rPr>
                <w:rFonts w:hint="eastAsia" w:ascii="宋体" w:hAnsi="宋体" w:cs="宋体"/>
                <w:color w:val="000000" w:themeColor="text1"/>
                <w:sz w:val="24"/>
                <w:szCs w:val="24"/>
                <w:lang w:val="en-US" w:eastAsia="zh-CN"/>
                <w14:textFill>
                  <w14:solidFill>
                    <w14:schemeClr w14:val="tx1"/>
                  </w14:solidFill>
                </w14:textFill>
              </w:rPr>
              <w:t>谈判</w:t>
            </w:r>
            <w:r>
              <w:rPr>
                <w:rFonts w:hint="eastAsia" w:ascii="宋体" w:hAnsi="宋体" w:cs="宋体"/>
                <w:color w:val="000000" w:themeColor="text1"/>
                <w:sz w:val="24"/>
                <w:szCs w:val="24"/>
                <w14:textFill>
                  <w14:solidFill>
                    <w14:schemeClr w14:val="tx1"/>
                  </w14:solidFill>
                </w14:textFill>
              </w:rPr>
              <w:t>基准价/其他最后</w:t>
            </w:r>
            <w:r>
              <w:rPr>
                <w:rFonts w:hint="eastAsia" w:ascii="宋体" w:hAnsi="宋体" w:cs="宋体"/>
                <w:color w:val="000000" w:themeColor="text1"/>
                <w:sz w:val="24"/>
                <w:szCs w:val="24"/>
                <w:lang w:val="en-US" w:eastAsia="zh-CN"/>
                <w14:textFill>
                  <w14:solidFill>
                    <w14:schemeClr w14:val="tx1"/>
                  </w14:solidFill>
                </w14:textFill>
              </w:rPr>
              <w:t>谈判</w:t>
            </w:r>
            <w:r>
              <w:rPr>
                <w:rFonts w:hint="eastAsia" w:ascii="宋体" w:hAnsi="宋体" w:cs="宋体"/>
                <w:color w:val="000000" w:themeColor="text1"/>
                <w:sz w:val="24"/>
                <w:szCs w:val="24"/>
                <w14:textFill>
                  <w14:solidFill>
                    <w14:schemeClr w14:val="tx1"/>
                  </w14:solidFill>
                </w14:textFill>
              </w:rPr>
              <w:t>报价）×</w:t>
            </w:r>
            <w:r>
              <w:rPr>
                <w:rFonts w:hint="eastAsia" w:ascii="宋体" w:hAnsi="宋体" w:cs="宋体"/>
                <w:color w:val="000000" w:themeColor="text1"/>
                <w:sz w:val="24"/>
                <w:szCs w:val="24"/>
                <w:lang w:val="en-US" w:eastAsia="zh-CN"/>
                <w14:textFill>
                  <w14:solidFill>
                    <w14:schemeClr w14:val="tx1"/>
                  </w14:solidFill>
                </w14:textFill>
              </w:rPr>
              <w:t>30</w:t>
            </w:r>
            <w:r>
              <w:rPr>
                <w:rFonts w:hint="eastAsia" w:ascii="宋体" w:hAnsi="宋体" w:cs="宋体"/>
                <w:color w:val="000000" w:themeColor="text1"/>
                <w:sz w:val="24"/>
                <w:szCs w:val="24"/>
                <w14:textFill>
                  <w14:solidFill>
                    <w14:schemeClr w14:val="tx1"/>
                  </w14:solidFill>
                </w14:textFill>
              </w:rPr>
              <w:t>×100%（保留两位有效小数）</w:t>
            </w:r>
          </w:p>
          <w:p w14:paraId="4722EAD0">
            <w:pPr>
              <w:widowControl/>
              <w:jc w:val="left"/>
              <w:textAlignment w:val="center"/>
              <w:rPr>
                <w:rFonts w:hAnsi="仿宋" w:cs="宋体"/>
                <w:color w:val="000000" w:themeColor="text1"/>
                <w:kern w:val="0"/>
                <w:sz w:val="24"/>
                <w:szCs w:val="24"/>
                <w:lang w:bidi="ar"/>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注：磋商小组认为供应商的报价明显低于其他通过符合性审查供应商的报价，有可能影响工程质量或者不能诚信履约的，且供应商不能在评审合理的时间内证明其报价合理性的，磋商小组有权将其作为无效响应处理。</w:t>
            </w:r>
          </w:p>
        </w:tc>
      </w:tr>
      <w:tr w14:paraId="0DF2E98C">
        <w:tblPrEx>
          <w:tblCellMar>
            <w:top w:w="0" w:type="dxa"/>
            <w:left w:w="108" w:type="dxa"/>
            <w:bottom w:w="0" w:type="dxa"/>
            <w:right w:w="108" w:type="dxa"/>
          </w:tblCellMar>
        </w:tblPrEx>
        <w:trPr>
          <w:trHeight w:val="810" w:hRule="atLeast"/>
          <w:jc w:val="center"/>
        </w:trPr>
        <w:tc>
          <w:tcPr>
            <w:tcW w:w="22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891AAE">
            <w:pPr>
              <w:widowControl/>
              <w:jc w:val="center"/>
              <w:textAlignment w:val="center"/>
              <w:rPr>
                <w:rFonts w:hint="eastAsia" w:hAnsi="仿宋" w:cs="宋体"/>
                <w:color w:val="000000" w:themeColor="text1"/>
                <w:kern w:val="0"/>
                <w:sz w:val="24"/>
                <w:szCs w:val="24"/>
                <w:lang w:val="en-US" w:eastAsia="zh-CN" w:bidi="ar"/>
                <w14:textFill>
                  <w14:solidFill>
                    <w14:schemeClr w14:val="tx1"/>
                  </w14:solidFill>
                </w14:textFill>
              </w:rPr>
            </w:pPr>
            <w:r>
              <w:rPr>
                <w:rFonts w:hint="eastAsia" w:hAnsi="仿宋" w:cs="宋体"/>
                <w:color w:val="000000" w:themeColor="text1"/>
                <w:kern w:val="0"/>
                <w:sz w:val="24"/>
                <w:szCs w:val="24"/>
                <w:lang w:val="en-US" w:eastAsia="zh-CN" w:bidi="ar"/>
                <w14:textFill>
                  <w14:solidFill>
                    <w14:schemeClr w14:val="tx1"/>
                  </w14:solidFill>
                </w14:textFill>
              </w:rPr>
              <w:t>技术指标</w:t>
            </w:r>
          </w:p>
          <w:p w14:paraId="5E2B5857">
            <w:pPr>
              <w:widowControl/>
              <w:jc w:val="center"/>
              <w:textAlignment w:val="center"/>
              <w:rPr>
                <w:rFonts w:hint="eastAsia"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w:t>
            </w:r>
            <w:r>
              <w:rPr>
                <w:rFonts w:hint="eastAsia" w:hAnsi="仿宋" w:cs="宋体"/>
                <w:color w:val="000000" w:themeColor="text1"/>
                <w:kern w:val="0"/>
                <w:sz w:val="24"/>
                <w:szCs w:val="24"/>
                <w:lang w:val="en-US" w:eastAsia="zh-CN" w:bidi="ar"/>
                <w14:textFill>
                  <w14:solidFill>
                    <w14:schemeClr w14:val="tx1"/>
                  </w14:solidFill>
                </w14:textFill>
              </w:rPr>
              <w:t>20</w:t>
            </w:r>
            <w:r>
              <w:rPr>
                <w:rFonts w:hint="eastAsia" w:hAnsi="仿宋" w:cs="宋体"/>
                <w:color w:val="000000" w:themeColor="text1"/>
                <w:kern w:val="0"/>
                <w:sz w:val="24"/>
                <w:szCs w:val="24"/>
                <w:lang w:bidi="ar"/>
                <w14:textFill>
                  <w14:solidFill>
                    <w14:schemeClr w14:val="tx1"/>
                  </w14:solidFill>
                </w14:textFill>
              </w:rPr>
              <w:t>分）</w:t>
            </w:r>
          </w:p>
          <w:p w14:paraId="18BAB77B">
            <w:pPr>
              <w:widowControl/>
              <w:jc w:val="center"/>
              <w:textAlignment w:val="center"/>
              <w:rPr>
                <w:rFonts w:hint="eastAsia" w:hAnsi="仿宋" w:eastAsia="宋体" w:cs="宋体"/>
                <w:color w:val="000000" w:themeColor="text1"/>
                <w:kern w:val="0"/>
                <w:sz w:val="24"/>
                <w:szCs w:val="24"/>
                <w:lang w:val="en-US" w:eastAsia="zh-CN" w:bidi="ar"/>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A8B01A">
            <w:pPr>
              <w:widowControl/>
              <w:jc w:val="center"/>
              <w:textAlignment w:val="center"/>
              <w:rPr>
                <w:rFonts w:hint="default" w:hAnsi="仿宋" w:eastAsia="宋体" w:cs="宋体"/>
                <w:color w:val="000000" w:themeColor="text1"/>
                <w:sz w:val="24"/>
                <w:szCs w:val="24"/>
                <w:lang w:val="en-US" w:eastAsia="zh-CN"/>
                <w14:textFill>
                  <w14:solidFill>
                    <w14:schemeClr w14:val="tx1"/>
                  </w14:solidFill>
                </w14:textFill>
              </w:rPr>
            </w:pPr>
            <w:r>
              <w:rPr>
                <w:rFonts w:hint="eastAsia" w:hAnsi="仿宋" w:cs="宋体"/>
                <w:color w:val="000000" w:themeColor="text1"/>
                <w:sz w:val="24"/>
                <w:szCs w:val="24"/>
                <w:lang w:val="en-US" w:eastAsia="zh-CN"/>
                <w14:textFill>
                  <w14:solidFill>
                    <w14:schemeClr w14:val="tx1"/>
                  </w14:solidFill>
                </w14:textFill>
              </w:rPr>
              <w:t>20</w:t>
            </w:r>
          </w:p>
        </w:tc>
        <w:tc>
          <w:tcPr>
            <w:tcW w:w="7246" w:type="dxa"/>
            <w:tcBorders>
              <w:top w:val="single" w:color="auto" w:sz="4" w:space="0"/>
              <w:left w:val="single" w:color="auto" w:sz="4" w:space="0"/>
              <w:bottom w:val="single" w:color="auto" w:sz="4" w:space="0"/>
              <w:right w:val="single" w:color="auto" w:sz="4" w:space="0"/>
            </w:tcBorders>
            <w:shd w:val="clear" w:color="auto" w:fill="auto"/>
            <w:vAlign w:val="center"/>
          </w:tcPr>
          <w:p w14:paraId="37B35A66">
            <w:pPr>
              <w:rPr>
                <w:rFonts w:hint="eastAsia" w:ascii="宋体" w:hAnsi="宋体" w:eastAsia="宋体" w:cs="宋体"/>
                <w:color w:val="000000" w:themeColor="text1"/>
                <w:sz w:val="24"/>
                <w:szCs w:val="24"/>
                <w14:textFill>
                  <w14:solidFill>
                    <w14:schemeClr w14:val="tx1"/>
                  </w14:solidFill>
                </w14:textFill>
              </w:rPr>
            </w:pPr>
            <w:bookmarkStart w:id="10" w:name="_Toc24861"/>
            <w:r>
              <w:rPr>
                <w:rFonts w:hint="eastAsia" w:ascii="宋体" w:hAnsi="宋体" w:eastAsia="宋体" w:cs="宋体"/>
                <w:color w:val="000000" w:themeColor="text1"/>
                <w:sz w:val="24"/>
                <w:szCs w:val="24"/>
                <w14:textFill>
                  <w14:solidFill>
                    <w14:schemeClr w14:val="tx1"/>
                  </w14:solidFill>
                </w14:textFill>
              </w:rPr>
              <w:t>投标人所投产品完全符合或优于招标文件“第</w:t>
            </w:r>
            <w:r>
              <w:rPr>
                <w:rFonts w:hint="eastAsia" w:ascii="宋体" w:hAnsi="宋体" w:eastAsia="宋体" w:cs="宋体"/>
                <w:color w:val="000000" w:themeColor="text1"/>
                <w:sz w:val="24"/>
                <w:szCs w:val="24"/>
                <w:lang w:val="en-US" w:eastAsia="zh-CN"/>
                <w14:textFill>
                  <w14:solidFill>
                    <w14:schemeClr w14:val="tx1"/>
                  </w14:solidFill>
                </w14:textFill>
              </w:rPr>
              <w:t>二</w:t>
            </w:r>
            <w:r>
              <w:rPr>
                <w:rFonts w:hint="eastAsia" w:ascii="宋体" w:hAnsi="宋体" w:eastAsia="宋体" w:cs="宋体"/>
                <w:color w:val="000000" w:themeColor="text1"/>
                <w:sz w:val="24"/>
                <w:szCs w:val="24"/>
                <w14:textFill>
                  <w14:solidFill>
                    <w14:schemeClr w14:val="tx1"/>
                  </w14:solidFill>
                </w14:textFill>
              </w:rPr>
              <w:t>章项目需求第</w:t>
            </w:r>
            <w:r>
              <w:rPr>
                <w:rFonts w:hint="eastAsia" w:ascii="宋体" w:hAnsi="宋体" w:eastAsia="宋体" w:cs="宋体"/>
                <w:color w:val="000000" w:themeColor="text1"/>
                <w:sz w:val="24"/>
                <w:szCs w:val="24"/>
                <w:lang w:val="en-US" w:eastAsia="zh-CN"/>
                <w14:textFill>
                  <w14:solidFill>
                    <w14:schemeClr w14:val="tx1"/>
                  </w14:solidFill>
                </w14:textFill>
              </w:rPr>
              <w:t>三</w:t>
            </w:r>
            <w:r>
              <w:rPr>
                <w:rFonts w:hint="eastAsia" w:ascii="宋体" w:hAnsi="宋体" w:eastAsia="宋体" w:cs="宋体"/>
                <w:color w:val="000000" w:themeColor="text1"/>
                <w:sz w:val="24"/>
                <w:szCs w:val="24"/>
                <w14:textFill>
                  <w14:solidFill>
                    <w14:schemeClr w14:val="tx1"/>
                  </w14:solidFill>
                </w14:textFill>
              </w:rPr>
              <w:t>项</w:t>
            </w:r>
            <w:r>
              <w:rPr>
                <w:rFonts w:hint="eastAsia" w:ascii="宋体" w:hAnsi="宋体" w:eastAsia="宋体" w:cs="宋体"/>
                <w:color w:val="000000" w:themeColor="text1"/>
                <w:sz w:val="24"/>
                <w:szCs w:val="24"/>
                <w:lang w:val="en-US" w:eastAsia="zh-CN"/>
                <w14:textFill>
                  <w14:solidFill>
                    <w14:schemeClr w14:val="tx1"/>
                  </w14:solidFill>
                </w14:textFill>
              </w:rPr>
              <w:t>技术要求</w:t>
            </w:r>
            <w:r>
              <w:rPr>
                <w:rFonts w:hint="eastAsia" w:ascii="宋体" w:hAnsi="宋体" w:eastAsia="宋体" w:cs="宋体"/>
                <w:color w:val="000000" w:themeColor="text1"/>
                <w:sz w:val="24"/>
                <w:szCs w:val="24"/>
                <w14:textFill>
                  <w14:solidFill>
                    <w14:schemeClr w14:val="tx1"/>
                  </w14:solidFill>
                </w14:textFill>
              </w:rPr>
              <w:t>”的技术参数要求得</w:t>
            </w: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lang w:val="en-US" w:eastAsia="zh-CN"/>
                <w14:textFill>
                  <w14:solidFill>
                    <w14:schemeClr w14:val="tx1"/>
                  </w14:solidFill>
                </w14:textFill>
              </w:rPr>
              <w:t>0</w:t>
            </w:r>
            <w:r>
              <w:rPr>
                <w:rFonts w:hint="eastAsia" w:ascii="宋体" w:hAnsi="宋体" w:eastAsia="宋体" w:cs="宋体"/>
                <w:color w:val="000000" w:themeColor="text1"/>
                <w:sz w:val="24"/>
                <w:szCs w:val="24"/>
                <w14:textFill>
                  <w14:solidFill>
                    <w14:schemeClr w14:val="tx1"/>
                  </w14:solidFill>
                </w14:textFill>
              </w:rPr>
              <w:t>分。在此基础上标注“</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”符号的技术参数每有一项负偏离一项扣</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分；其他技术参数每有一项负偏离扣</w:t>
            </w:r>
            <w:r>
              <w:rPr>
                <w:rFonts w:hint="eastAsia" w:ascii="宋体" w:hAnsi="宋体" w:eastAsia="宋体" w:cs="宋体"/>
                <w:color w:val="000000" w:themeColor="text1"/>
                <w:sz w:val="24"/>
                <w:szCs w:val="24"/>
                <w:lang w:val="en-US" w:eastAsia="zh-CN"/>
                <w14:textFill>
                  <w14:solidFill>
                    <w14:schemeClr w14:val="tx1"/>
                  </w14:solidFill>
                </w14:textFill>
              </w:rPr>
              <w:t>0.5</w:t>
            </w:r>
            <w:r>
              <w:rPr>
                <w:rFonts w:hint="eastAsia" w:ascii="宋体" w:hAnsi="宋体" w:eastAsia="宋体" w:cs="宋体"/>
                <w:color w:val="000000" w:themeColor="text1"/>
                <w:sz w:val="24"/>
                <w:szCs w:val="24"/>
                <w14:textFill>
                  <w14:solidFill>
                    <w14:schemeClr w14:val="tx1"/>
                  </w14:solidFill>
                </w14:textFill>
              </w:rPr>
              <w:t>分，扣完为止。</w:t>
            </w:r>
          </w:p>
          <w:p w14:paraId="36F34E09">
            <w:pPr>
              <w:rPr>
                <w:rFonts w:hint="eastAsia" w:ascii="宋体" w:hAnsi="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注：以上技术参数需提供有效的第三方检测机构出具的带有“CMA标识的检测报告；所有参数需在同一份检测报告中</w:t>
            </w:r>
            <w:r>
              <w:rPr>
                <w:rFonts w:hint="eastAsia" w:ascii="宋体" w:hAnsi="宋体" w:eastAsia="宋体" w:cs="宋体"/>
                <w:b/>
                <w:bCs/>
                <w:color w:val="000000" w:themeColor="text1"/>
                <w:sz w:val="24"/>
                <w:szCs w:val="24"/>
                <w14:textFill>
                  <w14:solidFill>
                    <w14:schemeClr w14:val="tx1"/>
                  </w14:solidFill>
                </w14:textFill>
              </w:rPr>
              <w:t>，</w:t>
            </w:r>
            <w:r>
              <w:rPr>
                <w:rFonts w:hint="eastAsia" w:ascii="宋体" w:hAnsi="宋体" w:eastAsia="宋体" w:cs="宋体"/>
                <w:b/>
                <w:bCs/>
                <w:color w:val="000000" w:themeColor="text1"/>
                <w:sz w:val="24"/>
                <w:szCs w:val="24"/>
                <w:lang w:val="en-US" w:eastAsia="zh-CN"/>
                <w14:textFill>
                  <w14:solidFill>
                    <w14:schemeClr w14:val="tx1"/>
                  </w14:solidFill>
                </w14:textFill>
              </w:rPr>
              <w:t>不在一个报告书的不得分。</w:t>
            </w:r>
            <w:bookmarkEnd w:id="10"/>
          </w:p>
        </w:tc>
      </w:tr>
      <w:tr w14:paraId="2E22F890">
        <w:tblPrEx>
          <w:tblCellMar>
            <w:top w:w="0" w:type="dxa"/>
            <w:left w:w="108" w:type="dxa"/>
            <w:bottom w:w="0" w:type="dxa"/>
            <w:right w:w="108" w:type="dxa"/>
          </w:tblCellMar>
        </w:tblPrEx>
        <w:trPr>
          <w:trHeight w:val="425" w:hRule="atLeast"/>
          <w:jc w:val="center"/>
        </w:trPr>
        <w:tc>
          <w:tcPr>
            <w:tcW w:w="2204" w:type="dxa"/>
            <w:tcBorders>
              <w:top w:val="single" w:color="auto" w:sz="4" w:space="0"/>
              <w:left w:val="single" w:color="auto" w:sz="4" w:space="0"/>
              <w:right w:val="single" w:color="auto" w:sz="4" w:space="0"/>
            </w:tcBorders>
            <w:shd w:val="clear" w:color="auto" w:fill="auto"/>
            <w:noWrap/>
            <w:vAlign w:val="center"/>
          </w:tcPr>
          <w:p w14:paraId="24AA94CB">
            <w:pPr>
              <w:widowControl/>
              <w:jc w:val="center"/>
              <w:textAlignment w:val="center"/>
              <w:rPr>
                <w:rFonts w:hint="eastAsia"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样品</w:t>
            </w:r>
          </w:p>
          <w:p w14:paraId="35A8B3A5">
            <w:pPr>
              <w:widowControl/>
              <w:jc w:val="center"/>
              <w:textAlignment w:val="center"/>
              <w:rPr>
                <w:rFonts w:hint="eastAsia"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w:t>
            </w:r>
            <w:r>
              <w:rPr>
                <w:rFonts w:hint="eastAsia" w:hAnsi="仿宋" w:cs="宋体"/>
                <w:color w:val="000000" w:themeColor="text1"/>
                <w:kern w:val="0"/>
                <w:sz w:val="24"/>
                <w:szCs w:val="24"/>
                <w:lang w:val="en-US" w:eastAsia="zh-CN" w:bidi="ar"/>
                <w14:textFill>
                  <w14:solidFill>
                    <w14:schemeClr w14:val="tx1"/>
                  </w14:solidFill>
                </w14:textFill>
              </w:rPr>
              <w:t>20</w:t>
            </w:r>
            <w:r>
              <w:rPr>
                <w:rFonts w:hint="eastAsia" w:hAnsi="仿宋" w:cs="宋体"/>
                <w:color w:val="000000" w:themeColor="text1"/>
                <w:kern w:val="0"/>
                <w:sz w:val="24"/>
                <w:szCs w:val="24"/>
                <w:lang w:bidi="ar"/>
                <w14:textFill>
                  <w14:solidFill>
                    <w14:schemeClr w14:val="tx1"/>
                  </w14:solidFill>
                </w14:textFill>
              </w:rPr>
              <w:t>分）</w:t>
            </w:r>
          </w:p>
          <w:p w14:paraId="5F9435F3">
            <w:pPr>
              <w:widowControl/>
              <w:jc w:val="center"/>
              <w:textAlignment w:val="center"/>
              <w:rPr>
                <w:rFonts w:hAnsi="仿宋" w:cs="宋体"/>
                <w:color w:val="000000" w:themeColor="text1"/>
                <w:kern w:val="0"/>
                <w:sz w:val="24"/>
                <w:szCs w:val="24"/>
                <w:lang w:bidi="ar"/>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4CBE80">
            <w:pPr>
              <w:widowControl/>
              <w:jc w:val="center"/>
              <w:textAlignment w:val="center"/>
              <w:rPr>
                <w:rFonts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20</w:t>
            </w:r>
          </w:p>
        </w:tc>
        <w:tc>
          <w:tcPr>
            <w:tcW w:w="7246" w:type="dxa"/>
            <w:tcBorders>
              <w:top w:val="single" w:color="auto" w:sz="4" w:space="0"/>
              <w:left w:val="single" w:color="auto" w:sz="4" w:space="0"/>
              <w:bottom w:val="single" w:color="auto" w:sz="4" w:space="0"/>
              <w:right w:val="single" w:color="auto" w:sz="4" w:space="0"/>
            </w:tcBorders>
            <w:shd w:val="clear" w:color="auto" w:fill="auto"/>
            <w:vAlign w:val="center"/>
          </w:tcPr>
          <w:p w14:paraId="791A4ECF">
            <w:pPr>
              <w:widowControl/>
              <w:jc w:val="left"/>
              <w:textAlignment w:val="center"/>
              <w:rPr>
                <w:rFonts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供应商提供样品的整体功能结构</w:t>
            </w:r>
            <w:r>
              <w:rPr>
                <w:rFonts w:hint="eastAsia" w:hAnsi="仿宋" w:cs="宋体"/>
                <w:b/>
                <w:bCs/>
                <w:color w:val="000000" w:themeColor="text1"/>
                <w:kern w:val="0"/>
                <w:sz w:val="24"/>
                <w:szCs w:val="24"/>
                <w:lang w:bidi="ar"/>
                <w14:textFill>
                  <w14:solidFill>
                    <w14:schemeClr w14:val="tx1"/>
                  </w14:solidFill>
                </w14:textFill>
              </w:rPr>
              <w:t>优于</w:t>
            </w:r>
            <w:r>
              <w:rPr>
                <w:rFonts w:hint="eastAsia" w:hAnsi="仿宋" w:cs="宋体"/>
                <w:color w:val="000000" w:themeColor="text1"/>
                <w:kern w:val="0"/>
                <w:sz w:val="24"/>
                <w:szCs w:val="24"/>
                <w:lang w:bidi="ar"/>
                <w14:textFill>
                  <w14:solidFill>
                    <w14:schemeClr w14:val="tx1"/>
                  </w14:solidFill>
                </w14:textFill>
              </w:rPr>
              <w:t>采购项目需求，款式、色调、材料、内容相统一，舒适感和视觉效果好，得16-20分；</w:t>
            </w:r>
          </w:p>
          <w:p w14:paraId="79A0AB81">
            <w:pPr>
              <w:widowControl/>
              <w:jc w:val="left"/>
              <w:textAlignment w:val="center"/>
              <w:rPr>
                <w:rFonts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整体功能结构</w:t>
            </w:r>
            <w:r>
              <w:rPr>
                <w:rFonts w:hint="eastAsia" w:hAnsi="仿宋" w:cs="宋体"/>
                <w:b/>
                <w:bCs/>
                <w:color w:val="000000" w:themeColor="text1"/>
                <w:kern w:val="0"/>
                <w:sz w:val="24"/>
                <w:szCs w:val="24"/>
                <w:lang w:bidi="ar"/>
                <w14:textFill>
                  <w14:solidFill>
                    <w14:schemeClr w14:val="tx1"/>
                  </w14:solidFill>
                </w14:textFill>
              </w:rPr>
              <w:t>完全符合</w:t>
            </w:r>
            <w:r>
              <w:rPr>
                <w:rFonts w:hint="eastAsia" w:hAnsi="仿宋" w:cs="宋体"/>
                <w:color w:val="000000" w:themeColor="text1"/>
                <w:kern w:val="0"/>
                <w:sz w:val="24"/>
                <w:szCs w:val="24"/>
                <w:lang w:bidi="ar"/>
                <w14:textFill>
                  <w14:solidFill>
                    <w14:schemeClr w14:val="tx1"/>
                  </w14:solidFill>
                </w14:textFill>
              </w:rPr>
              <w:t>项目需求，款式、色调、材料、内容较统一，舒适感和视觉效果较好，得8-1</w:t>
            </w:r>
            <w:r>
              <w:rPr>
                <w:rFonts w:hint="eastAsia" w:hAnsi="仿宋" w:cs="宋体"/>
                <w:color w:val="000000" w:themeColor="text1"/>
                <w:kern w:val="0"/>
                <w:sz w:val="24"/>
                <w:szCs w:val="24"/>
                <w:lang w:val="en-US" w:eastAsia="zh-CN" w:bidi="ar"/>
                <w14:textFill>
                  <w14:solidFill>
                    <w14:schemeClr w14:val="tx1"/>
                  </w14:solidFill>
                </w14:textFill>
              </w:rPr>
              <w:t>5</w:t>
            </w:r>
            <w:r>
              <w:rPr>
                <w:rFonts w:hint="eastAsia" w:hAnsi="仿宋" w:cs="宋体"/>
                <w:color w:val="000000" w:themeColor="text1"/>
                <w:kern w:val="0"/>
                <w:sz w:val="24"/>
                <w:szCs w:val="24"/>
                <w:lang w:bidi="ar"/>
                <w14:textFill>
                  <w14:solidFill>
                    <w14:schemeClr w14:val="tx1"/>
                  </w14:solidFill>
                </w14:textFill>
              </w:rPr>
              <w:t>分；</w:t>
            </w:r>
          </w:p>
          <w:p w14:paraId="75F921DE">
            <w:pPr>
              <w:widowControl/>
              <w:jc w:val="left"/>
              <w:textAlignment w:val="center"/>
              <w:rPr>
                <w:rFonts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整体功能结构</w:t>
            </w:r>
            <w:r>
              <w:rPr>
                <w:rFonts w:hint="eastAsia" w:hAnsi="仿宋" w:cs="宋体"/>
                <w:b/>
                <w:bCs/>
                <w:color w:val="000000" w:themeColor="text1"/>
                <w:kern w:val="0"/>
                <w:sz w:val="24"/>
                <w:szCs w:val="24"/>
                <w:lang w:bidi="ar"/>
                <w14:textFill>
                  <w14:solidFill>
                    <w14:schemeClr w14:val="tx1"/>
                  </w14:solidFill>
                </w14:textFill>
              </w:rPr>
              <w:t>基本符合</w:t>
            </w:r>
            <w:r>
              <w:rPr>
                <w:rFonts w:hint="eastAsia" w:hAnsi="仿宋" w:cs="宋体"/>
                <w:color w:val="000000" w:themeColor="text1"/>
                <w:kern w:val="0"/>
                <w:sz w:val="24"/>
                <w:szCs w:val="24"/>
                <w:lang w:bidi="ar"/>
                <w14:textFill>
                  <w14:solidFill>
                    <w14:schemeClr w14:val="tx1"/>
                  </w14:solidFill>
                </w14:textFill>
              </w:rPr>
              <w:t>项目需求，款式、色调、材料、内容基本统一，舒适感和视觉效果一般，得1-</w:t>
            </w:r>
            <w:r>
              <w:rPr>
                <w:rFonts w:hint="eastAsia" w:hAnsi="仿宋" w:cs="宋体"/>
                <w:color w:val="000000" w:themeColor="text1"/>
                <w:kern w:val="0"/>
                <w:sz w:val="24"/>
                <w:szCs w:val="24"/>
                <w:lang w:val="en-US" w:eastAsia="zh-CN" w:bidi="ar"/>
                <w14:textFill>
                  <w14:solidFill>
                    <w14:schemeClr w14:val="tx1"/>
                  </w14:solidFill>
                </w14:textFill>
              </w:rPr>
              <w:t>7</w:t>
            </w:r>
            <w:r>
              <w:rPr>
                <w:rFonts w:hint="eastAsia" w:hAnsi="仿宋" w:cs="宋体"/>
                <w:color w:val="000000" w:themeColor="text1"/>
                <w:kern w:val="0"/>
                <w:sz w:val="24"/>
                <w:szCs w:val="24"/>
                <w:lang w:bidi="ar"/>
                <w14:textFill>
                  <w14:solidFill>
                    <w14:schemeClr w14:val="tx1"/>
                  </w14:solidFill>
                </w14:textFill>
              </w:rPr>
              <w:t>分；</w:t>
            </w:r>
          </w:p>
          <w:p w14:paraId="059A9814">
            <w:pPr>
              <w:widowControl/>
              <w:jc w:val="left"/>
              <w:textAlignment w:val="center"/>
              <w:rPr>
                <w:rFonts w:hint="eastAsia"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整体功能结构</w:t>
            </w:r>
            <w:r>
              <w:rPr>
                <w:rFonts w:hint="eastAsia" w:hAnsi="仿宋" w:cs="宋体"/>
                <w:b/>
                <w:bCs/>
                <w:color w:val="000000" w:themeColor="text1"/>
                <w:kern w:val="0"/>
                <w:sz w:val="24"/>
                <w:szCs w:val="24"/>
                <w:lang w:bidi="ar"/>
                <w14:textFill>
                  <w14:solidFill>
                    <w14:schemeClr w14:val="tx1"/>
                  </w14:solidFill>
                </w14:textFill>
              </w:rPr>
              <w:t>不符合</w:t>
            </w:r>
            <w:r>
              <w:rPr>
                <w:rFonts w:hint="eastAsia" w:hAnsi="仿宋" w:cs="宋体"/>
                <w:color w:val="000000" w:themeColor="text1"/>
                <w:kern w:val="0"/>
                <w:sz w:val="24"/>
                <w:szCs w:val="24"/>
                <w:lang w:bidi="ar"/>
                <w14:textFill>
                  <w14:solidFill>
                    <w14:schemeClr w14:val="tx1"/>
                  </w14:solidFill>
                </w14:textFill>
              </w:rPr>
              <w:t>项目需求，款式、色调、材料、内容不统一，舒适感和视觉效果不好，</w:t>
            </w:r>
            <w:r>
              <w:rPr>
                <w:rFonts w:hint="eastAsia" w:hAnsi="仿宋" w:cs="宋体"/>
                <w:b w:val="0"/>
                <w:bCs w:val="0"/>
                <w:color w:val="000000" w:themeColor="text1"/>
                <w:kern w:val="0"/>
                <w:sz w:val="24"/>
                <w:szCs w:val="24"/>
                <w:highlight w:val="none"/>
                <w:lang w:eastAsia="zh-CN" w:bidi="ar"/>
                <w14:textFill>
                  <w14:solidFill>
                    <w14:schemeClr w14:val="tx1"/>
                  </w14:solidFill>
                </w14:textFill>
              </w:rPr>
              <w:t>未提供样品，</w:t>
            </w:r>
            <w:r>
              <w:rPr>
                <w:rFonts w:hint="eastAsia" w:hAnsi="仿宋" w:cs="宋体"/>
                <w:color w:val="000000" w:themeColor="text1"/>
                <w:kern w:val="0"/>
                <w:sz w:val="24"/>
                <w:szCs w:val="24"/>
                <w:lang w:bidi="ar"/>
                <w14:textFill>
                  <w14:solidFill>
                    <w14:schemeClr w14:val="tx1"/>
                  </w14:solidFill>
                </w14:textFill>
              </w:rPr>
              <w:t>不得分；</w:t>
            </w:r>
          </w:p>
          <w:p w14:paraId="11B2DAEA">
            <w:pPr>
              <w:widowControl/>
              <w:jc w:val="left"/>
              <w:textAlignment w:val="center"/>
              <w:rPr>
                <w:rFonts w:hint="eastAsia" w:hAnsi="仿宋" w:eastAsia="宋体" w:cs="宋体"/>
                <w:color w:val="000000" w:themeColor="text1"/>
                <w:kern w:val="0"/>
                <w:sz w:val="24"/>
                <w:szCs w:val="24"/>
                <w:lang w:eastAsia="zh-CN" w:bidi="ar"/>
                <w14:textFill>
                  <w14:solidFill>
                    <w14:schemeClr w14:val="tx1"/>
                  </w14:solidFill>
                </w14:textFill>
              </w:rPr>
            </w:pPr>
            <w:r>
              <w:rPr>
                <w:rFonts w:hint="eastAsia" w:hAnsi="仿宋" w:cs="宋体"/>
                <w:b/>
                <w:bCs/>
                <w:color w:val="000000" w:themeColor="text1"/>
                <w:kern w:val="0"/>
                <w:sz w:val="24"/>
                <w:szCs w:val="24"/>
                <w:highlight w:val="none"/>
                <w:lang w:val="en-US" w:eastAsia="zh-CN" w:bidi="ar"/>
                <w14:textFill>
                  <w14:solidFill>
                    <w14:schemeClr w14:val="tx1"/>
                  </w14:solidFill>
                </w14:textFill>
              </w:rPr>
              <w:t>备注：</w:t>
            </w:r>
            <w:r>
              <w:rPr>
                <w:rFonts w:hint="eastAsia" w:hAnsi="仿宋" w:cs="宋体"/>
                <w:b/>
                <w:bCs/>
                <w:color w:val="000000" w:themeColor="text1"/>
                <w:kern w:val="0"/>
                <w:sz w:val="24"/>
                <w:szCs w:val="24"/>
                <w:highlight w:val="none"/>
                <w:lang w:bidi="ar"/>
                <w14:textFill>
                  <w14:solidFill>
                    <w14:schemeClr w14:val="tx1"/>
                  </w14:solidFill>
                </w14:textFill>
              </w:rPr>
              <w:t>投标时须提供</w:t>
            </w:r>
            <w:r>
              <w:rPr>
                <w:rFonts w:hint="eastAsia" w:hAnsi="仿宋" w:cs="宋体"/>
                <w:b/>
                <w:bCs/>
                <w:color w:val="000000" w:themeColor="text1"/>
                <w:kern w:val="0"/>
                <w:sz w:val="24"/>
                <w:szCs w:val="24"/>
                <w:highlight w:val="none"/>
                <w:lang w:val="en-US" w:eastAsia="zh-CN" w:bidi="ar"/>
                <w14:textFill>
                  <w14:solidFill>
                    <w14:schemeClr w14:val="tx1"/>
                  </w14:solidFill>
                </w14:textFill>
              </w:rPr>
              <w:t>窗帘、纱帘、隔帘、电动开合轨道、电机5</w:t>
            </w:r>
            <w:r>
              <w:rPr>
                <w:rFonts w:hint="eastAsia" w:hAnsi="仿宋" w:cs="宋体"/>
                <w:b/>
                <w:bCs/>
                <w:color w:val="000000" w:themeColor="text1"/>
                <w:kern w:val="0"/>
                <w:sz w:val="24"/>
                <w:szCs w:val="24"/>
                <w:highlight w:val="none"/>
                <w:lang w:bidi="ar"/>
                <w14:textFill>
                  <w14:solidFill>
                    <w14:schemeClr w14:val="tx1"/>
                  </w14:solidFill>
                </w14:textFill>
              </w:rPr>
              <w:t>种小样,样品应与</w:t>
            </w:r>
            <w:r>
              <w:rPr>
                <w:rFonts w:hint="eastAsia" w:hAnsi="仿宋" w:cs="宋体"/>
                <w:b/>
                <w:bCs/>
                <w:color w:val="000000" w:themeColor="text1"/>
                <w:kern w:val="0"/>
                <w:sz w:val="24"/>
                <w:szCs w:val="24"/>
                <w:highlight w:val="none"/>
                <w:lang w:val="en-US" w:eastAsia="zh-CN" w:bidi="ar"/>
                <w14:textFill>
                  <w14:solidFill>
                    <w14:schemeClr w14:val="tx1"/>
                  </w14:solidFill>
                </w14:textFill>
              </w:rPr>
              <w:t>技术参数</w:t>
            </w:r>
            <w:r>
              <w:rPr>
                <w:rFonts w:hint="eastAsia" w:hAnsi="仿宋" w:cs="宋体"/>
                <w:b/>
                <w:bCs/>
                <w:color w:val="000000" w:themeColor="text1"/>
                <w:kern w:val="0"/>
                <w:sz w:val="24"/>
                <w:szCs w:val="24"/>
                <w:highlight w:val="none"/>
                <w:lang w:bidi="ar"/>
                <w14:textFill>
                  <w14:solidFill>
                    <w14:schemeClr w14:val="tx1"/>
                  </w14:solidFill>
                </w14:textFill>
              </w:rPr>
              <w:t>一致。样品的费用由各投标人自行承担，中标单位的样品交由采购人封存</w:t>
            </w:r>
            <w:r>
              <w:rPr>
                <w:rFonts w:hint="eastAsia" w:hAnsi="仿宋" w:cs="宋体"/>
                <w:b/>
                <w:bCs/>
                <w:color w:val="000000" w:themeColor="text1"/>
                <w:kern w:val="0"/>
                <w:sz w:val="24"/>
                <w:szCs w:val="24"/>
                <w:highlight w:val="none"/>
                <w:lang w:eastAsia="zh-CN" w:bidi="ar"/>
                <w14:textFill>
                  <w14:solidFill>
                    <w14:schemeClr w14:val="tx1"/>
                  </w14:solidFill>
                </w14:textFill>
              </w:rPr>
              <w:t>。</w:t>
            </w:r>
          </w:p>
        </w:tc>
      </w:tr>
      <w:tr w14:paraId="42246391">
        <w:tblPrEx>
          <w:tblCellMar>
            <w:top w:w="0" w:type="dxa"/>
            <w:left w:w="108" w:type="dxa"/>
            <w:bottom w:w="0" w:type="dxa"/>
            <w:right w:w="108" w:type="dxa"/>
          </w:tblCellMar>
        </w:tblPrEx>
        <w:trPr>
          <w:trHeight w:val="540" w:hRule="atLeast"/>
          <w:jc w:val="center"/>
        </w:trPr>
        <w:tc>
          <w:tcPr>
            <w:tcW w:w="22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F49000">
            <w:pPr>
              <w:widowControl/>
              <w:jc w:val="center"/>
              <w:textAlignment w:val="center"/>
              <w:rPr>
                <w:rFonts w:hint="eastAsia" w:hAnsi="仿宋" w:eastAsia="宋体" w:cs="宋体"/>
                <w:color w:val="000000" w:themeColor="text1"/>
                <w:kern w:val="0"/>
                <w:sz w:val="24"/>
                <w:szCs w:val="24"/>
                <w:lang w:bidi="ar"/>
                <w14:textFill>
                  <w14:solidFill>
                    <w14:schemeClr w14:val="tx1"/>
                  </w14:solidFill>
                </w14:textFill>
              </w:rPr>
            </w:pPr>
            <w:r>
              <w:rPr>
                <w:rFonts w:hint="eastAsia" w:hAnsi="仿宋" w:eastAsia="宋体" w:cs="宋体"/>
                <w:color w:val="000000" w:themeColor="text1"/>
                <w:kern w:val="0"/>
                <w:sz w:val="24"/>
                <w:szCs w:val="24"/>
                <w:lang w:bidi="ar"/>
                <w14:textFill>
                  <w14:solidFill>
                    <w14:schemeClr w14:val="tx1"/>
                  </w14:solidFill>
                </w14:textFill>
              </w:rPr>
              <w:t>施工进度计划及工期保证措施</w:t>
            </w:r>
          </w:p>
          <w:p w14:paraId="7651B9B9">
            <w:pPr>
              <w:widowControl/>
              <w:jc w:val="center"/>
              <w:textAlignment w:val="center"/>
              <w:rPr>
                <w:rFonts w:hint="eastAsia" w:ascii="Calibri" w:hAnsi="Calibri" w:eastAsia="宋体" w:cs="Times New Roman"/>
                <w:b/>
                <w:kern w:val="2"/>
                <w:sz w:val="21"/>
                <w:szCs w:val="21"/>
                <w:lang w:val="en-US" w:eastAsia="zh-CN" w:bidi="ar-SA"/>
              </w:rPr>
            </w:pPr>
            <w:r>
              <w:rPr>
                <w:rFonts w:hint="eastAsia" w:hAnsi="仿宋" w:cs="宋体"/>
                <w:color w:val="000000" w:themeColor="text1"/>
                <w:kern w:val="0"/>
                <w:sz w:val="24"/>
                <w:szCs w:val="24"/>
                <w:lang w:bidi="ar"/>
                <w14:textFill>
                  <w14:solidFill>
                    <w14:schemeClr w14:val="tx1"/>
                  </w14:solidFill>
                </w14:textFill>
              </w:rPr>
              <w:t>（</w:t>
            </w:r>
            <w:r>
              <w:rPr>
                <w:rFonts w:hint="eastAsia" w:hAnsi="仿宋" w:cs="宋体"/>
                <w:color w:val="000000" w:themeColor="text1"/>
                <w:kern w:val="0"/>
                <w:sz w:val="24"/>
                <w:szCs w:val="24"/>
                <w:lang w:val="en-US" w:eastAsia="zh-CN" w:bidi="ar"/>
                <w14:textFill>
                  <w14:solidFill>
                    <w14:schemeClr w14:val="tx1"/>
                  </w14:solidFill>
                </w14:textFill>
              </w:rPr>
              <w:t>10</w:t>
            </w:r>
            <w:r>
              <w:rPr>
                <w:rFonts w:hint="eastAsia" w:hAnsi="仿宋" w:cs="宋体"/>
                <w:color w:val="000000" w:themeColor="text1"/>
                <w:kern w:val="0"/>
                <w:sz w:val="24"/>
                <w:szCs w:val="24"/>
                <w:lang w:bidi="ar"/>
                <w14:textFill>
                  <w14:solidFill>
                    <w14:schemeClr w14:val="tx1"/>
                  </w14:solidFill>
                </w14:textFill>
              </w:rPr>
              <w:t>分）</w:t>
            </w:r>
          </w:p>
        </w:tc>
        <w:tc>
          <w:tcPr>
            <w:tcW w:w="9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EEC187">
            <w:pPr>
              <w:adjustRightInd w:val="0"/>
              <w:snapToGrid w:val="0"/>
              <w:spacing w:line="360" w:lineRule="auto"/>
              <w:jc w:val="center"/>
              <w:rPr>
                <w:rFonts w:hint="eastAsia" w:ascii="Calibri" w:hAnsi="Calibri" w:eastAsia="宋体" w:cs="Times New Roman"/>
                <w:b/>
                <w:kern w:val="2"/>
                <w:sz w:val="21"/>
                <w:szCs w:val="21"/>
                <w:lang w:val="en-US" w:eastAsia="zh-CN" w:bidi="ar-SA"/>
              </w:rPr>
            </w:pPr>
            <w:r>
              <w:rPr>
                <w:rFonts w:hint="eastAsia"/>
                <w:lang w:val="en-US" w:eastAsia="zh-CN"/>
              </w:rPr>
              <w:t>10</w:t>
            </w:r>
          </w:p>
        </w:tc>
        <w:tc>
          <w:tcPr>
            <w:tcW w:w="7246" w:type="dxa"/>
            <w:tcBorders>
              <w:top w:val="single" w:color="auto" w:sz="4" w:space="0"/>
              <w:left w:val="single" w:color="auto" w:sz="4" w:space="0"/>
              <w:bottom w:val="single" w:color="auto" w:sz="4" w:space="0"/>
              <w:right w:val="single" w:color="auto" w:sz="4" w:space="0"/>
            </w:tcBorders>
            <w:shd w:val="clear" w:color="auto" w:fill="auto"/>
            <w:vAlign w:val="center"/>
          </w:tcPr>
          <w:p w14:paraId="7F73F77D">
            <w:pPr>
              <w:adjustRightInd w:val="0"/>
              <w:snapToGrid w:val="0"/>
              <w:spacing w:line="360" w:lineRule="auto"/>
              <w:jc w:val="left"/>
              <w:rPr>
                <w:rFonts w:hint="eastAsia" w:ascii="Calibri" w:hAnsi="Calibri" w:eastAsia="宋体" w:cs="Times New Roman"/>
                <w:kern w:val="2"/>
                <w:sz w:val="21"/>
                <w:szCs w:val="21"/>
                <w:lang w:val="en-US" w:eastAsia="zh-CN" w:bidi="ar-SA"/>
              </w:rPr>
            </w:pPr>
            <w:r>
              <w:rPr>
                <w:rFonts w:hint="eastAsia" w:ascii="宋体" w:hAnsi="宋体" w:eastAsia="宋体" w:cs="宋体"/>
                <w:color w:val="000000" w:themeColor="text1"/>
                <w:sz w:val="24"/>
                <w:szCs w:val="24"/>
                <w14:textFill>
                  <w14:solidFill>
                    <w14:schemeClr w14:val="tx1"/>
                  </w14:solidFill>
                </w14:textFill>
              </w:rPr>
              <w:t>施工进度计划及工期保证措施科学、严密、合理，描述详细且具有针对性的得</w:t>
            </w:r>
            <w:r>
              <w:rPr>
                <w:rFonts w:hint="eastAsia" w:ascii="宋体" w:hAnsi="宋体" w:eastAsia="宋体" w:cs="宋体"/>
                <w:color w:val="000000" w:themeColor="text1"/>
                <w:sz w:val="24"/>
                <w:szCs w:val="24"/>
                <w:lang w:val="en-US" w:eastAsia="zh-CN"/>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分；较合理、严密、描述较为详细，不存在实施难度的得</w:t>
            </w:r>
            <w:r>
              <w:rPr>
                <w:rFonts w:hint="eastAsia" w:ascii="宋体" w:hAnsi="宋体" w:eastAsia="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14:textFill>
                  <w14:solidFill>
                    <w14:schemeClr w14:val="tx1"/>
                  </w14:solidFill>
                </w14:textFill>
              </w:rPr>
              <w:t>分；基本合理、描述良、存在可操作性得</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分；其余不得分。</w:t>
            </w:r>
          </w:p>
        </w:tc>
      </w:tr>
      <w:tr w14:paraId="73B931AF">
        <w:tblPrEx>
          <w:tblCellMar>
            <w:top w:w="0" w:type="dxa"/>
            <w:left w:w="108" w:type="dxa"/>
            <w:bottom w:w="0" w:type="dxa"/>
            <w:right w:w="108" w:type="dxa"/>
          </w:tblCellMar>
        </w:tblPrEx>
        <w:trPr>
          <w:trHeight w:val="540" w:hRule="atLeast"/>
          <w:jc w:val="center"/>
        </w:trPr>
        <w:tc>
          <w:tcPr>
            <w:tcW w:w="22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2536AD">
            <w:pPr>
              <w:widowControl/>
              <w:jc w:val="center"/>
              <w:textAlignment w:val="center"/>
              <w:rPr>
                <w:rFonts w:hint="eastAsia"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售后服务</w:t>
            </w:r>
          </w:p>
          <w:p w14:paraId="23EDF2E5">
            <w:pPr>
              <w:widowControl/>
              <w:jc w:val="center"/>
              <w:textAlignment w:val="center"/>
              <w:rPr>
                <w:rFonts w:hint="eastAsia"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w:t>
            </w:r>
            <w:r>
              <w:rPr>
                <w:rFonts w:hint="eastAsia" w:hAnsi="仿宋" w:cs="宋体"/>
                <w:color w:val="000000" w:themeColor="text1"/>
                <w:kern w:val="0"/>
                <w:sz w:val="24"/>
                <w:szCs w:val="24"/>
                <w:lang w:val="en-US" w:eastAsia="zh-CN" w:bidi="ar"/>
                <w14:textFill>
                  <w14:solidFill>
                    <w14:schemeClr w14:val="tx1"/>
                  </w14:solidFill>
                </w14:textFill>
              </w:rPr>
              <w:t>10</w:t>
            </w:r>
            <w:r>
              <w:rPr>
                <w:rFonts w:hint="eastAsia" w:hAnsi="仿宋" w:cs="宋体"/>
                <w:color w:val="000000" w:themeColor="text1"/>
                <w:kern w:val="0"/>
                <w:sz w:val="24"/>
                <w:szCs w:val="24"/>
                <w:lang w:bidi="ar"/>
                <w14:textFill>
                  <w14:solidFill>
                    <w14:schemeClr w14:val="tx1"/>
                  </w14:solidFill>
                </w14:textFill>
              </w:rPr>
              <w:t>分）</w:t>
            </w:r>
          </w:p>
          <w:p w14:paraId="69846F02">
            <w:pPr>
              <w:widowControl/>
              <w:jc w:val="center"/>
              <w:textAlignment w:val="center"/>
              <w:rPr>
                <w:rFonts w:hint="eastAsia" w:hAnsi="仿宋" w:cs="宋体"/>
                <w:color w:val="000000" w:themeColor="text1"/>
                <w:kern w:val="0"/>
                <w:sz w:val="24"/>
                <w:szCs w:val="24"/>
                <w:lang w:bidi="ar"/>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ED6BD5">
            <w:pPr>
              <w:widowControl/>
              <w:jc w:val="center"/>
              <w:textAlignment w:val="center"/>
              <w:rPr>
                <w:rFonts w:hAnsi="仿宋" w:cs="宋体"/>
                <w:color w:val="000000" w:themeColor="text1"/>
                <w:sz w:val="24"/>
                <w:szCs w:val="24"/>
                <w14:textFill>
                  <w14:solidFill>
                    <w14:schemeClr w14:val="tx1"/>
                  </w14:solidFill>
                </w14:textFill>
              </w:rPr>
            </w:pPr>
            <w:r>
              <w:rPr>
                <w:rFonts w:hint="eastAsia" w:hAnsi="仿宋" w:cs="宋体"/>
                <w:color w:val="000000" w:themeColor="text1"/>
                <w:sz w:val="24"/>
                <w:szCs w:val="24"/>
                <w14:textFill>
                  <w14:solidFill>
                    <w14:schemeClr w14:val="tx1"/>
                  </w14:solidFill>
                </w14:textFill>
              </w:rPr>
              <w:t>10</w:t>
            </w:r>
          </w:p>
        </w:tc>
        <w:tc>
          <w:tcPr>
            <w:tcW w:w="7246" w:type="dxa"/>
            <w:tcBorders>
              <w:top w:val="single" w:color="auto" w:sz="4" w:space="0"/>
              <w:left w:val="single" w:color="auto" w:sz="4" w:space="0"/>
              <w:bottom w:val="single" w:color="auto" w:sz="4" w:space="0"/>
              <w:right w:val="single" w:color="auto" w:sz="4" w:space="0"/>
            </w:tcBorders>
            <w:shd w:val="clear" w:color="auto" w:fill="auto"/>
            <w:vAlign w:val="center"/>
          </w:tcPr>
          <w:p w14:paraId="3A37EC27">
            <w:pPr>
              <w:widowControl/>
              <w:jc w:val="left"/>
              <w:textAlignment w:val="center"/>
              <w:rPr>
                <w:rFonts w:hint="eastAsia"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有电动窗帘纱帘、隔帘、卷帘</w:t>
            </w:r>
            <w:r>
              <w:rPr>
                <w:rFonts w:hint="eastAsia" w:hAnsi="仿宋" w:cs="宋体"/>
                <w:b/>
                <w:bCs/>
                <w:color w:val="000000" w:themeColor="text1"/>
                <w:kern w:val="0"/>
                <w:sz w:val="24"/>
                <w:szCs w:val="24"/>
                <w:lang w:bidi="ar"/>
                <w14:textFill>
                  <w14:solidFill>
                    <w14:schemeClr w14:val="tx1"/>
                  </w14:solidFill>
                </w14:textFill>
              </w:rPr>
              <w:t>制作和安装的流程</w:t>
            </w:r>
            <w:r>
              <w:rPr>
                <w:rFonts w:hint="eastAsia" w:hAnsi="仿宋" w:cs="宋体"/>
                <w:color w:val="000000" w:themeColor="text1"/>
                <w:kern w:val="0"/>
                <w:sz w:val="24"/>
                <w:szCs w:val="24"/>
                <w:lang w:bidi="ar"/>
                <w14:textFill>
                  <w14:solidFill>
                    <w14:schemeClr w14:val="tx1"/>
                  </w14:solidFill>
                </w14:textFill>
              </w:rPr>
              <w:t>、</w:t>
            </w:r>
            <w:r>
              <w:rPr>
                <w:rFonts w:hint="eastAsia" w:hAnsi="仿宋" w:cs="宋体"/>
                <w:b/>
                <w:bCs/>
                <w:color w:val="000000" w:themeColor="text1"/>
                <w:kern w:val="0"/>
                <w:sz w:val="24"/>
                <w:szCs w:val="24"/>
                <w:lang w:bidi="ar"/>
                <w14:textFill>
                  <w14:solidFill>
                    <w14:schemeClr w14:val="tx1"/>
                  </w14:solidFill>
                </w14:textFill>
              </w:rPr>
              <w:t>服务体系和质量保障措施</w:t>
            </w:r>
            <w:r>
              <w:rPr>
                <w:rFonts w:hint="eastAsia" w:hAnsi="仿宋" w:cs="宋体"/>
                <w:color w:val="000000" w:themeColor="text1"/>
                <w:kern w:val="0"/>
                <w:sz w:val="24"/>
                <w:szCs w:val="24"/>
                <w:lang w:bidi="ar"/>
                <w14:textFill>
                  <w14:solidFill>
                    <w14:schemeClr w14:val="tx1"/>
                  </w14:solidFill>
                </w14:textFill>
              </w:rPr>
              <w:t>、</w:t>
            </w:r>
            <w:r>
              <w:rPr>
                <w:rFonts w:hint="eastAsia" w:hAnsi="仿宋" w:cs="宋体"/>
                <w:b/>
                <w:bCs/>
                <w:color w:val="000000" w:themeColor="text1"/>
                <w:kern w:val="0"/>
                <w:sz w:val="24"/>
                <w:szCs w:val="24"/>
                <w:lang w:bidi="ar"/>
                <w14:textFill>
                  <w14:solidFill>
                    <w14:schemeClr w14:val="tx1"/>
                  </w14:solidFill>
                </w14:textFill>
              </w:rPr>
              <w:t>困点难点的解决方案</w:t>
            </w:r>
            <w:r>
              <w:rPr>
                <w:rFonts w:hint="eastAsia" w:hAnsi="仿宋" w:cs="宋体"/>
                <w:color w:val="000000" w:themeColor="text1"/>
                <w:kern w:val="0"/>
                <w:sz w:val="24"/>
                <w:szCs w:val="24"/>
                <w:lang w:bidi="ar"/>
                <w14:textFill>
                  <w14:solidFill>
                    <w14:schemeClr w14:val="tx1"/>
                  </w14:solidFill>
                </w14:textFill>
              </w:rPr>
              <w:t>、</w:t>
            </w:r>
            <w:r>
              <w:rPr>
                <w:rFonts w:hint="eastAsia" w:hAnsi="仿宋" w:cs="宋体"/>
                <w:b/>
                <w:bCs/>
                <w:color w:val="000000" w:themeColor="text1"/>
                <w:kern w:val="0"/>
                <w:sz w:val="24"/>
                <w:szCs w:val="24"/>
                <w:lang w:bidi="ar"/>
                <w14:textFill>
                  <w14:solidFill>
                    <w14:schemeClr w14:val="tx1"/>
                  </w14:solidFill>
                </w14:textFill>
              </w:rPr>
              <w:t>售后服务保障方案</w:t>
            </w:r>
            <w:r>
              <w:rPr>
                <w:rFonts w:hint="eastAsia" w:hAnsi="仿宋" w:cs="宋体"/>
                <w:color w:val="000000" w:themeColor="text1"/>
                <w:kern w:val="0"/>
                <w:sz w:val="24"/>
                <w:szCs w:val="24"/>
                <w:lang w:bidi="ar"/>
                <w14:textFill>
                  <w14:solidFill>
                    <w14:schemeClr w14:val="tx1"/>
                  </w14:solidFill>
                </w14:textFill>
              </w:rPr>
              <w:t>、</w:t>
            </w:r>
            <w:r>
              <w:rPr>
                <w:rFonts w:hint="eastAsia" w:hAnsi="仿宋" w:cs="宋体"/>
                <w:b/>
                <w:bCs/>
                <w:color w:val="000000" w:themeColor="text1"/>
                <w:kern w:val="0"/>
                <w:sz w:val="24"/>
                <w:szCs w:val="24"/>
                <w:lang w:bidi="ar"/>
                <w14:textFill>
                  <w14:solidFill>
                    <w14:schemeClr w14:val="tx1"/>
                  </w14:solidFill>
                </w14:textFill>
              </w:rPr>
              <w:t>响应时间</w:t>
            </w:r>
            <w:r>
              <w:rPr>
                <w:rFonts w:hint="eastAsia" w:hAnsi="仿宋" w:cs="宋体"/>
                <w:color w:val="000000" w:themeColor="text1"/>
                <w:kern w:val="0"/>
                <w:sz w:val="24"/>
                <w:szCs w:val="24"/>
                <w:lang w:bidi="ar"/>
                <w14:textFill>
                  <w14:solidFill>
                    <w14:schemeClr w14:val="tx1"/>
                  </w14:solidFill>
                </w14:textFill>
              </w:rPr>
              <w:t>以及</w:t>
            </w:r>
            <w:r>
              <w:rPr>
                <w:rFonts w:hint="eastAsia" w:hAnsi="仿宋" w:cs="宋体"/>
                <w:b/>
                <w:bCs/>
                <w:color w:val="000000" w:themeColor="text1"/>
                <w:kern w:val="0"/>
                <w:sz w:val="24"/>
                <w:szCs w:val="24"/>
                <w:lang w:bidi="ar"/>
                <w14:textFill>
                  <w14:solidFill>
                    <w14:schemeClr w14:val="tx1"/>
                  </w14:solidFill>
                </w14:textFill>
              </w:rPr>
              <w:t>对后续服务方面的优惠承诺</w:t>
            </w:r>
            <w:r>
              <w:rPr>
                <w:rFonts w:hint="eastAsia" w:hAnsi="仿宋" w:cs="宋体"/>
                <w:color w:val="000000" w:themeColor="text1"/>
                <w:kern w:val="0"/>
                <w:sz w:val="24"/>
                <w:szCs w:val="24"/>
                <w:lang w:bidi="ar"/>
                <w14:textFill>
                  <w14:solidFill>
                    <w14:schemeClr w14:val="tx1"/>
                  </w14:solidFill>
                </w14:textFill>
              </w:rPr>
              <w:t>等服务方案，有一项服务方案内容且内容完整、详细、合理规范、可操作性强得</w:t>
            </w:r>
            <w:r>
              <w:rPr>
                <w:rFonts w:hint="eastAsia" w:hAnsi="仿宋" w:cs="宋体"/>
                <w:color w:val="000000" w:themeColor="text1"/>
                <w:kern w:val="0"/>
                <w:sz w:val="24"/>
                <w:szCs w:val="24"/>
                <w:lang w:val="en-US" w:eastAsia="zh-CN" w:bidi="ar"/>
                <w14:textFill>
                  <w14:solidFill>
                    <w14:schemeClr w14:val="tx1"/>
                  </w14:solidFill>
                </w14:textFill>
              </w:rPr>
              <w:t>2</w:t>
            </w:r>
            <w:r>
              <w:rPr>
                <w:rFonts w:hint="eastAsia" w:hAnsi="仿宋" w:cs="宋体"/>
                <w:color w:val="000000" w:themeColor="text1"/>
                <w:kern w:val="0"/>
                <w:sz w:val="24"/>
                <w:szCs w:val="24"/>
                <w:lang w:bidi="ar"/>
                <w14:textFill>
                  <w14:solidFill>
                    <w14:schemeClr w14:val="tx1"/>
                  </w14:solidFill>
                </w14:textFill>
              </w:rPr>
              <w:t>分，有一项服务方案且较完整、较详细、较合理规范、有一定的针对性、可操作性得</w:t>
            </w:r>
            <w:r>
              <w:rPr>
                <w:rFonts w:hint="eastAsia" w:hAnsi="仿宋" w:cs="宋体"/>
                <w:color w:val="000000" w:themeColor="text1"/>
                <w:kern w:val="0"/>
                <w:sz w:val="24"/>
                <w:szCs w:val="24"/>
                <w:lang w:val="en-US" w:eastAsia="zh-CN" w:bidi="ar"/>
                <w14:textFill>
                  <w14:solidFill>
                    <w14:schemeClr w14:val="tx1"/>
                  </w14:solidFill>
                </w14:textFill>
              </w:rPr>
              <w:t>1</w:t>
            </w:r>
            <w:r>
              <w:rPr>
                <w:rFonts w:hint="eastAsia" w:hAnsi="仿宋" w:cs="宋体"/>
                <w:color w:val="000000" w:themeColor="text1"/>
                <w:kern w:val="0"/>
                <w:sz w:val="24"/>
                <w:szCs w:val="24"/>
                <w:lang w:bidi="ar"/>
                <w14:textFill>
                  <w14:solidFill>
                    <w14:schemeClr w14:val="tx1"/>
                  </w14:solidFill>
                </w14:textFill>
              </w:rPr>
              <w:t>分；有一项服务方案且完整性一般、合理性和规范性一般、针对性和可操作性不强、差或未提供服务方案不得分，最多得</w:t>
            </w:r>
            <w:r>
              <w:rPr>
                <w:rFonts w:hint="eastAsia" w:hAnsi="仿宋" w:cs="宋体"/>
                <w:color w:val="000000" w:themeColor="text1"/>
                <w:kern w:val="0"/>
                <w:sz w:val="24"/>
                <w:szCs w:val="24"/>
                <w:lang w:val="en-US" w:eastAsia="zh-CN" w:bidi="ar"/>
                <w14:textFill>
                  <w14:solidFill>
                    <w14:schemeClr w14:val="tx1"/>
                  </w14:solidFill>
                </w14:textFill>
              </w:rPr>
              <w:t>10</w:t>
            </w:r>
            <w:r>
              <w:rPr>
                <w:rFonts w:hint="eastAsia" w:hAnsi="仿宋" w:cs="宋体"/>
                <w:color w:val="000000" w:themeColor="text1"/>
                <w:kern w:val="0"/>
                <w:sz w:val="24"/>
                <w:szCs w:val="24"/>
                <w:lang w:bidi="ar"/>
                <w14:textFill>
                  <w14:solidFill>
                    <w14:schemeClr w14:val="tx1"/>
                  </w14:solidFill>
                </w14:textFill>
              </w:rPr>
              <w:t>分。</w:t>
            </w:r>
          </w:p>
        </w:tc>
      </w:tr>
      <w:tr w14:paraId="36AB7F7D">
        <w:tblPrEx>
          <w:tblCellMar>
            <w:top w:w="0" w:type="dxa"/>
            <w:left w:w="108" w:type="dxa"/>
            <w:bottom w:w="0" w:type="dxa"/>
            <w:right w:w="108" w:type="dxa"/>
          </w:tblCellMar>
        </w:tblPrEx>
        <w:trPr>
          <w:trHeight w:val="540" w:hRule="atLeast"/>
          <w:jc w:val="center"/>
        </w:trPr>
        <w:tc>
          <w:tcPr>
            <w:tcW w:w="22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410268">
            <w:pPr>
              <w:widowControl/>
              <w:jc w:val="center"/>
              <w:textAlignment w:val="center"/>
              <w:rPr>
                <w:rFonts w:hint="eastAsia" w:hAnsi="仿宋" w:eastAsia="宋体" w:cs="宋体"/>
                <w:color w:val="000000" w:themeColor="text1"/>
                <w:kern w:val="0"/>
                <w:sz w:val="24"/>
                <w:szCs w:val="24"/>
                <w:lang w:bidi="ar"/>
                <w14:textFill>
                  <w14:solidFill>
                    <w14:schemeClr w14:val="tx1"/>
                  </w14:solidFill>
                </w14:textFill>
              </w:rPr>
            </w:pPr>
            <w:r>
              <w:rPr>
                <w:rFonts w:hint="eastAsia" w:hAnsi="仿宋" w:eastAsia="宋体" w:cs="宋体"/>
                <w:color w:val="000000" w:themeColor="text1"/>
                <w:kern w:val="0"/>
                <w:sz w:val="24"/>
                <w:szCs w:val="24"/>
                <w:lang w:bidi="ar"/>
                <w14:textFill>
                  <w14:solidFill>
                    <w14:schemeClr w14:val="tx1"/>
                  </w14:solidFill>
                </w14:textFill>
              </w:rPr>
              <w:t>公司业绩</w:t>
            </w:r>
          </w:p>
          <w:p w14:paraId="5782D4BB">
            <w:pPr>
              <w:widowControl/>
              <w:jc w:val="center"/>
              <w:textAlignment w:val="center"/>
              <w:rPr>
                <w:rFonts w:hint="eastAsia" w:eastAsia="宋体"/>
                <w:lang w:eastAsia="zh-CN"/>
              </w:rPr>
            </w:pPr>
            <w:r>
              <w:rPr>
                <w:rFonts w:hint="eastAsia" w:hAnsi="仿宋" w:eastAsia="宋体" w:cs="宋体"/>
                <w:color w:val="000000" w:themeColor="text1"/>
                <w:kern w:val="0"/>
                <w:sz w:val="24"/>
                <w:szCs w:val="24"/>
                <w:lang w:eastAsia="zh-CN" w:bidi="ar"/>
                <w14:textFill>
                  <w14:solidFill>
                    <w14:schemeClr w14:val="tx1"/>
                  </w14:solidFill>
                </w14:textFill>
              </w:rPr>
              <w:t>（</w:t>
            </w:r>
            <w:r>
              <w:rPr>
                <w:rFonts w:hint="eastAsia" w:hAnsi="仿宋" w:eastAsia="宋体" w:cs="宋体"/>
                <w:color w:val="000000" w:themeColor="text1"/>
                <w:kern w:val="0"/>
                <w:sz w:val="24"/>
                <w:szCs w:val="24"/>
                <w:lang w:val="en-US" w:eastAsia="zh-CN" w:bidi="ar"/>
                <w14:textFill>
                  <w14:solidFill>
                    <w14:schemeClr w14:val="tx1"/>
                  </w14:solidFill>
                </w14:textFill>
              </w:rPr>
              <w:t>10分</w:t>
            </w:r>
            <w:r>
              <w:rPr>
                <w:rFonts w:hint="eastAsia" w:hAnsi="仿宋" w:eastAsia="宋体" w:cs="宋体"/>
                <w:color w:val="000000" w:themeColor="text1"/>
                <w:kern w:val="0"/>
                <w:sz w:val="24"/>
                <w:szCs w:val="24"/>
                <w:lang w:eastAsia="zh-CN" w:bidi="ar"/>
                <w14:textFill>
                  <w14:solidFill>
                    <w14:schemeClr w14:val="tx1"/>
                  </w14:solidFill>
                </w14:textFill>
              </w:rPr>
              <w:t>）</w:t>
            </w:r>
          </w:p>
        </w:tc>
        <w:tc>
          <w:tcPr>
            <w:tcW w:w="9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0C3015">
            <w:pPr>
              <w:widowControl/>
              <w:jc w:val="center"/>
              <w:textAlignment w:val="center"/>
              <w:rPr>
                <w:rFonts w:hint="default" w:hAnsi="仿宋" w:eastAsia="宋体" w:cs="宋体"/>
                <w:color w:val="000000" w:themeColor="text1"/>
                <w:sz w:val="24"/>
                <w:szCs w:val="24"/>
                <w:lang w:val="en-US" w:eastAsia="zh-CN"/>
                <w14:textFill>
                  <w14:solidFill>
                    <w14:schemeClr w14:val="tx1"/>
                  </w14:solidFill>
                </w14:textFill>
              </w:rPr>
            </w:pPr>
            <w:r>
              <w:rPr>
                <w:rFonts w:hint="eastAsia" w:hAnsi="仿宋" w:cs="宋体"/>
                <w:color w:val="000000" w:themeColor="text1"/>
                <w:sz w:val="24"/>
                <w:szCs w:val="24"/>
                <w:lang w:val="en-US" w:eastAsia="zh-CN"/>
                <w14:textFill>
                  <w14:solidFill>
                    <w14:schemeClr w14:val="tx1"/>
                  </w14:solidFill>
                </w14:textFill>
              </w:rPr>
              <w:t>10</w:t>
            </w:r>
          </w:p>
        </w:tc>
        <w:tc>
          <w:tcPr>
            <w:tcW w:w="7246" w:type="dxa"/>
            <w:tcBorders>
              <w:top w:val="single" w:color="auto" w:sz="4" w:space="0"/>
              <w:left w:val="single" w:color="auto" w:sz="4" w:space="0"/>
              <w:bottom w:val="single" w:color="auto" w:sz="4" w:space="0"/>
              <w:right w:val="single" w:color="auto" w:sz="4" w:space="0"/>
            </w:tcBorders>
            <w:shd w:val="clear" w:color="auto" w:fill="auto"/>
            <w:vAlign w:val="center"/>
          </w:tcPr>
          <w:p w14:paraId="1B486242">
            <w:pPr>
              <w:widowControl/>
              <w:jc w:val="left"/>
              <w:textAlignment w:val="center"/>
              <w:rPr>
                <w:rFonts w:hint="eastAsia" w:hAnsi="仿宋" w:eastAsia="宋体" w:cs="宋体"/>
                <w:color w:val="000000" w:themeColor="text1"/>
                <w:kern w:val="0"/>
                <w:sz w:val="24"/>
                <w:szCs w:val="24"/>
                <w:lang w:bidi="ar"/>
                <w14:textFill>
                  <w14:solidFill>
                    <w14:schemeClr w14:val="tx1"/>
                  </w14:solidFill>
                </w14:textFill>
              </w:rPr>
            </w:pPr>
            <w:r>
              <w:t>提</w:t>
            </w:r>
            <w:r>
              <w:rPr>
                <w:rFonts w:hint="eastAsia" w:hAnsi="仿宋" w:eastAsia="宋体" w:cs="宋体"/>
                <w:color w:val="000000" w:themeColor="text1"/>
                <w:kern w:val="0"/>
                <w:sz w:val="24"/>
                <w:szCs w:val="24"/>
                <w:lang w:bidi="ar"/>
                <w14:textFill>
                  <w14:solidFill>
                    <w14:schemeClr w14:val="tx1"/>
                  </w14:solidFill>
                </w14:textFill>
              </w:rPr>
              <w:t>供投标人自202</w:t>
            </w:r>
            <w:r>
              <w:rPr>
                <w:rFonts w:hint="eastAsia" w:hAnsi="仿宋" w:eastAsia="宋体" w:cs="宋体"/>
                <w:color w:val="000000" w:themeColor="text1"/>
                <w:kern w:val="0"/>
                <w:sz w:val="24"/>
                <w:szCs w:val="24"/>
                <w:lang w:val="en-US" w:eastAsia="zh-CN" w:bidi="ar"/>
                <w14:textFill>
                  <w14:solidFill>
                    <w14:schemeClr w14:val="tx1"/>
                  </w14:solidFill>
                </w14:textFill>
              </w:rPr>
              <w:t>2</w:t>
            </w:r>
            <w:r>
              <w:rPr>
                <w:rFonts w:hint="eastAsia" w:hAnsi="仿宋" w:eastAsia="宋体" w:cs="宋体"/>
                <w:color w:val="000000" w:themeColor="text1"/>
                <w:kern w:val="0"/>
                <w:sz w:val="24"/>
                <w:szCs w:val="24"/>
                <w:lang w:bidi="ar"/>
                <w14:textFill>
                  <w14:solidFill>
                    <w14:schemeClr w14:val="tx1"/>
                  </w14:solidFill>
                </w14:textFill>
              </w:rPr>
              <w:t>年</w:t>
            </w:r>
            <w:r>
              <w:rPr>
                <w:rFonts w:hint="eastAsia" w:hAnsi="仿宋" w:eastAsia="宋体" w:cs="宋体"/>
                <w:color w:val="000000" w:themeColor="text1"/>
                <w:kern w:val="0"/>
                <w:sz w:val="24"/>
                <w:szCs w:val="24"/>
                <w:lang w:val="en-US" w:eastAsia="zh-CN" w:bidi="ar"/>
                <w14:textFill>
                  <w14:solidFill>
                    <w14:schemeClr w14:val="tx1"/>
                  </w14:solidFill>
                </w14:textFill>
              </w:rPr>
              <w:t>5</w:t>
            </w:r>
            <w:r>
              <w:rPr>
                <w:rFonts w:hint="eastAsia" w:hAnsi="仿宋" w:eastAsia="宋体" w:cs="宋体"/>
                <w:color w:val="000000" w:themeColor="text1"/>
                <w:kern w:val="0"/>
                <w:sz w:val="24"/>
                <w:szCs w:val="24"/>
                <w:lang w:bidi="ar"/>
                <w14:textFill>
                  <w14:solidFill>
                    <w14:schemeClr w14:val="tx1"/>
                  </w14:solidFill>
                </w14:textFill>
              </w:rPr>
              <w:t>月1日至今类似项目合同，每提供一份得</w:t>
            </w:r>
            <w:r>
              <w:rPr>
                <w:rFonts w:hint="eastAsia" w:hAnsi="仿宋" w:eastAsia="宋体" w:cs="宋体"/>
                <w:color w:val="000000" w:themeColor="text1"/>
                <w:kern w:val="0"/>
                <w:sz w:val="24"/>
                <w:szCs w:val="24"/>
                <w:lang w:val="en-US" w:eastAsia="zh-CN" w:bidi="ar"/>
                <w14:textFill>
                  <w14:solidFill>
                    <w14:schemeClr w14:val="tx1"/>
                  </w14:solidFill>
                </w14:textFill>
              </w:rPr>
              <w:t>2</w:t>
            </w:r>
            <w:r>
              <w:rPr>
                <w:rFonts w:hint="eastAsia" w:hAnsi="仿宋" w:eastAsia="宋体" w:cs="宋体"/>
                <w:color w:val="000000" w:themeColor="text1"/>
                <w:kern w:val="0"/>
                <w:sz w:val="24"/>
                <w:szCs w:val="24"/>
                <w:lang w:bidi="ar"/>
                <w14:textFill>
                  <w14:solidFill>
                    <w14:schemeClr w14:val="tx1"/>
                  </w14:solidFill>
                </w14:textFill>
              </w:rPr>
              <w:t>分，满分</w:t>
            </w:r>
            <w:r>
              <w:rPr>
                <w:rFonts w:hint="eastAsia" w:hAnsi="仿宋" w:eastAsia="宋体" w:cs="宋体"/>
                <w:color w:val="000000" w:themeColor="text1"/>
                <w:kern w:val="0"/>
                <w:sz w:val="24"/>
                <w:szCs w:val="24"/>
                <w:lang w:val="en-US" w:eastAsia="zh-CN" w:bidi="ar"/>
                <w14:textFill>
                  <w14:solidFill>
                    <w14:schemeClr w14:val="tx1"/>
                  </w14:solidFill>
                </w14:textFill>
              </w:rPr>
              <w:t>10</w:t>
            </w:r>
            <w:r>
              <w:rPr>
                <w:rFonts w:hint="eastAsia" w:hAnsi="仿宋" w:eastAsia="宋体" w:cs="宋体"/>
                <w:color w:val="000000" w:themeColor="text1"/>
                <w:kern w:val="0"/>
                <w:sz w:val="24"/>
                <w:szCs w:val="24"/>
                <w:lang w:bidi="ar"/>
                <w14:textFill>
                  <w14:solidFill>
                    <w14:schemeClr w14:val="tx1"/>
                  </w14:solidFill>
                </w14:textFill>
              </w:rPr>
              <w:t>分。</w:t>
            </w:r>
          </w:p>
          <w:p w14:paraId="4288DA1D">
            <w:pPr>
              <w:rPr>
                <w:rFonts w:hint="eastAsia" w:hAnsi="仿宋" w:cs="宋体"/>
                <w:color w:val="000000" w:themeColor="text1"/>
                <w:kern w:val="0"/>
                <w:sz w:val="24"/>
                <w:szCs w:val="24"/>
                <w:lang w:bidi="ar"/>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备注：以合同签订时间为准，提供合同复印件并加盖投标人公章，同一业主单位合同不重复计分，未按要求提供不得分</w:t>
            </w:r>
          </w:p>
        </w:tc>
      </w:tr>
    </w:tbl>
    <w:p w14:paraId="14304E8F">
      <w:pPr>
        <w:jc w:val="center"/>
        <w:rPr>
          <w:b/>
          <w:sz w:val="32"/>
          <w:szCs w:val="32"/>
        </w:rPr>
      </w:pPr>
    </w:p>
    <w:p w14:paraId="65BECCDA">
      <w:pPr>
        <w:rPr>
          <w:rFonts w:hint="eastAsia"/>
          <w:b/>
          <w:sz w:val="32"/>
          <w:szCs w:val="32"/>
        </w:rPr>
      </w:pPr>
      <w:r>
        <w:rPr>
          <w:rFonts w:hint="eastAsia"/>
          <w:b/>
          <w:sz w:val="32"/>
          <w:szCs w:val="32"/>
        </w:rPr>
        <w:br w:type="page"/>
      </w:r>
    </w:p>
    <w:p w14:paraId="64356324">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b/>
          <w:sz w:val="32"/>
          <w:szCs w:val="32"/>
        </w:rPr>
      </w:pPr>
      <w:r>
        <w:rPr>
          <w:rFonts w:hint="eastAsia"/>
          <w:b/>
          <w:sz w:val="32"/>
          <w:szCs w:val="32"/>
        </w:rPr>
        <w:t>四、投标人须知</w:t>
      </w:r>
      <w:bookmarkEnd w:id="2"/>
    </w:p>
    <w:p w14:paraId="58E500C2">
      <w:pPr>
        <w:ind w:firstLine="562" w:firstLineChars="200"/>
        <w:rPr>
          <w:b/>
          <w:sz w:val="28"/>
          <w:szCs w:val="28"/>
        </w:rPr>
      </w:pPr>
      <w:r>
        <w:rPr>
          <w:rFonts w:hint="eastAsia"/>
          <w:b/>
          <w:sz w:val="28"/>
          <w:szCs w:val="28"/>
        </w:rPr>
        <w:t>（一）编制要求</w:t>
      </w:r>
    </w:p>
    <w:p w14:paraId="4576E43B">
      <w:pPr>
        <w:tabs>
          <w:tab w:val="left" w:pos="9214"/>
        </w:tabs>
        <w:adjustRightInd w:val="0"/>
        <w:snapToGrid w:val="0"/>
        <w:spacing w:line="440" w:lineRule="exact"/>
        <w:ind w:left="424" w:leftChars="202" w:right="531" w:rightChars="253" w:firstLine="371" w:firstLineChars="177"/>
        <w:contextualSpacing/>
        <w:rPr>
          <w:rFonts w:ascii="宋体" w:hAnsi="宋体"/>
          <w:szCs w:val="21"/>
        </w:rPr>
      </w:pPr>
      <w:r>
        <w:rPr>
          <w:rFonts w:hint="eastAsia" w:ascii="宋体" w:hAnsi="宋体"/>
          <w:szCs w:val="21"/>
        </w:rPr>
        <w:t>1、投标人应在仔细阅读谈判文件的基础上，按招标方要求认真编写投标文件，并加盖投标单位公章。投标人提供的投标文件必须真实、详尽。所有投标文件须有总目录和总页码，每份标书从起始页依次插入连续的页码。投标文件袋须密封良好并加盖骑缝印章，送达指定地点，逾时送交的材料概不接受。</w:t>
      </w:r>
    </w:p>
    <w:p w14:paraId="4D127D6D">
      <w:pPr>
        <w:tabs>
          <w:tab w:val="left" w:pos="9214"/>
        </w:tabs>
        <w:adjustRightInd w:val="0"/>
        <w:snapToGrid w:val="0"/>
        <w:spacing w:line="440" w:lineRule="exact"/>
        <w:ind w:left="424" w:leftChars="202" w:right="531" w:rightChars="253" w:firstLine="371" w:firstLineChars="177"/>
        <w:contextualSpacing/>
        <w:rPr>
          <w:rFonts w:ascii="宋体" w:hAnsi="宋体"/>
          <w:szCs w:val="21"/>
        </w:rPr>
      </w:pPr>
      <w:r>
        <w:rPr>
          <w:rFonts w:hint="eastAsia" w:ascii="宋体" w:hAnsi="宋体"/>
          <w:szCs w:val="21"/>
        </w:rPr>
        <w:t>2、投标人在收到谈判文件后，若有疑问应以书面形式（包括书面文字、传真、电子邮件等）在规定时间前向招标人提出。招标人将所有问题集中后在统一答复所有投标人。</w:t>
      </w:r>
    </w:p>
    <w:p w14:paraId="32228340">
      <w:pPr>
        <w:tabs>
          <w:tab w:val="left" w:pos="9214"/>
        </w:tabs>
        <w:adjustRightInd w:val="0"/>
        <w:snapToGrid w:val="0"/>
        <w:spacing w:line="440" w:lineRule="exact"/>
        <w:ind w:left="424" w:leftChars="202" w:right="531" w:rightChars="253" w:firstLine="371" w:firstLineChars="177"/>
        <w:contextualSpacing/>
        <w:rPr>
          <w:rFonts w:ascii="宋体" w:hAnsi="宋体"/>
          <w:szCs w:val="21"/>
        </w:rPr>
      </w:pPr>
      <w:r>
        <w:rPr>
          <w:rFonts w:hint="eastAsia" w:ascii="宋体" w:hAnsi="宋体"/>
          <w:szCs w:val="21"/>
        </w:rPr>
        <w:t>3、明确标明“正本”或“副本”字样，一旦正本和副本有差异，以正本为准。所有投标资料均需A4纸打印，按照谈判文件规定的顺序装订。</w:t>
      </w:r>
    </w:p>
    <w:p w14:paraId="0F5E4E29">
      <w:pPr>
        <w:ind w:firstLine="562" w:firstLineChars="200"/>
        <w:rPr>
          <w:b/>
          <w:sz w:val="28"/>
          <w:szCs w:val="28"/>
        </w:rPr>
      </w:pPr>
      <w:bookmarkStart w:id="11" w:name="_Toc39744254"/>
      <w:r>
        <w:rPr>
          <w:rFonts w:hint="eastAsia"/>
          <w:b/>
          <w:sz w:val="28"/>
          <w:szCs w:val="28"/>
        </w:rPr>
        <w:t>（二）资格审查要求</w:t>
      </w:r>
      <w:bookmarkEnd w:id="11"/>
    </w:p>
    <w:p w14:paraId="62D3239F">
      <w:pPr>
        <w:autoSpaceDE w:val="0"/>
        <w:autoSpaceDN w:val="0"/>
        <w:adjustRightInd w:val="0"/>
        <w:snapToGrid w:val="0"/>
        <w:spacing w:line="440" w:lineRule="exact"/>
        <w:ind w:left="424" w:leftChars="202" w:right="531" w:rightChars="253" w:firstLine="371" w:firstLineChars="176"/>
        <w:contextualSpacing/>
        <w:rPr>
          <w:rFonts w:ascii="宋体" w:hAnsi="宋体"/>
          <w:b/>
          <w:szCs w:val="21"/>
        </w:rPr>
      </w:pPr>
      <w:r>
        <w:rPr>
          <w:rFonts w:hint="eastAsia" w:ascii="宋体" w:hAnsi="宋体"/>
          <w:b/>
          <w:color w:val="FF0000"/>
          <w:szCs w:val="21"/>
        </w:rPr>
        <w:t>2025年</w:t>
      </w:r>
      <w:r>
        <w:rPr>
          <w:rFonts w:hint="eastAsia" w:ascii="宋体" w:hAnsi="宋体"/>
          <w:b/>
          <w:color w:val="FF0000"/>
          <w:szCs w:val="21"/>
          <w:lang w:val="en-US" w:eastAsia="zh-CN"/>
        </w:rPr>
        <w:t>6</w:t>
      </w:r>
      <w:r>
        <w:rPr>
          <w:rFonts w:hint="eastAsia" w:ascii="宋体" w:hAnsi="宋体"/>
          <w:b/>
          <w:color w:val="FF0000"/>
          <w:szCs w:val="21"/>
        </w:rPr>
        <w:t>月</w:t>
      </w:r>
      <w:r>
        <w:rPr>
          <w:rFonts w:hint="eastAsia" w:ascii="宋体" w:hAnsi="宋体"/>
          <w:b/>
          <w:color w:val="FF0000"/>
          <w:szCs w:val="21"/>
          <w:lang w:val="en-US" w:eastAsia="zh-CN"/>
        </w:rPr>
        <w:t>3</w:t>
      </w:r>
      <w:r>
        <w:rPr>
          <w:rFonts w:hint="eastAsia" w:ascii="宋体" w:hAnsi="宋体"/>
          <w:b/>
          <w:color w:val="FF0000"/>
          <w:szCs w:val="21"/>
        </w:rPr>
        <w:t>日1</w:t>
      </w:r>
      <w:r>
        <w:rPr>
          <w:rFonts w:hint="eastAsia" w:ascii="宋体" w:hAnsi="宋体"/>
          <w:b/>
          <w:color w:val="FF0000"/>
          <w:szCs w:val="21"/>
          <w:lang w:val="en-US" w:eastAsia="zh-CN"/>
        </w:rPr>
        <w:t>8</w:t>
      </w:r>
      <w:r>
        <w:rPr>
          <w:rFonts w:hint="eastAsia" w:ascii="宋体" w:hAnsi="宋体"/>
          <w:b/>
          <w:color w:val="FF0000"/>
          <w:szCs w:val="21"/>
        </w:rPr>
        <w:t>：00</w:t>
      </w:r>
      <w:r>
        <w:rPr>
          <w:rFonts w:hint="eastAsia" w:ascii="宋体" w:hAnsi="宋体"/>
          <w:b/>
          <w:szCs w:val="21"/>
        </w:rPr>
        <w:t>前须向招标人提供法人授权委托书、供应商参加招标确认函、营业执照复印件扫描件发送电子邮箱，该授权委托代理为项目指定联系人。</w:t>
      </w:r>
    </w:p>
    <w:p w14:paraId="704A8A51">
      <w:pPr>
        <w:tabs>
          <w:tab w:val="left" w:pos="9214"/>
        </w:tabs>
        <w:adjustRightInd w:val="0"/>
        <w:snapToGrid w:val="0"/>
        <w:spacing w:line="440" w:lineRule="exact"/>
        <w:ind w:left="424" w:leftChars="202" w:right="531" w:rightChars="253" w:firstLine="371" w:firstLineChars="177"/>
        <w:contextualSpacing/>
        <w:rPr>
          <w:rFonts w:ascii="宋体" w:hAnsi="宋体"/>
          <w:szCs w:val="21"/>
        </w:rPr>
      </w:pPr>
      <w:r>
        <w:rPr>
          <w:rFonts w:ascii="宋体" w:hAnsi="宋体"/>
          <w:szCs w:val="21"/>
        </w:rPr>
        <w:t>投标人资质要求</w:t>
      </w:r>
    </w:p>
    <w:p w14:paraId="47FD066E">
      <w:pPr>
        <w:adjustRightInd w:val="0"/>
        <w:spacing w:line="440" w:lineRule="exact"/>
        <w:ind w:left="496" w:leftChars="236" w:right="248" w:rightChars="118" w:firstLine="369" w:firstLineChars="176"/>
        <w:contextualSpacing/>
      </w:pPr>
      <w:r>
        <w:t>证明投标人合格和资格的文件</w:t>
      </w:r>
      <w:r>
        <w:rPr>
          <w:rFonts w:hint="eastAsia"/>
        </w:rPr>
        <w:t>：</w:t>
      </w:r>
      <w:r>
        <w:t>投标人应提交证明其有资格参加投标和中标后有能力履行合同的文件，并作为其投标文件的一部分。</w:t>
      </w:r>
    </w:p>
    <w:p w14:paraId="3EFD3C1E">
      <w:pPr>
        <w:snapToGrid w:val="0"/>
        <w:spacing w:line="440" w:lineRule="exact"/>
        <w:ind w:firstLine="723" w:firstLineChars="300"/>
        <w:rPr>
          <w:rStyle w:val="62"/>
          <w:rFonts w:ascii="宋体" w:hAnsi="宋体" w:cs="宋体"/>
          <w:b/>
          <w:bCs/>
          <w:sz w:val="24"/>
        </w:rPr>
      </w:pPr>
      <w:r>
        <w:rPr>
          <w:rStyle w:val="62"/>
          <w:rFonts w:ascii="宋体" w:hAnsi="宋体"/>
          <w:b/>
          <w:sz w:val="24"/>
        </w:rPr>
        <w:t>1．</w:t>
      </w:r>
      <w:r>
        <w:rPr>
          <w:rStyle w:val="62"/>
          <w:rFonts w:ascii="宋体" w:hAnsi="宋体" w:cs="宋体"/>
          <w:b/>
          <w:bCs/>
          <w:sz w:val="24"/>
        </w:rPr>
        <w:t>符合本次采购法律法规规定的条件目录</w:t>
      </w:r>
    </w:p>
    <w:p w14:paraId="508B32A1">
      <w:pPr>
        <w:adjustRightInd w:val="0"/>
        <w:spacing w:line="440" w:lineRule="exact"/>
        <w:ind w:left="496" w:leftChars="236" w:right="248" w:rightChars="118" w:firstLine="369" w:firstLineChars="176"/>
        <w:contextualSpacing/>
        <w:rPr>
          <w:u w:val="single"/>
        </w:rPr>
      </w:pPr>
      <w:r>
        <w:rPr>
          <w:u w:val="single"/>
        </w:rPr>
        <w:t>1.1</w:t>
      </w:r>
      <w:r>
        <w:rPr>
          <w:rFonts w:hint="eastAsia" w:ascii="宋体" w:hAnsi="宋体" w:cs="宋体"/>
          <w:u w:val="single"/>
        </w:rPr>
        <w:t>★</w:t>
      </w:r>
      <w:r>
        <w:rPr>
          <w:u w:val="single"/>
        </w:rPr>
        <w:t>投标函(原件)；</w:t>
      </w:r>
    </w:p>
    <w:p w14:paraId="78020589">
      <w:pPr>
        <w:adjustRightInd w:val="0"/>
        <w:spacing w:line="440" w:lineRule="exact"/>
        <w:ind w:left="496" w:leftChars="236" w:right="248" w:rightChars="118" w:firstLine="369" w:firstLineChars="176"/>
        <w:contextualSpacing/>
        <w:rPr>
          <w:u w:val="single"/>
        </w:rPr>
      </w:pPr>
      <w:r>
        <w:rPr>
          <w:u w:val="single"/>
        </w:rPr>
        <w:t>1.2</w:t>
      </w:r>
      <w:r>
        <w:rPr>
          <w:rFonts w:hint="eastAsia" w:ascii="宋体" w:hAnsi="宋体" w:cs="宋体"/>
          <w:u w:val="single"/>
        </w:rPr>
        <w:t>★</w:t>
      </w:r>
      <w:r>
        <w:rPr>
          <w:u w:val="single"/>
        </w:rPr>
        <w:t>资格声明(原件)；</w:t>
      </w:r>
    </w:p>
    <w:p w14:paraId="6B77047D">
      <w:pPr>
        <w:adjustRightInd w:val="0"/>
        <w:spacing w:line="440" w:lineRule="exact"/>
        <w:ind w:left="496" w:leftChars="236" w:right="248" w:rightChars="118" w:firstLine="369" w:firstLineChars="176"/>
        <w:contextualSpacing/>
        <w:rPr>
          <w:u w:val="single"/>
        </w:rPr>
      </w:pPr>
      <w:r>
        <w:rPr>
          <w:u w:val="single"/>
        </w:rPr>
        <w:t>1.3</w:t>
      </w:r>
      <w:r>
        <w:rPr>
          <w:rFonts w:hint="eastAsia" w:ascii="宋体" w:hAnsi="宋体" w:cs="宋体"/>
          <w:u w:val="single"/>
        </w:rPr>
        <w:t>★</w:t>
      </w:r>
      <w:r>
        <w:rPr>
          <w:u w:val="single"/>
        </w:rPr>
        <w:t>若法定代表人参加投标的，须提供本人身份证复印件(原件备查)；若授权代表参加的，须提供《法人授权书》原件和授权代表身份证复印件（原件备查）；</w:t>
      </w:r>
    </w:p>
    <w:p w14:paraId="678F62AE">
      <w:pPr>
        <w:adjustRightInd w:val="0"/>
        <w:spacing w:line="440" w:lineRule="exact"/>
        <w:ind w:left="496" w:leftChars="236" w:right="248" w:rightChars="118" w:firstLine="369" w:firstLineChars="176"/>
        <w:contextualSpacing/>
        <w:rPr>
          <w:u w:val="single"/>
        </w:rPr>
      </w:pPr>
      <w:r>
        <w:rPr>
          <w:u w:val="single"/>
        </w:rPr>
        <w:t>1.4</w:t>
      </w:r>
      <w:r>
        <w:rPr>
          <w:rFonts w:hint="eastAsia" w:ascii="宋体" w:hAnsi="宋体" w:cs="宋体"/>
          <w:u w:val="single"/>
        </w:rPr>
        <w:t>★</w:t>
      </w:r>
      <w:r>
        <w:rPr>
          <w:u w:val="single"/>
        </w:rPr>
        <w:t>营业执照副本(复印件加盖供应商公章)；</w:t>
      </w:r>
    </w:p>
    <w:p w14:paraId="2F9F5927">
      <w:pPr>
        <w:adjustRightInd w:val="0"/>
        <w:spacing w:line="440" w:lineRule="exact"/>
        <w:ind w:left="496" w:leftChars="236" w:right="248" w:rightChars="118" w:firstLine="369" w:firstLineChars="176"/>
        <w:contextualSpacing/>
        <w:rPr>
          <w:u w:val="single"/>
        </w:rPr>
      </w:pPr>
      <w:r>
        <w:rPr>
          <w:u w:val="single"/>
        </w:rPr>
        <w:t>1.5</w:t>
      </w:r>
      <w:r>
        <w:rPr>
          <w:rFonts w:hint="eastAsia" w:ascii="宋体" w:hAnsi="宋体" w:cs="宋体"/>
          <w:u w:val="single"/>
        </w:rPr>
        <w:t>★</w:t>
      </w:r>
      <w:r>
        <w:rPr>
          <w:u w:val="single"/>
        </w:rPr>
        <w:t>依法缴纳职工社会保障资金的证明材料(复印件加盖供应商公章)(税务、银行或社会保险基金管理部门出具的</w:t>
      </w:r>
      <w:r>
        <w:rPr>
          <w:rFonts w:hint="eastAsia"/>
          <w:u w:val="single"/>
        </w:rPr>
        <w:t>近</w:t>
      </w:r>
      <w:r>
        <w:rPr>
          <w:u w:val="single"/>
        </w:rPr>
        <w:t>三个月内任意一份缴纳职工社会保障资金的缴款凭证或缴款证明)；</w:t>
      </w:r>
    </w:p>
    <w:p w14:paraId="7DA1B69D">
      <w:pPr>
        <w:adjustRightInd w:val="0"/>
        <w:spacing w:line="440" w:lineRule="exact"/>
        <w:ind w:left="496" w:leftChars="236" w:right="248" w:rightChars="118" w:firstLine="369" w:firstLineChars="176"/>
        <w:contextualSpacing/>
        <w:rPr>
          <w:u w:val="single"/>
        </w:rPr>
      </w:pPr>
      <w:r>
        <w:rPr>
          <w:u w:val="single"/>
        </w:rPr>
        <w:t>1.6</w:t>
      </w:r>
      <w:r>
        <w:rPr>
          <w:rFonts w:hint="eastAsia" w:ascii="宋体" w:hAnsi="宋体" w:cs="宋体"/>
          <w:u w:val="single"/>
        </w:rPr>
        <w:t>★</w:t>
      </w:r>
      <w:r>
        <w:rPr>
          <w:u w:val="single"/>
        </w:rPr>
        <w:t>供应商近三个月内任意一份依法纳税的缴款凭证(复印件加盖供应商公章)；</w:t>
      </w:r>
    </w:p>
    <w:p w14:paraId="37582984">
      <w:pPr>
        <w:adjustRightInd w:val="0"/>
        <w:spacing w:line="440" w:lineRule="exact"/>
        <w:ind w:left="496" w:leftChars="236" w:right="248" w:rightChars="118" w:firstLine="369" w:firstLineChars="176"/>
        <w:contextualSpacing/>
        <w:rPr>
          <w:u w:val="single"/>
        </w:rPr>
      </w:pPr>
      <w:r>
        <w:rPr>
          <w:u w:val="single"/>
        </w:rPr>
        <w:t>1.7</w:t>
      </w:r>
      <w:r>
        <w:rPr>
          <w:rFonts w:hint="eastAsia" w:ascii="宋体" w:hAnsi="宋体" w:cs="宋体"/>
          <w:u w:val="single"/>
        </w:rPr>
        <w:t>★</w:t>
      </w:r>
      <w:r>
        <w:rPr>
          <w:u w:val="single"/>
        </w:rPr>
        <w:t>与第1.6条相对应的纳税申报表或经会计师事务所审计的</w:t>
      </w:r>
      <w:r>
        <w:rPr>
          <w:rFonts w:hint="eastAsia"/>
          <w:u w:val="single"/>
        </w:rPr>
        <w:t>2024</w:t>
      </w:r>
      <w:r>
        <w:rPr>
          <w:u w:val="single"/>
        </w:rPr>
        <w:t>年度财务报告(复印件加盖供应商公章)；</w:t>
      </w:r>
    </w:p>
    <w:p w14:paraId="150787B4">
      <w:pPr>
        <w:adjustRightInd w:val="0"/>
        <w:spacing w:line="440" w:lineRule="exact"/>
        <w:ind w:left="496" w:leftChars="236" w:right="248" w:rightChars="118" w:firstLine="369" w:firstLineChars="176"/>
        <w:contextualSpacing/>
        <w:rPr>
          <w:u w:val="single"/>
        </w:rPr>
      </w:pPr>
      <w:r>
        <w:rPr>
          <w:u w:val="single"/>
        </w:rPr>
        <w:t>1.8</w:t>
      </w:r>
      <w:r>
        <w:rPr>
          <w:rFonts w:hint="eastAsia" w:ascii="宋体" w:hAnsi="宋体" w:cs="宋体"/>
          <w:u w:val="single"/>
        </w:rPr>
        <w:t>★</w:t>
      </w:r>
      <w:r>
        <w:rPr>
          <w:u w:val="single"/>
        </w:rPr>
        <w:t>供应商参加本次政府采购活动前3年内在经营活动中没有重大违法记录、没有被司法部门或行业主管部门处罚的书面声明（原件）。</w:t>
      </w:r>
    </w:p>
    <w:p w14:paraId="7F61DD3F">
      <w:pPr>
        <w:snapToGrid w:val="0"/>
        <w:spacing w:line="440" w:lineRule="exact"/>
        <w:ind w:firstLine="840" w:firstLineChars="400"/>
        <w:rPr>
          <w:rFonts w:ascii="宋体" w:hAnsi="宋体"/>
          <w:sz w:val="21"/>
          <w:szCs w:val="21"/>
        </w:rPr>
      </w:pPr>
      <w:r>
        <w:rPr>
          <w:rStyle w:val="62"/>
          <w:rFonts w:hint="eastAsia" w:ascii="宋体" w:hAnsi="宋体"/>
          <w:sz w:val="21"/>
          <w:szCs w:val="21"/>
          <w:lang w:val="en-US" w:eastAsia="zh-CN"/>
        </w:rPr>
        <w:t>1.9</w:t>
      </w:r>
      <w:r>
        <w:rPr>
          <w:rStyle w:val="62"/>
          <w:rFonts w:ascii="宋体" w:hAnsi="宋体"/>
          <w:sz w:val="21"/>
          <w:szCs w:val="21"/>
        </w:rPr>
        <w:t>投标人认为需要提供的其他商务资料</w:t>
      </w:r>
      <w:r>
        <w:rPr>
          <w:rStyle w:val="79"/>
          <w:rFonts w:ascii="宋体" w:hAnsi="宋体"/>
          <w:sz w:val="21"/>
          <w:szCs w:val="21"/>
        </w:rPr>
        <w:t>。</w:t>
      </w:r>
    </w:p>
    <w:p w14:paraId="0D55FF75">
      <w:pPr>
        <w:adjustRightInd w:val="0"/>
        <w:snapToGrid w:val="0"/>
        <w:spacing w:line="440" w:lineRule="exact"/>
        <w:ind w:left="424" w:leftChars="202" w:right="531" w:rightChars="253" w:firstLine="332" w:firstLineChars="118"/>
        <w:contextualSpacing/>
        <w:rPr>
          <w:b/>
          <w:sz w:val="28"/>
          <w:szCs w:val="28"/>
        </w:rPr>
      </w:pPr>
      <w:bookmarkStart w:id="12" w:name="_Toc39744256"/>
      <w:r>
        <w:rPr>
          <w:rFonts w:hint="eastAsia"/>
          <w:b/>
          <w:sz w:val="28"/>
          <w:szCs w:val="28"/>
        </w:rPr>
        <w:t>（三）投标文件要求</w:t>
      </w:r>
      <w:bookmarkEnd w:id="12"/>
    </w:p>
    <w:p w14:paraId="6EB63C0E">
      <w:pPr>
        <w:adjustRightInd w:val="0"/>
        <w:snapToGrid w:val="0"/>
        <w:spacing w:line="440" w:lineRule="exact"/>
        <w:ind w:left="422" w:leftChars="201" w:right="531" w:rightChars="253" w:firstLine="371" w:firstLineChars="177"/>
        <w:contextualSpacing/>
        <w:rPr>
          <w:rFonts w:ascii="宋体" w:hAnsi="宋体"/>
          <w:szCs w:val="21"/>
        </w:rPr>
      </w:pPr>
      <w:r>
        <w:rPr>
          <w:rFonts w:hint="eastAsia" w:ascii="宋体" w:hAnsi="宋体"/>
          <w:szCs w:val="21"/>
        </w:rPr>
        <w:t>1、</w:t>
      </w:r>
      <w:r>
        <w:rPr>
          <w:rFonts w:hint="eastAsia" w:ascii="宋体" w:hAnsi="宋体"/>
          <w:b/>
          <w:szCs w:val="21"/>
        </w:rPr>
        <w:t>投标文件的组成</w:t>
      </w:r>
      <w:r>
        <w:rPr>
          <w:rFonts w:hint="eastAsia" w:ascii="宋体" w:hAnsi="宋体"/>
          <w:szCs w:val="21"/>
        </w:rPr>
        <w:t>：</w:t>
      </w:r>
    </w:p>
    <w:p w14:paraId="6EA75D9A">
      <w:pPr>
        <w:autoSpaceDE w:val="0"/>
        <w:autoSpaceDN w:val="0"/>
        <w:adjustRightInd w:val="0"/>
        <w:snapToGrid w:val="0"/>
        <w:spacing w:line="440" w:lineRule="exact"/>
        <w:ind w:left="422" w:leftChars="201" w:right="531" w:rightChars="253" w:firstLine="371" w:firstLineChars="177"/>
        <w:contextualSpacing/>
        <w:rPr>
          <w:rFonts w:ascii="宋体" w:hAnsi="宋体"/>
          <w:szCs w:val="21"/>
        </w:rPr>
      </w:pPr>
      <w:r>
        <w:rPr>
          <w:rFonts w:hint="eastAsia" w:ascii="宋体" w:hAnsi="宋体"/>
          <w:szCs w:val="21"/>
        </w:rPr>
        <w:t>1.1资格审查文件，所有复印件需加盖公章：</w:t>
      </w:r>
    </w:p>
    <w:p w14:paraId="79AD44E0">
      <w:pPr>
        <w:autoSpaceDE w:val="0"/>
        <w:autoSpaceDN w:val="0"/>
        <w:adjustRightInd w:val="0"/>
        <w:snapToGrid w:val="0"/>
        <w:spacing w:line="440" w:lineRule="exact"/>
        <w:ind w:left="422" w:leftChars="201" w:right="531" w:rightChars="253" w:firstLine="371" w:firstLineChars="177"/>
        <w:contextualSpacing/>
        <w:rPr>
          <w:rFonts w:ascii="宋体" w:hAnsi="宋体"/>
          <w:szCs w:val="21"/>
        </w:rPr>
      </w:pPr>
      <w:r>
        <w:rPr>
          <w:rFonts w:hint="eastAsia" w:ascii="宋体" w:hAnsi="宋体"/>
          <w:szCs w:val="21"/>
        </w:rPr>
        <w:t>（1）针对本项目谈判的授权委托书；</w:t>
      </w:r>
    </w:p>
    <w:p w14:paraId="16514C90">
      <w:pPr>
        <w:numPr>
          <w:ilvl w:val="0"/>
          <w:numId w:val="5"/>
        </w:numPr>
        <w:autoSpaceDE w:val="0"/>
        <w:autoSpaceDN w:val="0"/>
        <w:adjustRightInd w:val="0"/>
        <w:snapToGrid w:val="0"/>
        <w:spacing w:line="440" w:lineRule="exact"/>
        <w:ind w:left="422" w:leftChars="201" w:right="531" w:rightChars="253" w:firstLine="371" w:firstLineChars="177"/>
        <w:contextualSpacing/>
        <w:rPr>
          <w:rFonts w:ascii="宋体" w:hAnsi="宋体"/>
          <w:szCs w:val="21"/>
        </w:rPr>
      </w:pPr>
      <w:r>
        <w:rPr>
          <w:rFonts w:hint="eastAsia" w:ascii="宋体" w:hAnsi="宋体"/>
          <w:szCs w:val="21"/>
        </w:rPr>
        <w:t>企业法人营业执照；</w:t>
      </w:r>
    </w:p>
    <w:p w14:paraId="471ECBFE">
      <w:pPr>
        <w:numPr>
          <w:ilvl w:val="0"/>
          <w:numId w:val="5"/>
        </w:numPr>
        <w:autoSpaceDE w:val="0"/>
        <w:autoSpaceDN w:val="0"/>
        <w:adjustRightInd w:val="0"/>
        <w:snapToGrid w:val="0"/>
        <w:spacing w:line="440" w:lineRule="exact"/>
        <w:ind w:left="422" w:leftChars="201" w:right="531" w:rightChars="253" w:firstLine="371" w:firstLineChars="177"/>
        <w:contextualSpacing/>
        <w:rPr>
          <w:rFonts w:ascii="宋体" w:hAnsi="宋体"/>
          <w:szCs w:val="21"/>
        </w:rPr>
      </w:pPr>
      <w:r>
        <w:rPr>
          <w:rFonts w:hint="eastAsia" w:ascii="宋体" w:hAnsi="宋体"/>
          <w:szCs w:val="21"/>
        </w:rPr>
        <w:t>企业资质证书</w:t>
      </w:r>
      <w:r>
        <w:rPr>
          <w:rFonts w:hint="eastAsia" w:ascii="宋体"/>
          <w:szCs w:val="21"/>
        </w:rPr>
        <w:t>；</w:t>
      </w:r>
    </w:p>
    <w:p w14:paraId="58D08424">
      <w:pPr>
        <w:numPr>
          <w:ilvl w:val="0"/>
          <w:numId w:val="5"/>
        </w:numPr>
        <w:autoSpaceDE w:val="0"/>
        <w:autoSpaceDN w:val="0"/>
        <w:adjustRightInd w:val="0"/>
        <w:snapToGrid w:val="0"/>
        <w:spacing w:line="440" w:lineRule="exact"/>
        <w:ind w:left="422" w:leftChars="201" w:right="531" w:rightChars="253" w:firstLine="371" w:firstLineChars="177"/>
        <w:contextualSpacing/>
        <w:rPr>
          <w:rFonts w:ascii="宋体" w:hAnsi="宋体"/>
          <w:szCs w:val="21"/>
        </w:rPr>
      </w:pPr>
      <w:r>
        <w:rPr>
          <w:rFonts w:hint="eastAsia" w:ascii="宋体" w:hAnsi="宋体"/>
          <w:szCs w:val="21"/>
        </w:rPr>
        <w:t>由社保部门出具的投标人为授权委托人及谈判经办人缴纳的</w:t>
      </w:r>
      <w:r>
        <w:rPr>
          <w:rFonts w:hint="eastAsia" w:ascii="宋体" w:hAnsi="宋体"/>
          <w:b/>
          <w:szCs w:val="21"/>
        </w:rPr>
        <w:t>近三个月中任意一个月的</w:t>
      </w:r>
      <w:r>
        <w:rPr>
          <w:rFonts w:hint="eastAsia" w:ascii="宋体" w:hAnsi="宋体"/>
          <w:szCs w:val="21"/>
        </w:rPr>
        <w:t>养老保险费用的证明材料；</w:t>
      </w:r>
    </w:p>
    <w:p w14:paraId="38736509">
      <w:pPr>
        <w:adjustRightInd w:val="0"/>
        <w:snapToGrid w:val="0"/>
        <w:spacing w:line="440" w:lineRule="exact"/>
        <w:ind w:left="422" w:leftChars="201" w:right="531" w:rightChars="253" w:firstLine="373" w:firstLineChars="177"/>
        <w:contextualSpacing/>
        <w:rPr>
          <w:rFonts w:ascii="宋体" w:hAnsi="宋体"/>
          <w:szCs w:val="21"/>
        </w:rPr>
      </w:pPr>
      <w:r>
        <w:rPr>
          <w:rFonts w:hint="eastAsia" w:ascii="宋体" w:hAnsi="宋体"/>
          <w:b/>
          <w:szCs w:val="21"/>
        </w:rPr>
        <w:t>1.2报价文件</w:t>
      </w:r>
    </w:p>
    <w:p w14:paraId="324CE5F6">
      <w:pPr>
        <w:adjustRightInd w:val="0"/>
        <w:snapToGrid w:val="0"/>
        <w:spacing w:line="440" w:lineRule="exact"/>
        <w:ind w:left="422" w:leftChars="201" w:right="531" w:rightChars="253" w:firstLine="249" w:firstLineChars="119"/>
        <w:contextualSpacing/>
        <w:rPr>
          <w:rFonts w:ascii="宋体" w:hAnsi="宋体"/>
          <w:bCs/>
          <w:szCs w:val="21"/>
        </w:rPr>
      </w:pPr>
      <w:r>
        <w:rPr>
          <w:rFonts w:hint="eastAsia" w:ascii="宋体" w:hAnsi="宋体"/>
          <w:bCs/>
          <w:szCs w:val="21"/>
        </w:rPr>
        <w:t>（1）投标函</w:t>
      </w:r>
    </w:p>
    <w:p w14:paraId="0C2CC969">
      <w:pPr>
        <w:adjustRightInd w:val="0"/>
        <w:snapToGrid w:val="0"/>
        <w:spacing w:line="440" w:lineRule="exact"/>
        <w:ind w:left="422" w:leftChars="201" w:right="531" w:rightChars="253" w:firstLine="249" w:firstLineChars="119"/>
        <w:contextualSpacing/>
        <w:rPr>
          <w:rFonts w:ascii="宋体" w:hAnsi="宋体"/>
          <w:bCs/>
          <w:szCs w:val="21"/>
        </w:rPr>
      </w:pPr>
      <w:r>
        <w:rPr>
          <w:rFonts w:hint="eastAsia" w:ascii="宋体" w:hAnsi="宋体"/>
          <w:bCs/>
          <w:szCs w:val="21"/>
        </w:rPr>
        <w:t>（2）授权委托书</w:t>
      </w:r>
    </w:p>
    <w:p w14:paraId="6465EB55">
      <w:pPr>
        <w:adjustRightInd w:val="0"/>
        <w:snapToGrid w:val="0"/>
        <w:spacing w:line="440" w:lineRule="exact"/>
        <w:ind w:left="422" w:leftChars="201" w:right="531" w:rightChars="253" w:firstLine="249" w:firstLineChars="119"/>
        <w:contextualSpacing/>
        <w:rPr>
          <w:rFonts w:ascii="宋体" w:hAnsi="宋体"/>
          <w:szCs w:val="21"/>
        </w:rPr>
      </w:pPr>
      <w:r>
        <w:rPr>
          <w:rFonts w:hint="eastAsia" w:ascii="宋体" w:hAnsi="宋体"/>
          <w:bCs/>
          <w:szCs w:val="21"/>
        </w:rPr>
        <w:t>（3）</w:t>
      </w:r>
      <w:r>
        <w:rPr>
          <w:rFonts w:hint="eastAsia" w:ascii="宋体" w:hAnsi="宋体"/>
          <w:szCs w:val="21"/>
        </w:rPr>
        <w:t>投标报价</w:t>
      </w:r>
    </w:p>
    <w:p w14:paraId="2E9706C9">
      <w:pPr>
        <w:adjustRightInd w:val="0"/>
        <w:snapToGrid w:val="0"/>
        <w:spacing w:line="440" w:lineRule="exact"/>
        <w:ind w:left="422" w:leftChars="201" w:right="531" w:rightChars="253" w:firstLine="249" w:firstLineChars="119"/>
        <w:contextualSpacing/>
        <w:rPr>
          <w:rFonts w:ascii="宋体" w:hAnsi="宋体"/>
          <w:bCs/>
          <w:szCs w:val="21"/>
        </w:rPr>
      </w:pPr>
      <w:r>
        <w:rPr>
          <w:rFonts w:hint="eastAsia" w:ascii="宋体" w:hAnsi="宋体"/>
          <w:bCs/>
          <w:szCs w:val="21"/>
        </w:rPr>
        <w:t>（4）分项报价</w:t>
      </w:r>
    </w:p>
    <w:p w14:paraId="0B8496A4">
      <w:pPr>
        <w:ind w:firstLine="562" w:firstLineChars="200"/>
        <w:rPr>
          <w:b/>
          <w:sz w:val="28"/>
          <w:szCs w:val="28"/>
        </w:rPr>
      </w:pPr>
      <w:bookmarkStart w:id="13" w:name="_Toc39744257"/>
      <w:r>
        <w:rPr>
          <w:rFonts w:hint="eastAsia"/>
          <w:b/>
          <w:sz w:val="28"/>
          <w:szCs w:val="28"/>
        </w:rPr>
        <w:t>（四）开标、</w:t>
      </w:r>
      <w:bookmarkEnd w:id="13"/>
      <w:r>
        <w:rPr>
          <w:rFonts w:hint="eastAsia"/>
          <w:b/>
          <w:sz w:val="28"/>
          <w:szCs w:val="28"/>
        </w:rPr>
        <w:t>评标</w:t>
      </w:r>
    </w:p>
    <w:p w14:paraId="1A15CC75">
      <w:pPr>
        <w:adjustRightInd w:val="0"/>
        <w:snapToGrid w:val="0"/>
        <w:spacing w:line="440" w:lineRule="exact"/>
        <w:ind w:left="424" w:leftChars="202" w:right="531" w:rightChars="253" w:firstLine="371" w:firstLineChars="177"/>
        <w:contextualSpacing/>
        <w:rPr>
          <w:rFonts w:ascii="宋体" w:hAnsi="宋体"/>
          <w:szCs w:val="21"/>
        </w:rPr>
      </w:pPr>
      <w:r>
        <w:rPr>
          <w:rFonts w:hint="eastAsia" w:ascii="宋体" w:hAnsi="宋体"/>
          <w:szCs w:val="21"/>
        </w:rPr>
        <w:t>1、开标时，招标方代表或监管部门或投标单位检查投标文件的密封情况，在确认无误后拆封读标。投标文件一经开封不得进行改动。</w:t>
      </w:r>
    </w:p>
    <w:p w14:paraId="2CD6A637">
      <w:pPr>
        <w:adjustRightInd w:val="0"/>
        <w:snapToGrid w:val="0"/>
        <w:spacing w:line="440" w:lineRule="exact"/>
        <w:ind w:left="424" w:leftChars="202" w:right="531" w:rightChars="253" w:firstLine="371" w:firstLineChars="177"/>
        <w:contextualSpacing/>
        <w:rPr>
          <w:rFonts w:ascii="宋体" w:hAnsi="宋体"/>
          <w:szCs w:val="21"/>
        </w:rPr>
      </w:pPr>
      <w:r>
        <w:rPr>
          <w:rFonts w:hint="eastAsia" w:ascii="宋体" w:hAnsi="宋体"/>
          <w:szCs w:val="21"/>
        </w:rPr>
        <w:t>2、初步评审要求：开标后，招标方将组织审查投标文件是否完整；是否有计算错误。投标文件出现下列情形之一的，将作为无效投标文件：</w:t>
      </w:r>
    </w:p>
    <w:p w14:paraId="210BC77C">
      <w:pPr>
        <w:adjustRightInd w:val="0"/>
        <w:snapToGrid w:val="0"/>
        <w:spacing w:line="440" w:lineRule="exact"/>
        <w:ind w:left="424" w:leftChars="202" w:right="531" w:rightChars="253" w:firstLine="247" w:firstLineChars="118"/>
        <w:contextualSpacing/>
        <w:rPr>
          <w:rFonts w:ascii="宋体" w:hAnsi="宋体"/>
          <w:szCs w:val="21"/>
        </w:rPr>
      </w:pPr>
      <w:r>
        <w:rPr>
          <w:rFonts w:hint="eastAsia" w:ascii="宋体" w:hAnsi="宋体"/>
          <w:szCs w:val="21"/>
        </w:rPr>
        <w:t>（1）投标文件不响应磋商文件要求的；</w:t>
      </w:r>
    </w:p>
    <w:p w14:paraId="6FB527B5">
      <w:pPr>
        <w:adjustRightInd w:val="0"/>
        <w:snapToGrid w:val="0"/>
        <w:spacing w:line="440" w:lineRule="exact"/>
        <w:ind w:left="424" w:leftChars="202" w:right="531" w:rightChars="253" w:firstLine="247" w:firstLineChars="118"/>
        <w:contextualSpacing/>
        <w:rPr>
          <w:rFonts w:ascii="宋体" w:hAnsi="宋体"/>
          <w:szCs w:val="21"/>
        </w:rPr>
      </w:pPr>
      <w:r>
        <w:rPr>
          <w:rFonts w:hint="eastAsia" w:ascii="宋体" w:hAnsi="宋体"/>
          <w:szCs w:val="21"/>
        </w:rPr>
        <w:t>（2）投标函未盖投标人的企业及企业法定代表人印章或签字的，或者企业法定代表人委托代理人没有合法、有效的委托书（原件）及委托代理人印章或签字的；</w:t>
      </w:r>
    </w:p>
    <w:p w14:paraId="04ABD786">
      <w:pPr>
        <w:adjustRightInd w:val="0"/>
        <w:snapToGrid w:val="0"/>
        <w:spacing w:line="440" w:lineRule="exact"/>
        <w:ind w:left="424" w:leftChars="202" w:right="531" w:rightChars="253" w:firstLine="247" w:firstLineChars="118"/>
        <w:contextualSpacing/>
        <w:rPr>
          <w:rFonts w:ascii="宋体" w:hAnsi="宋体"/>
          <w:szCs w:val="21"/>
        </w:rPr>
      </w:pPr>
      <w:r>
        <w:rPr>
          <w:rFonts w:hint="eastAsia" w:ascii="宋体" w:hAnsi="宋体"/>
          <w:szCs w:val="21"/>
        </w:rPr>
        <w:t>（3）投标文件的关键内容模糊、无法辨认的；</w:t>
      </w:r>
    </w:p>
    <w:p w14:paraId="48075419">
      <w:pPr>
        <w:adjustRightInd w:val="0"/>
        <w:snapToGrid w:val="0"/>
        <w:spacing w:line="440" w:lineRule="exact"/>
        <w:ind w:left="424" w:leftChars="202" w:right="531" w:rightChars="253" w:firstLine="371" w:firstLineChars="177"/>
        <w:contextualSpacing/>
        <w:rPr>
          <w:rFonts w:ascii="宋体" w:hAnsi="宋体"/>
          <w:szCs w:val="21"/>
        </w:rPr>
      </w:pPr>
      <w:r>
        <w:rPr>
          <w:rFonts w:hint="eastAsia" w:ascii="宋体" w:hAnsi="宋体"/>
          <w:szCs w:val="21"/>
        </w:rPr>
        <w:t>3、评标小组先评审技术文件，后评审报价文件。</w:t>
      </w:r>
    </w:p>
    <w:p w14:paraId="648A113E">
      <w:pPr>
        <w:adjustRightInd w:val="0"/>
        <w:snapToGrid w:val="0"/>
        <w:spacing w:line="440" w:lineRule="exact"/>
        <w:ind w:left="424" w:leftChars="202" w:right="531" w:rightChars="253" w:firstLine="371" w:firstLineChars="177"/>
        <w:contextualSpacing/>
        <w:rPr>
          <w:rFonts w:ascii="宋体" w:hAnsi="宋体"/>
          <w:szCs w:val="21"/>
        </w:rPr>
      </w:pPr>
      <w:r>
        <w:rPr>
          <w:rFonts w:hint="eastAsia" w:ascii="宋体" w:hAnsi="宋体"/>
          <w:szCs w:val="21"/>
        </w:rPr>
        <w:t>4、严格按照扬州大学附属医院采购管理暂行办法，组成项目评标小组。严格按招标文件，公平、公正、科学、严谨地对投标文件进行综合评定。二次公告，满足两家并形成充分竞争，则正常开标。</w:t>
      </w:r>
    </w:p>
    <w:p w14:paraId="71C8E4A5">
      <w:pPr>
        <w:adjustRightInd w:val="0"/>
        <w:snapToGrid w:val="0"/>
        <w:spacing w:line="440" w:lineRule="exact"/>
        <w:ind w:left="422" w:leftChars="201" w:right="531" w:rightChars="253" w:firstLine="371" w:firstLineChars="177"/>
        <w:contextualSpacing/>
        <w:rPr>
          <w:rFonts w:ascii="宋体" w:hAnsi="宋体"/>
          <w:szCs w:val="21"/>
        </w:rPr>
      </w:pPr>
      <w:r>
        <w:rPr>
          <w:rFonts w:hint="eastAsia" w:ascii="宋体" w:hAnsi="宋体"/>
          <w:szCs w:val="21"/>
        </w:rPr>
        <w:t>5、谈判程序：</w:t>
      </w:r>
    </w:p>
    <w:p w14:paraId="34258A0B">
      <w:pPr>
        <w:adjustRightInd w:val="0"/>
        <w:snapToGrid w:val="0"/>
        <w:spacing w:line="440" w:lineRule="exact"/>
        <w:ind w:left="422" w:leftChars="201" w:right="531" w:rightChars="253" w:firstLine="373" w:firstLineChars="177"/>
        <w:contextualSpacing/>
        <w:rPr>
          <w:rFonts w:ascii="宋体" w:hAnsi="宋体"/>
          <w:b/>
          <w:szCs w:val="21"/>
        </w:rPr>
      </w:pPr>
      <w:r>
        <w:rPr>
          <w:rFonts w:hint="eastAsia" w:ascii="宋体" w:hAnsi="宋体"/>
          <w:b/>
          <w:szCs w:val="21"/>
        </w:rPr>
        <w:t>（1）资格审查；（2）投标单位自我介绍及产品介绍；（3）谈判及二次报价。</w:t>
      </w:r>
    </w:p>
    <w:p w14:paraId="7AC02A68">
      <w:pPr>
        <w:adjustRightInd w:val="0"/>
        <w:snapToGrid w:val="0"/>
        <w:spacing w:line="440" w:lineRule="exact"/>
        <w:ind w:left="422" w:leftChars="201" w:right="531" w:rightChars="253" w:firstLine="371" w:firstLineChars="177"/>
        <w:contextualSpacing/>
        <w:rPr>
          <w:rFonts w:ascii="宋体" w:hAnsi="宋体"/>
          <w:szCs w:val="21"/>
        </w:rPr>
      </w:pPr>
      <w:r>
        <w:rPr>
          <w:rFonts w:hint="eastAsia" w:ascii="宋体" w:hAnsi="宋体"/>
          <w:szCs w:val="21"/>
        </w:rPr>
        <w:t>6、定标</w:t>
      </w:r>
    </w:p>
    <w:p w14:paraId="1A0AA682">
      <w:pPr>
        <w:wordWrap w:val="0"/>
        <w:spacing w:line="440" w:lineRule="exact"/>
        <w:ind w:left="424" w:leftChars="202" w:right="531" w:rightChars="253" w:firstLine="361" w:firstLineChars="172"/>
        <w:contextualSpacing/>
        <w:jc w:val="left"/>
        <w:rPr>
          <w:rFonts w:asciiTheme="minorEastAsia" w:hAnsiTheme="minorEastAsia" w:eastAsiaTheme="minorEastAsia"/>
          <w:szCs w:val="21"/>
        </w:rPr>
      </w:pPr>
      <w:r>
        <w:rPr>
          <w:rFonts w:hint="eastAsia" w:asciiTheme="minorEastAsia" w:hAnsiTheme="minorEastAsia" w:eastAsiaTheme="minorEastAsia"/>
          <w:szCs w:val="21"/>
        </w:rPr>
        <w:t>综合评分第一名为中标单位。</w:t>
      </w:r>
    </w:p>
    <w:p w14:paraId="070A5C18">
      <w:pPr>
        <w:pStyle w:val="32"/>
      </w:pPr>
      <w:bookmarkStart w:id="14" w:name="_Toc39744258"/>
    </w:p>
    <w:p w14:paraId="0458E7DB">
      <w:r>
        <w:rPr>
          <w:rFonts w:hint="eastAsia"/>
        </w:rPr>
        <w:br w:type="page"/>
      </w:r>
    </w:p>
    <w:p w14:paraId="12C3ED4F">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b/>
          <w:sz w:val="32"/>
          <w:szCs w:val="32"/>
        </w:rPr>
      </w:pPr>
      <w:r>
        <w:rPr>
          <w:rFonts w:hint="eastAsia"/>
          <w:b/>
          <w:sz w:val="32"/>
          <w:szCs w:val="32"/>
        </w:rPr>
        <w:t>五、投标文件格式及附件要求</w:t>
      </w:r>
      <w:bookmarkEnd w:id="14"/>
    </w:p>
    <w:p w14:paraId="032A424B">
      <w:pPr>
        <w:jc w:val="center"/>
        <w:rPr>
          <w:b/>
          <w:sz w:val="36"/>
          <w:szCs w:val="36"/>
        </w:rPr>
      </w:pPr>
    </w:p>
    <w:p w14:paraId="17CE00F1">
      <w:pPr>
        <w:jc w:val="center"/>
        <w:rPr>
          <w:rFonts w:ascii="宋体" w:hAnsi="宋体"/>
          <w:b/>
          <w:sz w:val="36"/>
          <w:szCs w:val="36"/>
          <w:u w:val="single"/>
        </w:rPr>
      </w:pPr>
      <w:r>
        <w:rPr>
          <w:rFonts w:hint="eastAsia"/>
          <w:b/>
          <w:sz w:val="36"/>
          <w:szCs w:val="36"/>
        </w:rPr>
        <w:t>目录</w:t>
      </w:r>
    </w:p>
    <w:p w14:paraId="37921BB0">
      <w:pPr>
        <w:adjustRightInd w:val="0"/>
        <w:snapToGrid w:val="0"/>
        <w:spacing w:line="440" w:lineRule="exact"/>
        <w:ind w:left="846" w:leftChars="403" w:firstLine="2" w:firstLineChars="1"/>
        <w:contextualSpacing/>
        <w:rPr>
          <w:rFonts w:ascii="宋体" w:hAnsi="宋体"/>
          <w:snapToGrid w:val="0"/>
          <w:sz w:val="24"/>
        </w:rPr>
      </w:pPr>
      <w:r>
        <w:rPr>
          <w:rFonts w:hint="eastAsia" w:ascii="宋体" w:hAnsi="宋体"/>
          <w:snapToGrid w:val="0"/>
          <w:sz w:val="24"/>
        </w:rPr>
        <w:t>（一）资格审查</w:t>
      </w:r>
    </w:p>
    <w:p w14:paraId="630DBC40">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1、针对本项目的授权委托书原件；</w:t>
      </w:r>
    </w:p>
    <w:p w14:paraId="00C7A4D7">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2、企业法人营业执照；</w:t>
      </w:r>
    </w:p>
    <w:p w14:paraId="5CA8547F">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3、企业资质证书；</w:t>
      </w:r>
    </w:p>
    <w:p w14:paraId="57182BAE">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4、由社保部门出具的投标人为经办人及投标报名项目负责人缴纳的近三个月任意一个月养老保险费用的证明材料；</w:t>
      </w:r>
    </w:p>
    <w:p w14:paraId="7C35E963">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5、投标单位不在供应商被“信用中国”网站（www.creditchina.gov.cn）、“中国政府采购网"(www.ccgp.gov.cn)列入失信被执行人、重大税收违法案件当事人名单、政府采购严重违法失信行为记录名单的截图，并盖章；</w:t>
      </w:r>
    </w:p>
    <w:p w14:paraId="5794D505">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ascii="宋体" w:hAnsi="宋体"/>
          <w:snapToGrid w:val="0"/>
          <w:sz w:val="24"/>
        </w:rPr>
        <w:t>6、</w:t>
      </w:r>
      <w:r>
        <w:rPr>
          <w:rFonts w:hint="eastAsia" w:ascii="宋体" w:hAnsi="宋体"/>
          <w:snapToGrid w:val="0"/>
          <w:sz w:val="24"/>
        </w:rPr>
        <w:t>需求响应表（格式自拟）；</w:t>
      </w:r>
    </w:p>
    <w:p w14:paraId="52F72403">
      <w:pPr>
        <w:tabs>
          <w:tab w:val="left" w:pos="1300"/>
          <w:tab w:val="left" w:pos="1600"/>
        </w:tabs>
        <w:adjustRightInd w:val="0"/>
        <w:snapToGrid w:val="0"/>
        <w:spacing w:line="440" w:lineRule="exact"/>
        <w:ind w:left="846" w:leftChars="403" w:firstLine="240" w:firstLineChars="100"/>
        <w:contextualSpacing/>
        <w:rPr>
          <w:rFonts w:hint="default" w:ascii="宋体" w:hAnsi="宋体"/>
          <w:snapToGrid w:val="0"/>
          <w:sz w:val="24"/>
          <w:lang w:val="en-US" w:eastAsia="zh-CN"/>
        </w:rPr>
      </w:pPr>
      <w:r>
        <w:rPr>
          <w:rFonts w:hint="eastAsia" w:ascii="宋体" w:hAnsi="宋体"/>
          <w:snapToGrid w:val="0"/>
          <w:sz w:val="24"/>
        </w:rPr>
        <w:t>7、</w:t>
      </w:r>
      <w:r>
        <w:rPr>
          <w:rFonts w:hint="eastAsia" w:ascii="宋体" w:hAnsi="宋体"/>
          <w:snapToGrid w:val="0"/>
          <w:sz w:val="24"/>
          <w:lang w:val="en-US" w:eastAsia="zh-CN"/>
        </w:rPr>
        <w:t>四、（二）、1中要求的材料；</w:t>
      </w:r>
    </w:p>
    <w:p w14:paraId="5ACB4FF5">
      <w:pPr>
        <w:tabs>
          <w:tab w:val="left" w:pos="1300"/>
          <w:tab w:val="left" w:pos="1600"/>
        </w:tabs>
        <w:adjustRightInd w:val="0"/>
        <w:snapToGrid w:val="0"/>
        <w:spacing w:line="440" w:lineRule="exact"/>
        <w:ind w:left="846" w:leftChars="403" w:firstLine="240" w:firstLineChars="100"/>
        <w:contextualSpacing/>
        <w:rPr>
          <w:rFonts w:hint="default" w:ascii="宋体" w:hAnsi="宋体"/>
          <w:snapToGrid w:val="0"/>
          <w:sz w:val="24"/>
          <w:lang w:val="en-US" w:eastAsia="zh-CN"/>
        </w:rPr>
      </w:pPr>
      <w:r>
        <w:rPr>
          <w:rFonts w:hint="eastAsia" w:ascii="宋体" w:hAnsi="宋体"/>
          <w:snapToGrid w:val="0"/>
          <w:sz w:val="24"/>
          <w:lang w:val="en-US" w:eastAsia="zh-CN"/>
        </w:rPr>
        <w:t>8、</w:t>
      </w:r>
      <w:r>
        <w:rPr>
          <w:rFonts w:hint="eastAsia" w:ascii="宋体" w:hAnsi="宋体"/>
          <w:snapToGrid w:val="0"/>
          <w:sz w:val="24"/>
        </w:rPr>
        <w:t>投标人认为需要提供的其他材料。</w:t>
      </w:r>
    </w:p>
    <w:p w14:paraId="045FE6C5">
      <w:pPr>
        <w:adjustRightInd w:val="0"/>
        <w:snapToGrid w:val="0"/>
        <w:spacing w:line="440" w:lineRule="exact"/>
        <w:ind w:left="846" w:leftChars="403" w:firstLine="2" w:firstLineChars="1"/>
        <w:contextualSpacing/>
        <w:rPr>
          <w:rFonts w:ascii="宋体" w:hAnsi="宋体"/>
          <w:snapToGrid w:val="0"/>
          <w:sz w:val="24"/>
        </w:rPr>
      </w:pPr>
      <w:r>
        <w:rPr>
          <w:rFonts w:hint="eastAsia" w:ascii="宋体" w:hAnsi="宋体"/>
          <w:snapToGrid w:val="0"/>
          <w:sz w:val="24"/>
        </w:rPr>
        <w:t>（二）报价文件</w:t>
      </w:r>
    </w:p>
    <w:p w14:paraId="28E2A569">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1、投标函</w:t>
      </w:r>
    </w:p>
    <w:p w14:paraId="47CC7626">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2、授权委托书</w:t>
      </w:r>
    </w:p>
    <w:p w14:paraId="77EBC7DD">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3、投标报价</w:t>
      </w:r>
    </w:p>
    <w:p w14:paraId="68B45C8A">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4、分项报价</w:t>
      </w:r>
    </w:p>
    <w:p w14:paraId="5423928C">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5、供应商廉洁自律承诺书</w:t>
      </w:r>
    </w:p>
    <w:p w14:paraId="4A54066A">
      <w:pPr>
        <w:pStyle w:val="32"/>
      </w:pPr>
    </w:p>
    <w:p w14:paraId="5F1FF2F5">
      <w:pPr>
        <w:pStyle w:val="32"/>
      </w:pPr>
    </w:p>
    <w:p w14:paraId="71F78654">
      <w:pPr>
        <w:adjustRightInd w:val="0"/>
        <w:snapToGrid w:val="0"/>
        <w:spacing w:line="440" w:lineRule="exact"/>
        <w:ind w:left="424" w:leftChars="202" w:firstLine="371" w:firstLineChars="177"/>
        <w:contextualSpacing/>
        <w:rPr>
          <w:rFonts w:ascii="宋体" w:hAnsi="宋体"/>
          <w:bCs/>
          <w:szCs w:val="21"/>
        </w:rPr>
      </w:pPr>
    </w:p>
    <w:p w14:paraId="49A8762E">
      <w:pPr>
        <w:tabs>
          <w:tab w:val="left" w:pos="1300"/>
          <w:tab w:val="left" w:pos="1600"/>
        </w:tabs>
        <w:spacing w:line="560" w:lineRule="exact"/>
        <w:ind w:firstLine="420" w:firstLineChars="200"/>
        <w:rPr>
          <w:rFonts w:ascii="宋体" w:hAnsi="宋体"/>
          <w:bCs/>
          <w:szCs w:val="21"/>
        </w:rPr>
      </w:pPr>
    </w:p>
    <w:p w14:paraId="2A3F476A">
      <w:pPr>
        <w:tabs>
          <w:tab w:val="left" w:pos="1300"/>
          <w:tab w:val="left" w:pos="1600"/>
        </w:tabs>
        <w:spacing w:line="560" w:lineRule="exact"/>
        <w:ind w:firstLine="420" w:firstLineChars="200"/>
        <w:rPr>
          <w:rFonts w:ascii="宋体" w:hAnsi="宋体"/>
          <w:bCs/>
          <w:szCs w:val="21"/>
        </w:rPr>
      </w:pPr>
    </w:p>
    <w:p w14:paraId="4B77A0CA">
      <w:pPr>
        <w:tabs>
          <w:tab w:val="left" w:pos="1300"/>
          <w:tab w:val="left" w:pos="1600"/>
        </w:tabs>
        <w:spacing w:line="560" w:lineRule="exact"/>
        <w:ind w:firstLine="480" w:firstLineChars="200"/>
        <w:rPr>
          <w:rFonts w:ascii="宋体" w:hAnsi="宋体"/>
          <w:snapToGrid w:val="0"/>
          <w:sz w:val="24"/>
        </w:rPr>
      </w:pPr>
    </w:p>
    <w:p w14:paraId="1D2D9D00">
      <w:pPr>
        <w:pStyle w:val="13"/>
        <w:rPr>
          <w:rFonts w:ascii="黑体" w:hAnsi="Times New Roman" w:eastAsia="黑体"/>
          <w:b/>
          <w:sz w:val="36"/>
        </w:rPr>
      </w:pPr>
    </w:p>
    <w:p w14:paraId="4A9C0CFD">
      <w:pPr>
        <w:pStyle w:val="13"/>
        <w:rPr>
          <w:rFonts w:ascii="黑体" w:hAnsi="Times New Roman" w:eastAsia="黑体"/>
          <w:b/>
          <w:sz w:val="36"/>
        </w:rPr>
      </w:pPr>
    </w:p>
    <w:p w14:paraId="4C7B3DBD">
      <w:pPr>
        <w:pStyle w:val="13"/>
        <w:rPr>
          <w:rFonts w:ascii="黑体" w:hAnsi="Times New Roman" w:eastAsia="黑体"/>
          <w:b/>
          <w:sz w:val="36"/>
        </w:rPr>
      </w:pPr>
    </w:p>
    <w:p w14:paraId="3D141811">
      <w:pPr>
        <w:pStyle w:val="13"/>
        <w:rPr>
          <w:rFonts w:ascii="黑体" w:hAnsi="Times New Roman" w:eastAsia="黑体"/>
          <w:b/>
          <w:sz w:val="36"/>
        </w:rPr>
      </w:pPr>
    </w:p>
    <w:p w14:paraId="18329048">
      <w:pPr>
        <w:pStyle w:val="13"/>
        <w:jc w:val="center"/>
        <w:rPr>
          <w:rFonts w:asciiTheme="minorEastAsia" w:hAnsiTheme="minorEastAsia" w:eastAsiaTheme="minorEastAsia"/>
          <w:b/>
          <w:sz w:val="36"/>
        </w:rPr>
      </w:pPr>
      <w:r>
        <w:rPr>
          <w:rFonts w:hint="eastAsia" w:asciiTheme="minorEastAsia" w:hAnsiTheme="minorEastAsia" w:eastAsiaTheme="minorEastAsia"/>
          <w:b/>
          <w:sz w:val="36"/>
        </w:rPr>
        <w:t>授权</w:t>
      </w:r>
      <w:r>
        <w:rPr>
          <w:rFonts w:hint="eastAsia" w:asciiTheme="minorEastAsia" w:hAnsiTheme="minorEastAsia" w:eastAsiaTheme="minorEastAsia"/>
          <w:b/>
          <w:sz w:val="36"/>
          <w:lang w:val="en-US" w:eastAsia="zh-CN"/>
        </w:rPr>
        <w:t>委托</w:t>
      </w:r>
      <w:r>
        <w:rPr>
          <w:rFonts w:hint="eastAsia" w:asciiTheme="minorEastAsia" w:hAnsiTheme="minorEastAsia" w:eastAsiaTheme="minorEastAsia"/>
          <w:b/>
          <w:sz w:val="36"/>
        </w:rPr>
        <w:t>书</w:t>
      </w:r>
    </w:p>
    <w:p w14:paraId="0333A3F3">
      <w:pPr>
        <w:pStyle w:val="13"/>
        <w:jc w:val="center"/>
        <w:rPr>
          <w:rFonts w:asciiTheme="minorEastAsia" w:hAnsiTheme="minorEastAsia" w:eastAsiaTheme="minorEastAsia"/>
          <w:b/>
          <w:sz w:val="24"/>
          <w:szCs w:val="24"/>
        </w:rPr>
      </w:pPr>
    </w:p>
    <w:p w14:paraId="1E51BD9F">
      <w:pPr>
        <w:pStyle w:val="13"/>
        <w:spacing w:line="480" w:lineRule="auto"/>
        <w:ind w:firstLine="420"/>
        <w:rPr>
          <w:rFonts w:asciiTheme="minorEastAsia" w:hAnsiTheme="minorEastAsia" w:eastAsiaTheme="minorEastAsia"/>
          <w:sz w:val="24"/>
          <w:szCs w:val="24"/>
          <w:u w:val="single"/>
        </w:rPr>
      </w:pPr>
      <w:r>
        <w:rPr>
          <w:rFonts w:hint="eastAsia" w:asciiTheme="minorEastAsia" w:hAnsiTheme="minorEastAsia" w:eastAsiaTheme="minorEastAsia"/>
          <w:sz w:val="24"/>
          <w:szCs w:val="24"/>
        </w:rPr>
        <w:t>本授权委托书声明：我</w:t>
      </w:r>
      <w:r>
        <w:rPr>
          <w:rFonts w:asciiTheme="minorEastAsia" w:hAnsiTheme="minorEastAsia" w:eastAsiaTheme="minorEastAsia"/>
          <w:sz w:val="24"/>
          <w:szCs w:val="24"/>
        </w:rPr>
        <w:t>(</w:t>
      </w:r>
      <w:r>
        <w:rPr>
          <w:rFonts w:hint="eastAsia" w:asciiTheme="minorEastAsia" w:hAnsiTheme="minorEastAsia" w:eastAsiaTheme="minorEastAsia"/>
          <w:sz w:val="24"/>
          <w:szCs w:val="24"/>
        </w:rPr>
        <w:t>姓名</w:t>
      </w:r>
      <w:r>
        <w:rPr>
          <w:rFonts w:asciiTheme="minorEastAsia" w:hAnsiTheme="minorEastAsia" w:eastAsiaTheme="minorEastAsia"/>
          <w:sz w:val="24"/>
          <w:szCs w:val="24"/>
        </w:rPr>
        <w:t>)</w:t>
      </w:r>
      <w:r>
        <w:rPr>
          <w:rFonts w:hint="eastAsia" w:asciiTheme="minorEastAsia" w:hAnsiTheme="minorEastAsia" w:eastAsiaTheme="minorEastAsia"/>
          <w:sz w:val="24"/>
          <w:szCs w:val="24"/>
        </w:rPr>
        <w:t>系</w:t>
      </w:r>
      <w:r>
        <w:rPr>
          <w:rFonts w:asciiTheme="minorEastAsia" w:hAnsiTheme="minorEastAsia" w:eastAsiaTheme="minorEastAsia"/>
          <w:sz w:val="24"/>
          <w:szCs w:val="24"/>
        </w:rPr>
        <w:t>(</w:t>
      </w:r>
      <w:r>
        <w:rPr>
          <w:rFonts w:hint="eastAsia" w:asciiTheme="minorEastAsia" w:hAnsiTheme="minorEastAsia" w:eastAsiaTheme="minorEastAsia"/>
          <w:sz w:val="24"/>
          <w:szCs w:val="24"/>
        </w:rPr>
        <w:t>投标人名称</w:t>
      </w:r>
      <w:r>
        <w:rPr>
          <w:rFonts w:asciiTheme="minorEastAsia" w:hAnsiTheme="minorEastAsia" w:eastAsiaTheme="minorEastAsia"/>
          <w:sz w:val="24"/>
          <w:szCs w:val="24"/>
        </w:rPr>
        <w:t>)</w:t>
      </w:r>
      <w:r>
        <w:rPr>
          <w:rFonts w:hint="eastAsia" w:asciiTheme="minorEastAsia" w:hAnsiTheme="minorEastAsia" w:eastAsiaTheme="minorEastAsia"/>
          <w:sz w:val="24"/>
          <w:szCs w:val="24"/>
        </w:rPr>
        <w:t>的法定代表人，现授权委托我单位的(姓名)为我公司代理人。代理人在</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项目院内公开谈判签署的一切文件和处理与之有关的一切事务，我均予以承认。</w:t>
      </w:r>
    </w:p>
    <w:p w14:paraId="55FE48D5">
      <w:pPr>
        <w:pStyle w:val="13"/>
        <w:spacing w:line="48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代理人无转委权。特此委托。</w:t>
      </w:r>
    </w:p>
    <w:p w14:paraId="7CF4E891">
      <w:pPr>
        <w:pStyle w:val="13"/>
        <w:spacing w:line="480" w:lineRule="auto"/>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投标人：</w:t>
      </w:r>
      <w:r>
        <w:rPr>
          <w:rFonts w:asciiTheme="minorEastAsia" w:hAnsiTheme="minorEastAsia" w:eastAsiaTheme="minorEastAsia"/>
          <w:sz w:val="24"/>
          <w:szCs w:val="24"/>
        </w:rPr>
        <w:t>(</w:t>
      </w:r>
      <w:r>
        <w:rPr>
          <w:rFonts w:hint="eastAsia" w:asciiTheme="minorEastAsia" w:hAnsiTheme="minorEastAsia" w:eastAsiaTheme="minorEastAsia"/>
          <w:sz w:val="24"/>
          <w:szCs w:val="24"/>
        </w:rPr>
        <w:t>盖章</w:t>
      </w:r>
      <w:r>
        <w:rPr>
          <w:rFonts w:asciiTheme="minorEastAsia" w:hAnsiTheme="minorEastAsia" w:eastAsiaTheme="minorEastAsia"/>
          <w:sz w:val="24"/>
          <w:szCs w:val="24"/>
        </w:rPr>
        <w:t>)</w:t>
      </w:r>
    </w:p>
    <w:p w14:paraId="139144B3">
      <w:pPr>
        <w:pStyle w:val="13"/>
        <w:spacing w:line="480" w:lineRule="auto"/>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法定代表人：</w:t>
      </w:r>
      <w:r>
        <w:rPr>
          <w:rFonts w:asciiTheme="minorEastAsia" w:hAnsiTheme="minorEastAsia" w:eastAsiaTheme="minorEastAsia"/>
          <w:sz w:val="24"/>
          <w:szCs w:val="24"/>
        </w:rPr>
        <w:t>(</w:t>
      </w:r>
      <w:r>
        <w:rPr>
          <w:rFonts w:hint="eastAsia" w:asciiTheme="minorEastAsia" w:hAnsiTheme="minorEastAsia" w:eastAsiaTheme="minorEastAsia"/>
          <w:sz w:val="24"/>
          <w:szCs w:val="24"/>
        </w:rPr>
        <w:t>签字</w:t>
      </w:r>
      <w:r>
        <w:rPr>
          <w:rFonts w:asciiTheme="minorEastAsia" w:hAnsiTheme="minorEastAsia" w:eastAsiaTheme="minorEastAsia"/>
          <w:sz w:val="24"/>
          <w:szCs w:val="24"/>
        </w:rPr>
        <w:t>)</w:t>
      </w:r>
    </w:p>
    <w:p w14:paraId="3278DB88">
      <w:pPr>
        <w:pStyle w:val="13"/>
        <w:spacing w:line="480" w:lineRule="auto"/>
        <w:ind w:firstLine="360" w:firstLineChars="150"/>
        <w:rPr>
          <w:rFonts w:asciiTheme="minorEastAsia" w:hAnsiTheme="minorEastAsia" w:eastAsiaTheme="minorEastAsia"/>
          <w:sz w:val="24"/>
          <w:szCs w:val="24"/>
        </w:rPr>
      </w:pPr>
    </w:p>
    <w:p w14:paraId="140C33ED">
      <w:pPr>
        <w:pStyle w:val="13"/>
        <w:spacing w:line="480" w:lineRule="auto"/>
        <w:ind w:firstLine="1200" w:firstLineChars="500"/>
        <w:jc w:val="right"/>
        <w:rPr>
          <w:rFonts w:asciiTheme="minorEastAsia" w:hAnsiTheme="minorEastAsia" w:eastAsiaTheme="minorEastAsia"/>
          <w:sz w:val="24"/>
          <w:szCs w:val="24"/>
        </w:rPr>
      </w:pPr>
      <w:r>
        <w:rPr>
          <w:rFonts w:hint="eastAsia" w:asciiTheme="minorEastAsia" w:hAnsiTheme="minorEastAsia" w:eastAsiaTheme="minorEastAsia"/>
          <w:sz w:val="24"/>
          <w:szCs w:val="24"/>
        </w:rPr>
        <w:t>日期： 年   月    日</w:t>
      </w:r>
    </w:p>
    <w:p w14:paraId="21A0DB88">
      <w:pPr>
        <w:pStyle w:val="13"/>
        <w:spacing w:line="480" w:lineRule="auto"/>
        <w:ind w:firstLine="420"/>
        <w:rPr>
          <w:rFonts w:asciiTheme="minorEastAsia" w:hAnsiTheme="minorEastAsia" w:eastAsiaTheme="minorEastAsia"/>
          <w:sz w:val="24"/>
          <w:szCs w:val="24"/>
        </w:rPr>
      </w:pPr>
    </w:p>
    <w:p w14:paraId="3479FDB3">
      <w:pPr>
        <w:pStyle w:val="13"/>
        <w:spacing w:line="48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代理人姓名：签字：</w:t>
      </w:r>
    </w:p>
    <w:p w14:paraId="69B45863">
      <w:pPr>
        <w:pStyle w:val="13"/>
        <w:spacing w:line="480" w:lineRule="auto"/>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身份证复印件：</w:t>
      </w:r>
    </w:p>
    <w:p w14:paraId="3495A1B2">
      <w:pPr>
        <w:spacing w:line="400" w:lineRule="exact"/>
        <w:ind w:firstLine="480" w:firstLineChars="200"/>
        <w:rPr>
          <w:rFonts w:ascii="宋体" w:hAnsi="宋体"/>
          <w:sz w:val="24"/>
        </w:rPr>
      </w:pPr>
    </w:p>
    <w:p w14:paraId="211BEE84">
      <w:pPr>
        <w:spacing w:line="400" w:lineRule="exact"/>
        <w:rPr>
          <w:rFonts w:ascii="宋体" w:hAnsi="宋体"/>
          <w:sz w:val="28"/>
        </w:rPr>
      </w:pPr>
    </w:p>
    <w:p w14:paraId="1CEC8BD3">
      <w:pPr>
        <w:spacing w:line="400" w:lineRule="exact"/>
        <w:rPr>
          <w:rFonts w:ascii="宋体" w:hAnsi="宋体"/>
          <w:sz w:val="28"/>
        </w:rPr>
      </w:pPr>
    </w:p>
    <w:p w14:paraId="6A311AFC">
      <w:pPr>
        <w:spacing w:line="500" w:lineRule="exact"/>
        <w:jc w:val="center"/>
        <w:rPr>
          <w:rFonts w:ascii="黑体" w:eastAsia="黑体"/>
          <w:b/>
          <w:bCs/>
          <w:sz w:val="36"/>
          <w:szCs w:val="36"/>
        </w:rPr>
      </w:pPr>
    </w:p>
    <w:p w14:paraId="014C364E">
      <w:pPr>
        <w:pStyle w:val="13"/>
        <w:jc w:val="center"/>
        <w:rPr>
          <w:rFonts w:ascii="黑体" w:hAnsi="Times New Roman" w:eastAsia="黑体"/>
          <w:b/>
          <w:sz w:val="36"/>
        </w:rPr>
      </w:pPr>
    </w:p>
    <w:p w14:paraId="1C62407C">
      <w:pPr>
        <w:pStyle w:val="13"/>
        <w:jc w:val="center"/>
        <w:rPr>
          <w:rFonts w:ascii="黑体" w:hAnsi="Times New Roman" w:eastAsia="黑体"/>
          <w:b/>
          <w:sz w:val="36"/>
        </w:rPr>
      </w:pPr>
    </w:p>
    <w:p w14:paraId="29C3F8F8">
      <w:pPr>
        <w:pStyle w:val="13"/>
        <w:jc w:val="center"/>
        <w:rPr>
          <w:rFonts w:ascii="黑体" w:hAnsi="Times New Roman" w:eastAsia="黑体"/>
          <w:b/>
          <w:sz w:val="36"/>
        </w:rPr>
      </w:pPr>
    </w:p>
    <w:p w14:paraId="750D039B">
      <w:pPr>
        <w:pStyle w:val="13"/>
        <w:rPr>
          <w:rFonts w:ascii="黑体" w:eastAsia="黑体"/>
          <w:b/>
          <w:bCs/>
          <w:sz w:val="36"/>
          <w:szCs w:val="36"/>
        </w:rPr>
      </w:pPr>
    </w:p>
    <w:p w14:paraId="5D2949BC">
      <w:pPr>
        <w:pStyle w:val="14"/>
        <w:widowControl/>
        <w:spacing w:line="540" w:lineRule="exact"/>
        <w:ind w:left="0" w:leftChars="0"/>
        <w:jc w:val="center"/>
        <w:rPr>
          <w:rFonts w:hint="eastAsia" w:ascii="宋体" w:hAnsi="宋体"/>
          <w:b w:val="0"/>
          <w:bCs w:val="0"/>
          <w:szCs w:val="32"/>
        </w:rPr>
      </w:pPr>
      <w:r>
        <w:rPr>
          <w:rFonts w:hint="eastAsia" w:ascii="宋体" w:hAnsi="宋体"/>
          <w:b w:val="0"/>
          <w:bCs w:val="0"/>
          <w:szCs w:val="32"/>
        </w:rPr>
        <w:br w:type="page"/>
      </w:r>
    </w:p>
    <w:p w14:paraId="6E126EC4">
      <w:pPr>
        <w:pStyle w:val="13"/>
        <w:jc w:val="center"/>
        <w:rPr>
          <w:rFonts w:hint="eastAsia" w:asciiTheme="minorEastAsia" w:hAnsiTheme="minorEastAsia" w:eastAsiaTheme="minorEastAsia"/>
          <w:b/>
          <w:sz w:val="36"/>
        </w:rPr>
      </w:pPr>
      <w:r>
        <w:rPr>
          <w:rFonts w:hint="eastAsia" w:asciiTheme="minorEastAsia" w:hAnsiTheme="minorEastAsia" w:eastAsiaTheme="minorEastAsia"/>
          <w:b/>
          <w:sz w:val="36"/>
        </w:rPr>
        <w:t>资格声明</w:t>
      </w:r>
    </w:p>
    <w:p w14:paraId="5AC371A9">
      <w:pPr>
        <w:pStyle w:val="13"/>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致：</w:t>
      </w:r>
      <w:r>
        <w:rPr>
          <w:rFonts w:hint="eastAsia" w:ascii="宋体" w:hAnsi="宋体"/>
          <w:sz w:val="24"/>
          <w:u w:val="single"/>
        </w:rPr>
        <w:t xml:space="preserve"> 扬州大学附属医院</w:t>
      </w:r>
    </w:p>
    <w:p w14:paraId="772314A0">
      <w:pPr>
        <w:pStyle w:val="13"/>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关于贵单位的                              项目的采购谈判公告，本公司（企业）愿意参加竞价，并声明：</w:t>
      </w:r>
    </w:p>
    <w:p w14:paraId="18B08AE1">
      <w:pPr>
        <w:pStyle w:val="13"/>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一、本公司（企业）具备《中华人民共和国政府采购法》第二十二条规定的条件：</w:t>
      </w:r>
    </w:p>
    <w:p w14:paraId="5C2826EA">
      <w:pPr>
        <w:pStyle w:val="13"/>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 xml:space="preserve">（一）具有独立承担民事责任的能力； </w:t>
      </w:r>
    </w:p>
    <w:p w14:paraId="41A4CDD9">
      <w:pPr>
        <w:pStyle w:val="13"/>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 xml:space="preserve">（二）具有良好的商业信誉和健全的财务会计制度； </w:t>
      </w:r>
    </w:p>
    <w:p w14:paraId="1F5E5A30">
      <w:pPr>
        <w:pStyle w:val="13"/>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 xml:space="preserve">（三）具有履行合同所必需的设备和专业技术能力； </w:t>
      </w:r>
    </w:p>
    <w:p w14:paraId="6A68D922">
      <w:pPr>
        <w:pStyle w:val="13"/>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 xml:space="preserve">（四）有依法缴纳税收和社会保障资金的良好记录； </w:t>
      </w:r>
    </w:p>
    <w:p w14:paraId="19F96D39">
      <w:pPr>
        <w:pStyle w:val="13"/>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（五）参加政府采购活动前三年内，在经营活动中没有重大违法记录；</w:t>
      </w:r>
    </w:p>
    <w:p w14:paraId="39844BB9">
      <w:pPr>
        <w:pStyle w:val="13"/>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（六）法律、行政法规规定的其他条件。</w:t>
      </w:r>
    </w:p>
    <w:p w14:paraId="4BD689F9">
      <w:pPr>
        <w:pStyle w:val="13"/>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 xml:space="preserve">二、本公司（企业）具有本次采购项目服务能力。 </w:t>
      </w:r>
    </w:p>
    <w:p w14:paraId="14D388D8">
      <w:pPr>
        <w:pStyle w:val="13"/>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三、本公司（企业）有固定的经营场所，信誉良好、售后维护服务好，并且在经营活动</w:t>
      </w:r>
    </w:p>
    <w:p w14:paraId="0907C542">
      <w:pPr>
        <w:pStyle w:val="13"/>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中无严重违法记录。</w:t>
      </w:r>
    </w:p>
    <w:p w14:paraId="0062151D">
      <w:pPr>
        <w:pStyle w:val="13"/>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 xml:space="preserve">四、本公司（企业）在本项目中不联合参评。 </w:t>
      </w:r>
    </w:p>
    <w:p w14:paraId="2D251209">
      <w:pPr>
        <w:pStyle w:val="13"/>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本公司（企业）承诺在本次采购活动中，如有违法、违规、弄虚作假行为，所造成的损失、不良后果及法律责任，一律由我公司（企业）承担。</w:t>
      </w:r>
    </w:p>
    <w:p w14:paraId="3F0EBFFA">
      <w:pPr>
        <w:pStyle w:val="13"/>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特此声明！</w:t>
      </w:r>
    </w:p>
    <w:p w14:paraId="0E4A9465">
      <w:pPr>
        <w:pStyle w:val="13"/>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备注：</w:t>
      </w:r>
    </w:p>
    <w:p w14:paraId="0B3FE9F6">
      <w:pPr>
        <w:pStyle w:val="13"/>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(1)本声明函必须提供且内容不得擅自删改，否则视为响应无效。</w:t>
      </w:r>
    </w:p>
    <w:p w14:paraId="22DF7BFC">
      <w:pPr>
        <w:pStyle w:val="13"/>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(2)本声明函如有虚假或与事实不符的，作无效参评处理。</w:t>
      </w:r>
    </w:p>
    <w:p w14:paraId="0BDD38B1">
      <w:pPr>
        <w:pStyle w:val="13"/>
        <w:spacing w:line="480" w:lineRule="auto"/>
        <w:ind w:firstLine="1200" w:firstLineChars="500"/>
        <w:jc w:val="right"/>
        <w:rPr>
          <w:rFonts w:hint="eastAsia"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供应商名称（单位盖公章）：</w:t>
      </w:r>
    </w:p>
    <w:p w14:paraId="53F21E8B">
      <w:pPr>
        <w:pStyle w:val="13"/>
        <w:spacing w:line="480" w:lineRule="auto"/>
        <w:ind w:firstLine="1200" w:firstLineChars="500"/>
        <w:jc w:val="center"/>
        <w:rPr>
          <w:rFonts w:hint="eastAsia"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 xml:space="preserve">              日期：</w:t>
      </w:r>
    </w:p>
    <w:p w14:paraId="48087AC6">
      <w:pPr>
        <w:pStyle w:val="13"/>
        <w:spacing w:line="480" w:lineRule="auto"/>
        <w:ind w:firstLine="420"/>
        <w:rPr>
          <w:rFonts w:hint="eastAsia" w:asciiTheme="minorEastAsia" w:hAnsiTheme="minorEastAsia" w:eastAsiaTheme="minorEastAsia"/>
          <w:sz w:val="24"/>
          <w:szCs w:val="24"/>
          <w:lang w:val="en-US" w:eastAsia="zh-CN"/>
        </w:rPr>
      </w:pPr>
    </w:p>
    <w:p w14:paraId="67A0CBAD">
      <w:pPr>
        <w:pStyle w:val="14"/>
        <w:widowControl/>
        <w:spacing w:line="540" w:lineRule="exact"/>
        <w:ind w:left="0" w:leftChars="0"/>
        <w:jc w:val="both"/>
        <w:rPr>
          <w:rFonts w:hint="eastAsia" w:ascii="宋体" w:hAnsi="宋体"/>
          <w:b w:val="0"/>
          <w:bCs w:val="0"/>
          <w:szCs w:val="32"/>
        </w:rPr>
      </w:pPr>
    </w:p>
    <w:p w14:paraId="032AE82A">
      <w:pPr>
        <w:rPr>
          <w:rFonts w:hint="eastAsia" w:ascii="宋体" w:hAnsi="宋体"/>
          <w:b w:val="0"/>
          <w:bCs w:val="0"/>
          <w:szCs w:val="32"/>
        </w:rPr>
      </w:pPr>
    </w:p>
    <w:p w14:paraId="4F47923C">
      <w:pPr>
        <w:pStyle w:val="2"/>
        <w:rPr>
          <w:rFonts w:hint="eastAsia"/>
        </w:rPr>
      </w:pPr>
    </w:p>
    <w:p w14:paraId="3DD1EC92">
      <w:pPr>
        <w:pStyle w:val="14"/>
        <w:widowControl/>
        <w:spacing w:line="540" w:lineRule="exact"/>
        <w:ind w:left="0" w:leftChars="0"/>
        <w:jc w:val="center"/>
        <w:rPr>
          <w:rFonts w:ascii="宋体" w:hAnsi="宋体" w:eastAsia="宋体"/>
          <w:sz w:val="36"/>
          <w:szCs w:val="36"/>
        </w:rPr>
      </w:pPr>
      <w:r>
        <w:rPr>
          <w:rFonts w:hint="eastAsia" w:ascii="宋体" w:hAnsi="宋体" w:eastAsia="宋体"/>
          <w:sz w:val="36"/>
          <w:szCs w:val="36"/>
        </w:rPr>
        <w:t>承诺书</w:t>
      </w:r>
    </w:p>
    <w:p w14:paraId="1E644E1E">
      <w:pPr>
        <w:spacing w:line="540" w:lineRule="exact"/>
      </w:pPr>
    </w:p>
    <w:p w14:paraId="53912EC5">
      <w:pPr>
        <w:adjustRightInd w:val="0"/>
        <w:snapToGrid w:val="0"/>
        <w:spacing w:line="440" w:lineRule="exact"/>
        <w:ind w:left="424" w:leftChars="202" w:right="531" w:rightChars="253" w:firstLine="424" w:firstLineChars="177"/>
        <w:contextualSpacing/>
        <w:rPr>
          <w:sz w:val="24"/>
        </w:rPr>
      </w:pPr>
      <w:r>
        <w:rPr>
          <w:rFonts w:hint="eastAsia"/>
          <w:sz w:val="24"/>
        </w:rPr>
        <w:t>致：</w:t>
      </w:r>
      <w:r>
        <w:rPr>
          <w:rFonts w:hint="eastAsia"/>
          <w:sz w:val="24"/>
          <w:u w:val="single"/>
        </w:rPr>
        <w:t>扬州大学附属医院</w:t>
      </w:r>
      <w:r>
        <w:rPr>
          <w:rFonts w:hint="eastAsia"/>
          <w:sz w:val="24"/>
        </w:rPr>
        <w:t>（招标人名称）</w:t>
      </w:r>
    </w:p>
    <w:p w14:paraId="21258A32">
      <w:pPr>
        <w:adjustRightInd w:val="0"/>
        <w:snapToGrid w:val="0"/>
        <w:spacing w:line="440" w:lineRule="exact"/>
        <w:ind w:left="424" w:leftChars="202" w:right="531" w:rightChars="253" w:firstLine="424" w:firstLineChars="177"/>
        <w:contextualSpacing/>
        <w:rPr>
          <w:rFonts w:ascii="宋体" w:hAnsi="宋体"/>
          <w:sz w:val="24"/>
        </w:rPr>
      </w:pPr>
      <w:r>
        <w:rPr>
          <w:rFonts w:hint="eastAsia" w:ascii="宋体" w:hAnsi="宋体"/>
          <w:sz w:val="24"/>
        </w:rPr>
        <w:t>我公司自愿参加贵单位</w:t>
      </w:r>
      <w:r>
        <w:rPr>
          <w:rFonts w:hint="eastAsia" w:ascii="宋体" w:hAnsi="宋体"/>
          <w:b/>
          <w:sz w:val="24"/>
        </w:rPr>
        <w:t xml:space="preserve">                                项目</w:t>
      </w:r>
      <w:r>
        <w:rPr>
          <w:rFonts w:hint="eastAsia" w:ascii="宋体" w:hAnsi="宋体"/>
          <w:sz w:val="24"/>
        </w:rPr>
        <w:t>的院内公开谈判，接受对我公司的资格审查，我公司承诺：根据贵单位提出的资格审查合格条件标准和要求，本公司没有因骗取中标或者严重违约以及发生重大工程质量、安全生产事故等问题，被有关部门暂停投标资格并在暂停期内。</w:t>
      </w:r>
    </w:p>
    <w:p w14:paraId="2EB6CB4B">
      <w:pPr>
        <w:adjustRightInd w:val="0"/>
        <w:snapToGrid w:val="0"/>
        <w:spacing w:line="440" w:lineRule="exact"/>
        <w:ind w:left="424" w:leftChars="202" w:right="531" w:rightChars="253" w:firstLine="424" w:firstLineChars="177"/>
        <w:contextualSpacing/>
        <w:rPr>
          <w:sz w:val="24"/>
        </w:rPr>
      </w:pPr>
      <w:r>
        <w:rPr>
          <w:rFonts w:hint="eastAsia" w:ascii="宋体" w:hAnsi="宋体"/>
          <w:sz w:val="24"/>
        </w:rPr>
        <w:t>拟任现场负责人为。本公司递交的资格审查申请书中的内容没有隐瞒、虚假、伪造等弄虚作假行为。</w:t>
      </w:r>
    </w:p>
    <w:p w14:paraId="24EACC41">
      <w:pPr>
        <w:pStyle w:val="14"/>
        <w:widowControl/>
        <w:adjustRightInd w:val="0"/>
        <w:snapToGrid w:val="0"/>
        <w:spacing w:line="440" w:lineRule="exact"/>
        <w:ind w:left="424" w:leftChars="202" w:right="531" w:rightChars="253" w:firstLine="426" w:firstLineChars="177"/>
        <w:contextualSpacing/>
        <w:jc w:val="left"/>
        <w:rPr>
          <w:rFonts w:ascii="宋体" w:hAnsi="宋体" w:eastAsia="宋体"/>
          <w:sz w:val="24"/>
        </w:rPr>
      </w:pPr>
    </w:p>
    <w:p w14:paraId="2328410B">
      <w:pPr>
        <w:pStyle w:val="14"/>
        <w:widowControl/>
        <w:adjustRightInd w:val="0"/>
        <w:snapToGrid w:val="0"/>
        <w:spacing w:line="700" w:lineRule="exact"/>
        <w:ind w:left="424" w:leftChars="202" w:right="531" w:rightChars="253" w:firstLine="424" w:firstLineChars="177"/>
        <w:contextualSpacing/>
        <w:jc w:val="left"/>
        <w:rPr>
          <w:rFonts w:ascii="宋体" w:hAnsi="宋体" w:eastAsia="宋体" w:cs="宋体"/>
          <w:b w:val="0"/>
          <w:sz w:val="24"/>
        </w:rPr>
      </w:pPr>
      <w:r>
        <w:rPr>
          <w:rFonts w:hint="eastAsia" w:ascii="宋体" w:hAnsi="宋体" w:eastAsia="宋体" w:cs="宋体"/>
          <w:b w:val="0"/>
          <w:sz w:val="24"/>
        </w:rPr>
        <w:t>单位：（公章）</w:t>
      </w:r>
    </w:p>
    <w:p w14:paraId="4DF4F7BF">
      <w:pPr>
        <w:pStyle w:val="14"/>
        <w:widowControl/>
        <w:adjustRightInd w:val="0"/>
        <w:snapToGrid w:val="0"/>
        <w:spacing w:line="700" w:lineRule="exact"/>
        <w:ind w:left="424" w:leftChars="202" w:right="531" w:rightChars="253" w:firstLine="424" w:firstLineChars="177"/>
        <w:contextualSpacing/>
        <w:jc w:val="left"/>
        <w:rPr>
          <w:rFonts w:ascii="宋体" w:hAnsi="宋体" w:eastAsia="宋体" w:cs="宋体"/>
          <w:b w:val="0"/>
          <w:sz w:val="24"/>
        </w:rPr>
      </w:pPr>
      <w:r>
        <w:rPr>
          <w:rFonts w:hint="eastAsia" w:ascii="宋体" w:hAnsi="宋体" w:eastAsia="宋体" w:cs="宋体"/>
          <w:b w:val="0"/>
          <w:sz w:val="24"/>
        </w:rPr>
        <w:t>法定代表人签字：</w:t>
      </w:r>
    </w:p>
    <w:p w14:paraId="10CA439D">
      <w:pPr>
        <w:adjustRightInd w:val="0"/>
        <w:snapToGrid w:val="0"/>
        <w:spacing w:line="700" w:lineRule="exact"/>
        <w:ind w:left="424" w:leftChars="202" w:right="531" w:rightChars="253" w:firstLine="424" w:firstLineChars="177"/>
        <w:contextualSpacing/>
        <w:jc w:val="left"/>
        <w:rPr>
          <w:rFonts w:ascii="宋体" w:hAnsi="宋体" w:cs="宋体"/>
          <w:bCs/>
          <w:sz w:val="24"/>
        </w:rPr>
      </w:pPr>
      <w:r>
        <w:rPr>
          <w:rFonts w:hint="eastAsia" w:ascii="宋体" w:hAnsi="宋体" w:cs="宋体"/>
          <w:bCs/>
          <w:sz w:val="24"/>
        </w:rPr>
        <w:t>项目负责人签名：</w:t>
      </w:r>
    </w:p>
    <w:p w14:paraId="3F315CFC">
      <w:pPr>
        <w:adjustRightInd w:val="0"/>
        <w:snapToGrid w:val="0"/>
        <w:spacing w:line="700" w:lineRule="exact"/>
        <w:ind w:left="424" w:leftChars="202" w:right="531" w:rightChars="253" w:firstLine="424" w:firstLineChars="177"/>
        <w:contextualSpacing/>
        <w:rPr>
          <w:rFonts w:ascii="宋体" w:hAnsi="宋体"/>
          <w:sz w:val="24"/>
        </w:rPr>
      </w:pPr>
    </w:p>
    <w:p w14:paraId="095E0E6F">
      <w:pPr>
        <w:adjustRightInd w:val="0"/>
        <w:snapToGrid w:val="0"/>
        <w:spacing w:line="440" w:lineRule="exact"/>
        <w:ind w:left="424" w:leftChars="202" w:right="531" w:rightChars="253" w:firstLine="424" w:firstLineChars="177"/>
        <w:contextualSpacing/>
        <w:rPr>
          <w:rFonts w:ascii="宋体" w:hAnsi="宋体"/>
          <w:sz w:val="24"/>
        </w:rPr>
      </w:pPr>
      <w:r>
        <w:rPr>
          <w:rFonts w:hint="eastAsia" w:ascii="宋体" w:hAnsi="宋体"/>
          <w:sz w:val="24"/>
        </w:rPr>
        <w:t xml:space="preserve">                                         年   月   日</w:t>
      </w:r>
    </w:p>
    <w:p w14:paraId="72882809">
      <w:pPr>
        <w:pStyle w:val="14"/>
        <w:widowControl/>
        <w:spacing w:line="540" w:lineRule="exact"/>
        <w:ind w:left="5250" w:leftChars="0"/>
        <w:jc w:val="center"/>
        <w:rPr>
          <w:rFonts w:hAnsi="宋体"/>
          <w:szCs w:val="32"/>
        </w:rPr>
      </w:pPr>
    </w:p>
    <w:p w14:paraId="23804954">
      <w:pPr>
        <w:pStyle w:val="14"/>
        <w:widowControl/>
        <w:spacing w:line="540" w:lineRule="exact"/>
        <w:ind w:left="5250" w:leftChars="0"/>
        <w:jc w:val="center"/>
        <w:rPr>
          <w:rFonts w:ascii="宋体" w:hAnsi="宋体" w:eastAsia="宋体"/>
          <w:szCs w:val="32"/>
        </w:rPr>
      </w:pPr>
    </w:p>
    <w:p w14:paraId="5C03C0B2">
      <w:pPr>
        <w:pStyle w:val="14"/>
        <w:widowControl/>
        <w:spacing w:line="540" w:lineRule="exact"/>
        <w:ind w:left="5250" w:leftChars="0"/>
        <w:jc w:val="center"/>
        <w:rPr>
          <w:rFonts w:ascii="宋体" w:hAnsi="宋体" w:eastAsia="宋体"/>
          <w:szCs w:val="32"/>
        </w:rPr>
      </w:pPr>
    </w:p>
    <w:p w14:paraId="1CB96A93">
      <w:pPr>
        <w:pStyle w:val="14"/>
        <w:widowControl/>
        <w:spacing w:line="540" w:lineRule="exact"/>
        <w:ind w:left="5250" w:leftChars="0"/>
        <w:jc w:val="center"/>
        <w:rPr>
          <w:rFonts w:ascii="宋体" w:hAnsi="宋体" w:eastAsia="宋体"/>
          <w:szCs w:val="32"/>
        </w:rPr>
      </w:pPr>
    </w:p>
    <w:p w14:paraId="733FA56E">
      <w:pPr>
        <w:pStyle w:val="14"/>
        <w:widowControl/>
        <w:spacing w:line="540" w:lineRule="exact"/>
        <w:ind w:left="5250" w:leftChars="0"/>
        <w:jc w:val="center"/>
        <w:rPr>
          <w:rFonts w:ascii="宋体" w:hAnsi="宋体" w:eastAsia="宋体"/>
          <w:szCs w:val="32"/>
        </w:rPr>
      </w:pPr>
    </w:p>
    <w:p w14:paraId="605E748E">
      <w:pPr>
        <w:pStyle w:val="14"/>
        <w:widowControl/>
        <w:spacing w:line="540" w:lineRule="exact"/>
        <w:ind w:left="5250" w:leftChars="0"/>
        <w:jc w:val="center"/>
        <w:rPr>
          <w:rFonts w:ascii="宋体" w:hAnsi="宋体" w:eastAsia="宋体"/>
          <w:szCs w:val="32"/>
        </w:rPr>
      </w:pPr>
    </w:p>
    <w:p w14:paraId="1A4A3CAE">
      <w:pPr>
        <w:rPr>
          <w:rFonts w:ascii="宋体" w:hAnsi="宋体"/>
          <w:szCs w:val="32"/>
        </w:rPr>
      </w:pPr>
      <w:r>
        <w:rPr>
          <w:rFonts w:hint="eastAsia" w:ascii="宋体" w:hAnsi="宋体"/>
          <w:szCs w:val="32"/>
        </w:rPr>
        <w:br w:type="page"/>
      </w:r>
    </w:p>
    <w:p w14:paraId="29DE491E">
      <w:pPr>
        <w:spacing w:line="360" w:lineRule="auto"/>
        <w:ind w:firstLine="3975" w:firstLineChars="1100"/>
        <w:rPr>
          <w:rFonts w:ascii="宋体" w:hAnsi="宋体"/>
          <w:b/>
          <w:sz w:val="36"/>
          <w:szCs w:val="36"/>
        </w:rPr>
      </w:pPr>
      <w:r>
        <w:rPr>
          <w:rFonts w:hint="eastAsia" w:ascii="宋体" w:hAnsi="宋体"/>
          <w:b/>
          <w:sz w:val="36"/>
          <w:szCs w:val="36"/>
        </w:rPr>
        <w:t>投标函</w:t>
      </w:r>
    </w:p>
    <w:p w14:paraId="7F8EBFAC">
      <w:pPr>
        <w:adjustRightInd w:val="0"/>
        <w:snapToGrid w:val="0"/>
        <w:spacing w:line="440" w:lineRule="exact"/>
        <w:ind w:left="424" w:leftChars="202" w:right="531" w:rightChars="253"/>
        <w:contextualSpacing/>
        <w:rPr>
          <w:rFonts w:ascii="宋体" w:hAnsi="宋体"/>
          <w:sz w:val="24"/>
        </w:rPr>
      </w:pPr>
      <w:r>
        <w:rPr>
          <w:rFonts w:hint="eastAsia" w:ascii="宋体" w:hAnsi="宋体"/>
          <w:sz w:val="24"/>
        </w:rPr>
        <w:t>招标人：</w:t>
      </w:r>
      <w:r>
        <w:rPr>
          <w:rFonts w:hint="eastAsia" w:ascii="宋体" w:hAnsi="宋体"/>
          <w:sz w:val="24"/>
          <w:u w:val="single"/>
        </w:rPr>
        <w:t xml:space="preserve"> 扬州大学附属医院 </w:t>
      </w:r>
    </w:p>
    <w:p w14:paraId="4B7F8466">
      <w:pPr>
        <w:adjustRightInd w:val="0"/>
        <w:snapToGrid w:val="0"/>
        <w:spacing w:line="440" w:lineRule="exact"/>
        <w:ind w:left="424" w:leftChars="202" w:right="531" w:rightChars="253" w:firstLine="480" w:firstLineChars="200"/>
        <w:contextualSpacing/>
        <w:rPr>
          <w:rFonts w:ascii="宋体" w:hAnsi="宋体"/>
          <w:bCs/>
          <w:sz w:val="24"/>
        </w:rPr>
      </w:pPr>
      <w:r>
        <w:rPr>
          <w:rFonts w:hint="eastAsia" w:ascii="宋体" w:hAnsi="宋体"/>
          <w:bCs/>
          <w:sz w:val="24"/>
        </w:rPr>
        <w:t>根据已收到贵方的</w:t>
      </w:r>
      <w:r>
        <w:rPr>
          <w:rFonts w:hint="eastAsia" w:ascii="宋体" w:hAnsi="宋体"/>
          <w:b/>
          <w:bCs/>
          <w:sz w:val="24"/>
          <w:u w:val="single"/>
        </w:rPr>
        <w:t xml:space="preserve">                             </w:t>
      </w:r>
      <w:r>
        <w:rPr>
          <w:rFonts w:hint="eastAsia" w:ascii="宋体" w:hAnsi="宋体"/>
          <w:bCs/>
          <w:sz w:val="24"/>
        </w:rPr>
        <w:t>项目的院内公开谈谈判文件，遵照扬州大学附属医院采购管理办法，我单位经研究上述磋商的投标须知、合同条件、技术规范、和其他有关文件后，我方投标报价为</w:t>
      </w:r>
      <w:r>
        <w:rPr>
          <w:rFonts w:hint="eastAsia" w:ascii="宋体" w:hAnsi="宋体"/>
          <w:bCs/>
          <w:sz w:val="24"/>
          <w:u w:val="single"/>
        </w:rPr>
        <w:t xml:space="preserve">              万元</w:t>
      </w:r>
      <w:r>
        <w:rPr>
          <w:rFonts w:hint="eastAsia" w:ascii="宋体" w:hAnsi="宋体"/>
          <w:bCs/>
          <w:sz w:val="24"/>
        </w:rPr>
        <w:t>。</w:t>
      </w:r>
      <w:r>
        <w:rPr>
          <w:rFonts w:hint="eastAsia" w:ascii="宋体" w:hAnsi="宋体" w:eastAsia="宋体" w:cs="Times New Roman"/>
          <w:b/>
          <w:sz w:val="24"/>
          <w:lang w:val="en-US" w:eastAsia="zh-CN"/>
        </w:rPr>
        <w:t>包含全部货物、辅助材料、安装、调试、人工、机械、运输、仓储、保险、运费、各种税费、保险、劳保及质保期间等一切费用所有相关费用，不得收取其他任何费用。</w:t>
      </w:r>
    </w:p>
    <w:p w14:paraId="600E32DD">
      <w:pPr>
        <w:spacing w:line="360" w:lineRule="auto"/>
        <w:rPr>
          <w:rFonts w:ascii="宋体" w:hAnsi="宋体"/>
          <w:bCs/>
          <w:sz w:val="24"/>
        </w:rPr>
      </w:pPr>
    </w:p>
    <w:p w14:paraId="0EE3BC54">
      <w:pPr>
        <w:adjustRightInd w:val="0"/>
        <w:snapToGrid w:val="0"/>
        <w:spacing w:line="700" w:lineRule="exact"/>
        <w:ind w:firstLine="849" w:firstLineChars="354"/>
        <w:contextualSpacing/>
        <w:rPr>
          <w:rFonts w:ascii="宋体" w:hAnsi="宋体"/>
          <w:bCs/>
          <w:sz w:val="24"/>
        </w:rPr>
      </w:pPr>
      <w:r>
        <w:rPr>
          <w:rFonts w:hint="eastAsia" w:ascii="宋体" w:hAnsi="宋体"/>
          <w:bCs/>
          <w:sz w:val="24"/>
        </w:rPr>
        <w:t>投标人（盖章）：</w:t>
      </w:r>
    </w:p>
    <w:p w14:paraId="2D569237">
      <w:pPr>
        <w:adjustRightInd w:val="0"/>
        <w:snapToGrid w:val="0"/>
        <w:spacing w:line="700" w:lineRule="exact"/>
        <w:ind w:firstLine="849" w:firstLineChars="354"/>
        <w:contextualSpacing/>
        <w:rPr>
          <w:rFonts w:ascii="宋体" w:hAnsi="宋体"/>
          <w:bCs/>
          <w:sz w:val="24"/>
        </w:rPr>
      </w:pPr>
      <w:r>
        <w:rPr>
          <w:rFonts w:hint="eastAsia" w:ascii="宋体" w:hAnsi="宋体"/>
          <w:bCs/>
          <w:sz w:val="24"/>
        </w:rPr>
        <w:t>法定代表人或授权委托人（签字）：</w:t>
      </w:r>
    </w:p>
    <w:p w14:paraId="0339E037">
      <w:pPr>
        <w:adjustRightInd w:val="0"/>
        <w:snapToGrid w:val="0"/>
        <w:spacing w:line="700" w:lineRule="exact"/>
        <w:ind w:firstLine="849" w:firstLineChars="354"/>
        <w:contextualSpacing/>
        <w:rPr>
          <w:rFonts w:ascii="宋体" w:hAnsi="宋体"/>
          <w:bCs/>
          <w:sz w:val="24"/>
        </w:rPr>
      </w:pPr>
      <w:r>
        <w:rPr>
          <w:rFonts w:hint="eastAsia" w:ascii="宋体" w:hAnsi="宋体"/>
          <w:bCs/>
          <w:sz w:val="24"/>
        </w:rPr>
        <w:t>日  期：</w:t>
      </w:r>
    </w:p>
    <w:p w14:paraId="25300DD3">
      <w:pPr>
        <w:jc w:val="center"/>
        <w:rPr>
          <w:rFonts w:ascii="宋体" w:hAnsi="宋体"/>
          <w:b/>
          <w:sz w:val="24"/>
        </w:rPr>
      </w:pPr>
      <w:r>
        <w:rPr>
          <w:rFonts w:hint="eastAsia" w:ascii="宋体" w:hAnsi="宋体"/>
          <w:sz w:val="24"/>
        </w:rPr>
        <w:br w:type="page"/>
      </w:r>
    </w:p>
    <w:p w14:paraId="35598C71">
      <w:pPr>
        <w:spacing w:line="360" w:lineRule="auto"/>
        <w:jc w:val="center"/>
        <w:rPr>
          <w:rFonts w:ascii="宋体" w:hAnsi="宋体"/>
          <w:b/>
          <w:sz w:val="36"/>
          <w:szCs w:val="36"/>
        </w:rPr>
      </w:pPr>
      <w:r>
        <w:rPr>
          <w:rFonts w:hint="eastAsia" w:ascii="宋体" w:hAnsi="宋体"/>
          <w:b/>
          <w:sz w:val="36"/>
          <w:szCs w:val="36"/>
        </w:rPr>
        <w:t>响应报价表</w:t>
      </w:r>
    </w:p>
    <w:p w14:paraId="1D22D86F">
      <w:pPr>
        <w:pStyle w:val="14"/>
        <w:spacing w:line="360" w:lineRule="auto"/>
        <w:ind w:left="0" w:leftChars="0"/>
        <w:rPr>
          <w:rFonts w:ascii="宋体" w:hAnsi="宋体" w:eastAsia="宋体" w:cs="宋体"/>
          <w:b w:val="0"/>
          <w:bCs w:val="0"/>
          <w:sz w:val="24"/>
        </w:rPr>
      </w:pPr>
      <w:r>
        <w:rPr>
          <w:rFonts w:hint="eastAsia" w:ascii="宋体" w:hAnsi="宋体" w:eastAsia="宋体" w:cs="宋体"/>
          <w:b w:val="0"/>
          <w:bCs w:val="0"/>
          <w:sz w:val="24"/>
        </w:rPr>
        <w:t xml:space="preserve">项目名称： </w:t>
      </w:r>
    </w:p>
    <w:p w14:paraId="5CBE4125">
      <w:pPr>
        <w:spacing w:line="360" w:lineRule="auto"/>
        <w:rPr>
          <w:rFonts w:ascii="宋体" w:hAnsi="宋体"/>
          <w:sz w:val="24"/>
        </w:rPr>
      </w:pPr>
      <w:r>
        <w:rPr>
          <w:rFonts w:hint="eastAsia" w:ascii="宋体" w:hAnsi="宋体"/>
          <w:sz w:val="24"/>
        </w:rPr>
        <w:t xml:space="preserve">       </w:t>
      </w:r>
    </w:p>
    <w:p w14:paraId="513C171F">
      <w:pPr>
        <w:spacing w:line="360" w:lineRule="auto"/>
        <w:rPr>
          <w:rFonts w:ascii="宋体" w:hAnsi="宋体"/>
          <w:sz w:val="24"/>
        </w:rPr>
      </w:pPr>
      <w:r>
        <w:rPr>
          <w:rFonts w:hint="eastAsia" w:ascii="宋体" w:hAnsi="宋体"/>
          <w:sz w:val="24"/>
        </w:rPr>
        <w:t xml:space="preserve">       </w:t>
      </w:r>
    </w:p>
    <w:tbl>
      <w:tblPr>
        <w:tblStyle w:val="26"/>
        <w:tblW w:w="45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9"/>
        <w:gridCol w:w="6336"/>
      </w:tblGrid>
      <w:tr w14:paraId="6377C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1" w:hRule="atLeast"/>
          <w:jc w:val="center"/>
        </w:trPr>
        <w:tc>
          <w:tcPr>
            <w:tcW w:w="946" w:type="pct"/>
            <w:tcBorders>
              <w:top w:val="single" w:color="auto" w:sz="4" w:space="0"/>
              <w:left w:val="single" w:color="auto" w:sz="4" w:space="0"/>
              <w:bottom w:val="single" w:color="auto" w:sz="4" w:space="0"/>
              <w:right w:val="single" w:color="auto" w:sz="4" w:space="0"/>
            </w:tcBorders>
            <w:vAlign w:val="center"/>
          </w:tcPr>
          <w:p w14:paraId="08492DB3">
            <w:pPr>
              <w:pStyle w:val="8"/>
              <w:adjustRightInd w:val="0"/>
              <w:snapToGrid w:val="0"/>
              <w:spacing w:line="300" w:lineRule="auto"/>
              <w:jc w:val="center"/>
              <w:rPr>
                <w:rFonts w:ascii="宋体" w:hAnsi="宋体" w:eastAsia="宋体" w:cs="宋体"/>
                <w:sz w:val="24"/>
                <w:szCs w:val="24"/>
              </w:rPr>
            </w:pPr>
            <w:r>
              <w:rPr>
                <w:rFonts w:hint="eastAsia" w:ascii="宋体" w:hAnsi="宋体" w:eastAsia="宋体" w:cs="宋体"/>
                <w:sz w:val="24"/>
                <w:szCs w:val="24"/>
              </w:rPr>
              <w:t>服务名称</w:t>
            </w:r>
          </w:p>
        </w:tc>
        <w:tc>
          <w:tcPr>
            <w:tcW w:w="4053" w:type="pct"/>
            <w:tcBorders>
              <w:top w:val="single" w:color="auto" w:sz="4" w:space="0"/>
              <w:left w:val="single" w:color="auto" w:sz="4" w:space="0"/>
              <w:bottom w:val="single" w:color="auto" w:sz="4" w:space="0"/>
              <w:right w:val="single" w:color="auto" w:sz="4" w:space="0"/>
            </w:tcBorders>
            <w:vAlign w:val="center"/>
          </w:tcPr>
          <w:p w14:paraId="36C0CA57">
            <w:pPr>
              <w:adjustRightInd w:val="0"/>
              <w:snapToGrid w:val="0"/>
              <w:spacing w:after="200" w:line="220" w:lineRule="atLeast"/>
              <w:jc w:val="center"/>
              <w:rPr>
                <w:rFonts w:ascii="宋体" w:hAnsi="宋体"/>
                <w:sz w:val="24"/>
              </w:rPr>
            </w:pPr>
            <w:r>
              <w:rPr>
                <w:rFonts w:hint="eastAsia" w:ascii="宋体" w:hAnsi="宋体"/>
                <w:sz w:val="24"/>
              </w:rPr>
              <w:t>第一轮报价</w:t>
            </w:r>
          </w:p>
        </w:tc>
      </w:tr>
      <w:tr w14:paraId="190A2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64" w:hRule="atLeast"/>
          <w:jc w:val="center"/>
        </w:trPr>
        <w:tc>
          <w:tcPr>
            <w:tcW w:w="946" w:type="pct"/>
            <w:tcBorders>
              <w:top w:val="single" w:color="auto" w:sz="4" w:space="0"/>
              <w:left w:val="single" w:color="auto" w:sz="4" w:space="0"/>
              <w:bottom w:val="single" w:color="auto" w:sz="4" w:space="0"/>
              <w:right w:val="single" w:color="auto" w:sz="4" w:space="0"/>
            </w:tcBorders>
            <w:vAlign w:val="center"/>
          </w:tcPr>
          <w:p w14:paraId="19D35D07">
            <w:pPr>
              <w:pStyle w:val="8"/>
              <w:adjustRightInd w:val="0"/>
              <w:snapToGrid w:val="0"/>
              <w:spacing w:line="300" w:lineRule="auto"/>
              <w:rPr>
                <w:rFonts w:ascii="宋体" w:hAnsi="宋体" w:eastAsia="宋体" w:cs="宋体"/>
                <w:sz w:val="24"/>
                <w:szCs w:val="24"/>
              </w:rPr>
            </w:pPr>
          </w:p>
        </w:tc>
        <w:tc>
          <w:tcPr>
            <w:tcW w:w="4053" w:type="pct"/>
            <w:tcBorders>
              <w:top w:val="single" w:color="auto" w:sz="4" w:space="0"/>
              <w:left w:val="single" w:color="auto" w:sz="4" w:space="0"/>
              <w:bottom w:val="single" w:color="auto" w:sz="4" w:space="0"/>
              <w:right w:val="single" w:color="auto" w:sz="4" w:space="0"/>
            </w:tcBorders>
            <w:vAlign w:val="center"/>
          </w:tcPr>
          <w:p w14:paraId="5C99584F">
            <w:pPr>
              <w:pStyle w:val="8"/>
              <w:adjustRightInd w:val="0"/>
              <w:snapToGrid w:val="0"/>
              <w:spacing w:line="300" w:lineRule="auto"/>
              <w:rPr>
                <w:rFonts w:ascii="宋体" w:hAnsi="宋体" w:eastAsia="宋体" w:cs="宋体"/>
                <w:sz w:val="24"/>
                <w:szCs w:val="24"/>
              </w:rPr>
            </w:pPr>
            <w:r>
              <w:rPr>
                <w:rFonts w:hint="eastAsia" w:ascii="宋体" w:hAnsi="宋体" w:eastAsia="宋体" w:cs="宋体"/>
                <w:sz w:val="24"/>
                <w:szCs w:val="24"/>
              </w:rPr>
              <w:t>大写：</w:t>
            </w:r>
          </w:p>
          <w:p w14:paraId="4AB3ED7D">
            <w:pPr>
              <w:pStyle w:val="63"/>
              <w:spacing w:before="0" w:after="0" w:line="500" w:lineRule="exact"/>
              <w:ind w:firstLine="0"/>
              <w:rPr>
                <w:rFonts w:ascii="宋体" w:hAnsi="宋体" w:cs="宋体"/>
              </w:rPr>
            </w:pPr>
            <w:r>
              <w:rPr>
                <w:rFonts w:hint="eastAsia" w:ascii="宋体" w:hAnsi="宋体" w:cs="宋体"/>
              </w:rPr>
              <w:t>小写：                             （人民币）</w:t>
            </w:r>
          </w:p>
        </w:tc>
      </w:tr>
      <w:tr w14:paraId="19348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7" w:hRule="atLeast"/>
          <w:jc w:val="center"/>
        </w:trPr>
        <w:tc>
          <w:tcPr>
            <w:tcW w:w="946" w:type="pct"/>
            <w:tcBorders>
              <w:top w:val="single" w:color="auto" w:sz="4" w:space="0"/>
              <w:left w:val="single" w:color="auto" w:sz="4" w:space="0"/>
              <w:bottom w:val="single" w:color="auto" w:sz="4" w:space="0"/>
              <w:right w:val="single" w:color="auto" w:sz="4" w:space="0"/>
            </w:tcBorders>
            <w:vAlign w:val="center"/>
          </w:tcPr>
          <w:p w14:paraId="737E9D7C">
            <w:pPr>
              <w:pStyle w:val="8"/>
              <w:adjustRightInd w:val="0"/>
              <w:snapToGrid w:val="0"/>
              <w:spacing w:line="300" w:lineRule="auto"/>
              <w:jc w:val="center"/>
              <w:rPr>
                <w:rFonts w:ascii="宋体" w:hAnsi="宋体" w:eastAsia="宋体" w:cs="宋体"/>
                <w:sz w:val="24"/>
                <w:szCs w:val="24"/>
              </w:rPr>
            </w:pPr>
            <w:r>
              <w:rPr>
                <w:rFonts w:hint="eastAsia" w:ascii="宋体" w:hAnsi="宋体" w:eastAsia="宋体" w:cs="宋体"/>
                <w:sz w:val="24"/>
                <w:szCs w:val="24"/>
              </w:rPr>
              <w:t>备注</w:t>
            </w:r>
          </w:p>
        </w:tc>
        <w:tc>
          <w:tcPr>
            <w:tcW w:w="4053" w:type="pct"/>
            <w:tcBorders>
              <w:top w:val="single" w:color="auto" w:sz="4" w:space="0"/>
              <w:left w:val="single" w:color="auto" w:sz="4" w:space="0"/>
              <w:bottom w:val="single" w:color="auto" w:sz="4" w:space="0"/>
              <w:right w:val="single" w:color="auto" w:sz="4" w:space="0"/>
            </w:tcBorders>
            <w:vAlign w:val="center"/>
          </w:tcPr>
          <w:p w14:paraId="601C1FE6">
            <w:pPr>
              <w:pStyle w:val="8"/>
              <w:adjustRightInd w:val="0"/>
              <w:snapToGrid w:val="0"/>
              <w:spacing w:line="300" w:lineRule="auto"/>
              <w:rPr>
                <w:rFonts w:ascii="宋体" w:hAnsi="宋体" w:cs="宋体"/>
                <w:sz w:val="24"/>
                <w:szCs w:val="24"/>
              </w:rPr>
            </w:pPr>
            <w:r>
              <w:rPr>
                <w:rFonts w:hint="eastAsia" w:ascii="宋体" w:hAnsi="宋体" w:eastAsia="宋体" w:cs="Times New Roman"/>
                <w:b w:val="0"/>
                <w:bCs/>
                <w:sz w:val="24"/>
                <w:lang w:val="en-US" w:eastAsia="zh-CN"/>
              </w:rPr>
              <w:t>含全部货物、辅助材料、安装、调试、人工、机械、运输、仓储、保险、运费、各种税费、保险、劳保及质保期间等一切费用所有相关费用。</w:t>
            </w:r>
          </w:p>
        </w:tc>
      </w:tr>
    </w:tbl>
    <w:p w14:paraId="47FC64AC">
      <w:pPr>
        <w:spacing w:line="360" w:lineRule="auto"/>
        <w:rPr>
          <w:rFonts w:ascii="宋体" w:hAnsi="宋体"/>
          <w:sz w:val="24"/>
        </w:rPr>
      </w:pPr>
    </w:p>
    <w:p w14:paraId="2C150CAC">
      <w:pPr>
        <w:spacing w:line="360" w:lineRule="auto"/>
        <w:rPr>
          <w:rFonts w:ascii="宋体" w:hAnsi="宋体"/>
          <w:sz w:val="24"/>
        </w:rPr>
      </w:pPr>
      <w:r>
        <w:rPr>
          <w:rFonts w:hint="eastAsia" w:ascii="宋体" w:hAnsi="宋体"/>
          <w:sz w:val="24"/>
        </w:rPr>
        <w:t xml:space="preserve">                                 </w:t>
      </w:r>
    </w:p>
    <w:p w14:paraId="089EFB7E">
      <w:pPr>
        <w:spacing w:line="360" w:lineRule="auto"/>
        <w:rPr>
          <w:rFonts w:ascii="宋体" w:hAnsi="宋体"/>
          <w:sz w:val="24"/>
        </w:rPr>
      </w:pPr>
      <w:r>
        <w:rPr>
          <w:rFonts w:hint="eastAsia" w:ascii="宋体" w:hAnsi="宋体"/>
          <w:sz w:val="24"/>
        </w:rPr>
        <w:t xml:space="preserve">法定代表人或者授权代表（签字或盖章）：                    </w:t>
      </w:r>
    </w:p>
    <w:p w14:paraId="16A36FBF">
      <w:pPr>
        <w:spacing w:line="360" w:lineRule="auto"/>
        <w:rPr>
          <w:rFonts w:ascii="宋体" w:hAnsi="宋体"/>
          <w:sz w:val="24"/>
          <w:u w:val="single"/>
        </w:rPr>
      </w:pPr>
      <w:r>
        <w:rPr>
          <w:rFonts w:hint="eastAsia" w:ascii="宋体" w:hAnsi="宋体"/>
          <w:sz w:val="24"/>
        </w:rPr>
        <w:t>供应商全称（盖章）：</w:t>
      </w:r>
      <w:r>
        <w:rPr>
          <w:rFonts w:hint="eastAsia" w:ascii="宋体" w:hAnsi="宋体"/>
          <w:sz w:val="24"/>
          <w:u w:val="single"/>
        </w:rPr>
        <w:t xml:space="preserve">                         </w:t>
      </w:r>
    </w:p>
    <w:p w14:paraId="6193DABF">
      <w:pPr>
        <w:spacing w:line="360" w:lineRule="auto"/>
        <w:rPr>
          <w:rFonts w:ascii="宋体" w:hAnsi="宋体"/>
          <w:sz w:val="24"/>
        </w:rPr>
      </w:pPr>
      <w:r>
        <w:rPr>
          <w:rFonts w:hint="eastAsia" w:ascii="宋体" w:hAnsi="宋体"/>
          <w:sz w:val="24"/>
        </w:rPr>
        <w:t xml:space="preserve">                                               日期：    年   月    日</w:t>
      </w:r>
    </w:p>
    <w:p w14:paraId="5097CB50">
      <w:pPr>
        <w:spacing w:line="460" w:lineRule="exact"/>
        <w:rPr>
          <w:rFonts w:ascii="宋体" w:hAnsi="宋体"/>
          <w:bCs/>
          <w:sz w:val="24"/>
        </w:rPr>
      </w:pPr>
    </w:p>
    <w:p w14:paraId="07A3D8E9">
      <w:pPr>
        <w:spacing w:line="460" w:lineRule="exact"/>
        <w:rPr>
          <w:rFonts w:ascii="宋体" w:hAnsi="宋体"/>
          <w:bCs/>
          <w:sz w:val="24"/>
        </w:rPr>
        <w:sectPr>
          <w:footerReference r:id="rId3" w:type="default"/>
          <w:pgSz w:w="11906" w:h="16838"/>
          <w:pgMar w:top="1440" w:right="1797" w:bottom="1440" w:left="1797" w:header="851" w:footer="992" w:gutter="0"/>
          <w:cols w:space="720" w:num="1"/>
          <w:docGrid w:linePitch="312" w:charSpace="0"/>
        </w:sectPr>
      </w:pPr>
    </w:p>
    <w:p w14:paraId="540051F0">
      <w:pPr>
        <w:spacing w:line="360" w:lineRule="auto"/>
        <w:jc w:val="center"/>
        <w:rPr>
          <w:rFonts w:ascii="宋体" w:hAnsi="宋体"/>
          <w:b/>
          <w:sz w:val="36"/>
          <w:szCs w:val="36"/>
        </w:rPr>
      </w:pPr>
      <w:r>
        <w:rPr>
          <w:rFonts w:hint="eastAsia" w:ascii="宋体" w:hAnsi="宋体"/>
          <w:b/>
          <w:sz w:val="36"/>
          <w:szCs w:val="36"/>
        </w:rPr>
        <w:t>分项报价表</w:t>
      </w:r>
    </w:p>
    <w:tbl>
      <w:tblPr>
        <w:tblStyle w:val="26"/>
        <w:tblW w:w="1129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5"/>
        <w:gridCol w:w="1830"/>
        <w:gridCol w:w="1080"/>
        <w:gridCol w:w="1080"/>
        <w:gridCol w:w="1725"/>
        <w:gridCol w:w="1080"/>
        <w:gridCol w:w="1080"/>
        <w:gridCol w:w="2535"/>
      </w:tblGrid>
      <w:tr w14:paraId="266C7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9391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D4E5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品名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2A26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D398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C2E9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规格</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D67E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价格</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1DE2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金额</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935B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备注</w:t>
            </w:r>
          </w:p>
        </w:tc>
      </w:tr>
      <w:tr w14:paraId="6885D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B7D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921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窗帘</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ACEF7">
            <w:pPr>
              <w:keepNext w:val="0"/>
              <w:keepLines w:val="0"/>
              <w:widowControl/>
              <w:suppressLineNumbers w:val="0"/>
              <w:jc w:val="center"/>
              <w:textAlignment w:val="center"/>
              <w:rPr>
                <w:rFonts w:ascii="宋体" w:hAnsi="宋体" w:eastAsia="宋体" w:cs="宋体"/>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309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F277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成品高度约3m，窗帘褶皱1:2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85B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FAF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10061">
            <w:pPr>
              <w:keepNext w:val="0"/>
              <w:keepLines w:val="0"/>
              <w:widowControl/>
              <w:suppressLineNumbers w:val="0"/>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含窗帘辅料及加工制作安装</w:t>
            </w:r>
          </w:p>
        </w:tc>
      </w:tr>
      <w:tr w14:paraId="45995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0A1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F5C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窗纱</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1B354">
            <w:pPr>
              <w:keepNext w:val="0"/>
              <w:keepLines w:val="0"/>
              <w:widowControl/>
              <w:suppressLineNumbers w:val="0"/>
              <w:jc w:val="center"/>
              <w:textAlignment w:val="center"/>
              <w:rPr>
                <w:rFonts w:ascii="宋体" w:hAnsi="宋体" w:eastAsia="宋体" w:cs="宋体"/>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207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450</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86B4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成品高度约3m，窗纱褶皱1:2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FAE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012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D627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含纱帘辅料及加工制作安装</w:t>
            </w:r>
          </w:p>
        </w:tc>
      </w:tr>
      <w:tr w14:paraId="33998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E96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D9F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医用隔帘</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2E669">
            <w:pPr>
              <w:keepNext w:val="0"/>
              <w:keepLines w:val="0"/>
              <w:widowControl/>
              <w:suppressLineNumbers w:val="0"/>
              <w:jc w:val="center"/>
              <w:textAlignment w:val="center"/>
              <w:rPr>
                <w:rFonts w:ascii="宋体" w:hAnsi="宋体" w:eastAsia="宋体" w:cs="宋体"/>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DC9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24C9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成品高度约 2.7m，隔帘褶皱1:1.3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C39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DB7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EFD6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含隔帘辅料及加工制作安装</w:t>
            </w:r>
          </w:p>
        </w:tc>
      </w:tr>
      <w:tr w14:paraId="44B71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9D1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6EB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遮光卷帘</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8C2AA">
            <w:pPr>
              <w:keepNext w:val="0"/>
              <w:keepLines w:val="0"/>
              <w:widowControl/>
              <w:suppressLineNumbers w:val="0"/>
              <w:jc w:val="center"/>
              <w:textAlignment w:val="center"/>
              <w:rPr>
                <w:rFonts w:ascii="宋体" w:hAnsi="宋体" w:eastAsia="宋体" w:cs="宋体"/>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F33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C16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成品高度约2.3m</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609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E41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6017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含卷帘辅料及加工制作安装</w:t>
            </w:r>
          </w:p>
        </w:tc>
      </w:tr>
      <w:tr w14:paraId="72E3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3B6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BCE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电动轨道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187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D47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0D2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壁厚≥2.0mm</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E3A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6AA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DA11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含制作及轨道安装调试</w:t>
            </w:r>
          </w:p>
        </w:tc>
      </w:tr>
      <w:tr w14:paraId="26801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AA8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A52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轨道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13A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281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187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壁厚≥1.4mm</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8DB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53C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D3CF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含制作及轨道安装调试</w:t>
            </w:r>
          </w:p>
        </w:tc>
      </w:tr>
      <w:tr w14:paraId="19470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885" w:type="dxa"/>
            <w:tcBorders>
              <w:top w:val="single" w:color="000000" w:sz="4" w:space="0"/>
              <w:left w:val="single" w:color="000000" w:sz="4" w:space="0"/>
              <w:bottom w:val="nil"/>
              <w:right w:val="single" w:color="000000" w:sz="4" w:space="0"/>
            </w:tcBorders>
            <w:shd w:val="clear" w:color="auto" w:fill="auto"/>
            <w:vAlign w:val="center"/>
          </w:tcPr>
          <w:p w14:paraId="4D0F4B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830" w:type="dxa"/>
            <w:tcBorders>
              <w:top w:val="single" w:color="000000" w:sz="4" w:space="0"/>
              <w:left w:val="single" w:color="000000" w:sz="4" w:space="0"/>
              <w:bottom w:val="nil"/>
              <w:right w:val="single" w:color="000000" w:sz="4" w:space="0"/>
            </w:tcBorders>
            <w:shd w:val="clear" w:color="auto" w:fill="auto"/>
            <w:vAlign w:val="center"/>
          </w:tcPr>
          <w:p w14:paraId="748258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智能窗帘电机</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4F5CE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35380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1725" w:type="dxa"/>
            <w:tcBorders>
              <w:top w:val="single" w:color="000000" w:sz="4" w:space="0"/>
              <w:left w:val="single" w:color="000000" w:sz="4" w:space="0"/>
              <w:bottom w:val="nil"/>
              <w:right w:val="single" w:color="000000" w:sz="4" w:space="0"/>
            </w:tcBorders>
            <w:shd w:val="clear" w:color="auto" w:fill="auto"/>
            <w:vAlign w:val="center"/>
          </w:tcPr>
          <w:p w14:paraId="5D6512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1.无线连接Zigbee3.0；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2.可语音控制、接入小爱同学</w:t>
            </w:r>
            <w:r>
              <w:rPr>
                <w:rFonts w:hint="eastAsia" w:ascii="宋体" w:hAnsi="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3.含适配遥控器</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750205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8B1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2B87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含制作及电机安装调试</w:t>
            </w:r>
          </w:p>
        </w:tc>
      </w:tr>
      <w:tr w14:paraId="35F58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2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75BF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496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08C79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D36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4E5DD">
            <w:pPr>
              <w:rPr>
                <w:rFonts w:hint="eastAsia" w:ascii="宋体" w:hAnsi="宋体" w:eastAsia="宋体" w:cs="宋体"/>
                <w:i w:val="0"/>
                <w:iCs w:val="0"/>
                <w:color w:val="000000"/>
                <w:sz w:val="22"/>
                <w:szCs w:val="22"/>
                <w:u w:val="none"/>
              </w:rPr>
            </w:pPr>
            <w:r>
              <w:rPr>
                <w:rFonts w:hint="eastAsia" w:ascii="宋体" w:hAnsi="宋体" w:eastAsia="宋体" w:cs="Times New Roman"/>
                <w:b w:val="0"/>
                <w:bCs/>
                <w:sz w:val="24"/>
                <w:lang w:val="en-US" w:eastAsia="zh-CN"/>
              </w:rPr>
              <w:t>含全部货物、辅助材料、安装、调试、人工、机械、运输、仓储、保险、运费、各种税费、保险、劳保及质保期间等一切费用所有相关费用。</w:t>
            </w:r>
          </w:p>
        </w:tc>
      </w:tr>
    </w:tbl>
    <w:p w14:paraId="1FB8E84F">
      <w:pPr>
        <w:pStyle w:val="6"/>
        <w:spacing w:line="360" w:lineRule="auto"/>
        <w:ind w:left="0" w:leftChars="0" w:firstLine="0" w:firstLineChars="0"/>
        <w:rPr>
          <w:rFonts w:hint="eastAsia" w:ascii="宋体" w:hAnsi="宋体"/>
          <w:sz w:val="24"/>
          <w:szCs w:val="24"/>
        </w:rPr>
      </w:pPr>
      <w:r>
        <w:rPr>
          <w:rFonts w:hint="eastAsia" w:ascii="宋体" w:hAnsi="宋体"/>
          <w:sz w:val="24"/>
          <w:szCs w:val="24"/>
        </w:rPr>
        <w:t>供应商全称（加盖公章）：</w:t>
      </w:r>
    </w:p>
    <w:p w14:paraId="5D6213BA">
      <w:pPr>
        <w:pStyle w:val="6"/>
        <w:spacing w:line="360" w:lineRule="auto"/>
        <w:rPr>
          <w:rFonts w:ascii="宋体" w:hAnsi="宋体"/>
          <w:sz w:val="24"/>
          <w:szCs w:val="24"/>
        </w:rPr>
      </w:pPr>
      <w:r>
        <w:rPr>
          <w:rFonts w:hint="eastAsia" w:ascii="宋体" w:hAnsi="宋体"/>
          <w:sz w:val="24"/>
          <w:szCs w:val="24"/>
        </w:rPr>
        <w:t xml:space="preserve">            </w:t>
      </w:r>
    </w:p>
    <w:p w14:paraId="35C8FEB6">
      <w:pPr>
        <w:spacing w:line="360" w:lineRule="auto"/>
        <w:rPr>
          <w:rFonts w:ascii="宋体" w:hAnsi="宋体"/>
          <w:sz w:val="24"/>
        </w:rPr>
      </w:pPr>
      <w:r>
        <w:rPr>
          <w:rFonts w:hint="eastAsia" w:ascii="宋体" w:hAnsi="宋体"/>
          <w:sz w:val="24"/>
        </w:rPr>
        <w:t>法定代表人或授权代表（签字或盖章）</w:t>
      </w:r>
    </w:p>
    <w:p w14:paraId="08E81E26">
      <w:pPr>
        <w:spacing w:line="360" w:lineRule="auto"/>
        <w:rPr>
          <w:rFonts w:ascii="宋体" w:hAnsi="宋体"/>
          <w:sz w:val="24"/>
        </w:rPr>
      </w:pPr>
    </w:p>
    <w:p w14:paraId="24B1490B">
      <w:pPr>
        <w:jc w:val="center"/>
        <w:rPr>
          <w:rFonts w:ascii="宋体" w:hAnsi="宋体"/>
          <w:sz w:val="24"/>
        </w:rPr>
      </w:pPr>
      <w:r>
        <w:rPr>
          <w:rFonts w:hint="eastAsia" w:ascii="宋体" w:hAnsi="宋体"/>
          <w:b/>
          <w:sz w:val="24"/>
        </w:rPr>
        <w:t xml:space="preserve">                                             </w:t>
      </w:r>
      <w:r>
        <w:rPr>
          <w:rFonts w:hint="eastAsia" w:ascii="宋体" w:hAnsi="宋体"/>
          <w:sz w:val="24"/>
        </w:rPr>
        <w:t xml:space="preserve">           年    月    日</w:t>
      </w:r>
    </w:p>
    <w:p w14:paraId="38A3FC9D">
      <w:pPr>
        <w:rPr>
          <w:rFonts w:ascii="宋体" w:hAnsi="宋体"/>
          <w:szCs w:val="21"/>
        </w:rPr>
      </w:pPr>
      <w:r>
        <w:rPr>
          <w:rFonts w:hint="eastAsia" w:ascii="宋体" w:hAnsi="宋体"/>
          <w:szCs w:val="21"/>
        </w:rPr>
        <w:br w:type="page"/>
      </w:r>
    </w:p>
    <w:p w14:paraId="0D047C97">
      <w:pPr>
        <w:jc w:val="center"/>
        <w:rPr>
          <w:rFonts w:asciiTheme="minorEastAsia" w:hAnsiTheme="minorEastAsia" w:eastAsiaTheme="minorEastAsia"/>
          <w:b/>
          <w:bCs/>
          <w:sz w:val="36"/>
          <w:szCs w:val="36"/>
        </w:rPr>
      </w:pPr>
      <w:r>
        <w:rPr>
          <w:rFonts w:hint="eastAsia" w:asciiTheme="minorEastAsia" w:hAnsiTheme="minorEastAsia" w:eastAsiaTheme="minorEastAsia"/>
          <w:b/>
          <w:bCs/>
          <w:sz w:val="36"/>
          <w:szCs w:val="36"/>
        </w:rPr>
        <w:t>供应商廉洁自律承诺书</w:t>
      </w:r>
    </w:p>
    <w:p w14:paraId="66984538">
      <w:pPr>
        <w:rPr>
          <w:rFonts w:ascii="楷体_GB2312" w:eastAsia="楷体_GB2312"/>
        </w:rPr>
      </w:pPr>
    </w:p>
    <w:p w14:paraId="0CDADE55">
      <w:pPr>
        <w:pStyle w:val="15"/>
        <w:adjustRightInd w:val="0"/>
        <w:snapToGrid w:val="0"/>
        <w:spacing w:line="440" w:lineRule="exact"/>
        <w:ind w:left="424" w:leftChars="202" w:right="531" w:rightChars="253" w:firstLine="424" w:firstLineChars="177"/>
        <w:contextualSpacing/>
        <w:rPr>
          <w:rFonts w:asciiTheme="minorEastAsia" w:hAnsiTheme="minorEastAsia" w:eastAsiaTheme="minorEastAsia"/>
          <w:bCs/>
          <w:sz w:val="24"/>
        </w:rPr>
      </w:pPr>
      <w:r>
        <w:rPr>
          <w:rFonts w:hint="eastAsia" w:asciiTheme="minorEastAsia" w:hAnsiTheme="minorEastAsia" w:eastAsiaTheme="minorEastAsia"/>
          <w:bCs/>
          <w:sz w:val="24"/>
        </w:rPr>
        <w:t>扬州大学附属医院京沪高级医学中心导视标识及文化墙设计制作安装项目院内公开谈判是实行公开、公平、公正的阳光工程，给予了每个供应商平等竞争的机会。作为参与此次谈判活动的承包商,我公司现郑重作出以下承诺：</w:t>
      </w:r>
    </w:p>
    <w:p w14:paraId="7A20A73F">
      <w:pPr>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r>
        <w:rPr>
          <w:rFonts w:hint="eastAsia" w:asciiTheme="minorEastAsia" w:hAnsiTheme="minorEastAsia" w:eastAsiaTheme="minorEastAsia"/>
          <w:sz w:val="24"/>
        </w:rPr>
        <w:t>一、遵守《中华人民共和国政府采购法》及省、市有关政府采购的各项法律、法规和制度以及《扬州大学采购管理暂行办法》的规定。</w:t>
      </w:r>
    </w:p>
    <w:p w14:paraId="3FBAABB8">
      <w:pPr>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r>
        <w:rPr>
          <w:rFonts w:hint="eastAsia" w:asciiTheme="minorEastAsia" w:hAnsiTheme="minorEastAsia" w:eastAsiaTheme="minorEastAsia"/>
          <w:sz w:val="24"/>
        </w:rPr>
        <w:t>二、客观真实反映自身情况，按规定接受采购供应商资格审查,不提供虚假材料，不夸大自身技术和提供服务的能力。</w:t>
      </w:r>
    </w:p>
    <w:p w14:paraId="6785A2D4">
      <w:pPr>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r>
        <w:rPr>
          <w:rFonts w:hint="eastAsia" w:asciiTheme="minorEastAsia" w:hAnsiTheme="minorEastAsia" w:eastAsiaTheme="minorEastAsia"/>
          <w:sz w:val="24"/>
        </w:rPr>
        <w:t>三、以合法正当的手段参与采购的公平竞争。不与采购人、其他供应商或者采购代理机构恶意串通，不以不正当手段诋毁、排挤其他供应商，不向采购人、评审机构行贿或者提供其他不正当利益。</w:t>
      </w:r>
    </w:p>
    <w:p w14:paraId="53B625CD">
      <w:pPr>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r>
        <w:rPr>
          <w:rFonts w:hint="eastAsia" w:asciiTheme="minorEastAsia" w:hAnsiTheme="minorEastAsia" w:eastAsiaTheme="minorEastAsia"/>
          <w:sz w:val="24"/>
        </w:rPr>
        <w:t>四、在采购活动中，认真履行规定义务,包括:遵守采购程序，按要求编写投标、响应文件，并保证投标、响应文件内容的真实可靠；按时递交投标、响应文件；在评标、谈判现场遵守相关纪律，不影响正常的采购秩序。</w:t>
      </w:r>
    </w:p>
    <w:p w14:paraId="6D1165EF">
      <w:pPr>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r>
        <w:rPr>
          <w:rFonts w:hint="eastAsia" w:asciiTheme="minorEastAsia" w:hAnsiTheme="minorEastAsia" w:eastAsiaTheme="minorEastAsia"/>
          <w:sz w:val="24"/>
        </w:rPr>
        <w:t>五、自觉接受采购监督管理部门及其他相关部门的监督检查。</w:t>
      </w:r>
    </w:p>
    <w:p w14:paraId="4C747DD9">
      <w:pPr>
        <w:pStyle w:val="15"/>
        <w:adjustRightInd w:val="0"/>
        <w:snapToGrid w:val="0"/>
        <w:spacing w:line="440" w:lineRule="exact"/>
        <w:ind w:left="424" w:leftChars="202" w:right="531" w:rightChars="253" w:firstLine="426" w:firstLineChars="177"/>
        <w:contextualSpacing/>
        <w:rPr>
          <w:rFonts w:asciiTheme="minorEastAsia" w:hAnsiTheme="minorEastAsia" w:eastAsiaTheme="minorEastAsia"/>
          <w:b/>
          <w:bCs/>
          <w:sz w:val="24"/>
        </w:rPr>
      </w:pPr>
      <w:r>
        <w:rPr>
          <w:rFonts w:hint="eastAsia" w:asciiTheme="minorEastAsia" w:hAnsiTheme="minorEastAsia" w:eastAsiaTheme="minorEastAsia"/>
          <w:b/>
          <w:bCs/>
          <w:sz w:val="24"/>
        </w:rPr>
        <w:t>如违反以上承诺，我公司愿承担一切法律责任，并接受采购监督管理部门及其他相关部门依法作出的处罚。</w:t>
      </w:r>
    </w:p>
    <w:p w14:paraId="65C4CA77">
      <w:pPr>
        <w:pStyle w:val="15"/>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p>
    <w:p w14:paraId="7192FF2D">
      <w:pPr>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p>
    <w:p w14:paraId="205C2A56">
      <w:pPr>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r>
        <w:rPr>
          <w:rFonts w:hint="eastAsia" w:asciiTheme="minorEastAsia" w:hAnsiTheme="minorEastAsia" w:eastAsiaTheme="minorEastAsia"/>
          <w:sz w:val="24"/>
        </w:rPr>
        <w:t>承诺单位（盖章）</w:t>
      </w:r>
    </w:p>
    <w:p w14:paraId="7C820BA6">
      <w:pPr>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r>
        <w:rPr>
          <w:rFonts w:hint="eastAsia" w:asciiTheme="minorEastAsia" w:hAnsiTheme="minorEastAsia" w:eastAsiaTheme="minorEastAsia"/>
          <w:sz w:val="24"/>
        </w:rPr>
        <w:t>法定代表人（授权代表签字）：</w:t>
      </w:r>
    </w:p>
    <w:p w14:paraId="3A0A2387">
      <w:pPr>
        <w:pStyle w:val="10"/>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r>
        <w:rPr>
          <w:rFonts w:hint="eastAsia" w:asciiTheme="minorEastAsia" w:hAnsiTheme="minorEastAsia" w:eastAsiaTheme="minorEastAsia"/>
          <w:sz w:val="24"/>
        </w:rPr>
        <w:t>2025年   月   日</w:t>
      </w:r>
    </w:p>
    <w:p w14:paraId="7991BC09">
      <w:pPr>
        <w:jc w:val="center"/>
        <w:rPr>
          <w:rFonts w:ascii="宋体" w:hAnsi="宋体"/>
          <w:b/>
          <w:sz w:val="24"/>
        </w:rPr>
      </w:pPr>
    </w:p>
    <w:p w14:paraId="5F2135DC">
      <w:pPr>
        <w:rPr>
          <w:sz w:val="24"/>
        </w:rPr>
      </w:pPr>
      <w:r>
        <w:rPr>
          <w:sz w:val="24"/>
        </w:rPr>
        <w:br w:type="page"/>
      </w:r>
    </w:p>
    <w:p w14:paraId="768B4942">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b/>
          <w:sz w:val="32"/>
          <w:szCs w:val="32"/>
        </w:rPr>
      </w:pPr>
      <w:bookmarkStart w:id="15" w:name="_Toc12436"/>
      <w:bookmarkStart w:id="16" w:name="_Toc497145841"/>
      <w:r>
        <w:rPr>
          <w:rFonts w:hint="eastAsia"/>
          <w:b/>
          <w:sz w:val="32"/>
          <w:szCs w:val="32"/>
          <w:lang w:eastAsia="zh-CN"/>
        </w:rPr>
        <w:t>六、</w:t>
      </w:r>
      <w:r>
        <w:rPr>
          <w:rFonts w:hint="eastAsia"/>
          <w:b/>
          <w:sz w:val="32"/>
          <w:szCs w:val="32"/>
        </w:rPr>
        <w:t>合同条款及格式</w:t>
      </w:r>
      <w:bookmarkEnd w:id="15"/>
      <w:bookmarkEnd w:id="16"/>
    </w:p>
    <w:p w14:paraId="35F8BD39">
      <w:pPr>
        <w:pStyle w:val="59"/>
        <w:jc w:val="center"/>
        <w:rPr>
          <w:rFonts w:ascii="宋体" w:hAnsi="宋体" w:cs="宋体"/>
          <w:b/>
          <w:kern w:val="2"/>
          <w:sz w:val="72"/>
          <w:szCs w:val="52"/>
        </w:rPr>
      </w:pPr>
    </w:p>
    <w:p w14:paraId="1629D819">
      <w:pPr>
        <w:pStyle w:val="59"/>
        <w:jc w:val="center"/>
        <w:rPr>
          <w:rFonts w:ascii="宋体" w:hAnsi="宋体" w:cs="宋体"/>
          <w:b/>
          <w:kern w:val="2"/>
          <w:sz w:val="52"/>
          <w:szCs w:val="52"/>
        </w:rPr>
      </w:pPr>
      <w:r>
        <w:rPr>
          <w:rFonts w:hint="eastAsia" w:ascii="宋体" w:hAnsi="宋体" w:cs="宋体"/>
          <w:b/>
          <w:kern w:val="2"/>
          <w:sz w:val="72"/>
          <w:szCs w:val="52"/>
        </w:rPr>
        <w:t>建设工程施工合同</w:t>
      </w:r>
    </w:p>
    <w:p w14:paraId="568CDD28">
      <w:pPr>
        <w:pStyle w:val="59"/>
        <w:rPr>
          <w:rFonts w:ascii="宋体" w:hAnsi="宋体" w:cs="宋体"/>
          <w:b/>
          <w:kern w:val="2"/>
          <w:sz w:val="52"/>
          <w:szCs w:val="52"/>
        </w:rPr>
      </w:pPr>
    </w:p>
    <w:p w14:paraId="51F07911">
      <w:pPr>
        <w:pStyle w:val="59"/>
        <w:rPr>
          <w:rFonts w:ascii="宋体" w:hAnsi="宋体" w:cs="宋体"/>
          <w:b/>
          <w:kern w:val="2"/>
          <w:sz w:val="72"/>
          <w:szCs w:val="72"/>
        </w:rPr>
      </w:pPr>
    </w:p>
    <w:p w14:paraId="403EDEA7">
      <w:pPr>
        <w:pStyle w:val="59"/>
        <w:rPr>
          <w:rFonts w:ascii="宋体" w:hAnsi="宋体" w:cs="宋体"/>
          <w:b/>
          <w:kern w:val="2"/>
          <w:sz w:val="28"/>
          <w:szCs w:val="28"/>
        </w:rPr>
      </w:pPr>
    </w:p>
    <w:p w14:paraId="6D702933">
      <w:pPr>
        <w:tabs>
          <w:tab w:val="left" w:pos="0"/>
          <w:tab w:val="left" w:pos="1002"/>
          <w:tab w:val="left" w:pos="1134"/>
        </w:tabs>
        <w:spacing w:line="440" w:lineRule="exact"/>
        <w:rPr>
          <w:rFonts w:ascii="宋体" w:hAnsi="宋体" w:cs="宋体"/>
          <w:b/>
          <w:snapToGrid w:val="0"/>
          <w:sz w:val="36"/>
          <w:szCs w:val="36"/>
        </w:rPr>
      </w:pPr>
    </w:p>
    <w:p w14:paraId="7F904D13">
      <w:pPr>
        <w:tabs>
          <w:tab w:val="left" w:pos="0"/>
          <w:tab w:val="left" w:pos="1134"/>
        </w:tabs>
        <w:spacing w:line="440" w:lineRule="exact"/>
        <w:rPr>
          <w:rFonts w:ascii="宋体" w:hAnsi="宋体" w:cs="宋体"/>
          <w:b/>
          <w:snapToGrid w:val="0"/>
          <w:sz w:val="28"/>
          <w:szCs w:val="28"/>
        </w:rPr>
      </w:pPr>
    </w:p>
    <w:p w14:paraId="4CAA2E6A">
      <w:pPr>
        <w:tabs>
          <w:tab w:val="left" w:pos="0"/>
          <w:tab w:val="left" w:pos="1134"/>
        </w:tabs>
        <w:spacing w:line="440" w:lineRule="exact"/>
        <w:rPr>
          <w:rFonts w:ascii="宋体" w:hAnsi="宋体" w:cs="宋体"/>
          <w:b/>
          <w:snapToGrid w:val="0"/>
          <w:sz w:val="28"/>
          <w:szCs w:val="28"/>
        </w:rPr>
      </w:pPr>
    </w:p>
    <w:p w14:paraId="6A8FFCD5">
      <w:pPr>
        <w:tabs>
          <w:tab w:val="left" w:pos="0"/>
          <w:tab w:val="left" w:pos="1134"/>
        </w:tabs>
        <w:spacing w:line="440" w:lineRule="exact"/>
        <w:rPr>
          <w:rFonts w:ascii="宋体" w:hAnsi="宋体" w:cs="宋体"/>
          <w:b/>
          <w:snapToGrid w:val="0"/>
          <w:sz w:val="28"/>
          <w:szCs w:val="28"/>
        </w:rPr>
      </w:pPr>
    </w:p>
    <w:p w14:paraId="3846484C">
      <w:pPr>
        <w:tabs>
          <w:tab w:val="left" w:pos="0"/>
          <w:tab w:val="left" w:pos="1134"/>
        </w:tabs>
        <w:spacing w:line="440" w:lineRule="exact"/>
        <w:jc w:val="center"/>
        <w:rPr>
          <w:rFonts w:ascii="宋体" w:hAnsi="宋体" w:cs="宋体"/>
          <w:b/>
          <w:snapToGrid w:val="0"/>
          <w:sz w:val="36"/>
          <w:szCs w:val="36"/>
        </w:rPr>
      </w:pPr>
    </w:p>
    <w:p w14:paraId="3F364450">
      <w:pPr>
        <w:tabs>
          <w:tab w:val="left" w:pos="0"/>
          <w:tab w:val="left" w:pos="1134"/>
        </w:tabs>
        <w:spacing w:line="440" w:lineRule="exact"/>
        <w:jc w:val="center"/>
        <w:rPr>
          <w:rFonts w:ascii="宋体" w:hAnsi="宋体" w:cs="宋体"/>
          <w:b/>
          <w:snapToGrid w:val="0"/>
          <w:sz w:val="36"/>
          <w:szCs w:val="36"/>
        </w:rPr>
      </w:pPr>
    </w:p>
    <w:p w14:paraId="2F6F7D05">
      <w:pPr>
        <w:tabs>
          <w:tab w:val="left" w:pos="0"/>
          <w:tab w:val="left" w:pos="1134"/>
        </w:tabs>
        <w:spacing w:line="440" w:lineRule="exact"/>
        <w:jc w:val="center"/>
        <w:rPr>
          <w:rFonts w:ascii="宋体" w:hAnsi="宋体" w:cs="宋体"/>
          <w:b/>
          <w:snapToGrid w:val="0"/>
          <w:sz w:val="36"/>
          <w:szCs w:val="36"/>
        </w:rPr>
      </w:pPr>
    </w:p>
    <w:p w14:paraId="0E9B6C36">
      <w:pPr>
        <w:tabs>
          <w:tab w:val="left" w:pos="0"/>
          <w:tab w:val="left" w:pos="1134"/>
        </w:tabs>
        <w:spacing w:line="440" w:lineRule="exact"/>
        <w:jc w:val="center"/>
        <w:rPr>
          <w:rFonts w:ascii="宋体" w:hAnsi="宋体" w:cs="宋体"/>
          <w:b/>
          <w:snapToGrid w:val="0"/>
          <w:sz w:val="36"/>
          <w:szCs w:val="36"/>
        </w:rPr>
      </w:pPr>
    </w:p>
    <w:p w14:paraId="24A6CAE4">
      <w:pPr>
        <w:tabs>
          <w:tab w:val="left" w:pos="0"/>
          <w:tab w:val="left" w:pos="1134"/>
        </w:tabs>
        <w:spacing w:line="360" w:lineRule="auto"/>
        <w:ind w:firstLine="723" w:firstLineChars="200"/>
        <w:jc w:val="center"/>
        <w:outlineLvl w:val="0"/>
        <w:rPr>
          <w:rFonts w:ascii="宋体" w:hAnsi="宋体" w:cs="宋体"/>
          <w:b/>
          <w:snapToGrid w:val="0"/>
          <w:sz w:val="28"/>
          <w:szCs w:val="28"/>
        </w:rPr>
      </w:pPr>
      <w:r>
        <w:rPr>
          <w:rFonts w:hint="eastAsia" w:ascii="宋体" w:hAnsi="宋体" w:cs="宋体"/>
          <w:b/>
          <w:snapToGrid w:val="0"/>
          <w:sz w:val="36"/>
          <w:szCs w:val="36"/>
        </w:rPr>
        <w:br w:type="page"/>
      </w:r>
      <w:r>
        <w:rPr>
          <w:rFonts w:hint="eastAsia" w:ascii="宋体" w:hAnsi="宋体" w:cs="宋体"/>
          <w:b/>
          <w:bCs/>
          <w:sz w:val="32"/>
          <w:szCs w:val="32"/>
        </w:rPr>
        <w:t>第一部分协议书</w:t>
      </w:r>
    </w:p>
    <w:p w14:paraId="736CB762">
      <w:pPr>
        <w:tabs>
          <w:tab w:val="left" w:pos="426"/>
          <w:tab w:val="left" w:pos="1134"/>
        </w:tabs>
        <w:spacing w:line="360" w:lineRule="auto"/>
        <w:ind w:firstLine="420" w:firstLineChars="200"/>
        <w:contextualSpacing/>
        <w:rPr>
          <w:rFonts w:ascii="宋体" w:hAnsi="宋体" w:cs="宋体"/>
          <w:szCs w:val="21"/>
        </w:rPr>
      </w:pPr>
      <w:r>
        <w:rPr>
          <w:rFonts w:hint="eastAsia" w:ascii="宋体" w:hAnsi="宋体" w:cs="宋体"/>
          <w:szCs w:val="21"/>
        </w:rPr>
        <w:t>合同编号:</w:t>
      </w:r>
    </w:p>
    <w:p w14:paraId="118A770C">
      <w:pPr>
        <w:tabs>
          <w:tab w:val="left" w:pos="426"/>
          <w:tab w:val="left" w:pos="1134"/>
        </w:tabs>
        <w:spacing w:line="360" w:lineRule="auto"/>
        <w:ind w:firstLine="420" w:firstLineChars="200"/>
        <w:contextualSpacing/>
        <w:rPr>
          <w:rFonts w:ascii="宋体" w:hAnsi="宋体" w:cs="宋体"/>
          <w:b/>
          <w:snapToGrid w:val="0"/>
          <w:szCs w:val="21"/>
        </w:rPr>
      </w:pPr>
      <w:r>
        <w:rPr>
          <w:rFonts w:hint="eastAsia" w:ascii="宋体" w:hAnsi="宋体" w:cs="宋体"/>
          <w:szCs w:val="21"/>
        </w:rPr>
        <w:t>发包人：</w:t>
      </w:r>
      <w:r>
        <w:rPr>
          <w:rFonts w:hint="eastAsia" w:ascii="宋体" w:hAnsi="宋体" w:cs="宋体"/>
          <w:b/>
          <w:bCs/>
          <w:szCs w:val="21"/>
        </w:rPr>
        <w:t>扬州大学附属医院</w:t>
      </w:r>
    </w:p>
    <w:p w14:paraId="5AC0204D">
      <w:pPr>
        <w:tabs>
          <w:tab w:val="left" w:pos="426"/>
        </w:tabs>
        <w:spacing w:line="360" w:lineRule="auto"/>
        <w:ind w:firstLine="420" w:firstLineChars="200"/>
        <w:contextualSpacing/>
        <w:rPr>
          <w:rFonts w:ascii="宋体" w:hAnsi="宋体" w:cs="宋体"/>
          <w:szCs w:val="21"/>
        </w:rPr>
      </w:pPr>
      <w:r>
        <w:rPr>
          <w:rFonts w:hint="eastAsia" w:ascii="宋体" w:hAnsi="宋体" w:cs="宋体"/>
          <w:szCs w:val="21"/>
        </w:rPr>
        <w:t>承包人：</w:t>
      </w:r>
    </w:p>
    <w:p w14:paraId="26DECF8B">
      <w:pPr>
        <w:tabs>
          <w:tab w:val="left" w:pos="426"/>
        </w:tabs>
        <w:spacing w:line="360" w:lineRule="auto"/>
        <w:ind w:firstLine="420" w:firstLineChars="200"/>
        <w:contextualSpacing/>
        <w:rPr>
          <w:rFonts w:ascii="宋体" w:hAnsi="宋体" w:cs="宋体"/>
          <w:bCs/>
          <w:snapToGrid w:val="0"/>
          <w:szCs w:val="21"/>
        </w:rPr>
      </w:pPr>
      <w:r>
        <w:rPr>
          <w:rFonts w:hint="eastAsia" w:ascii="宋体" w:hAnsi="宋体" w:cs="宋体"/>
          <w:szCs w:val="21"/>
        </w:rPr>
        <w:t>发包人承包人双方根据《中华人民共和国民法典》等相关法律法规，遵循平等、自愿、公平、诚实信用的原则，就</w:t>
      </w:r>
      <w:r>
        <w:rPr>
          <w:rFonts w:hint="eastAsia" w:ascii="宋体" w:hAnsi="宋体" w:cs="宋体"/>
          <w:b/>
          <w:bCs/>
          <w:szCs w:val="21"/>
          <w:u w:val="single"/>
        </w:rPr>
        <w:t xml:space="preserve">                        </w:t>
      </w:r>
      <w:r>
        <w:rPr>
          <w:rFonts w:hint="eastAsia" w:ascii="宋体" w:hAnsi="宋体" w:cs="宋体"/>
          <w:szCs w:val="21"/>
        </w:rPr>
        <w:t>，经发包人承包人双方友好协商签订以下合同：</w:t>
      </w:r>
    </w:p>
    <w:p w14:paraId="4AE10292">
      <w:pPr>
        <w:tabs>
          <w:tab w:val="left" w:pos="426"/>
        </w:tabs>
        <w:spacing w:line="360" w:lineRule="auto"/>
        <w:ind w:firstLine="422" w:firstLineChars="200"/>
        <w:contextualSpacing/>
        <w:outlineLvl w:val="1"/>
        <w:rPr>
          <w:rFonts w:ascii="宋体" w:hAnsi="宋体" w:cs="宋体"/>
          <w:b/>
          <w:szCs w:val="21"/>
        </w:rPr>
      </w:pPr>
      <w:r>
        <w:rPr>
          <w:rFonts w:hint="eastAsia" w:ascii="宋体" w:hAnsi="宋体" w:cs="宋体"/>
          <w:b/>
          <w:szCs w:val="21"/>
        </w:rPr>
        <w:t>一、工程概况</w:t>
      </w:r>
    </w:p>
    <w:p w14:paraId="119A8EB4">
      <w:pPr>
        <w:tabs>
          <w:tab w:val="left" w:pos="426"/>
        </w:tabs>
        <w:spacing w:line="360" w:lineRule="auto"/>
        <w:ind w:firstLine="420" w:firstLineChars="200"/>
        <w:contextualSpacing/>
        <w:rPr>
          <w:rFonts w:ascii="宋体" w:hAnsi="宋体" w:cs="宋体"/>
          <w:b/>
          <w:bCs/>
          <w:snapToGrid w:val="0"/>
          <w:szCs w:val="21"/>
        </w:rPr>
      </w:pPr>
      <w:r>
        <w:rPr>
          <w:rFonts w:hint="eastAsia" w:ascii="宋体" w:hAnsi="宋体" w:cs="宋体"/>
          <w:szCs w:val="21"/>
        </w:rPr>
        <w:t>1.1工程名称：</w:t>
      </w:r>
    </w:p>
    <w:p w14:paraId="0B2EB398">
      <w:pPr>
        <w:tabs>
          <w:tab w:val="left" w:pos="426"/>
        </w:tabs>
        <w:spacing w:line="360" w:lineRule="auto"/>
        <w:ind w:firstLine="420" w:firstLineChars="200"/>
        <w:contextualSpacing/>
        <w:rPr>
          <w:rFonts w:ascii="宋体" w:hAnsi="宋体" w:cs="宋体"/>
          <w:b/>
          <w:snapToGrid w:val="0"/>
          <w:szCs w:val="21"/>
          <w:u w:val="single"/>
        </w:rPr>
      </w:pPr>
      <w:r>
        <w:rPr>
          <w:rFonts w:hint="eastAsia" w:ascii="宋体" w:hAnsi="宋体" w:cs="宋体"/>
          <w:szCs w:val="21"/>
        </w:rPr>
        <w:t>1.2工程地点：</w:t>
      </w:r>
    </w:p>
    <w:p w14:paraId="3EF57BF3">
      <w:pPr>
        <w:tabs>
          <w:tab w:val="left" w:pos="426"/>
        </w:tabs>
        <w:spacing w:line="360" w:lineRule="auto"/>
        <w:ind w:firstLine="420" w:firstLineChars="200"/>
        <w:contextualSpacing/>
        <w:rPr>
          <w:rFonts w:ascii="宋体" w:hAnsi="宋体" w:cs="宋体"/>
          <w:snapToGrid w:val="0"/>
          <w:szCs w:val="21"/>
        </w:rPr>
      </w:pPr>
      <w:r>
        <w:rPr>
          <w:rFonts w:hint="eastAsia" w:ascii="宋体" w:hAnsi="宋体" w:cs="宋体"/>
          <w:szCs w:val="21"/>
        </w:rPr>
        <w:t>1.3主要工程项目和内容：</w:t>
      </w:r>
      <w:r>
        <w:rPr>
          <w:rFonts w:hint="eastAsia" w:ascii="宋体" w:hAnsi="宋体" w:cs="宋体"/>
          <w:snapToGrid w:val="0"/>
          <w:szCs w:val="21"/>
        </w:rPr>
        <w:t xml:space="preserve"> </w:t>
      </w:r>
    </w:p>
    <w:p w14:paraId="6F903DE6">
      <w:pPr>
        <w:tabs>
          <w:tab w:val="left" w:pos="426"/>
        </w:tabs>
        <w:spacing w:line="360" w:lineRule="auto"/>
        <w:ind w:firstLine="422" w:firstLineChars="200"/>
        <w:contextualSpacing/>
        <w:rPr>
          <w:rFonts w:ascii="宋体" w:hAnsi="宋体" w:cs="宋体"/>
          <w:szCs w:val="21"/>
        </w:rPr>
      </w:pPr>
      <w:r>
        <w:rPr>
          <w:rFonts w:hint="eastAsia" w:ascii="宋体" w:hAnsi="宋体" w:cs="宋体"/>
          <w:b/>
          <w:snapToGrid w:val="0"/>
          <w:szCs w:val="21"/>
        </w:rPr>
        <w:t>详见图纸及本施工要求。</w:t>
      </w:r>
      <w:r>
        <w:rPr>
          <w:rFonts w:hint="eastAsia" w:ascii="宋体" w:hAnsi="宋体" w:cs="宋体"/>
          <w:szCs w:val="21"/>
        </w:rPr>
        <w:t>按照图纸所示内容施工，若因发包人要求增加，增加部分的工程量按实际增加工作量签证另行计算。</w:t>
      </w:r>
    </w:p>
    <w:p w14:paraId="2A6C6FD1">
      <w:pPr>
        <w:pStyle w:val="46"/>
        <w:tabs>
          <w:tab w:val="left" w:pos="426"/>
        </w:tabs>
        <w:spacing w:line="360" w:lineRule="auto"/>
        <w:contextualSpacing/>
        <w:jc w:val="left"/>
        <w:rPr>
          <w:rFonts w:ascii="宋体" w:hAnsi="宋体" w:cs="宋体"/>
          <w:szCs w:val="21"/>
        </w:rPr>
      </w:pPr>
      <w:r>
        <w:rPr>
          <w:rFonts w:hint="eastAsia" w:ascii="宋体" w:hAnsi="宋体" w:cs="宋体"/>
          <w:szCs w:val="21"/>
        </w:rPr>
        <w:t>1.4资金来源：自筹。</w:t>
      </w:r>
    </w:p>
    <w:p w14:paraId="499276E7">
      <w:pPr>
        <w:tabs>
          <w:tab w:val="left" w:pos="426"/>
        </w:tabs>
        <w:spacing w:line="360" w:lineRule="auto"/>
        <w:ind w:firstLine="422" w:firstLineChars="200"/>
        <w:contextualSpacing/>
        <w:outlineLvl w:val="1"/>
        <w:rPr>
          <w:rFonts w:ascii="宋体" w:hAnsi="宋体" w:cs="宋体"/>
          <w:b/>
          <w:szCs w:val="21"/>
        </w:rPr>
      </w:pPr>
      <w:r>
        <w:rPr>
          <w:rFonts w:hint="eastAsia" w:ascii="宋体" w:hAnsi="宋体" w:cs="宋体"/>
          <w:b/>
          <w:szCs w:val="21"/>
        </w:rPr>
        <w:t>二、合同工期</w:t>
      </w:r>
    </w:p>
    <w:p w14:paraId="3EA42B83">
      <w:pPr>
        <w:pStyle w:val="46"/>
        <w:tabs>
          <w:tab w:val="left" w:pos="426"/>
        </w:tabs>
        <w:spacing w:line="360" w:lineRule="auto"/>
        <w:contextualSpacing/>
        <w:jc w:val="left"/>
        <w:rPr>
          <w:rFonts w:ascii="宋体" w:hAnsi="宋体" w:cs="宋体"/>
          <w:szCs w:val="21"/>
        </w:rPr>
      </w:pPr>
      <w:r>
        <w:rPr>
          <w:rFonts w:hint="eastAsia" w:ascii="宋体" w:hAnsi="宋体" w:cs="宋体"/>
          <w:szCs w:val="21"/>
        </w:rPr>
        <w:t>2.1</w:t>
      </w:r>
      <w:r>
        <w:rPr>
          <w:rFonts w:hint="eastAsia" w:ascii="宋体" w:hAnsi="宋体" w:cs="宋体"/>
          <w:b/>
          <w:bCs/>
          <w:snapToGrid w:val="0"/>
          <w:szCs w:val="21"/>
        </w:rPr>
        <w:t>总工期日历天。</w:t>
      </w:r>
    </w:p>
    <w:p w14:paraId="5C852BAE">
      <w:pPr>
        <w:pStyle w:val="46"/>
        <w:tabs>
          <w:tab w:val="left" w:pos="426"/>
        </w:tabs>
        <w:spacing w:line="360" w:lineRule="auto"/>
        <w:ind w:firstLine="452"/>
        <w:contextualSpacing/>
        <w:jc w:val="left"/>
        <w:rPr>
          <w:rFonts w:ascii="宋体" w:hAnsi="宋体" w:cs="宋体"/>
          <w:szCs w:val="21"/>
        </w:rPr>
      </w:pPr>
      <w:r>
        <w:rPr>
          <w:rFonts w:hint="eastAsia" w:ascii="宋体" w:hAnsi="宋体" w:cs="宋体"/>
          <w:spacing w:val="8"/>
          <w:szCs w:val="21"/>
        </w:rPr>
        <w:t>2.2开工日期为：   年   月   日（以发包人开工令为准）。</w:t>
      </w:r>
    </w:p>
    <w:p w14:paraId="26865ABE">
      <w:pPr>
        <w:tabs>
          <w:tab w:val="left" w:pos="426"/>
        </w:tabs>
        <w:spacing w:line="360" w:lineRule="auto"/>
        <w:ind w:firstLine="422" w:firstLineChars="200"/>
        <w:contextualSpacing/>
        <w:outlineLvl w:val="1"/>
        <w:rPr>
          <w:rFonts w:ascii="宋体" w:hAnsi="宋体" w:cs="宋体"/>
          <w:b/>
          <w:szCs w:val="21"/>
        </w:rPr>
      </w:pPr>
      <w:r>
        <w:rPr>
          <w:rFonts w:hint="eastAsia" w:ascii="宋体" w:hAnsi="宋体" w:cs="宋体"/>
          <w:b/>
          <w:szCs w:val="21"/>
        </w:rPr>
        <w:t>三、质量标准</w:t>
      </w:r>
    </w:p>
    <w:p w14:paraId="07A3CF5D">
      <w:pPr>
        <w:pStyle w:val="58"/>
        <w:tabs>
          <w:tab w:val="left" w:pos="426"/>
        </w:tabs>
        <w:adjustRightInd/>
        <w:spacing w:before="0" w:after="0" w:line="360" w:lineRule="auto"/>
        <w:ind w:left="0" w:right="0" w:firstLine="420" w:firstLineChars="200"/>
        <w:contextualSpacing/>
        <w:rPr>
          <w:rFonts w:ascii="宋体" w:hAnsi="宋体" w:cs="宋体"/>
          <w:sz w:val="21"/>
          <w:szCs w:val="21"/>
        </w:rPr>
      </w:pPr>
      <w:r>
        <w:rPr>
          <w:rFonts w:hint="eastAsia" w:ascii="宋体" w:hAnsi="宋体" w:cs="宋体"/>
          <w:sz w:val="21"/>
          <w:szCs w:val="21"/>
        </w:rPr>
        <w:t>3.1质量要求：工程必须一次性验收达到合格。因承包人原因达不到合同约定质量要求，除合同价5%的违约金外，承包人必须保证整改后工程质量达到合格标准,由于承包人原因出现质量问题所造成的一切经济损失由承包人负责。</w:t>
      </w:r>
    </w:p>
    <w:p w14:paraId="2EB0B4DA">
      <w:pPr>
        <w:pStyle w:val="58"/>
        <w:tabs>
          <w:tab w:val="left" w:pos="426"/>
        </w:tabs>
        <w:adjustRightInd/>
        <w:spacing w:before="0" w:after="0" w:line="360" w:lineRule="auto"/>
        <w:ind w:left="0" w:right="0" w:firstLine="422" w:firstLineChars="200"/>
        <w:contextualSpacing/>
        <w:rPr>
          <w:rFonts w:ascii="宋体" w:hAnsi="宋体" w:cs="宋体"/>
          <w:b/>
          <w:sz w:val="21"/>
          <w:szCs w:val="21"/>
        </w:rPr>
      </w:pPr>
      <w:r>
        <w:rPr>
          <w:rFonts w:hint="eastAsia" w:ascii="宋体" w:hAnsi="宋体" w:cs="宋体"/>
          <w:b/>
          <w:sz w:val="21"/>
          <w:szCs w:val="21"/>
        </w:rPr>
        <w:t>四、合同价款</w:t>
      </w:r>
    </w:p>
    <w:p w14:paraId="28B43D81">
      <w:pPr>
        <w:tabs>
          <w:tab w:val="left" w:pos="426"/>
        </w:tabs>
        <w:spacing w:line="360" w:lineRule="auto"/>
        <w:ind w:firstLine="422" w:firstLineChars="200"/>
        <w:contextualSpacing/>
        <w:rPr>
          <w:rFonts w:ascii="宋体" w:hAnsi="宋体" w:cs="宋体"/>
          <w:b/>
          <w:szCs w:val="21"/>
        </w:rPr>
      </w:pPr>
      <w:r>
        <w:rPr>
          <w:rFonts w:hint="eastAsia" w:ascii="宋体" w:hAnsi="宋体" w:cs="宋体"/>
          <w:b/>
          <w:szCs w:val="21"/>
        </w:rPr>
        <w:t xml:space="preserve">4.1合同价为：人民币（大写）: </w:t>
      </w:r>
    </w:p>
    <w:p w14:paraId="093A856D">
      <w:pPr>
        <w:tabs>
          <w:tab w:val="left" w:pos="426"/>
        </w:tabs>
        <w:spacing w:line="360" w:lineRule="auto"/>
        <w:ind w:firstLine="422" w:firstLineChars="200"/>
        <w:contextualSpacing/>
        <w:rPr>
          <w:rFonts w:ascii="宋体" w:hAnsi="宋体" w:cs="宋体"/>
          <w:b/>
          <w:szCs w:val="21"/>
          <w:u w:val="single"/>
        </w:rPr>
      </w:pPr>
      <w:r>
        <w:rPr>
          <w:rFonts w:hint="eastAsia" w:ascii="宋体" w:hAnsi="宋体" w:cs="宋体"/>
          <w:b/>
          <w:szCs w:val="21"/>
        </w:rPr>
        <w:t xml:space="preserve">                     (小写)：</w:t>
      </w:r>
      <w:r>
        <w:rPr>
          <w:rFonts w:hint="eastAsia" w:ascii="宋体" w:hAnsi="宋体" w:cs="宋体"/>
          <w:b/>
          <w:szCs w:val="21"/>
          <w:u w:val="single"/>
        </w:rPr>
        <w:t xml:space="preserve"> </w:t>
      </w:r>
    </w:p>
    <w:p w14:paraId="1C92904E">
      <w:pPr>
        <w:tabs>
          <w:tab w:val="left" w:pos="426"/>
        </w:tabs>
        <w:spacing w:line="360" w:lineRule="auto"/>
        <w:ind w:firstLine="422" w:firstLineChars="200"/>
        <w:contextualSpacing/>
        <w:rPr>
          <w:rFonts w:ascii="宋体" w:hAnsi="宋体" w:cs="宋体"/>
          <w:b/>
          <w:szCs w:val="21"/>
        </w:rPr>
      </w:pPr>
      <w:r>
        <w:rPr>
          <w:rFonts w:hint="eastAsia" w:ascii="宋体" w:hAnsi="宋体" w:cs="宋体"/>
          <w:b/>
          <w:szCs w:val="21"/>
        </w:rPr>
        <w:t>（最终</w:t>
      </w:r>
      <w:r>
        <w:rPr>
          <w:rFonts w:hint="eastAsia" w:ascii="宋体" w:hAnsi="宋体" w:cs="宋体"/>
          <w:b/>
          <w:szCs w:val="21"/>
          <w:lang w:val="en-US" w:eastAsia="zh-CN"/>
        </w:rPr>
        <w:t>按</w:t>
      </w:r>
      <w:r>
        <w:rPr>
          <w:rFonts w:hint="eastAsia" w:ascii="宋体" w:hAnsi="宋体" w:cs="宋体"/>
          <w:b/>
          <w:szCs w:val="21"/>
        </w:rPr>
        <w:t>审计造价进行结算。）</w:t>
      </w:r>
    </w:p>
    <w:p w14:paraId="4D3395E2">
      <w:pPr>
        <w:numPr>
          <w:ilvl w:val="0"/>
          <w:numId w:val="6"/>
        </w:numPr>
        <w:tabs>
          <w:tab w:val="left" w:pos="426"/>
        </w:tabs>
        <w:spacing w:line="360" w:lineRule="auto"/>
        <w:ind w:firstLine="422" w:firstLineChars="200"/>
        <w:contextualSpacing/>
        <w:rPr>
          <w:rFonts w:ascii="宋体" w:hAnsi="宋体" w:cs="宋体"/>
          <w:b/>
          <w:szCs w:val="21"/>
        </w:rPr>
      </w:pPr>
      <w:r>
        <w:rPr>
          <w:rFonts w:hint="eastAsia" w:ascii="宋体" w:hAnsi="宋体" w:cs="宋体"/>
          <w:b/>
          <w:szCs w:val="21"/>
        </w:rPr>
        <w:t>付款方式</w:t>
      </w:r>
      <w:r>
        <w:rPr>
          <w:rFonts w:hint="eastAsia" w:ascii="宋体" w:hAnsi="宋体" w:cs="宋体"/>
          <w:b/>
          <w:szCs w:val="21"/>
          <w:lang w:eastAsia="zh-CN"/>
        </w:rPr>
        <w:t>：</w:t>
      </w:r>
    </w:p>
    <w:p w14:paraId="78E4647A">
      <w:pPr>
        <w:tabs>
          <w:tab w:val="left" w:pos="426"/>
        </w:tabs>
        <w:spacing w:line="360" w:lineRule="auto"/>
        <w:ind w:firstLine="422" w:firstLineChars="200"/>
        <w:contextualSpacing/>
        <w:outlineLvl w:val="1"/>
        <w:rPr>
          <w:rFonts w:ascii="宋体" w:hAnsi="宋体" w:cs="宋体"/>
          <w:szCs w:val="21"/>
        </w:rPr>
      </w:pPr>
      <w:r>
        <w:rPr>
          <w:rFonts w:hint="eastAsia" w:ascii="宋体" w:hAnsi="宋体" w:cs="宋体"/>
          <w:b/>
          <w:szCs w:val="21"/>
        </w:rPr>
        <w:t>六、组成本合同的文件包括：</w:t>
      </w:r>
      <w:r>
        <w:rPr>
          <w:rFonts w:hint="eastAsia" w:ascii="宋体" w:hAnsi="宋体" w:cs="宋体"/>
          <w:szCs w:val="21"/>
        </w:rPr>
        <w:t>是合同不可分割的组成部分，与合同具有同样的法律效力。</w:t>
      </w:r>
    </w:p>
    <w:p w14:paraId="3752ACEA">
      <w:pPr>
        <w:tabs>
          <w:tab w:val="left" w:pos="426"/>
          <w:tab w:val="left" w:pos="3420"/>
        </w:tabs>
        <w:spacing w:line="360" w:lineRule="auto"/>
        <w:ind w:firstLine="420" w:firstLineChars="200"/>
        <w:contextualSpacing/>
        <w:rPr>
          <w:rFonts w:ascii="宋体" w:hAnsi="宋体" w:cs="宋体"/>
          <w:szCs w:val="21"/>
        </w:rPr>
      </w:pPr>
      <w:r>
        <w:rPr>
          <w:rFonts w:hint="eastAsia" w:ascii="宋体" w:hAnsi="宋体" w:cs="宋体"/>
          <w:szCs w:val="21"/>
        </w:rPr>
        <w:t>6.1合同协议书</w:t>
      </w:r>
      <w:r>
        <w:rPr>
          <w:rFonts w:hint="eastAsia" w:ascii="宋体" w:hAnsi="宋体" w:cs="宋体"/>
          <w:snapToGrid w:val="0"/>
          <w:szCs w:val="21"/>
        </w:rPr>
        <w:t>；</w:t>
      </w:r>
    </w:p>
    <w:p w14:paraId="3C87C0A8">
      <w:pPr>
        <w:tabs>
          <w:tab w:val="left" w:pos="426"/>
          <w:tab w:val="left" w:pos="3420"/>
        </w:tabs>
        <w:spacing w:line="360" w:lineRule="auto"/>
        <w:ind w:firstLine="420" w:firstLineChars="200"/>
        <w:contextualSpacing/>
        <w:rPr>
          <w:rFonts w:ascii="宋体" w:hAnsi="宋体" w:cs="宋体"/>
          <w:szCs w:val="21"/>
        </w:rPr>
      </w:pPr>
      <w:r>
        <w:rPr>
          <w:rFonts w:hint="eastAsia" w:ascii="宋体" w:hAnsi="宋体" w:cs="宋体"/>
          <w:szCs w:val="21"/>
        </w:rPr>
        <w:t>6.2合同专用条款</w:t>
      </w:r>
      <w:r>
        <w:rPr>
          <w:rFonts w:hint="eastAsia" w:ascii="宋体" w:hAnsi="宋体" w:cs="宋体"/>
          <w:snapToGrid w:val="0"/>
          <w:szCs w:val="21"/>
        </w:rPr>
        <w:t>；</w:t>
      </w:r>
    </w:p>
    <w:p w14:paraId="29A9F546">
      <w:pPr>
        <w:tabs>
          <w:tab w:val="left" w:pos="426"/>
          <w:tab w:val="left" w:pos="3420"/>
        </w:tabs>
        <w:spacing w:line="360" w:lineRule="auto"/>
        <w:ind w:firstLine="420" w:firstLineChars="200"/>
        <w:contextualSpacing/>
        <w:rPr>
          <w:rFonts w:ascii="宋体" w:hAnsi="宋体" w:cs="宋体"/>
          <w:szCs w:val="21"/>
        </w:rPr>
      </w:pPr>
      <w:r>
        <w:rPr>
          <w:rFonts w:hint="eastAsia" w:ascii="宋体" w:hAnsi="宋体" w:cs="宋体"/>
          <w:szCs w:val="21"/>
        </w:rPr>
        <w:t>6.3合同通用条款</w:t>
      </w:r>
      <w:r>
        <w:rPr>
          <w:rFonts w:hint="eastAsia" w:ascii="宋体" w:hAnsi="宋体" w:cs="宋体"/>
          <w:snapToGrid w:val="0"/>
          <w:szCs w:val="21"/>
        </w:rPr>
        <w:t>；</w:t>
      </w:r>
    </w:p>
    <w:p w14:paraId="54A7EABE">
      <w:pPr>
        <w:tabs>
          <w:tab w:val="left" w:pos="3420"/>
        </w:tabs>
        <w:spacing w:line="360" w:lineRule="auto"/>
        <w:ind w:firstLine="420" w:firstLineChars="200"/>
        <w:contextualSpacing/>
        <w:rPr>
          <w:rFonts w:ascii="宋体" w:hAnsi="宋体" w:cs="宋体"/>
          <w:szCs w:val="21"/>
        </w:rPr>
      </w:pPr>
      <w:r>
        <w:rPr>
          <w:rFonts w:hint="eastAsia" w:ascii="宋体" w:hAnsi="宋体" w:cs="宋体"/>
          <w:szCs w:val="21"/>
        </w:rPr>
        <w:t>6.4招标文件及补遗书及澄清答疑文件</w:t>
      </w:r>
      <w:r>
        <w:rPr>
          <w:rFonts w:hint="eastAsia" w:ascii="宋体" w:hAnsi="宋体" w:cs="宋体"/>
          <w:snapToGrid w:val="0"/>
          <w:szCs w:val="21"/>
        </w:rPr>
        <w:t>；</w:t>
      </w:r>
    </w:p>
    <w:p w14:paraId="33FDC366">
      <w:pPr>
        <w:spacing w:line="360" w:lineRule="auto"/>
        <w:ind w:firstLine="420" w:firstLineChars="200"/>
        <w:contextualSpacing/>
        <w:rPr>
          <w:rFonts w:ascii="宋体" w:hAnsi="宋体" w:cs="宋体"/>
          <w:szCs w:val="21"/>
        </w:rPr>
      </w:pPr>
      <w:r>
        <w:rPr>
          <w:rFonts w:hint="eastAsia" w:ascii="宋体" w:hAnsi="宋体" w:cs="宋体"/>
          <w:szCs w:val="21"/>
        </w:rPr>
        <w:t>6.5投标文件</w:t>
      </w:r>
      <w:r>
        <w:rPr>
          <w:rFonts w:hint="eastAsia" w:ascii="宋体" w:hAnsi="宋体" w:cs="宋体"/>
          <w:snapToGrid w:val="0"/>
          <w:szCs w:val="21"/>
        </w:rPr>
        <w:t>；</w:t>
      </w:r>
    </w:p>
    <w:p w14:paraId="2D5A69C6">
      <w:pPr>
        <w:spacing w:line="360" w:lineRule="auto"/>
        <w:ind w:firstLine="420" w:firstLineChars="200"/>
        <w:contextualSpacing/>
        <w:rPr>
          <w:rFonts w:ascii="宋体" w:hAnsi="宋体" w:cs="宋体"/>
          <w:szCs w:val="21"/>
        </w:rPr>
      </w:pPr>
      <w:r>
        <w:rPr>
          <w:rFonts w:hint="eastAsia" w:ascii="宋体" w:hAnsi="宋体" w:cs="宋体"/>
          <w:szCs w:val="21"/>
        </w:rPr>
        <w:t>6.6投标人投标时所作的申明、承诺、澄清及答复资料等</w:t>
      </w:r>
      <w:r>
        <w:rPr>
          <w:rFonts w:hint="eastAsia" w:ascii="宋体" w:hAnsi="宋体" w:cs="宋体"/>
          <w:snapToGrid w:val="0"/>
          <w:szCs w:val="21"/>
        </w:rPr>
        <w:t>；</w:t>
      </w:r>
    </w:p>
    <w:p w14:paraId="26198032">
      <w:pPr>
        <w:spacing w:line="360" w:lineRule="auto"/>
        <w:ind w:firstLine="420" w:firstLineChars="200"/>
        <w:contextualSpacing/>
        <w:rPr>
          <w:rFonts w:ascii="宋体" w:hAnsi="宋体" w:cs="宋体"/>
          <w:szCs w:val="21"/>
        </w:rPr>
      </w:pPr>
      <w:r>
        <w:rPr>
          <w:rFonts w:hint="eastAsia" w:ascii="宋体" w:hAnsi="宋体" w:cs="宋体"/>
          <w:szCs w:val="21"/>
        </w:rPr>
        <w:t>6.7国家及行业规范标准、</w:t>
      </w:r>
      <w:r>
        <w:rPr>
          <w:rFonts w:hint="eastAsia" w:ascii="宋体" w:hAnsi="宋体" w:cs="宋体"/>
          <w:snapToGrid w:val="0"/>
          <w:szCs w:val="21"/>
        </w:rPr>
        <w:t>有关技术文件；</w:t>
      </w:r>
    </w:p>
    <w:p w14:paraId="743A5C82">
      <w:pPr>
        <w:tabs>
          <w:tab w:val="left" w:pos="3420"/>
        </w:tabs>
        <w:spacing w:line="360" w:lineRule="auto"/>
        <w:ind w:firstLine="420" w:firstLineChars="200"/>
        <w:contextualSpacing/>
        <w:rPr>
          <w:rFonts w:ascii="宋体" w:hAnsi="宋体" w:cs="宋体"/>
          <w:szCs w:val="21"/>
        </w:rPr>
      </w:pPr>
      <w:r>
        <w:rPr>
          <w:rFonts w:hint="eastAsia" w:ascii="宋体" w:hAnsi="宋体" w:cs="宋体"/>
          <w:szCs w:val="21"/>
        </w:rPr>
        <w:t>6.8施工图纸</w:t>
      </w:r>
      <w:r>
        <w:rPr>
          <w:rFonts w:hint="eastAsia" w:ascii="宋体" w:hAnsi="宋体" w:cs="宋体"/>
          <w:snapToGrid w:val="0"/>
          <w:szCs w:val="21"/>
        </w:rPr>
        <w:t>；</w:t>
      </w:r>
    </w:p>
    <w:p w14:paraId="28752637">
      <w:pPr>
        <w:tabs>
          <w:tab w:val="left" w:pos="3420"/>
        </w:tabs>
        <w:spacing w:line="360" w:lineRule="auto"/>
        <w:ind w:firstLine="420" w:firstLineChars="200"/>
        <w:contextualSpacing/>
        <w:rPr>
          <w:rFonts w:ascii="宋体" w:hAnsi="宋体" w:cs="宋体"/>
          <w:szCs w:val="21"/>
        </w:rPr>
      </w:pPr>
      <w:r>
        <w:rPr>
          <w:rFonts w:hint="eastAsia" w:ascii="宋体" w:hAnsi="宋体" w:cs="宋体"/>
          <w:szCs w:val="21"/>
        </w:rPr>
        <w:t>6.9</w:t>
      </w:r>
      <w:r>
        <w:rPr>
          <w:rFonts w:hint="eastAsia" w:ascii="宋体" w:hAnsi="宋体" w:cs="宋体"/>
          <w:snapToGrid w:val="0"/>
          <w:szCs w:val="21"/>
        </w:rPr>
        <w:t>工程报价单及预算书；</w:t>
      </w:r>
    </w:p>
    <w:p w14:paraId="6C6F1496">
      <w:pPr>
        <w:tabs>
          <w:tab w:val="left" w:pos="3420"/>
        </w:tabs>
        <w:spacing w:line="360" w:lineRule="auto"/>
        <w:ind w:firstLine="420" w:firstLineChars="200"/>
        <w:contextualSpacing/>
        <w:rPr>
          <w:rFonts w:ascii="宋体" w:hAnsi="宋体" w:cs="宋体"/>
          <w:szCs w:val="21"/>
        </w:rPr>
      </w:pPr>
      <w:r>
        <w:rPr>
          <w:rFonts w:hint="eastAsia" w:ascii="宋体" w:hAnsi="宋体" w:cs="宋体"/>
          <w:szCs w:val="21"/>
        </w:rPr>
        <w:t>6.10经双方确认的工程量清单</w:t>
      </w:r>
      <w:r>
        <w:rPr>
          <w:rFonts w:hint="eastAsia" w:ascii="宋体" w:hAnsi="宋体" w:cs="宋体"/>
          <w:snapToGrid w:val="0"/>
          <w:szCs w:val="21"/>
        </w:rPr>
        <w:t>；</w:t>
      </w:r>
    </w:p>
    <w:p w14:paraId="3E37326D">
      <w:pPr>
        <w:tabs>
          <w:tab w:val="left" w:pos="3420"/>
        </w:tabs>
        <w:spacing w:line="360" w:lineRule="auto"/>
        <w:ind w:firstLine="420" w:firstLineChars="200"/>
        <w:contextualSpacing/>
        <w:rPr>
          <w:rFonts w:ascii="宋体" w:hAnsi="宋体" w:cs="宋体"/>
          <w:szCs w:val="21"/>
        </w:rPr>
      </w:pPr>
      <w:r>
        <w:rPr>
          <w:rFonts w:hint="eastAsia" w:ascii="宋体" w:hAnsi="宋体" w:cs="宋体"/>
          <w:szCs w:val="21"/>
        </w:rPr>
        <w:t>6.11投标报价</w:t>
      </w:r>
      <w:r>
        <w:rPr>
          <w:rFonts w:hint="eastAsia" w:ascii="宋体" w:hAnsi="宋体" w:cs="宋体"/>
          <w:snapToGrid w:val="0"/>
          <w:szCs w:val="21"/>
        </w:rPr>
        <w:t>；</w:t>
      </w:r>
    </w:p>
    <w:p w14:paraId="715D3722">
      <w:pPr>
        <w:spacing w:line="360" w:lineRule="auto"/>
        <w:ind w:firstLine="420" w:firstLineChars="200"/>
        <w:contextualSpacing/>
        <w:rPr>
          <w:rFonts w:ascii="宋体" w:hAnsi="宋体" w:cs="宋体"/>
          <w:szCs w:val="21"/>
        </w:rPr>
      </w:pPr>
      <w:r>
        <w:rPr>
          <w:rFonts w:hint="eastAsia" w:ascii="宋体" w:hAnsi="宋体" w:cs="宋体"/>
          <w:snapToGrid w:val="0"/>
          <w:szCs w:val="21"/>
        </w:rPr>
        <w:t>合同履行中，</w:t>
      </w:r>
      <w:r>
        <w:rPr>
          <w:rFonts w:hint="eastAsia" w:ascii="宋体" w:hAnsi="宋体" w:cs="宋体"/>
          <w:szCs w:val="21"/>
        </w:rPr>
        <w:t>双方有关工程的洽商、变更等书面协议或文件视为本合同的组成部分。</w:t>
      </w:r>
    </w:p>
    <w:p w14:paraId="0A1A522E">
      <w:pPr>
        <w:spacing w:line="360" w:lineRule="auto"/>
        <w:ind w:firstLine="422" w:firstLineChars="200"/>
        <w:contextualSpacing/>
        <w:outlineLvl w:val="1"/>
        <w:rPr>
          <w:rFonts w:ascii="宋体" w:hAnsi="宋体" w:cs="宋体"/>
          <w:b/>
          <w:szCs w:val="21"/>
        </w:rPr>
      </w:pPr>
      <w:r>
        <w:rPr>
          <w:rFonts w:hint="eastAsia" w:ascii="宋体" w:hAnsi="宋体" w:cs="宋体"/>
          <w:b/>
          <w:szCs w:val="21"/>
        </w:rPr>
        <w:t>七、本合同书中有关词语含义与本合同《通用条款》中分别赋予它们的定义相同。</w:t>
      </w:r>
    </w:p>
    <w:p w14:paraId="3DF2C267">
      <w:pPr>
        <w:spacing w:line="360" w:lineRule="auto"/>
        <w:ind w:firstLine="422" w:firstLineChars="200"/>
        <w:contextualSpacing/>
        <w:outlineLvl w:val="1"/>
        <w:rPr>
          <w:rFonts w:ascii="宋体" w:hAnsi="宋体" w:cs="宋体"/>
          <w:b/>
          <w:szCs w:val="21"/>
        </w:rPr>
      </w:pPr>
      <w:r>
        <w:rPr>
          <w:rFonts w:hint="eastAsia" w:ascii="宋体" w:hAnsi="宋体" w:cs="宋体"/>
          <w:b/>
          <w:szCs w:val="21"/>
        </w:rPr>
        <w:t>八、承包人向发包人承诺按照合同约定进行施工，并在质量保修期内承担工程质量的保修责任。</w:t>
      </w:r>
    </w:p>
    <w:p w14:paraId="162ACA0E">
      <w:pPr>
        <w:spacing w:line="360" w:lineRule="auto"/>
        <w:ind w:firstLine="422" w:firstLineChars="200"/>
        <w:contextualSpacing/>
        <w:outlineLvl w:val="1"/>
        <w:rPr>
          <w:rFonts w:ascii="宋体" w:hAnsi="宋体" w:cs="宋体"/>
          <w:b/>
          <w:szCs w:val="21"/>
        </w:rPr>
      </w:pPr>
      <w:r>
        <w:rPr>
          <w:rFonts w:hint="eastAsia" w:ascii="宋体" w:hAnsi="宋体" w:cs="宋体"/>
          <w:b/>
          <w:szCs w:val="21"/>
        </w:rPr>
        <w:t>九、发包人向承包人承诺按照合同约定的期限和方式支付合同价款及其他应当支付的款项。</w:t>
      </w:r>
    </w:p>
    <w:p w14:paraId="25100016">
      <w:pPr>
        <w:spacing w:line="360" w:lineRule="auto"/>
        <w:ind w:firstLine="422" w:firstLineChars="200"/>
        <w:contextualSpacing/>
        <w:outlineLvl w:val="1"/>
        <w:rPr>
          <w:rFonts w:ascii="宋体" w:hAnsi="宋体" w:cs="宋体"/>
          <w:b/>
          <w:szCs w:val="21"/>
        </w:rPr>
      </w:pPr>
      <w:r>
        <w:rPr>
          <w:rFonts w:hint="eastAsia" w:ascii="宋体" w:hAnsi="宋体" w:cs="宋体"/>
          <w:b/>
          <w:szCs w:val="21"/>
        </w:rPr>
        <w:t>十、合同生效</w:t>
      </w:r>
    </w:p>
    <w:p w14:paraId="661A9EAF">
      <w:pPr>
        <w:spacing w:line="360" w:lineRule="auto"/>
        <w:ind w:firstLine="420" w:firstLineChars="200"/>
        <w:contextualSpacing/>
        <w:rPr>
          <w:rFonts w:ascii="宋体" w:hAnsi="宋体" w:cs="宋体"/>
          <w:szCs w:val="21"/>
        </w:rPr>
      </w:pPr>
      <w:r>
        <w:rPr>
          <w:rFonts w:hint="eastAsia" w:ascii="宋体" w:hAnsi="宋体" w:cs="宋体"/>
          <w:szCs w:val="21"/>
        </w:rPr>
        <w:t>10.1合同订立时间：2025年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64940407">
      <w:pPr>
        <w:spacing w:line="360" w:lineRule="auto"/>
        <w:ind w:firstLine="420" w:firstLineChars="200"/>
        <w:contextualSpacing/>
        <w:rPr>
          <w:rFonts w:ascii="宋体" w:hAnsi="宋体" w:cs="宋体"/>
          <w:szCs w:val="21"/>
        </w:rPr>
      </w:pPr>
      <w:r>
        <w:rPr>
          <w:rFonts w:hint="eastAsia" w:ascii="宋体" w:hAnsi="宋体" w:cs="宋体"/>
          <w:szCs w:val="21"/>
        </w:rPr>
        <w:t>10.2合同订立地点：扬州大学附属医院。</w:t>
      </w:r>
    </w:p>
    <w:p w14:paraId="267A60A0">
      <w:pPr>
        <w:spacing w:line="360" w:lineRule="auto"/>
        <w:ind w:firstLine="420" w:firstLineChars="200"/>
        <w:contextualSpacing/>
        <w:rPr>
          <w:rFonts w:ascii="宋体" w:hAnsi="宋体" w:cs="宋体"/>
          <w:szCs w:val="21"/>
        </w:rPr>
      </w:pPr>
      <w:r>
        <w:rPr>
          <w:rFonts w:hint="eastAsia" w:ascii="宋体" w:hAnsi="宋体" w:cs="宋体"/>
          <w:szCs w:val="21"/>
        </w:rPr>
        <w:t>10.3本合同双方约定双方签字盖章后生效。</w:t>
      </w:r>
    </w:p>
    <w:p w14:paraId="48A65378">
      <w:pPr>
        <w:tabs>
          <w:tab w:val="left" w:pos="567"/>
        </w:tabs>
        <w:spacing w:line="360" w:lineRule="auto"/>
        <w:ind w:firstLine="420" w:firstLineChars="200"/>
        <w:contextualSpacing/>
        <w:rPr>
          <w:rFonts w:ascii="宋体" w:hAnsi="宋体" w:cs="宋体"/>
          <w:bCs/>
          <w:szCs w:val="21"/>
        </w:rPr>
      </w:pPr>
      <w:r>
        <w:rPr>
          <w:rFonts w:hint="eastAsia" w:ascii="宋体" w:hAnsi="宋体" w:cs="宋体"/>
          <w:bCs/>
          <w:szCs w:val="21"/>
        </w:rPr>
        <w:t>10.4</w:t>
      </w:r>
      <w:r>
        <w:rPr>
          <w:rFonts w:hint="eastAsia" w:ascii="宋体" w:hAnsi="宋体" w:cs="宋体"/>
          <w:szCs w:val="21"/>
        </w:rPr>
        <w:t>本合同一式</w:t>
      </w:r>
      <w:r>
        <w:rPr>
          <w:rFonts w:hint="eastAsia" w:ascii="宋体" w:hAnsi="宋体" w:cs="宋体"/>
          <w:b/>
          <w:bCs/>
          <w:szCs w:val="21"/>
          <w:u w:val="single"/>
        </w:rPr>
        <w:t>伍</w:t>
      </w:r>
      <w:r>
        <w:rPr>
          <w:rFonts w:hint="eastAsia" w:ascii="宋体" w:hAnsi="宋体" w:cs="宋体"/>
          <w:szCs w:val="21"/>
        </w:rPr>
        <w:t>份，发包人方执</w:t>
      </w:r>
      <w:r>
        <w:rPr>
          <w:rFonts w:hint="eastAsia" w:ascii="宋体" w:hAnsi="宋体" w:cs="宋体"/>
          <w:b/>
          <w:bCs/>
          <w:szCs w:val="21"/>
          <w:u w:val="single"/>
        </w:rPr>
        <w:t>叁</w:t>
      </w:r>
      <w:r>
        <w:rPr>
          <w:rFonts w:hint="eastAsia" w:ascii="宋体" w:hAnsi="宋体" w:cs="宋体"/>
          <w:szCs w:val="21"/>
        </w:rPr>
        <w:t>份，承包人方执</w:t>
      </w:r>
      <w:r>
        <w:rPr>
          <w:rFonts w:hint="eastAsia" w:ascii="宋体" w:hAnsi="宋体" w:cs="宋体"/>
          <w:b/>
          <w:bCs/>
          <w:szCs w:val="21"/>
          <w:u w:val="single"/>
        </w:rPr>
        <w:t>贰</w:t>
      </w:r>
      <w:r>
        <w:rPr>
          <w:rFonts w:hint="eastAsia" w:ascii="宋体" w:hAnsi="宋体" w:cs="宋体"/>
          <w:szCs w:val="21"/>
        </w:rPr>
        <w:t>份。</w:t>
      </w:r>
    </w:p>
    <w:p w14:paraId="33D3E06A">
      <w:pPr>
        <w:tabs>
          <w:tab w:val="left" w:pos="567"/>
        </w:tabs>
        <w:spacing w:line="360" w:lineRule="auto"/>
        <w:ind w:firstLine="420" w:firstLineChars="200"/>
        <w:contextualSpacing/>
        <w:rPr>
          <w:rFonts w:ascii="宋体" w:hAnsi="宋体" w:cs="宋体"/>
          <w:bCs/>
          <w:szCs w:val="21"/>
        </w:rPr>
      </w:pPr>
    </w:p>
    <w:p w14:paraId="0962604D">
      <w:pPr>
        <w:tabs>
          <w:tab w:val="left" w:pos="567"/>
        </w:tabs>
        <w:spacing w:line="360" w:lineRule="auto"/>
        <w:ind w:firstLine="420" w:firstLineChars="200"/>
        <w:contextualSpacing/>
        <w:rPr>
          <w:rFonts w:ascii="宋体" w:hAnsi="宋体" w:cs="宋体"/>
          <w:b/>
          <w:szCs w:val="21"/>
        </w:rPr>
      </w:pPr>
      <w:r>
        <w:rPr>
          <w:rFonts w:hint="eastAsia" w:ascii="宋体" w:hAnsi="宋体" w:cs="宋体"/>
          <w:bCs/>
          <w:szCs w:val="21"/>
        </w:rPr>
        <w:t>发包人：</w:t>
      </w:r>
      <w:r>
        <w:rPr>
          <w:rFonts w:hint="eastAsia" w:ascii="宋体" w:hAnsi="宋体" w:cs="宋体"/>
          <w:b/>
          <w:bCs/>
          <w:szCs w:val="21"/>
        </w:rPr>
        <w:t xml:space="preserve">扬州大学附属医院                </w:t>
      </w:r>
      <w:r>
        <w:rPr>
          <w:rFonts w:hint="eastAsia" w:ascii="宋体" w:hAnsi="宋体" w:cs="宋体"/>
          <w:bCs/>
          <w:szCs w:val="21"/>
        </w:rPr>
        <w:t>承包人：</w:t>
      </w:r>
      <w:r>
        <w:rPr>
          <w:rFonts w:hint="eastAsia" w:ascii="宋体" w:hAnsi="宋体" w:cs="宋体"/>
          <w:b/>
          <w:szCs w:val="21"/>
        </w:rPr>
        <w:t xml:space="preserve"> </w:t>
      </w:r>
    </w:p>
    <w:p w14:paraId="00C2E4E2">
      <w:pPr>
        <w:tabs>
          <w:tab w:val="left" w:pos="-235"/>
        </w:tabs>
        <w:spacing w:line="360" w:lineRule="auto"/>
        <w:ind w:firstLine="420" w:firstLineChars="200"/>
        <w:rPr>
          <w:rFonts w:ascii="宋体" w:hAnsi="宋体" w:cs="宋体"/>
          <w:bCs/>
          <w:szCs w:val="21"/>
        </w:rPr>
      </w:pPr>
      <w:r>
        <w:rPr>
          <w:rFonts w:hint="eastAsia" w:ascii="宋体" w:hAnsi="宋体" w:cs="宋体"/>
          <w:bCs/>
          <w:szCs w:val="21"/>
        </w:rPr>
        <w:t xml:space="preserve">            （盖章）                                （盖章）</w:t>
      </w:r>
    </w:p>
    <w:p w14:paraId="1765045B">
      <w:pPr>
        <w:tabs>
          <w:tab w:val="left" w:pos="-235"/>
        </w:tabs>
        <w:spacing w:line="360" w:lineRule="auto"/>
        <w:ind w:firstLine="420" w:firstLineChars="200"/>
        <w:rPr>
          <w:rFonts w:ascii="宋体" w:hAnsi="宋体" w:cs="宋体"/>
          <w:bCs/>
          <w:szCs w:val="21"/>
        </w:rPr>
      </w:pPr>
      <w:r>
        <w:rPr>
          <w:rFonts w:hint="eastAsia" w:ascii="宋体" w:hAnsi="宋体" w:cs="宋体"/>
          <w:bCs/>
          <w:szCs w:val="21"/>
        </w:rPr>
        <w:t>法定代表人：                            法定代表人：</w:t>
      </w:r>
    </w:p>
    <w:p w14:paraId="3F2E8177">
      <w:pPr>
        <w:tabs>
          <w:tab w:val="left" w:pos="-235"/>
        </w:tabs>
        <w:spacing w:line="360" w:lineRule="auto"/>
        <w:ind w:firstLine="420" w:firstLineChars="200"/>
        <w:rPr>
          <w:rFonts w:ascii="宋体" w:hAnsi="宋体" w:cs="宋体"/>
          <w:bCs/>
          <w:szCs w:val="21"/>
        </w:rPr>
      </w:pPr>
      <w:r>
        <w:rPr>
          <w:rFonts w:hint="eastAsia" w:ascii="宋体" w:hAnsi="宋体" w:cs="宋体"/>
          <w:bCs/>
          <w:szCs w:val="21"/>
        </w:rPr>
        <w:t>（或授权签约人）：                      （或授权签约人）：</w:t>
      </w:r>
    </w:p>
    <w:p w14:paraId="36ABCC89">
      <w:pPr>
        <w:tabs>
          <w:tab w:val="left" w:pos="-235"/>
        </w:tabs>
        <w:spacing w:line="360" w:lineRule="auto"/>
        <w:ind w:firstLine="420" w:firstLineChars="200"/>
        <w:rPr>
          <w:rFonts w:ascii="宋体" w:hAnsi="宋体" w:cs="宋体"/>
          <w:bCs/>
          <w:szCs w:val="21"/>
        </w:rPr>
      </w:pPr>
      <w:r>
        <w:rPr>
          <w:rFonts w:hint="eastAsia" w:ascii="宋体" w:hAnsi="宋体" w:cs="宋体"/>
          <w:bCs/>
          <w:szCs w:val="21"/>
        </w:rPr>
        <w:t>电话：                                  电话：</w:t>
      </w:r>
    </w:p>
    <w:p w14:paraId="6E6E894E">
      <w:pPr>
        <w:tabs>
          <w:tab w:val="left" w:pos="-235"/>
        </w:tabs>
        <w:spacing w:line="360" w:lineRule="auto"/>
        <w:ind w:firstLine="420" w:firstLineChars="200"/>
        <w:rPr>
          <w:rFonts w:ascii="宋体" w:hAnsi="宋体" w:cs="宋体"/>
          <w:bCs/>
          <w:szCs w:val="21"/>
        </w:rPr>
      </w:pPr>
      <w:r>
        <w:rPr>
          <w:rFonts w:hint="eastAsia" w:ascii="宋体" w:hAnsi="宋体" w:cs="宋体"/>
          <w:bCs/>
          <w:szCs w:val="21"/>
        </w:rPr>
        <w:t>传真：                                  传真：</w:t>
      </w:r>
    </w:p>
    <w:p w14:paraId="6D6A519A">
      <w:pPr>
        <w:tabs>
          <w:tab w:val="left" w:pos="-235"/>
        </w:tabs>
        <w:spacing w:line="360" w:lineRule="auto"/>
        <w:ind w:firstLine="420" w:firstLineChars="200"/>
        <w:rPr>
          <w:rFonts w:ascii="宋体" w:hAnsi="宋体" w:cs="宋体"/>
          <w:bCs/>
          <w:szCs w:val="21"/>
        </w:rPr>
      </w:pPr>
      <w:r>
        <w:rPr>
          <w:rFonts w:hint="eastAsia" w:ascii="宋体" w:hAnsi="宋体" w:cs="宋体"/>
          <w:bCs/>
          <w:szCs w:val="21"/>
        </w:rPr>
        <w:t>地址：                                  地址：</w:t>
      </w:r>
    </w:p>
    <w:p w14:paraId="2015710C">
      <w:pPr>
        <w:tabs>
          <w:tab w:val="left" w:pos="-235"/>
        </w:tabs>
        <w:spacing w:line="360" w:lineRule="auto"/>
        <w:ind w:firstLine="420" w:firstLineChars="200"/>
        <w:rPr>
          <w:rFonts w:ascii="宋体" w:hAnsi="宋体" w:cs="宋体"/>
          <w:bCs/>
          <w:szCs w:val="21"/>
        </w:rPr>
      </w:pPr>
      <w:r>
        <w:rPr>
          <w:rFonts w:hint="eastAsia" w:ascii="宋体" w:hAnsi="宋体" w:cs="宋体"/>
          <w:bCs/>
          <w:szCs w:val="21"/>
        </w:rPr>
        <w:t>开户银行：                              开户银行：</w:t>
      </w:r>
    </w:p>
    <w:p w14:paraId="6C69361B">
      <w:pPr>
        <w:tabs>
          <w:tab w:val="left" w:pos="-235"/>
        </w:tabs>
        <w:spacing w:line="360" w:lineRule="auto"/>
        <w:ind w:firstLine="420" w:firstLineChars="200"/>
        <w:rPr>
          <w:rFonts w:ascii="宋体" w:hAnsi="宋体" w:cs="宋体"/>
          <w:bCs/>
          <w:szCs w:val="21"/>
        </w:rPr>
      </w:pPr>
      <w:r>
        <w:rPr>
          <w:rFonts w:hint="eastAsia" w:ascii="宋体" w:hAnsi="宋体" w:cs="宋体"/>
          <w:bCs/>
          <w:szCs w:val="21"/>
        </w:rPr>
        <w:t>账号：                                  账号：</w:t>
      </w:r>
    </w:p>
    <w:p w14:paraId="67B4CEF6">
      <w:pPr>
        <w:tabs>
          <w:tab w:val="left" w:pos="0"/>
          <w:tab w:val="left" w:pos="1134"/>
        </w:tabs>
        <w:spacing w:line="360" w:lineRule="auto"/>
        <w:ind w:firstLine="422" w:firstLineChars="200"/>
        <w:jc w:val="center"/>
        <w:outlineLvl w:val="0"/>
        <w:rPr>
          <w:rFonts w:ascii="宋体" w:hAnsi="宋体" w:cs="宋体"/>
          <w:b/>
          <w:bCs/>
          <w:sz w:val="32"/>
          <w:szCs w:val="32"/>
        </w:rPr>
      </w:pPr>
      <w:r>
        <w:rPr>
          <w:rFonts w:hint="eastAsia" w:ascii="宋体" w:hAnsi="宋体" w:cs="宋体"/>
          <w:b/>
          <w:snapToGrid w:val="0"/>
          <w:szCs w:val="21"/>
        </w:rPr>
        <w:br w:type="page"/>
      </w:r>
      <w:r>
        <w:rPr>
          <w:rFonts w:hint="eastAsia" w:ascii="宋体" w:hAnsi="宋体" w:cs="宋体"/>
          <w:b/>
          <w:bCs/>
          <w:sz w:val="32"/>
          <w:szCs w:val="32"/>
        </w:rPr>
        <w:t>第二部分  通用条款</w:t>
      </w:r>
    </w:p>
    <w:p w14:paraId="0E545101">
      <w:pPr>
        <w:pStyle w:val="58"/>
        <w:adjustRightInd/>
        <w:spacing w:before="0" w:after="0" w:line="360" w:lineRule="auto"/>
        <w:ind w:left="0" w:right="0" w:firstLine="643" w:firstLineChars="200"/>
        <w:jc w:val="center"/>
        <w:rPr>
          <w:rFonts w:ascii="宋体" w:hAnsi="宋体" w:cs="宋体"/>
          <w:b/>
          <w:bCs/>
          <w:kern w:val="2"/>
          <w:sz w:val="32"/>
          <w:szCs w:val="32"/>
        </w:rPr>
      </w:pPr>
      <w:r>
        <w:rPr>
          <w:rFonts w:hint="eastAsia" w:ascii="宋体" w:hAnsi="宋体" w:cs="宋体"/>
          <w:b/>
          <w:bCs/>
          <w:kern w:val="2"/>
          <w:sz w:val="32"/>
          <w:szCs w:val="32"/>
        </w:rPr>
        <w:t>【按照建设工程施工合同（GF-2017-0201）】</w:t>
      </w:r>
    </w:p>
    <w:p w14:paraId="1ED37374">
      <w:pPr>
        <w:pStyle w:val="58"/>
        <w:adjustRightInd/>
        <w:spacing w:before="0" w:after="0" w:line="360" w:lineRule="auto"/>
        <w:ind w:left="0" w:right="0" w:firstLine="723" w:firstLineChars="200"/>
        <w:jc w:val="center"/>
        <w:outlineLvl w:val="0"/>
        <w:rPr>
          <w:rFonts w:ascii="宋体" w:hAnsi="宋体" w:cs="宋体"/>
          <w:b/>
          <w:snapToGrid w:val="0"/>
          <w:sz w:val="36"/>
          <w:szCs w:val="36"/>
        </w:rPr>
      </w:pPr>
      <w:r>
        <w:rPr>
          <w:rFonts w:hint="eastAsia" w:ascii="宋体" w:hAnsi="宋体" w:cs="宋体"/>
          <w:b/>
          <w:snapToGrid w:val="0"/>
          <w:sz w:val="36"/>
          <w:szCs w:val="36"/>
        </w:rPr>
        <w:br w:type="page"/>
      </w:r>
      <w:r>
        <w:rPr>
          <w:rFonts w:hint="eastAsia" w:ascii="宋体" w:hAnsi="宋体" w:cs="宋体"/>
          <w:b/>
          <w:bCs/>
          <w:kern w:val="2"/>
          <w:sz w:val="32"/>
          <w:szCs w:val="32"/>
        </w:rPr>
        <w:t>第三部分专用条款</w:t>
      </w:r>
    </w:p>
    <w:p w14:paraId="419CAA74">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一、词语定义及合同文件</w:t>
      </w:r>
    </w:p>
    <w:p w14:paraId="1946BA04">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1.合同文件及解释顺序</w:t>
      </w:r>
    </w:p>
    <w:p w14:paraId="2A881FA9">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合同履行中，发包人承包人有关工程的洽商、变更等书面协议或文件视为本合同的组成部分。合同文件组成及解释顺序：(1).本合同协议书；(2).中标通知书；(3).投标书及其附件；(4).本合同专用条款；(5).本合同通用条款；(6).标准规范及有关技术文件；(7).图纸；(8).招标文件及答疑文书、工程量清单；(9).工程报价单及预算书；（10）.合同履行中，发包人承包人有关工程的洽商、变更等书面协议或文件视为本合同的组成部分；</w:t>
      </w:r>
    </w:p>
    <w:p w14:paraId="498932FE">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2.语言文字和适用法律、标准及规范</w:t>
      </w:r>
    </w:p>
    <w:p w14:paraId="14000A20">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2.1本合同除使用汉语外，还使用</w:t>
      </w:r>
      <w:r>
        <w:rPr>
          <w:rFonts w:hint="eastAsia" w:ascii="宋体" w:hAnsi="宋体" w:cs="宋体"/>
          <w:snapToGrid w:val="0"/>
          <w:szCs w:val="21"/>
          <w:u w:val="single"/>
        </w:rPr>
        <w:t>∕</w:t>
      </w:r>
      <w:r>
        <w:rPr>
          <w:rFonts w:hint="eastAsia" w:ascii="宋体" w:hAnsi="宋体" w:cs="宋体"/>
          <w:snapToGrid w:val="0"/>
          <w:szCs w:val="21"/>
        </w:rPr>
        <w:t>语言文字。</w:t>
      </w:r>
    </w:p>
    <w:p w14:paraId="5AA5665C">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2.2适用法律和法规</w:t>
      </w:r>
    </w:p>
    <w:p w14:paraId="54851640">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需要明示的法律、行政法规：</w:t>
      </w:r>
      <w:r>
        <w:rPr>
          <w:rFonts w:hint="eastAsia" w:ascii="宋体" w:hAnsi="宋体" w:cs="宋体"/>
          <w:snapToGrid w:val="0"/>
          <w:szCs w:val="21"/>
          <w:u w:val="single"/>
        </w:rPr>
        <w:t>《中华人民共和国民法典》、《中华人民共和国建筑法》、《中华人民共和国政府采购法》、《中华人民共和国招标投标法》、《建设工程质量管理条例》、《建设工程价款结算暂行办法》等以及江苏省、扬州市现行相关法律法规</w:t>
      </w:r>
      <w:r>
        <w:rPr>
          <w:rFonts w:hint="eastAsia" w:ascii="宋体" w:hAnsi="宋体" w:cs="宋体"/>
          <w:snapToGrid w:val="0"/>
          <w:szCs w:val="21"/>
        </w:rPr>
        <w:t>。</w:t>
      </w:r>
    </w:p>
    <w:p w14:paraId="3B54FE91">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2.3适用标准、规范</w:t>
      </w:r>
    </w:p>
    <w:p w14:paraId="0B109833">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适用标准、规范的名称：</w:t>
      </w:r>
      <w:r>
        <w:rPr>
          <w:rFonts w:hint="eastAsia" w:ascii="宋体" w:hAnsi="宋体" w:cs="宋体"/>
          <w:snapToGrid w:val="0"/>
          <w:szCs w:val="21"/>
          <w:u w:val="single"/>
        </w:rPr>
        <w:t>（1）与工程相关的现行图集、施工说明；（2）现行国家施工规范及验收标准</w:t>
      </w:r>
      <w:r>
        <w:rPr>
          <w:rFonts w:hint="eastAsia" w:ascii="宋体" w:hAnsi="宋体" w:cs="宋体"/>
          <w:snapToGrid w:val="0"/>
          <w:szCs w:val="21"/>
        </w:rPr>
        <w:t>。</w:t>
      </w:r>
    </w:p>
    <w:p w14:paraId="2625EDDE">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发包人提供标准、规范的时间：</w:t>
      </w:r>
      <w:r>
        <w:rPr>
          <w:rFonts w:hint="eastAsia" w:ascii="宋体" w:hAnsi="宋体" w:cs="宋体"/>
          <w:snapToGrid w:val="0"/>
          <w:szCs w:val="21"/>
          <w:u w:val="single"/>
        </w:rPr>
        <w:t>发包人不提供，凡涉及到的相关技术标准、规范均由承包人自备</w:t>
      </w:r>
      <w:r>
        <w:rPr>
          <w:rFonts w:hint="eastAsia" w:ascii="宋体" w:hAnsi="宋体" w:cs="宋体"/>
          <w:snapToGrid w:val="0"/>
          <w:szCs w:val="21"/>
        </w:rPr>
        <w:t>。</w:t>
      </w:r>
    </w:p>
    <w:p w14:paraId="5F52628D">
      <w:pPr>
        <w:pStyle w:val="10"/>
        <w:tabs>
          <w:tab w:val="left" w:pos="284"/>
          <w:tab w:val="left" w:pos="993"/>
          <w:tab w:val="left" w:pos="1134"/>
        </w:tabs>
        <w:spacing w:line="360" w:lineRule="auto"/>
        <w:ind w:left="0" w:leftChars="0" w:firstLine="420" w:firstLineChars="200"/>
        <w:jc w:val="left"/>
        <w:rPr>
          <w:rFonts w:ascii="宋体" w:hAnsi="宋体" w:cs="宋体"/>
          <w:b/>
          <w:snapToGrid w:val="0"/>
          <w:szCs w:val="21"/>
        </w:rPr>
      </w:pPr>
      <w:r>
        <w:rPr>
          <w:rFonts w:hint="eastAsia" w:ascii="宋体" w:hAnsi="宋体" w:cs="宋体"/>
          <w:snapToGrid w:val="0"/>
          <w:szCs w:val="21"/>
        </w:rPr>
        <w:t>3.图纸</w:t>
      </w:r>
    </w:p>
    <w:p w14:paraId="61BAEE9D">
      <w:pPr>
        <w:pStyle w:val="10"/>
        <w:tabs>
          <w:tab w:val="left" w:pos="284"/>
          <w:tab w:val="left" w:pos="993"/>
          <w:tab w:val="left" w:pos="1134"/>
        </w:tabs>
        <w:spacing w:line="360" w:lineRule="auto"/>
        <w:ind w:left="0" w:leftChars="0" w:firstLine="422" w:firstLineChars="200"/>
        <w:jc w:val="left"/>
        <w:rPr>
          <w:rFonts w:ascii="宋体" w:hAnsi="宋体" w:cs="宋体"/>
          <w:snapToGrid w:val="0"/>
          <w:szCs w:val="21"/>
        </w:rPr>
      </w:pPr>
      <w:r>
        <w:rPr>
          <w:rFonts w:hint="eastAsia" w:ascii="宋体" w:hAnsi="宋体" w:cs="宋体"/>
          <w:b/>
          <w:snapToGrid w:val="0"/>
          <w:szCs w:val="21"/>
        </w:rPr>
        <w:t>发包人向承包人</w:t>
      </w:r>
      <w:r>
        <w:rPr>
          <w:rFonts w:hint="eastAsia" w:ascii="宋体" w:hAnsi="宋体" w:cs="宋体"/>
          <w:snapToGrid w:val="0"/>
          <w:szCs w:val="21"/>
        </w:rPr>
        <w:t>提供图纸日期和套数：         ；</w:t>
      </w:r>
    </w:p>
    <w:p w14:paraId="5FF7FABD">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发包人对图纸的保密要求: 施工图纸要求承包人保密，保密费用承包人自行承担。</w:t>
      </w:r>
    </w:p>
    <w:p w14:paraId="5076E5C1">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二、双方一般权利和义务</w:t>
      </w:r>
    </w:p>
    <w:p w14:paraId="01077047">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4.工程师</w:t>
      </w:r>
    </w:p>
    <w:p w14:paraId="7E618119">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4.1监理单位委派的工程师</w:t>
      </w:r>
    </w:p>
    <w:p w14:paraId="7F399073">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姓名:                  职务:总监理工程师</w:t>
      </w:r>
    </w:p>
    <w:p w14:paraId="70D76F01">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发包人委托的职权:工程变更、经济签证、工程延误、暂定价材料验收批准等。对该工程质量、进度、投资、安全进行控制以及合同管理、信息管理和监理合同中明确的相关工作。需要取得发包人批准才能行使的职权：工程变更、经济签证、工期延误等。</w:t>
      </w:r>
    </w:p>
    <w:p w14:paraId="3858000A">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4.2发包人派驻的工程师</w:t>
      </w:r>
    </w:p>
    <w:p w14:paraId="4277C8CA">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 xml:space="preserve">姓名:                   职务:现场代表         </w:t>
      </w:r>
    </w:p>
    <w:p w14:paraId="63B2A673">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职权:（1）监督检查承包人、监理执行合同情况，（2）协同监理做好工程质量控制、进度控制、安全生产等工作；（3）发出经发包人同意的工程指令；（4）对支付工程款进行审核等。</w:t>
      </w:r>
    </w:p>
    <w:p w14:paraId="1919C8CA">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5.项目经理</w:t>
      </w:r>
    </w:p>
    <w:p w14:paraId="3769C1FD">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姓名:</w:t>
      </w:r>
      <w:r>
        <w:rPr>
          <w:rFonts w:hint="eastAsia" w:ascii="宋体" w:hAnsi="宋体" w:cs="宋体"/>
          <w:szCs w:val="21"/>
        </w:rPr>
        <w:t xml:space="preserve">                   </w:t>
      </w:r>
      <w:r>
        <w:rPr>
          <w:rFonts w:hint="eastAsia" w:ascii="宋体" w:hAnsi="宋体" w:cs="宋体"/>
          <w:snapToGrid w:val="0"/>
          <w:szCs w:val="21"/>
        </w:rPr>
        <w:t>职务:项目经理</w:t>
      </w:r>
    </w:p>
    <w:p w14:paraId="4A33858F">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职权：按照国家相关规定和合同约定，作为承包方施工现场负责人，全面负责本工地施工现场进度、质量、安全工作，负责本合同的全面履行。</w:t>
      </w:r>
    </w:p>
    <w:p w14:paraId="7BAE19FA">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6.发包人工作</w:t>
      </w:r>
    </w:p>
    <w:p w14:paraId="42B0E9BB">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6.1发包人应按约定的时间和要求及完成以下工作:</w:t>
      </w:r>
    </w:p>
    <w:p w14:paraId="67CBD31C">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1）施工场地具备施工条件的要求及完成时间:施工期间医院正常运行；现场具备施工条件，承包人在踏勘现场时确认，场地不利因素，施工降效等因素承包人已在投标报价时充分考虑，发包人不再因此支付任何费用。</w:t>
      </w:r>
    </w:p>
    <w:p w14:paraId="6E87AB23">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（2）将施工所需的水、电、电讯线路接至施工场地的时间、地点和供应要求：水电接口已提供至施工现场，其位置承包人在踏勘现场时确认，水电在场内接线一切费用包含在总报价中，发包人不再另外支付。</w:t>
      </w:r>
    </w:p>
    <w:p w14:paraId="46DC4977">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（3）施工场地与公共道路的通道开通时间和要求：主要公共道路开通，施工区道路由承包人承担。</w:t>
      </w:r>
    </w:p>
    <w:p w14:paraId="5A6226A8">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（4）工程地质和地下管线资料的提供时间：</w:t>
      </w:r>
      <w:r>
        <w:rPr>
          <w:rFonts w:hint="eastAsia" w:ascii="宋体" w:hAnsi="宋体" w:cs="宋体"/>
          <w:snapToGrid w:val="0"/>
          <w:szCs w:val="21"/>
          <w:u w:val="single"/>
        </w:rPr>
        <w:t>开工前5天提供</w:t>
      </w:r>
      <w:r>
        <w:rPr>
          <w:rFonts w:hint="eastAsia" w:ascii="宋体" w:hAnsi="宋体" w:cs="宋体"/>
          <w:snapToGrid w:val="0"/>
          <w:szCs w:val="21"/>
        </w:rPr>
        <w:t>。</w:t>
      </w:r>
    </w:p>
    <w:p w14:paraId="744A84A0">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（5）由发包人办理的施工所需证件、批件的名称和完成时间：</w:t>
      </w:r>
      <w:r>
        <w:rPr>
          <w:rFonts w:hint="eastAsia" w:ascii="宋体" w:hAnsi="宋体" w:cs="宋体"/>
          <w:snapToGrid w:val="0"/>
          <w:szCs w:val="21"/>
          <w:u w:val="single"/>
        </w:rPr>
        <w:t>开工前由承包人协助发包人办理，不能影响开工</w:t>
      </w:r>
      <w:r>
        <w:rPr>
          <w:rFonts w:hint="eastAsia" w:ascii="宋体" w:hAnsi="宋体" w:cs="宋体"/>
          <w:snapToGrid w:val="0"/>
          <w:szCs w:val="21"/>
        </w:rPr>
        <w:t>。</w:t>
      </w:r>
    </w:p>
    <w:p w14:paraId="4E3049D8">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（6）水准点与坐标控制点交验要求：</w:t>
      </w:r>
      <w:r>
        <w:rPr>
          <w:rFonts w:hint="eastAsia" w:ascii="宋体" w:hAnsi="宋体" w:cs="宋体"/>
          <w:snapToGrid w:val="0"/>
          <w:szCs w:val="21"/>
          <w:u w:val="single"/>
        </w:rPr>
        <w:t>开工前现场交验，承包人负责做好保护工作。施工过程中若水准基点出现遗失或损坏，承包人应立即汇报工程师，重新布点的费用由承包人承担</w:t>
      </w:r>
      <w:r>
        <w:rPr>
          <w:rFonts w:hint="eastAsia" w:ascii="宋体" w:hAnsi="宋体" w:cs="宋体"/>
          <w:snapToGrid w:val="0"/>
          <w:szCs w:val="21"/>
        </w:rPr>
        <w:t>。</w:t>
      </w:r>
    </w:p>
    <w:p w14:paraId="6FC21D75">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（7）图纸会审和设计交底时间：</w:t>
      </w:r>
      <w:r>
        <w:rPr>
          <w:rFonts w:hint="eastAsia" w:ascii="宋体" w:hAnsi="宋体" w:cs="宋体"/>
          <w:snapToGrid w:val="0"/>
          <w:szCs w:val="21"/>
          <w:u w:val="single"/>
        </w:rPr>
        <w:t>双方约定时间</w:t>
      </w:r>
      <w:r>
        <w:rPr>
          <w:rFonts w:hint="eastAsia" w:ascii="宋体" w:hAnsi="宋体" w:cs="宋体"/>
          <w:snapToGrid w:val="0"/>
          <w:szCs w:val="21"/>
        </w:rPr>
        <w:t>。</w:t>
      </w:r>
    </w:p>
    <w:p w14:paraId="5E71C10B">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（8）协调处理施工场地周围地下管线和邻近建筑、构筑物（含文物保护建筑）、古树名木的保护工作：</w:t>
      </w:r>
      <w:r>
        <w:rPr>
          <w:rFonts w:hint="eastAsia" w:ascii="宋体" w:hAnsi="宋体" w:cs="宋体"/>
          <w:snapToGrid w:val="0"/>
          <w:szCs w:val="21"/>
          <w:u w:val="single"/>
        </w:rPr>
        <w:t>执行通用条款</w:t>
      </w:r>
      <w:r>
        <w:rPr>
          <w:rFonts w:hint="eastAsia" w:ascii="宋体" w:hAnsi="宋体" w:cs="宋体"/>
          <w:snapToGrid w:val="0"/>
          <w:szCs w:val="21"/>
        </w:rPr>
        <w:t>。</w:t>
      </w:r>
    </w:p>
    <w:p w14:paraId="56FBAAC9">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（9）双方约定发包人做的其他工作：</w:t>
      </w:r>
      <w:r>
        <w:rPr>
          <w:rFonts w:hint="eastAsia" w:ascii="宋体" w:hAnsi="宋体" w:cs="宋体"/>
          <w:snapToGrid w:val="0"/>
          <w:szCs w:val="21"/>
          <w:u w:val="single"/>
        </w:rPr>
        <w:t xml:space="preserve">  /。 </w:t>
      </w:r>
    </w:p>
    <w:p w14:paraId="6033308C">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（10）发包人委托承包人办理的工作：按发包人的布置要求，承包人有配合与该工程建设有关工作的义务，包括协助办理有关施工所需证件、批件等手续。</w:t>
      </w:r>
    </w:p>
    <w:p w14:paraId="1B88D53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7.承包人工作</w:t>
      </w:r>
    </w:p>
    <w:p w14:paraId="699480D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7.1承包人应按约定时间和要求,完成以下工作:</w:t>
      </w:r>
    </w:p>
    <w:p w14:paraId="204460D6">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（1）需由设计资质等级和业务范围允许的承包人完成的设计文件提交时间:</w:t>
      </w:r>
      <w:r>
        <w:rPr>
          <w:rFonts w:hint="eastAsia" w:ascii="宋体" w:hAnsi="宋体" w:cs="宋体"/>
          <w:snapToGrid w:val="0"/>
          <w:szCs w:val="21"/>
          <w:u w:val="single"/>
        </w:rPr>
        <w:t>∕</w:t>
      </w:r>
      <w:r>
        <w:rPr>
          <w:rFonts w:hint="eastAsia" w:ascii="宋体" w:hAnsi="宋体" w:cs="宋体"/>
          <w:snapToGrid w:val="0"/>
          <w:szCs w:val="21"/>
        </w:rPr>
        <w:t>；</w:t>
      </w:r>
    </w:p>
    <w:p w14:paraId="57F457D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（2）应提供计划、报表的名称及完成时间：</w:t>
      </w:r>
      <w:r>
        <w:rPr>
          <w:rFonts w:hint="eastAsia" w:ascii="宋体" w:hAnsi="宋体" w:cs="宋体"/>
          <w:snapToGrid w:val="0"/>
          <w:szCs w:val="21"/>
          <w:u w:val="single"/>
        </w:rPr>
        <w:t>开工前5天内提供切实可行的进度表以及相对应的人机配置情况、材料供应情况</w:t>
      </w:r>
      <w:r>
        <w:rPr>
          <w:rFonts w:hint="eastAsia" w:ascii="宋体" w:hAnsi="宋体" w:cs="宋体"/>
          <w:snapToGrid w:val="0"/>
          <w:szCs w:val="21"/>
        </w:rPr>
        <w:t>；</w:t>
      </w:r>
    </w:p>
    <w:p w14:paraId="2375B80C">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（3）承担施工安全保卫工作及非夜间施工照明的责任和要求：</w:t>
      </w:r>
    </w:p>
    <w:p w14:paraId="66EF4DF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u w:val="single"/>
        </w:rPr>
        <w:t>承包人承担现场的安全、保卫、照明等责任和费用；在施工前，必须对施工现场进行封闭并按实际现场需要，提供施工安全保卫工作及施工照明等，施工期间，所造成的一切安全责任均由承包人负责</w:t>
      </w:r>
      <w:r>
        <w:rPr>
          <w:rFonts w:hint="eastAsia" w:ascii="宋体" w:hAnsi="宋体" w:cs="宋体"/>
          <w:snapToGrid w:val="0"/>
          <w:szCs w:val="21"/>
        </w:rPr>
        <w:t>；</w:t>
      </w:r>
    </w:p>
    <w:p w14:paraId="6C6D3DD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（4）向发包人提供的办公和生活房屋及设施和要求：</w:t>
      </w:r>
      <w:r>
        <w:rPr>
          <w:rFonts w:hint="eastAsia" w:ascii="宋体" w:hAnsi="宋体" w:cs="宋体"/>
          <w:snapToGrid w:val="0"/>
          <w:szCs w:val="21"/>
          <w:u w:val="single"/>
        </w:rPr>
        <w:t>∕</w:t>
      </w:r>
      <w:r>
        <w:rPr>
          <w:rFonts w:hint="eastAsia" w:ascii="宋体" w:hAnsi="宋体" w:cs="宋体"/>
          <w:snapToGrid w:val="0"/>
          <w:szCs w:val="21"/>
        </w:rPr>
        <w:t>；</w:t>
      </w:r>
    </w:p>
    <w:p w14:paraId="35A2D2B4">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（5）需承包人办理的有关施工场地交通、环卫和施工噪音管理等手续：</w:t>
      </w:r>
    </w:p>
    <w:p w14:paraId="30FF0BD0">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u w:val="single"/>
        </w:rPr>
        <w:t>承包人自行办理有关施工场地交通、城管、环卫和施工噪音管理等手续，不得影响施工工期，并严格按照扬州市城市管理的有关规定以及安全文明施工要求进行施工</w:t>
      </w:r>
      <w:r>
        <w:rPr>
          <w:rFonts w:hint="eastAsia" w:ascii="宋体" w:hAnsi="宋体" w:cs="宋体"/>
          <w:snapToGrid w:val="0"/>
          <w:szCs w:val="21"/>
        </w:rPr>
        <w:t>；</w:t>
      </w:r>
    </w:p>
    <w:p w14:paraId="39C8E567">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（6）已完成工程成品保护的特殊要求及费用承担：</w:t>
      </w:r>
    </w:p>
    <w:p w14:paraId="09405174">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u w:val="single"/>
        </w:rPr>
        <w:t>工程交付使用前承包人自己发生的损坏或因承包人保护实施不当而产生的第三方对成品（半成品）的损坏均由承包人自己负责</w:t>
      </w:r>
      <w:r>
        <w:rPr>
          <w:rFonts w:hint="eastAsia" w:ascii="宋体" w:hAnsi="宋体" w:cs="宋体"/>
          <w:snapToGrid w:val="0"/>
          <w:szCs w:val="21"/>
        </w:rPr>
        <w:t>；</w:t>
      </w:r>
    </w:p>
    <w:p w14:paraId="3A20D5C4">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（7）施工场地周围地下管线和邻近建筑物、构筑物（含文物保护建筑）、古树名木的保护要求及费用承担：</w:t>
      </w:r>
      <w:r>
        <w:rPr>
          <w:rFonts w:hint="eastAsia" w:ascii="宋体" w:hAnsi="宋体" w:cs="宋体"/>
          <w:snapToGrid w:val="0"/>
          <w:szCs w:val="21"/>
          <w:u w:val="single"/>
        </w:rPr>
        <w:t>承包人自行负责承担施工场地周围地下管线和邻近建筑物、构筑物（含文物保护建筑）、古树名木的保护要求及费用</w:t>
      </w:r>
      <w:r>
        <w:rPr>
          <w:rFonts w:hint="eastAsia" w:ascii="宋体" w:hAnsi="宋体" w:cs="宋体"/>
          <w:snapToGrid w:val="0"/>
          <w:szCs w:val="21"/>
        </w:rPr>
        <w:t>；</w:t>
      </w:r>
    </w:p>
    <w:p w14:paraId="46CB5035">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（8）施工场地清洁卫生的要求：</w:t>
      </w:r>
      <w:r>
        <w:rPr>
          <w:rFonts w:hint="eastAsia" w:ascii="宋体" w:hAnsi="宋体" w:cs="宋体"/>
          <w:snapToGrid w:val="0"/>
          <w:szCs w:val="21"/>
          <w:u w:val="single"/>
        </w:rPr>
        <w:t>施工过程中，要求现场工完料清，承包人应及时清除现场的所有不需要的障碍物，并应根据发包人要求转移剩余材料，清除现场残物、垃圾或转移临时工作用具以及工程不再需要的施工设备。如果承包人清除现场垃圾不及时，发包人有权委派他人清除现场垃圾，由此发生的费用从承包人工程款中扣除。工程竣工验收后5日内，承包人需自行拆除临时设施及附属物，完成所有的人、材、机全部退场，并将其运出施工现场，放置于合适的场所。所发生的费用由承包人自行承担</w:t>
      </w:r>
      <w:r>
        <w:rPr>
          <w:rFonts w:hint="eastAsia" w:ascii="宋体" w:hAnsi="宋体" w:cs="宋体"/>
          <w:snapToGrid w:val="0"/>
          <w:szCs w:val="21"/>
        </w:rPr>
        <w:t>；</w:t>
      </w:r>
    </w:p>
    <w:p w14:paraId="678C9713">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（9）</w:t>
      </w:r>
      <w:r>
        <w:rPr>
          <w:rFonts w:hint="eastAsia" w:ascii="宋体" w:hAnsi="宋体" w:cs="宋体"/>
          <w:snapToGrid w:val="0"/>
          <w:szCs w:val="21"/>
          <w:u w:val="single"/>
        </w:rPr>
        <w:t>施工过程中承包人应服从现场统一管理，做到安全、文明、有序施工，一切安全责任自行负责</w:t>
      </w:r>
      <w:r>
        <w:rPr>
          <w:rFonts w:hint="eastAsia" w:ascii="宋体" w:hAnsi="宋体" w:cs="宋体"/>
          <w:snapToGrid w:val="0"/>
          <w:szCs w:val="21"/>
        </w:rPr>
        <w:t>；</w:t>
      </w:r>
    </w:p>
    <w:p w14:paraId="5D7FB3E3">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（10）施工过程中，</w:t>
      </w:r>
      <w:r>
        <w:rPr>
          <w:rFonts w:hint="eastAsia" w:ascii="宋体" w:hAnsi="宋体" w:cs="宋体"/>
          <w:snapToGrid w:val="0"/>
          <w:szCs w:val="21"/>
          <w:u w:val="single"/>
        </w:rPr>
        <w:t>承包人应主动与上、下工序相关单位进行协调对接，避免产生矛盾，做到有序科学衔接，配合其他相关单位，费用已在投标报价中考虑发包人不再另行支付</w:t>
      </w:r>
      <w:r>
        <w:rPr>
          <w:rFonts w:hint="eastAsia" w:ascii="宋体" w:hAnsi="宋体" w:cs="宋体"/>
          <w:snapToGrid w:val="0"/>
          <w:szCs w:val="21"/>
        </w:rPr>
        <w:t>；</w:t>
      </w:r>
    </w:p>
    <w:p w14:paraId="5732FE75">
      <w:pPr>
        <w:pStyle w:val="10"/>
        <w:tabs>
          <w:tab w:val="left" w:pos="0"/>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（11）双方约定承包人应做的其他工作：</w:t>
      </w:r>
    </w:p>
    <w:p w14:paraId="1460CEDC">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u w:val="single"/>
        </w:rPr>
        <w:t>a安排足够的工程管理人员，各工种合格的技术人员和工人，按劳动管理部门的要求，特种施工人员必须持有上岗证；b开工前向建设方和监理方提供月进度计划和月完成工程量报表；c保证工地的管理井然有序，无打架斗殴等不良现象；d加强卫生管理，无传染病、食物中毒等现象；e其他事项双方约定</w:t>
      </w:r>
      <w:r>
        <w:rPr>
          <w:rFonts w:hint="eastAsia" w:ascii="宋体" w:hAnsi="宋体" w:cs="宋体"/>
          <w:snapToGrid w:val="0"/>
          <w:szCs w:val="21"/>
        </w:rPr>
        <w:t>；</w:t>
      </w:r>
    </w:p>
    <w:p w14:paraId="36AF9B61">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三、施工组织设计和工期</w:t>
      </w:r>
    </w:p>
    <w:p w14:paraId="2848193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8.进度计划</w:t>
      </w:r>
    </w:p>
    <w:p w14:paraId="3C597267">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8.1承包人提供施工组织设计(施工方案)和进度计划的时间:</w:t>
      </w:r>
    </w:p>
    <w:p w14:paraId="5D7DE536">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u w:val="single"/>
        </w:rPr>
        <w:t>开工前5天以书面形式向发包人和监理提交施工组织设计和进度计划，经发包人和监理方审核同意后的施工组织设计作为施工中发包人与监理方进行监督受理的依据</w:t>
      </w:r>
      <w:r>
        <w:rPr>
          <w:rFonts w:hint="eastAsia" w:ascii="宋体" w:hAnsi="宋体" w:cs="宋体"/>
          <w:snapToGrid w:val="0"/>
          <w:szCs w:val="21"/>
        </w:rPr>
        <w:t>；</w:t>
      </w:r>
    </w:p>
    <w:p w14:paraId="414E6E8F">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工程师确认的时间:</w:t>
      </w:r>
      <w:r>
        <w:rPr>
          <w:rFonts w:hint="eastAsia" w:ascii="宋体" w:hAnsi="宋体" w:cs="宋体"/>
          <w:snapToGrid w:val="0"/>
          <w:szCs w:val="21"/>
          <w:u w:val="single"/>
        </w:rPr>
        <w:t>送达后7日历天内</w:t>
      </w:r>
      <w:r>
        <w:rPr>
          <w:rFonts w:hint="eastAsia" w:ascii="宋体" w:hAnsi="宋体" w:cs="宋体"/>
          <w:snapToGrid w:val="0"/>
          <w:szCs w:val="21"/>
        </w:rPr>
        <w:t>。</w:t>
      </w:r>
    </w:p>
    <w:p w14:paraId="115AD2C3">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9、工期延误</w:t>
      </w:r>
    </w:p>
    <w:p w14:paraId="378A6574">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9.1合同工期按承包人中标工期执行，如因承包人原因延误工期的，承包人应承担违约责任，详见第21.2条款。</w:t>
      </w:r>
    </w:p>
    <w:p w14:paraId="4E18A951">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9.2双方约定工期顺延的其他情况:</w:t>
      </w:r>
    </w:p>
    <w:p w14:paraId="73CE3534">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若出现以下情况造成工期延误的发包人不承担费用，只认可工期顺延，顺延时间双方另行协商。</w:t>
      </w:r>
    </w:p>
    <w:p w14:paraId="6723B763">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（1）不可抗力（战争以及地震、水灾、暴风雪等严重自然灾害）；</w:t>
      </w:r>
    </w:p>
    <w:p w14:paraId="2D30DDB7">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（2）因发包人设计变更在结构形式、设计标准作重大调整，增加的工程量使承包人工程进度无法按原计划实施进行的；</w:t>
      </w:r>
    </w:p>
    <w:p w14:paraId="0F1C2618">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（3）非因承包人原因停水、停电连续24小时以上的；</w:t>
      </w:r>
    </w:p>
    <w:p w14:paraId="04295C40">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（4）政府行为：政府强制要求停工（非承包人原因引起，如全市性的安全整顿，要求建设工地停工等）。</w:t>
      </w:r>
    </w:p>
    <w:p w14:paraId="37F7DCE8">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9.3承包人不得以任何理由停工，包括由于变更引起价格改变，发生分歧等，如有争议应协商解决，如因停工造成工期延误，承包人承担违约责任。</w:t>
      </w:r>
    </w:p>
    <w:p w14:paraId="5363F513">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四、质量与验收</w:t>
      </w:r>
    </w:p>
    <w:p w14:paraId="630AAA6C">
      <w:pPr>
        <w:pStyle w:val="58"/>
        <w:tabs>
          <w:tab w:val="left" w:pos="426"/>
        </w:tabs>
        <w:adjustRightInd/>
        <w:spacing w:before="0" w:after="0" w:line="360" w:lineRule="auto"/>
        <w:ind w:left="0" w:right="0" w:firstLine="420" w:firstLineChars="200"/>
        <w:contextualSpacing/>
        <w:rPr>
          <w:rFonts w:ascii="宋体" w:hAnsi="宋体" w:cs="宋体"/>
          <w:sz w:val="21"/>
          <w:szCs w:val="21"/>
        </w:rPr>
      </w:pPr>
      <w:r>
        <w:rPr>
          <w:rFonts w:hint="eastAsia" w:ascii="宋体" w:hAnsi="宋体" w:cs="宋体"/>
          <w:sz w:val="21"/>
          <w:szCs w:val="21"/>
        </w:rPr>
        <w:t>质量要求：符合合格标准。</w:t>
      </w:r>
    </w:p>
    <w:p w14:paraId="5AF61138">
      <w:pPr>
        <w:pStyle w:val="58"/>
        <w:tabs>
          <w:tab w:val="left" w:pos="426"/>
        </w:tabs>
        <w:adjustRightInd/>
        <w:spacing w:before="0" w:after="0" w:line="360" w:lineRule="auto"/>
        <w:ind w:left="0" w:right="0" w:firstLine="420" w:firstLineChars="200"/>
        <w:contextualSpacing/>
        <w:rPr>
          <w:rFonts w:ascii="宋体" w:hAnsi="宋体" w:cs="宋体"/>
          <w:sz w:val="21"/>
          <w:szCs w:val="21"/>
        </w:rPr>
      </w:pPr>
      <w:r>
        <w:rPr>
          <w:rFonts w:hint="eastAsia" w:ascii="宋体" w:hAnsi="宋体" w:cs="宋体"/>
          <w:sz w:val="21"/>
          <w:szCs w:val="21"/>
        </w:rPr>
        <w:t>工程必须一次性验收达到合格。因承包人原因达不到合同约定质量要求，除合同价5%的违约金外，承包人必须保证整改后工程质量达到合格标准，由于承包人原因出现质量问题所造成的一切经济损失由承包人负责。</w:t>
      </w:r>
    </w:p>
    <w:p w14:paraId="7E44D30E">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10.隐蔽工程和中间验收</w:t>
      </w:r>
    </w:p>
    <w:p w14:paraId="07246491">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10.1双方约定中间验收部位: 按规定及监理认为确有必要进行验收的分部。</w:t>
      </w:r>
    </w:p>
    <w:p w14:paraId="6B153303">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10.2验收前承包人首先进行自检，在隐蔽工程验收和中间验收前应提前24小时通知发包人、监理方，并提供相关资料。不论发包人、监理方是否参与验收，当发包人或工程师提出对隐蔽工程需进行重新验收时，承包人必须配合工作且在检验后重新覆盖，若验收合格，发包人承担此项费用，并相应顺延工期，若验收不合格，承包人承担所有损失，且工期不顺延。</w:t>
      </w:r>
    </w:p>
    <w:p w14:paraId="472A42C8">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10.3达不到约定条件的部分，监理方或发包人一经发现，可要求承包人返工，承包人应按监理方或发包人的要求返工，直到符合约定条件，因承包人原因达不到约定条件，由承包人承担返工费用，工期不予顺延。返工后仍不能达到约定条件，承包人承担违约责任。因发包人原因达不到约定条件的，发包人承担经济损失，工期相应顺延。</w:t>
      </w:r>
    </w:p>
    <w:p w14:paraId="4D6EC4A4">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10.4监理方或发包人发现工程质量问题，可下达停工令，承包人在3天内提出书面整改措施，经报项目总监和发包人代表审批同意后，实施整改达到合格，由此所产生的工期延误和整改费用，由承包人承担，否则发包人有权停止拨付工程款。</w:t>
      </w:r>
    </w:p>
    <w:p w14:paraId="23BE41CC">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10.5验收时间：除质检站、设计院等其他部门参加验收，承包人需提前72小时书面报告以便及时联系和安排外，其余均提前24小时即可。</w:t>
      </w:r>
    </w:p>
    <w:p w14:paraId="221A00F5">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11工程试车</w:t>
      </w:r>
    </w:p>
    <w:p w14:paraId="06B1D48E">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11.1试车费用的承担:安排相关的技术人员无条件配合联合试车工作。</w:t>
      </w:r>
    </w:p>
    <w:p w14:paraId="1653FD96">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五、安全文明施工要求</w:t>
      </w:r>
    </w:p>
    <w:p w14:paraId="436DD148">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（1）承包人对现场作业和现有施工方法的安全承担全部责任，执行通用条款第20条规定，并赔偿因承包人责任给发包人造成的一切损失；</w:t>
      </w:r>
    </w:p>
    <w:p w14:paraId="0E69682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（2）承包人应采取控制措施使施工现场达到市环保和政府其它部门对建筑工地的要求，避免伤害或妨碍公众及周围环境。如因妨碍或伤害造成的行政处罚等其它赔偿均由承包人承担；</w:t>
      </w:r>
    </w:p>
    <w:p w14:paraId="4F74E02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（3）承包人负责现场保卫和管理；</w:t>
      </w:r>
    </w:p>
    <w:p w14:paraId="2988048C">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4）承包人应遵守工程建设安全生产有关管理规定，严格按安全标准组织施工，随时接受行业、监理方的安全检查和监督，并针对该工程特点,采取一切必要的安全防护措施，消除事故隐患，承担施工中的全部安全责任及费用（包括承包人和承包人原因造成的第三方）；</w:t>
      </w:r>
    </w:p>
    <w:p w14:paraId="6BC080D1">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5）施工单位进场后必须签署《建设工程安全责任协议书》，并遵守《工程施工现场管理规定》、《建设工程施工安全管理规定》以及《建设工程文明施工管理规定》，不得影响发包人单位正常工作运行，并达到市级安全文明工地要求；</w:t>
      </w:r>
    </w:p>
    <w:p w14:paraId="2ABF4CD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（6）严格遵守施工现场总平面的规划，服从监理与发包人统一指挥，发包人与监理将组织定期检查，对于出现的问题，发包人及监理有权要求总包单位进行整改，否则视承包人为违约；</w:t>
      </w:r>
    </w:p>
    <w:p w14:paraId="6EB91C5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（7）若发生安全事故，承包人承担全部责任，与发包人无关。承包人应按规定立即报告建设主管部门并通知发包人和监理。如因此造成发包人承担责任的，发包人有权向承包人索赔；</w:t>
      </w:r>
    </w:p>
    <w:p w14:paraId="2B43FB38">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六、合同价款与支付</w:t>
      </w:r>
    </w:p>
    <w:p w14:paraId="5F6D90C1">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12.合同价款及调整</w:t>
      </w:r>
    </w:p>
    <w:p w14:paraId="148B04F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12.1本合同价款采用</w:t>
      </w:r>
      <w:r>
        <w:rPr>
          <w:rFonts w:hint="eastAsia" w:ascii="宋体" w:hAnsi="宋体" w:cs="宋体"/>
          <w:snapToGrid w:val="0"/>
          <w:szCs w:val="21"/>
          <w:u w:val="single"/>
        </w:rPr>
        <w:t>固定单价</w:t>
      </w:r>
      <w:r>
        <w:rPr>
          <w:rFonts w:hint="eastAsia" w:ascii="宋体" w:hAnsi="宋体" w:cs="宋体"/>
          <w:snapToGrid w:val="0"/>
          <w:szCs w:val="21"/>
        </w:rPr>
        <w:t>方式确定。</w:t>
      </w:r>
    </w:p>
    <w:p w14:paraId="3BD500A3">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（1）采用固定单价合同，合同价款中包括的风险范围：全部风险已包含在投标报价中，承包人投标时已充分考虑风险范围，并计算风险系数。</w:t>
      </w:r>
    </w:p>
    <w:p w14:paraId="6BE0B2B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（2）风险范围以外合同价款调整方法：</w:t>
      </w:r>
    </w:p>
    <w:p w14:paraId="00FC00E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12.1由设计变更或发包人要求变动的内容引起的工程量清单已有项目的工程量的增加和减少，其相应综合单价不变，工程量据实增减，其措施项目费用同时进行相应调整；若该部分项工程量变更超过15%，则综合单价由承包人、发包人另行商定。</w:t>
      </w:r>
    </w:p>
    <w:p w14:paraId="00C9D9B6">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12.2由于设计变更或发包人要求变动的内容引起的新的工程量清单项目，如发生了清单中没有相同的工作内容时，由承包人执行工程量清单、工程预算书编制依据提出相应综合单价，同时按投标报价时的优惠幅度（即招标人控制价与中标人报价的差额跟招标人控制价的比值）进行让利，经发包人认可后作为结算的依据。</w:t>
      </w:r>
    </w:p>
    <w:p w14:paraId="51C58B3E">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12.3如清单项目中工作内容，实际施工中并未发生，应在“综合单价分析表”中相应的扣减该部分工作内容所含综合单价后形成的新的综合单价作为结算综合单价。</w:t>
      </w:r>
    </w:p>
    <w:p w14:paraId="7AE271DE">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12.4投标人依据招标文件、工程量清单、施工图纸及设计文件、施工现场情况等资料并自行考虑包括以上各种风险因素在内的所有风险后进行投标报价，一旦中标，投标报价将不会得到调整（工程变更、招标人要求变动的内容、合同约定内容除外）。</w:t>
      </w:r>
    </w:p>
    <w:p w14:paraId="0C11A70F">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u w:val="single"/>
        </w:rPr>
      </w:pPr>
      <w:r>
        <w:rPr>
          <w:rFonts w:hint="eastAsia" w:ascii="宋体" w:hAnsi="宋体" w:cs="宋体"/>
          <w:snapToGrid w:val="0"/>
          <w:szCs w:val="21"/>
        </w:rPr>
        <w:t xml:space="preserve">13.工程预付款、发包人向承包人预付工程款的时间和金额或占合同价款总额的比例: </w:t>
      </w:r>
      <w:r>
        <w:rPr>
          <w:rFonts w:hint="eastAsia" w:ascii="宋体" w:hAnsi="宋体" w:cs="宋体"/>
          <w:snapToGrid w:val="0"/>
          <w:szCs w:val="21"/>
          <w:u w:val="single"/>
        </w:rPr>
        <w:t xml:space="preserve"> / </w:t>
      </w:r>
    </w:p>
    <w:p w14:paraId="278E72B5">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14.工程量确认</w:t>
      </w:r>
    </w:p>
    <w:p w14:paraId="7232FA37">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14.1承包人向工程师提交已完成工程量报告的时间:承包人应在每周监理例会前向现场工程师及发包人提供本月完成工程量情况。</w:t>
      </w:r>
    </w:p>
    <w:p w14:paraId="31CC210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15.工程款(进度款)支付：</w:t>
      </w:r>
    </w:p>
    <w:p w14:paraId="7EC17DCB">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七、材料设备供应</w:t>
      </w:r>
    </w:p>
    <w:p w14:paraId="6F564E83">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16.发包人供应材料设备：</w:t>
      </w:r>
    </w:p>
    <w:p w14:paraId="0C8DEDB0">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16.1发包人供应的材料设备与一览表不符时,双方约定发包人承担责任如下:</w:t>
      </w:r>
    </w:p>
    <w:p w14:paraId="0D83142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（1）材料设备单价与一览表不符:</w:t>
      </w:r>
      <w:r>
        <w:rPr>
          <w:rFonts w:hint="eastAsia" w:ascii="宋体" w:hAnsi="宋体" w:cs="宋体"/>
          <w:snapToGrid w:val="0"/>
          <w:szCs w:val="21"/>
          <w:u w:val="single"/>
        </w:rPr>
        <w:t xml:space="preserve">   /  </w:t>
      </w:r>
    </w:p>
    <w:p w14:paraId="4A713F9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（2）材料设备的品种、规格、型号、质量等级与一览表不符：承包人有权拒收，发包人负责调换，承包人可代为调剂串换的材料：设计院批准，监理认可，并报发包人同意后方可串换；</w:t>
      </w:r>
    </w:p>
    <w:p w14:paraId="4EDAE9CC">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（3）到货地点与一览表不符：发包人运至规定的供货地点，承包人应予积极配合；</w:t>
      </w:r>
    </w:p>
    <w:p w14:paraId="0C96229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（4）供货数量与一览表不符：发包人补足；</w:t>
      </w:r>
    </w:p>
    <w:p w14:paraId="750F549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（5）到货时间与一览表不符；</w:t>
      </w:r>
    </w:p>
    <w:p w14:paraId="45F0DF6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开工前承包人须书面通知发包人，因发包人原因延迟供货的，可以延期；如承包人未在开工前书面通知的，发包人不承担相应责任。</w:t>
      </w:r>
    </w:p>
    <w:p w14:paraId="72D71BCE">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16.2发包人供应材料设备的结算方法:/</w:t>
      </w:r>
    </w:p>
    <w:p w14:paraId="6C57B5B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17．承包人采购材料设备</w:t>
      </w:r>
    </w:p>
    <w:p w14:paraId="44B92634">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17.1购材料设备的约定：</w:t>
      </w:r>
    </w:p>
    <w:p w14:paraId="7BEA8048">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承包人采购的材料设备，必须在发包人认可的产品质量等级及价格范围内，发包人供应的材料、设备、承包人应在材料设备验收后及时开出收料单，以便发包人执行供应合同，承包人无故推迟或不开收料单，影响发包人执行合同或工程结算，发包人有权处罚承包人，承包人对进场材料设备安全保管负责，如有受损承包人承担赔偿责任。承包人应按约定及设计和有关标准要求采购，并提供产品合格证明，对材料设备质量负责。承包人进场材料的样品必须经发包人和监理验收认可，经验收合格的材料方可批量进场（样品由发包人封存，承包人必须保证施工中材料设备质量与样品一致），否则，造成的损失由承包人承担；承包人在材料设备到货前24小时通知发包人和监理工程师验收。</w:t>
      </w:r>
    </w:p>
    <w:p w14:paraId="7D272185">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（2）设备与设计标准不符时，承包人应按工程师要求的时间运出施工场地，重新采购符合要求的产品，承担由此产生的费用，由此延误的工期不予顺延。</w:t>
      </w:r>
    </w:p>
    <w:p w14:paraId="0DE18657">
      <w:pPr>
        <w:pStyle w:val="10"/>
        <w:tabs>
          <w:tab w:val="left" w:pos="284"/>
          <w:tab w:val="left" w:pos="993"/>
          <w:tab w:val="left" w:pos="1134"/>
        </w:tabs>
        <w:spacing w:line="360" w:lineRule="auto"/>
        <w:ind w:left="0" w:leftChars="0" w:firstLine="422" w:firstLineChars="200"/>
        <w:contextualSpacing/>
        <w:jc w:val="left"/>
        <w:rPr>
          <w:rFonts w:ascii="宋体" w:hAnsi="宋体" w:cs="宋体"/>
          <w:b/>
          <w:bCs/>
          <w:snapToGrid w:val="0"/>
          <w:szCs w:val="21"/>
        </w:rPr>
      </w:pPr>
      <w:r>
        <w:rPr>
          <w:rFonts w:hint="eastAsia" w:ascii="宋体" w:hAnsi="宋体" w:cs="宋体"/>
          <w:b/>
          <w:bCs/>
          <w:snapToGrid w:val="0"/>
          <w:szCs w:val="21"/>
        </w:rPr>
        <w:t>（3）承包人采购的全部材料和设备在使用前，承包人应当根据国家有关法律、法规、工程建设强制性标准和设计文件，按监理人或工程师要求，对建设工程的材料、构配件、设备，以及工程实体质量、使用功能等进行见证取样检验或试验。所有上述建设工程质量检测（初试及复试）的全部费用，其中包括室内环境监测费，均由承包人承担，不合格的不得使用。</w:t>
      </w:r>
    </w:p>
    <w:p w14:paraId="7DE8B329">
      <w:pPr>
        <w:pStyle w:val="10"/>
        <w:tabs>
          <w:tab w:val="left" w:pos="284"/>
          <w:tab w:val="left" w:pos="993"/>
          <w:tab w:val="left" w:pos="1134"/>
        </w:tabs>
        <w:spacing w:line="360" w:lineRule="auto"/>
        <w:ind w:left="0" w:leftChars="0" w:firstLine="422" w:firstLineChars="200"/>
        <w:contextualSpacing/>
        <w:jc w:val="left"/>
        <w:rPr>
          <w:rFonts w:ascii="宋体" w:hAnsi="宋体" w:cs="宋体"/>
          <w:b/>
          <w:bCs/>
          <w:snapToGrid w:val="0"/>
          <w:szCs w:val="21"/>
        </w:rPr>
      </w:pPr>
      <w:r>
        <w:rPr>
          <w:rFonts w:hint="eastAsia" w:ascii="宋体" w:hAnsi="宋体" w:cs="宋体"/>
          <w:b/>
          <w:bCs/>
          <w:snapToGrid w:val="0"/>
          <w:szCs w:val="21"/>
        </w:rPr>
        <w:t>（4）除国家有关法律、法规、工程建设强制性标准和设计文件规定之外，如发包人或监理人或工程师对其材料和设备有异议的，承包人需无条件配合检测。若材料或设备检测合格，检测费由发包人承担。若材料或设备检测不合格，检测费由承包人承担，并配合进行复检，复检费用也由承包人承担。</w:t>
      </w:r>
    </w:p>
    <w:p w14:paraId="6EFF412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5）承包人供应的材料设备必须保证质量，使用中如发现有质量问题，承包人承担返工的全部损失并赔偿由此给发包人带来的损失。工程师发现承包人采购并使用不符合设计和标准要求的材料设备时，应要求承包人负责修复、拆除或重新采购，由承包人承担发生的费用，由此延误的工期不予顺延。</w:t>
      </w:r>
    </w:p>
    <w:p w14:paraId="6658BE5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6）由承包人供应的材料、设备其品牌、生产厂家、质量等级等均需与投标书相同，除因市场无供应外，需提前5天书面申请和递交替换材料和资料，在得到发包人和监理方的认可，并且出具的各种生产许可证、质量认证、安全认证、试验报告、试验证明等全套的质保资料等也得到发包人和监理方的认可后方能供货，未经许可其后果及损失均由承包人承担，直至终止承包合同、更换承包人。</w:t>
      </w:r>
    </w:p>
    <w:p w14:paraId="335E80E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7）承包人供应的材料设备其品牌、生产厂家、质量等级等如与投标书相同时，其质量及质保资料均需发包人和监理方的认可后方能供货，发包人对该部分材料质量具有检查监督权利，对材料的使用具有否决权，如遇到材料涨价，承包人不能以降低材料品质、档次来抵消风险，也不能要求由发包人供应。</w:t>
      </w:r>
    </w:p>
    <w:p w14:paraId="09FEE4EB">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8）由承包人供应的材料设备其品牌、生产厂家、质量等级等如与投标书不同时，必须得到发包人和监理方的认可，并且出具的各种生产许可证、质量认证、安全认证、试验报告、试验证明等全套的质保资料等也必须得到发包人和监理方的认可后方能供货，未经许可其后果及损失均由承包人承担，直至终止承包合同、更换承包人。</w:t>
      </w:r>
    </w:p>
    <w:p w14:paraId="090236D0">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（9）当发包人和监理人要求对强制性检测要求范围外的材料进行检测时，承包人应按照要求进行检测，检测试验合格由发包人承担费用，测试不合格的检测费用由承包人承担。承包人承担的检验费用包括：</w:t>
      </w:r>
      <w:r>
        <w:rPr>
          <w:rFonts w:hint="eastAsia" w:ascii="宋体" w:hAnsi="宋体" w:cs="宋体"/>
          <w:snapToGrid w:val="0"/>
          <w:szCs w:val="21"/>
        </w:rPr>
        <w:fldChar w:fldCharType="begin"/>
      </w:r>
      <w:r>
        <w:rPr>
          <w:rFonts w:hint="eastAsia" w:ascii="宋体" w:hAnsi="宋体" w:cs="宋体"/>
          <w:snapToGrid w:val="0"/>
          <w:szCs w:val="21"/>
        </w:rPr>
        <w:instrText xml:space="preserve"> eq \o\ac(○,1)</w:instrText>
      </w:r>
      <w:r>
        <w:rPr>
          <w:rFonts w:hint="eastAsia" w:ascii="宋体" w:hAnsi="宋体" w:cs="宋体"/>
          <w:snapToGrid w:val="0"/>
          <w:szCs w:val="21"/>
        </w:rPr>
        <w:fldChar w:fldCharType="end"/>
      </w:r>
      <w:r>
        <w:rPr>
          <w:rFonts w:hint="eastAsia" w:ascii="宋体" w:hAnsi="宋体" w:cs="宋体"/>
          <w:snapToGrid w:val="0"/>
          <w:szCs w:val="21"/>
        </w:rPr>
        <w:t xml:space="preserve">承包人采取新工艺或特殊施工措施造成的检验、试验费用 </w:t>
      </w:r>
      <w:r>
        <w:rPr>
          <w:rFonts w:hint="eastAsia" w:ascii="宋体" w:hAnsi="宋体" w:cs="宋体"/>
          <w:snapToGrid w:val="0"/>
          <w:szCs w:val="21"/>
        </w:rPr>
        <w:fldChar w:fldCharType="begin"/>
      </w:r>
      <w:r>
        <w:rPr>
          <w:rFonts w:hint="eastAsia" w:ascii="宋体" w:hAnsi="宋体" w:cs="宋体"/>
          <w:snapToGrid w:val="0"/>
          <w:szCs w:val="21"/>
        </w:rPr>
        <w:instrText xml:space="preserve"> eq \o\ac(○,2)</w:instrText>
      </w:r>
      <w:r>
        <w:rPr>
          <w:rFonts w:hint="eastAsia" w:ascii="宋体" w:hAnsi="宋体" w:cs="宋体"/>
          <w:snapToGrid w:val="0"/>
          <w:szCs w:val="21"/>
        </w:rPr>
        <w:fldChar w:fldCharType="end"/>
      </w:r>
      <w:r>
        <w:rPr>
          <w:rFonts w:hint="eastAsia" w:ascii="宋体" w:hAnsi="宋体" w:cs="宋体"/>
          <w:snapToGrid w:val="0"/>
          <w:szCs w:val="21"/>
        </w:rPr>
        <w:t>不在“由发包人承担检验试验费用”之列的其它检验试验费。</w:t>
      </w:r>
    </w:p>
    <w:p w14:paraId="20F769F8">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（10）需送检的材料必须检验合格后方能投入使用。</w:t>
      </w:r>
    </w:p>
    <w:p w14:paraId="43DC9BE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（11）承包人供应的材料设备必须保证质量，使用中如发现有质量问题、有毒、污染等不符合环保、安全、卫生要求的，承包人承担返工的全部损失并赔偿由此给发包人带来的损失。</w:t>
      </w:r>
    </w:p>
    <w:p w14:paraId="66B10DE0">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（12）如需发包人认定质价后购买的材料，或者必须代换材料时，承包人必须提前10天书面报告，经发包人批准后实施，否则一切后果均由承包人自己负责。</w:t>
      </w:r>
    </w:p>
    <w:p w14:paraId="4DD9E7AE">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八、工程变更</w:t>
      </w:r>
    </w:p>
    <w:p w14:paraId="48A1F239">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（1）工程变更通知是合同及施工设计图纸的补充和完善，承包人不得拒绝，不能因变更延误工期。</w:t>
      </w:r>
    </w:p>
    <w:p w14:paraId="1F8E67FF">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（2）由于工程设计变更导致本合同工程量增减变化时，是对合同价款增减调整的依据，承包人不能因变更提出不合理的造价要求，造价变化按上述约定执行，结算审核时按实调整。</w:t>
      </w:r>
    </w:p>
    <w:p w14:paraId="3B9F7DA8">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（3）承包人不得以设计变更或工程量的变化为理由，解除或修改合同对其规定的责任和义务。</w:t>
      </w:r>
    </w:p>
    <w:p w14:paraId="3CEA3897">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（4）施工中承包人不得对原工程设计进行变更，因承包人擅自变更设计发生的费用和由此导致发包人的直接损失由承包人承担，延误的工期不予顺延。</w:t>
      </w:r>
    </w:p>
    <w:p w14:paraId="639E435E">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18.竣工验收</w:t>
      </w:r>
    </w:p>
    <w:p w14:paraId="00ADE270">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18.1.承包人负责工程验收，并有义务参加配合相关单位验收工作。</w:t>
      </w:r>
    </w:p>
    <w:p w14:paraId="597FFDB5">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18.2.工程具备竣工验收条件，承包人按国家工程竣工验收有关规定，向发包人提供竣工验收报告。</w:t>
      </w:r>
    </w:p>
    <w:p w14:paraId="41DCFDC6">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18.3.工程竣工验收通过，承包人送交竣工验收报告的日期为实际竣工日期。工程按发包人要求修改后通过竣工验收的，实际竣工日期为承包人修改后提请发包人验收的日期。发包人接到竣工验收报告后28天内组织有关单位验收，并在验收后14天内给予认可或提出修改意见。承包人按要求修改，并承担由自身原因造成修改的费用。</w:t>
      </w:r>
    </w:p>
    <w:p w14:paraId="635510E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18.4.承包人提供竣工图的约定：竣工验收后三十日内承包人提供自己绘制的与实物相符并符合城建档案馆要求的竣工图叁套(医院不提供图纸),竣工资料三套（原件资料）其中一套原件交城建档案馆，并确保资料准确，否则每迟一天，每日向发包人支付违约金500元。</w:t>
      </w:r>
    </w:p>
    <w:p w14:paraId="2983A997">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19.竣工结算</w:t>
      </w:r>
    </w:p>
    <w:p w14:paraId="4A7F0A69">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19.1工程竣工验收合格后60天内承包人向发包人提供完整的工程结算资料。由发包人接收（一式两份）。结算资料提交应按时完成，否则每迟一天，除每日向发包人支付违约金500元，工程款相应延期支付。</w:t>
      </w:r>
    </w:p>
    <w:p w14:paraId="12F3857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19.2发包人收到竣工结算资料后，由发包人和监理方分别进行审查确认后送给有关造价咨询部门进行工程价款的审核。</w:t>
      </w:r>
    </w:p>
    <w:p w14:paraId="743EC94B">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20、工程保修</w:t>
      </w:r>
    </w:p>
    <w:p w14:paraId="35F03C2B">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20.1工程保修内容及期限按《建设工程质量管理条例》（中华人民共和国国务院令2000年第279号）、《房屋建筑工程质量保修办法》（中华人民共和国建设部令第８０号）等有关规定执行。</w:t>
      </w:r>
    </w:p>
    <w:p w14:paraId="27152BA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20.2工程保修期在工程竣工验收合格之日起计算。</w:t>
      </w:r>
    </w:p>
    <w:p w14:paraId="7032055F">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20.3在承包人对质量保证期内出现的质量问题进行维修时，承包人应相应延长维修或更换部分的质量保证期。维修或更换部分的质保期从维修或更换合格之日起重新计算。</w:t>
      </w:r>
    </w:p>
    <w:p w14:paraId="7B60C077">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20.4承包人有责任和义务及时进行承包工程的维修工作，若不能及时履行保修约定，发包人可以委托他人修理，其相应维修费用在保修预留金中扣除，扣完为止。如预留金不够支付因质量问题返修的费用，承包人应补全所缺部分的返修费用。</w:t>
      </w:r>
    </w:p>
    <w:p w14:paraId="15E2A661">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九、违约、索赔和争议</w:t>
      </w:r>
    </w:p>
    <w:p w14:paraId="4631E310">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21.违约</w:t>
      </w:r>
    </w:p>
    <w:p w14:paraId="740BDE6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21.1本合同中关于发包人违约的具体责任如下:</w:t>
      </w:r>
    </w:p>
    <w:p w14:paraId="4BA1EDD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本合同通用条款第24条约定发包人违约应承担的违约责任:</w:t>
      </w:r>
      <w:r>
        <w:rPr>
          <w:rFonts w:hint="eastAsia" w:ascii="宋体" w:hAnsi="宋体" w:cs="宋体"/>
          <w:snapToGrid w:val="0"/>
          <w:szCs w:val="21"/>
          <w:u w:val="single"/>
        </w:rPr>
        <w:t xml:space="preserve">    /    </w:t>
      </w:r>
    </w:p>
    <w:p w14:paraId="02719D80">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u w:val="single"/>
        </w:rPr>
      </w:pPr>
      <w:r>
        <w:rPr>
          <w:rFonts w:hint="eastAsia" w:ascii="宋体" w:hAnsi="宋体" w:cs="宋体"/>
          <w:snapToGrid w:val="0"/>
          <w:szCs w:val="21"/>
        </w:rPr>
        <w:t>本合同通用条款第26.4款约定发包人违约应承担的违约责任:</w:t>
      </w:r>
      <w:r>
        <w:rPr>
          <w:rFonts w:hint="eastAsia" w:ascii="宋体" w:hAnsi="宋体" w:cs="宋体"/>
          <w:snapToGrid w:val="0"/>
          <w:szCs w:val="21"/>
          <w:u w:val="single"/>
        </w:rPr>
        <w:t xml:space="preserve">    /    </w:t>
      </w:r>
    </w:p>
    <w:p w14:paraId="37E54999">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u w:val="single"/>
        </w:rPr>
      </w:pPr>
      <w:r>
        <w:rPr>
          <w:rFonts w:hint="eastAsia" w:ascii="宋体" w:hAnsi="宋体" w:cs="宋体"/>
          <w:snapToGrid w:val="0"/>
          <w:szCs w:val="21"/>
        </w:rPr>
        <w:t>本合同通用条款第33.3款约定发包人违约应承担的违约责任:</w:t>
      </w:r>
      <w:r>
        <w:rPr>
          <w:rFonts w:hint="eastAsia" w:ascii="宋体" w:hAnsi="宋体" w:cs="宋体"/>
          <w:snapToGrid w:val="0"/>
          <w:szCs w:val="21"/>
          <w:u w:val="single"/>
        </w:rPr>
        <w:t xml:space="preserve">   /   </w:t>
      </w:r>
    </w:p>
    <w:p w14:paraId="7D9ACEC1">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双方约定的发包人其他违约责任:执行合同约定、招标文件</w:t>
      </w:r>
    </w:p>
    <w:p w14:paraId="510F734E">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21.2本合同中关于承包人违约的具体责任如下:</w:t>
      </w:r>
    </w:p>
    <w:p w14:paraId="30A14676">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本合同通用条款第14.2款约定承包人违约应承担的违约责任:</w:t>
      </w:r>
    </w:p>
    <w:p w14:paraId="4459B0E0">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延误工期。在十天内（含十天）的承包人按10000元/天赔偿，逾期在20天内（含20天）的承包人按20000元/天赔偿，逾期在30天（含30天）的承包人按50000元/天赔偿，如竣工时间超过合同工期一个月以上，发包人有权终止合同，承包人除按本工程结算价的5%支付违约金外，还应赔偿因工期违约给发包人造成的损失。</w:t>
      </w:r>
    </w:p>
    <w:p w14:paraId="495A9DB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21.3本合同通用条款第15.1款约定承包人违约应承担的违约责任:</w:t>
      </w:r>
    </w:p>
    <w:p w14:paraId="245B9929">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因承包人原因达不到约定的质量标准，承包人按合同总价的5%向发包人支付违约金的同时，承包人必须保证整改后工程达到约定的质量标准并承担所有发生的费用，出现质量问题所造成的一切经济损失由承包人承担。</w:t>
      </w:r>
    </w:p>
    <w:p w14:paraId="3610EFD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21.4双方约定的承包人其他违约责任:</w:t>
      </w:r>
    </w:p>
    <w:p w14:paraId="08627298">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21.4.1.遵守政府和发包人对施工现场的一切规定和要求，承担因自身原因违反有关规定造成的损失和罚款。</w:t>
      </w:r>
    </w:p>
    <w:p w14:paraId="11474B4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21.4.2承包人在施工过程中，项目经理及主要施工人员应与投标文件中相一致，如承包人擅自变换项目经理及主要施工人员，发包人有权终止合同，承包人无条件退场且工程款不予结算，项目经理必须长驻施工现场，负责该项目施工，如需离开施工现场，必须向发包人请假，在征得发包人同意后，才能离开现场，未经批准离开现场，一经发现按每天1000元进行处罚，处罚款上不封顶，结算时在工程款中扣除，如发现项目经理三次擅自离开现场，发包人有权终止合同，承包人无条件退场且工程款不予支付并扣除履约保证金，同时报相应的建设主管部门处理。</w:t>
      </w:r>
    </w:p>
    <w:p w14:paraId="4B050CF2">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21.4.3承包人应服从发包人的制度、会议、通知等形式的管理，以整个项目全局为重，除履行合同义务外应积极配合发包人及其他参建单位完成项目目标。</w:t>
      </w:r>
    </w:p>
    <w:p w14:paraId="09192D64">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21.4.4由于承包人原因无故连续停工一周，且又未向监理及发包人书面说明原因并取得发包人书面认可，发包人有权终止合同，承包人将承担一切损失。</w:t>
      </w:r>
    </w:p>
    <w:p w14:paraId="23EF2580">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21.4.5承包人擅自将工程全部或其中的一部分转包或违法分包给其它单位，发包人有权终止合同，并没收履约保证金，由此造成的一切损失由承包人承担。</w:t>
      </w:r>
    </w:p>
    <w:p w14:paraId="548C8E13">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21.4.6施工期间由于承包人原因出现重大质量问题，且又无法弥补，给发包人造成重大损失，发包人有权终止合同，承包人负责赔偿发包人由此造成的一切损失。</w:t>
      </w:r>
    </w:p>
    <w:p w14:paraId="58BB16B5">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21.4.7承包人使用劣质材料，无论使用量多少，一经发现，发包人有权终止合同，承包人除承担责任和赔偿损失外，并无条件退出施工现场。</w:t>
      </w:r>
    </w:p>
    <w:p w14:paraId="3E2EB4E7">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22.争议</w:t>
      </w:r>
    </w:p>
    <w:p w14:paraId="35015B7C">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22.1双方约定,在履行合同过程中产生争议时:</w:t>
      </w:r>
    </w:p>
    <w:p w14:paraId="369F3403">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(1)请有关</w:t>
      </w:r>
      <w:r>
        <w:rPr>
          <w:rFonts w:hint="eastAsia" w:ascii="宋体" w:hAnsi="宋体" w:cs="宋体"/>
          <w:snapToGrid w:val="0"/>
          <w:szCs w:val="21"/>
          <w:u w:val="single"/>
        </w:rPr>
        <w:t>建设行政主管部门</w:t>
      </w:r>
      <w:r>
        <w:rPr>
          <w:rFonts w:hint="eastAsia" w:ascii="宋体" w:hAnsi="宋体" w:cs="宋体"/>
          <w:snapToGrid w:val="0"/>
          <w:szCs w:val="21"/>
        </w:rPr>
        <w:t>调解;</w:t>
      </w:r>
    </w:p>
    <w:p w14:paraId="5C1DEB99">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(2)调解不成，双方约定向</w:t>
      </w:r>
      <w:r>
        <w:rPr>
          <w:rFonts w:hint="eastAsia" w:ascii="宋体" w:hAnsi="宋体" w:cs="宋体"/>
          <w:snapToGrid w:val="0"/>
          <w:szCs w:val="21"/>
          <w:u w:val="single"/>
        </w:rPr>
        <w:t>发包人所在地人民法院</w:t>
      </w:r>
      <w:r>
        <w:rPr>
          <w:rFonts w:hint="eastAsia" w:ascii="宋体" w:hAnsi="宋体" w:cs="宋体"/>
          <w:snapToGrid w:val="0"/>
          <w:szCs w:val="21"/>
        </w:rPr>
        <w:t>提起诉讼。</w:t>
      </w:r>
    </w:p>
    <w:p w14:paraId="620EBC5B">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十、其他</w:t>
      </w:r>
    </w:p>
    <w:p w14:paraId="00E89C3B">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23.工程分包</w:t>
      </w:r>
    </w:p>
    <w:p w14:paraId="179BA258">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本工程除渣土外运工程外，其他项目不允许转包和违法分包。渣土外运必须发包给具备《渣土运输车辆许可证》、《渣土运输车辆交通安全证》和《渣土运输车辆通行证》的渣土运输企业作业。</w:t>
      </w:r>
    </w:p>
    <w:p w14:paraId="084A68E4">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24.不可抗力</w:t>
      </w:r>
    </w:p>
    <w:p w14:paraId="29C2844B">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24.1双方关于不可抗力的约定:</w:t>
      </w:r>
      <w:r>
        <w:rPr>
          <w:rFonts w:hint="eastAsia" w:ascii="宋体" w:hAnsi="宋体" w:cs="宋体"/>
          <w:snapToGrid w:val="0"/>
          <w:szCs w:val="21"/>
          <w:u w:val="single"/>
        </w:rPr>
        <w:t>执行通用条款</w:t>
      </w:r>
    </w:p>
    <w:p w14:paraId="1251CB2B">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25.担保</w:t>
      </w:r>
    </w:p>
    <w:p w14:paraId="578B83D7">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25.1本工程双方约定担保事项如下:</w:t>
      </w:r>
    </w:p>
    <w:p w14:paraId="1FE06624">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 xml:space="preserve">25.2发包人向承包人提供履约担保,担保方式为: </w:t>
      </w:r>
      <w:r>
        <w:rPr>
          <w:rFonts w:hint="eastAsia" w:ascii="宋体" w:hAnsi="宋体" w:cs="宋体"/>
          <w:snapToGrid w:val="0"/>
          <w:szCs w:val="21"/>
          <w:u w:val="single"/>
        </w:rPr>
        <w:t xml:space="preserve">  / </w:t>
      </w:r>
    </w:p>
    <w:p w14:paraId="325BF68F">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25.3承包人向发包人提供履约担保,担保方式为:</w:t>
      </w:r>
      <w:r>
        <w:rPr>
          <w:rFonts w:hint="eastAsia" w:ascii="宋体" w:hAnsi="宋体" w:cs="宋体"/>
          <w:snapToGrid w:val="0"/>
          <w:szCs w:val="21"/>
          <w:u w:val="single"/>
        </w:rPr>
        <w:t>合同签订前承包人向发包人提交合同价的10%履约保证金，合同履行完毕无遗留问题退还履约保证金。如果承包人</w:t>
      </w:r>
      <w:r>
        <w:rPr>
          <w:rFonts w:hint="eastAsia" w:ascii="宋体" w:hAnsi="宋体" w:cs="宋体"/>
          <w:b/>
          <w:snapToGrid w:val="0"/>
          <w:szCs w:val="21"/>
          <w:u w:val="single"/>
        </w:rPr>
        <w:t>在规定时间内</w:t>
      </w:r>
      <w:r>
        <w:rPr>
          <w:rFonts w:hint="eastAsia" w:ascii="宋体" w:hAnsi="宋体" w:cs="宋体"/>
          <w:snapToGrid w:val="0"/>
          <w:szCs w:val="21"/>
          <w:u w:val="single"/>
        </w:rPr>
        <w:t>未能提交履约保证金，将被视为放弃中标资格，由此给发包人造成的损失，应予以赔偿</w:t>
      </w:r>
      <w:r>
        <w:rPr>
          <w:rFonts w:hint="eastAsia" w:ascii="宋体" w:hAnsi="宋体" w:cs="宋体"/>
          <w:snapToGrid w:val="0"/>
          <w:szCs w:val="21"/>
        </w:rPr>
        <w:t>。（以上均不计息）</w:t>
      </w:r>
    </w:p>
    <w:p w14:paraId="434FA681">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26.合同份数</w:t>
      </w:r>
    </w:p>
    <w:p w14:paraId="2E8B0DE6">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26.1双方约定在合同份数：</w:t>
      </w:r>
    </w:p>
    <w:p w14:paraId="596AD696">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本合同</w:t>
      </w:r>
      <w:r>
        <w:rPr>
          <w:rFonts w:hint="eastAsia" w:ascii="宋体" w:hAnsi="宋体" w:cs="宋体"/>
          <w:b/>
          <w:snapToGrid w:val="0"/>
          <w:szCs w:val="21"/>
          <w:u w:val="single"/>
        </w:rPr>
        <w:t>伍</w:t>
      </w:r>
      <w:r>
        <w:rPr>
          <w:rFonts w:hint="eastAsia" w:ascii="宋体" w:hAnsi="宋体" w:cs="宋体"/>
          <w:snapToGrid w:val="0"/>
          <w:szCs w:val="21"/>
        </w:rPr>
        <w:t>份，其中正本</w:t>
      </w:r>
      <w:r>
        <w:rPr>
          <w:rFonts w:hint="eastAsia" w:ascii="宋体" w:hAnsi="宋体" w:cs="宋体"/>
          <w:b/>
          <w:snapToGrid w:val="0"/>
          <w:szCs w:val="21"/>
          <w:u w:val="single"/>
        </w:rPr>
        <w:t>叁</w:t>
      </w:r>
      <w:r>
        <w:rPr>
          <w:rFonts w:hint="eastAsia" w:ascii="宋体" w:hAnsi="宋体" w:cs="宋体"/>
          <w:snapToGrid w:val="0"/>
          <w:szCs w:val="21"/>
        </w:rPr>
        <w:t>份，副本</w:t>
      </w:r>
      <w:r>
        <w:rPr>
          <w:rFonts w:hint="eastAsia" w:ascii="宋体" w:hAnsi="宋体" w:cs="宋体"/>
          <w:b/>
          <w:snapToGrid w:val="0"/>
          <w:szCs w:val="21"/>
          <w:u w:val="single"/>
        </w:rPr>
        <w:t>贰</w:t>
      </w:r>
      <w:r>
        <w:rPr>
          <w:rFonts w:hint="eastAsia" w:ascii="宋体" w:hAnsi="宋体" w:cs="宋体"/>
          <w:snapToGrid w:val="0"/>
          <w:szCs w:val="21"/>
        </w:rPr>
        <w:t>份。</w:t>
      </w:r>
      <w:r>
        <w:rPr>
          <w:rFonts w:hint="eastAsia" w:ascii="宋体" w:hAnsi="宋体" w:cs="宋体"/>
          <w:szCs w:val="21"/>
        </w:rPr>
        <w:t>发包人方执</w:t>
      </w:r>
      <w:r>
        <w:rPr>
          <w:rFonts w:hint="eastAsia" w:ascii="宋体" w:hAnsi="宋体" w:cs="宋体"/>
          <w:b/>
          <w:bCs/>
          <w:szCs w:val="21"/>
          <w:u w:val="single"/>
        </w:rPr>
        <w:t>叁</w:t>
      </w:r>
      <w:r>
        <w:rPr>
          <w:rFonts w:hint="eastAsia" w:ascii="宋体" w:hAnsi="宋体" w:cs="宋体"/>
          <w:szCs w:val="21"/>
        </w:rPr>
        <w:t>份，承包人方执</w:t>
      </w:r>
      <w:r>
        <w:rPr>
          <w:rFonts w:hint="eastAsia" w:ascii="宋体" w:hAnsi="宋体" w:cs="宋体"/>
          <w:b/>
          <w:bCs/>
          <w:szCs w:val="21"/>
          <w:u w:val="single"/>
        </w:rPr>
        <w:t>贰</w:t>
      </w:r>
      <w:r>
        <w:rPr>
          <w:rFonts w:hint="eastAsia" w:ascii="宋体" w:hAnsi="宋体" w:cs="宋体"/>
          <w:szCs w:val="21"/>
        </w:rPr>
        <w:t>份。</w:t>
      </w:r>
    </w:p>
    <w:p w14:paraId="4C3DA7FE">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27.其他</w:t>
      </w:r>
    </w:p>
    <w:p w14:paraId="22F8CFA7">
      <w:pPr>
        <w:pStyle w:val="10"/>
        <w:tabs>
          <w:tab w:val="left" w:pos="284"/>
          <w:tab w:val="left" w:pos="993"/>
          <w:tab w:val="left" w:pos="1134"/>
        </w:tabs>
        <w:spacing w:line="360" w:lineRule="auto"/>
        <w:ind w:left="0" w:leftChars="0" w:firstLine="420" w:firstLineChars="200"/>
        <w:contextualSpacing/>
        <w:jc w:val="left"/>
        <w:rPr>
          <w:rFonts w:ascii="宋体" w:hAnsi="宋体" w:cs="宋体"/>
          <w:szCs w:val="21"/>
        </w:rPr>
      </w:pPr>
      <w:r>
        <w:rPr>
          <w:rFonts w:hint="eastAsia" w:ascii="宋体" w:hAnsi="宋体" w:cs="宋体"/>
          <w:snapToGrid w:val="0"/>
          <w:szCs w:val="21"/>
        </w:rPr>
        <w:t>（2）本工程经审计后核减率超过10%(含10%)的，其审计费用全部由承包人承担（比例为净核减金额的5%）；本工程经审计后核减率在10%以下的，其审计费用由发包人承包人各承担50%。以上承包人应承担的审计费用，承包人交至医院财务处，由发包人代为支付给审计单位。</w:t>
      </w:r>
    </w:p>
    <w:p w14:paraId="0A3CCB6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(3）施工过程中发生的变更签证，承包人必须在变更发生后5日内申报，逾期对增加费用的签证申报，发包人有权不予承认，但发包人保留对减少费用的签证追溯权；</w:t>
      </w:r>
    </w:p>
    <w:p w14:paraId="553C46AB">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4）承包人应加强工作人员的管理，禁止承包人以各种手段腐蚀、贿赂发包人单位工作人员，如有违反，发包人将停止履行合同，将诚信档案记录的工作人员违规不良行为纳入违约行为，并追究承包人违约责任；</w:t>
      </w:r>
    </w:p>
    <w:p w14:paraId="706C0743">
      <w:pPr>
        <w:pStyle w:val="10"/>
        <w:tabs>
          <w:tab w:val="left" w:pos="284"/>
          <w:tab w:val="left" w:pos="993"/>
          <w:tab w:val="left" w:pos="1134"/>
        </w:tabs>
        <w:spacing w:line="360" w:lineRule="auto"/>
        <w:ind w:left="0" w:leftChars="0" w:firstLine="420" w:firstLineChars="200"/>
        <w:contextualSpacing/>
        <w:jc w:val="left"/>
        <w:rPr>
          <w:rFonts w:ascii="宋体" w:hAnsi="宋体" w:cs="宋体"/>
          <w:szCs w:val="21"/>
        </w:rPr>
      </w:pPr>
      <w:r>
        <w:rPr>
          <w:rFonts w:hint="eastAsia" w:ascii="宋体" w:hAnsi="宋体" w:cs="宋体"/>
          <w:snapToGrid w:val="0"/>
          <w:szCs w:val="21"/>
        </w:rPr>
        <w:t>（5）</w:t>
      </w:r>
      <w:r>
        <w:rPr>
          <w:rFonts w:hint="eastAsia" w:ascii="宋体" w:hAnsi="宋体" w:cs="宋体"/>
          <w:szCs w:val="21"/>
        </w:rPr>
        <w:t>承包人应按《建筑工程安全管理条例》以及国家、省市有关规定安全施工对于存在的安全隐患应及时整改到位。安全责任由承包人自行承担。承包人应按照国家和省市的有关规定文明施工。接受发包人、监理方及有关部门的管理、检查和监督，并有义务与施工现场各单位协调配合，自觉遵守《建设工程施工场地管理规定》（见附件1），违者按以上规定条款处罚；</w:t>
      </w:r>
    </w:p>
    <w:p w14:paraId="5AAF87B6">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（6）在工程竣工后在进行竣工验收前，对施工范围内进行打扫和清理，达到发包人提出的清洁要求，如达不到上述要求发包人将委托其他单位进行清理，其费用由承包人承担；</w:t>
      </w:r>
    </w:p>
    <w:p w14:paraId="5B91E1D3">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（7）在工程未交付前，承包人负责做好成品保护，如有损坏应负责维修，直至合格，其维修看护费用由承包人承担。</w:t>
      </w:r>
    </w:p>
    <w:p w14:paraId="3C30E281">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（8）在施工期间医院正常运行，承包人在施工中应做好环境保护及环境安全的防护，部分区域需封闭施工，相关费用视为包含在投标报价中，不再另行支付；</w:t>
      </w:r>
    </w:p>
    <w:p w14:paraId="36FA8783">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（9）各个施工环节，需发包人施工质量管理员现场验收确认后方可进行下一环节施工；</w:t>
      </w:r>
    </w:p>
    <w:p w14:paraId="4766C410">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napToGrid w:val="0"/>
          <w:kern w:val="0"/>
          <w:szCs w:val="21"/>
        </w:rPr>
        <w:t>（</w:t>
      </w:r>
      <w:r>
        <w:rPr>
          <w:rFonts w:hint="eastAsia" w:ascii="宋体" w:hAnsi="宋体" w:cs="宋体"/>
          <w:szCs w:val="21"/>
        </w:rPr>
        <w:t>10</w:t>
      </w:r>
      <w:r>
        <w:rPr>
          <w:rFonts w:hint="eastAsia" w:ascii="宋体" w:hAnsi="宋体" w:cs="宋体"/>
          <w:snapToGrid w:val="0"/>
          <w:kern w:val="0"/>
          <w:szCs w:val="21"/>
        </w:rPr>
        <w:t>）</w:t>
      </w:r>
      <w:r>
        <w:rPr>
          <w:rFonts w:hint="eastAsia" w:ascii="宋体" w:hAnsi="宋体" w:cs="宋体"/>
          <w:szCs w:val="21"/>
        </w:rPr>
        <w:t>本工程在施工期间医院运行不停止，承包单位进场施工时必须在不影响医院正常运行情况下进行，在施工过程中要注意保护环境卫生、文明施工、污水、杂物严谨乱扔乱抛，施工严控噪声和粉尘，以防影响病人治疗，违者按《建设工程安全文明施工管理办法》规定处罚；（见附件2）</w:t>
      </w:r>
    </w:p>
    <w:p w14:paraId="208B4B8A">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（11）承包人在中标公示结束后30天内与发包人签订施工合同并交纳履约保证金；</w:t>
      </w:r>
    </w:p>
    <w:p w14:paraId="32F30AA9">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12）施工期间，将对承包人实行考核，考核结果与奖惩挂钩。如承包人不加强管理造成施工场地混乱，又不服从发包人及现场监理管理，以致影响工程质量和进度，经发包人三次警告，仍然整改不到位发包人有权终止合同，承包人应无条件退出施工现场并将承担一切损失；</w:t>
      </w:r>
    </w:p>
    <w:p w14:paraId="7471490B">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（13）承包人擅自将工程全部或其中的一部分转包或违法分包给其他单位，发包人有权终止合同，并没收履约保证金，由此造成的一切损失由承包人承担；</w:t>
      </w:r>
    </w:p>
    <w:p w14:paraId="7B2524C7">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（14）施工方对施工材料运送要统筹考虑,不得影响院区内的道路交通,对施工场地周边的道路、树木、建筑等设施做好保护；</w:t>
      </w:r>
    </w:p>
    <w:p w14:paraId="248F2606">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28、施工期间相关要求：（以下规定与政府部门有冲突的部分依照政府文件规定执行）</w:t>
      </w:r>
    </w:p>
    <w:p w14:paraId="72462FDB">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（1）严格按国家强制性标准、施工组织设计或拆除方案实施相关部位拆除施工作业；</w:t>
      </w:r>
    </w:p>
    <w:p w14:paraId="60F2FDB5">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（2）做好拆除工程施工现场的防护。在现场醒目位置设置施工标志牌、安全警示牌，人员通道设置防护通道，非施工人员不得进入施工区；</w:t>
      </w:r>
    </w:p>
    <w:p w14:paraId="0E63FC91">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（3）制定安全事故应急救援预案，做好防火、防盗工作；</w:t>
      </w:r>
    </w:p>
    <w:p w14:paraId="264CBC3E">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（4）对拆除施工人员进行安全技术交底，施工作业人员必须穿戴安全帽等劳动保护用品，高处作业应系好安全带，不得冒险作业；</w:t>
      </w:r>
    </w:p>
    <w:p w14:paraId="0A9694FD">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（5）由施工方、监理、承包人方共同对拆除的部位进行标记，由施工方检查建筑内各类管线情况，确认必须切断的应全部切断后方可施工；</w:t>
      </w:r>
    </w:p>
    <w:p w14:paraId="45164707">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（6）拆除施工时应有防止扬尘和降低噪声的措施，拆除前洒水，过程中喷水，采用轻型风镐，严禁超负荷或带故障运转；</w:t>
      </w:r>
    </w:p>
    <w:p w14:paraId="41AC336B">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7）拆除作业时楼板上严禁人员聚集或堆放材料，作业人员应站在稳定结构或专用脚手架上操作，不得垂直交叉作业，对拆除物应采取有效的下落控制措施，不得直接砸落在楼板面上，构件应有安全的放置场所。水平作业时，操作人员应保持安全距离；</w:t>
      </w:r>
    </w:p>
    <w:p w14:paraId="5BC3C4FD">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（8）楼层内的施工垃圾应采用垃圾袋运下，不得向下抛掷；</w:t>
      </w:r>
    </w:p>
    <w:p w14:paraId="44A7C815">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（9）对原有梁、柱、楼板面等建筑结构要进行有效防护，拆除部位的地面必须用模板铺垫；</w:t>
      </w:r>
    </w:p>
    <w:p w14:paraId="177D417B">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（10）室内墙体在拆除时，顶部应拆除至梁体或楼板混凝土结构面，将砂浆连接层彻底清理干净，便于下道工序直接施工包含柱面；</w:t>
      </w:r>
    </w:p>
    <w:p w14:paraId="3B37648C">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(11)现场用电应符合施工现场临时用电安全技术规范要求；</w:t>
      </w:r>
    </w:p>
    <w:p w14:paraId="3181E87D">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(12)根据拆除现场作业环境，制定相应的消防安全措施；</w:t>
      </w:r>
    </w:p>
    <w:p w14:paraId="2B41BDC9">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(13)拆除后形成的临边洞口及时维护完成；</w:t>
      </w:r>
    </w:p>
    <w:p w14:paraId="2C64AC3B">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(14)清运渣土的车辆应封闭或覆盖，出入现场应有专人指挥，作业时间、作业方式应遵守扬州市有关管理规定。要求拆除的垃圾袋装化处理，并及时拆及时清运；</w:t>
      </w:r>
    </w:p>
    <w:p w14:paraId="4A7B5124">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(15)使用建设单位提供运输等设备、设施要服从管理安排，爱护设备，损坏赔偿；</w:t>
      </w:r>
    </w:p>
    <w:p w14:paraId="0190E455">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(16)编制切实可行的施工准备计划，科学、合理安排组织施工工序，对准备工作建立严格的责任制和检查制度，做到有计划、有分工、有布置、有检查，各分部分项工程必须按计划完成；</w:t>
      </w:r>
    </w:p>
    <w:p w14:paraId="265861A0">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(17)根据总进度计划的要求，制定详细的天计划。加强计划的科学性、严肃性，在编制天计划时要考虑各种不利因素的影响，以保证计划的有效性、可行性，一旦发现天计划与总进度计划相比有滞后现象时，要及时调整，采取相应的补救措施，制定可行的计划，以保证总进度计划的实现；</w:t>
      </w:r>
    </w:p>
    <w:p w14:paraId="23F93DA1">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(18)若有后续工作跟进施工应与配合，及时提供工作面，确保后续工作顺利实施；</w:t>
      </w:r>
    </w:p>
    <w:p w14:paraId="304FB7DE">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(19)本工程不包含任何可回收材料，可回收材料均属发包人所有；</w:t>
      </w:r>
    </w:p>
    <w:p w14:paraId="07848F42">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（20）保险</w:t>
      </w:r>
    </w:p>
    <w:p w14:paraId="6783AB9C">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工程保险：</w:t>
      </w:r>
      <w:r>
        <w:rPr>
          <w:rFonts w:hint="eastAsia" w:ascii="宋体" w:hAnsi="宋体" w:cs="宋体"/>
          <w:szCs w:val="21"/>
          <w:u w:val="single"/>
        </w:rPr>
        <w:t>按相关规定，应由承包人缴纳的保险必须按时依法办理</w:t>
      </w:r>
      <w:r>
        <w:rPr>
          <w:rFonts w:hint="eastAsia" w:ascii="宋体" w:hAnsi="宋体" w:cs="宋体"/>
          <w:szCs w:val="21"/>
        </w:rPr>
        <w:t>。</w:t>
      </w:r>
    </w:p>
    <w:p w14:paraId="38B5A7ED">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其他保险：</w:t>
      </w:r>
      <w:r>
        <w:rPr>
          <w:rFonts w:hint="eastAsia" w:ascii="宋体" w:hAnsi="宋体" w:cs="宋体"/>
          <w:szCs w:val="21"/>
          <w:u w:val="single"/>
        </w:rPr>
        <w:t>按相关规定，应由承包人缴纳的保险必须按时依法办理</w:t>
      </w:r>
      <w:r>
        <w:rPr>
          <w:rFonts w:hint="eastAsia" w:ascii="宋体" w:hAnsi="宋体" w:cs="宋体"/>
          <w:szCs w:val="21"/>
        </w:rPr>
        <w:t>。</w:t>
      </w:r>
    </w:p>
    <w:p w14:paraId="707D90C4">
      <w:pPr>
        <w:pStyle w:val="60"/>
        <w:tabs>
          <w:tab w:val="left" w:pos="284"/>
        </w:tabs>
        <w:spacing w:line="360" w:lineRule="auto"/>
        <w:ind w:firstLine="420" w:firstLineChars="200"/>
        <w:contextualSpacing/>
        <w:jc w:val="left"/>
        <w:rPr>
          <w:rFonts w:ascii="宋体" w:hAnsi="宋体" w:cs="宋体"/>
          <w:szCs w:val="21"/>
          <w:u w:val="single"/>
        </w:rPr>
      </w:pPr>
      <w:r>
        <w:rPr>
          <w:rFonts w:hint="eastAsia" w:ascii="宋体" w:hAnsi="宋体" w:cs="宋体"/>
          <w:szCs w:val="21"/>
        </w:rPr>
        <w:t>承包人是否应为其施工设备等办理财产保险：</w:t>
      </w:r>
      <w:r>
        <w:rPr>
          <w:rFonts w:hint="eastAsia" w:ascii="宋体" w:hAnsi="宋体" w:cs="宋体"/>
          <w:szCs w:val="21"/>
          <w:u w:val="single"/>
        </w:rPr>
        <w:t>应该办理</w:t>
      </w:r>
    </w:p>
    <w:p w14:paraId="7D359D35">
      <w:pPr>
        <w:pStyle w:val="60"/>
        <w:tabs>
          <w:tab w:val="left" w:pos="284"/>
        </w:tabs>
        <w:spacing w:line="360" w:lineRule="auto"/>
        <w:ind w:firstLine="420" w:firstLineChars="200"/>
        <w:contextualSpacing/>
        <w:jc w:val="left"/>
        <w:rPr>
          <w:rFonts w:ascii="宋体" w:hAnsi="宋体" w:cs="宋体"/>
          <w:sz w:val="24"/>
          <w:szCs w:val="24"/>
        </w:rPr>
      </w:pPr>
      <w:r>
        <w:rPr>
          <w:rFonts w:hint="eastAsia" w:ascii="宋体" w:hAnsi="宋体" w:cs="宋体"/>
          <w:szCs w:val="21"/>
        </w:rPr>
        <w:t>关于变更保险合同时的通知义务的约定：</w:t>
      </w:r>
      <w:r>
        <w:rPr>
          <w:rFonts w:hint="eastAsia" w:ascii="宋体" w:hAnsi="宋体" w:cs="宋体"/>
          <w:szCs w:val="21"/>
          <w:u w:val="single"/>
        </w:rPr>
        <w:t>执行通用条款</w:t>
      </w:r>
    </w:p>
    <w:p w14:paraId="36104FEF">
      <w:pPr>
        <w:spacing w:line="360" w:lineRule="auto"/>
        <w:ind w:firstLine="562" w:firstLineChars="200"/>
        <w:contextualSpacing/>
        <w:outlineLvl w:val="1"/>
        <w:rPr>
          <w:rFonts w:ascii="宋体" w:hAnsi="宋体" w:cs="宋体"/>
          <w:b/>
          <w:sz w:val="28"/>
          <w:szCs w:val="28"/>
        </w:rPr>
      </w:pPr>
      <w:r>
        <w:rPr>
          <w:rFonts w:hint="eastAsia" w:ascii="宋体" w:hAnsi="宋体" w:cs="宋体"/>
          <w:b/>
          <w:sz w:val="28"/>
          <w:szCs w:val="28"/>
        </w:rPr>
        <w:br w:type="page"/>
      </w:r>
      <w:r>
        <w:rPr>
          <w:rFonts w:hint="eastAsia" w:ascii="宋体" w:hAnsi="宋体" w:cs="宋体"/>
          <w:b/>
          <w:sz w:val="28"/>
          <w:szCs w:val="28"/>
        </w:rPr>
        <w:t>附件1</w:t>
      </w:r>
    </w:p>
    <w:p w14:paraId="35C0B926">
      <w:pPr>
        <w:spacing w:line="440" w:lineRule="exact"/>
        <w:contextualSpacing/>
        <w:jc w:val="center"/>
        <w:rPr>
          <w:rFonts w:ascii="宋体" w:hAnsi="宋体" w:cs="宋体"/>
          <w:b/>
          <w:bCs/>
          <w:sz w:val="32"/>
          <w:szCs w:val="32"/>
        </w:rPr>
      </w:pPr>
      <w:r>
        <w:rPr>
          <w:rFonts w:hint="eastAsia" w:ascii="宋体" w:hAnsi="宋体" w:cs="宋体"/>
          <w:b/>
          <w:bCs/>
          <w:sz w:val="32"/>
          <w:szCs w:val="32"/>
        </w:rPr>
        <w:t>建设工程施工场地管理规定</w:t>
      </w:r>
    </w:p>
    <w:p w14:paraId="06EAA19D">
      <w:pPr>
        <w:spacing w:line="360" w:lineRule="auto"/>
        <w:ind w:firstLine="420" w:firstLineChars="200"/>
        <w:contextualSpacing/>
        <w:rPr>
          <w:rFonts w:ascii="宋体" w:hAnsi="宋体" w:cs="宋体"/>
          <w:szCs w:val="21"/>
        </w:rPr>
      </w:pPr>
      <w:r>
        <w:rPr>
          <w:rFonts w:hint="eastAsia" w:ascii="宋体" w:hAnsi="宋体" w:cs="宋体"/>
          <w:szCs w:val="21"/>
        </w:rPr>
        <w:t>为了保证建设工程质量、进度达到预定目标,确保在施工中不出现质量、安全责任事故,同时能给各施工单位创造良好的文明施工环境、合作条件,经研究特制订本工程施工场地管理规定。</w:t>
      </w:r>
    </w:p>
    <w:p w14:paraId="63A940E9">
      <w:pPr>
        <w:spacing w:line="360" w:lineRule="auto"/>
        <w:ind w:firstLine="420" w:firstLineChars="200"/>
        <w:contextualSpacing/>
        <w:rPr>
          <w:rFonts w:ascii="宋体" w:hAnsi="宋体" w:cs="宋体"/>
          <w:szCs w:val="21"/>
        </w:rPr>
      </w:pPr>
      <w:r>
        <w:rPr>
          <w:rFonts w:hint="eastAsia" w:ascii="宋体" w:hAnsi="宋体" w:cs="宋体"/>
          <w:szCs w:val="21"/>
        </w:rPr>
        <w:t>一、施工场地管理要求:</w:t>
      </w:r>
    </w:p>
    <w:p w14:paraId="7E3C85FE">
      <w:pPr>
        <w:spacing w:line="360" w:lineRule="auto"/>
        <w:ind w:firstLine="420" w:firstLineChars="200"/>
        <w:contextualSpacing/>
        <w:rPr>
          <w:rFonts w:ascii="宋体" w:hAnsi="宋体" w:cs="宋体"/>
          <w:szCs w:val="21"/>
        </w:rPr>
      </w:pPr>
      <w:r>
        <w:rPr>
          <w:rFonts w:hint="eastAsia" w:ascii="宋体" w:hAnsi="宋体" w:cs="宋体"/>
          <w:szCs w:val="21"/>
        </w:rPr>
        <w:t>1、所有进场的施工单位必须建立健全项目管理机构,项目部全体人员一览表应公布上墙。</w:t>
      </w:r>
    </w:p>
    <w:p w14:paraId="5D30691E">
      <w:pPr>
        <w:spacing w:line="360" w:lineRule="auto"/>
        <w:ind w:firstLine="420" w:firstLineChars="200"/>
        <w:contextualSpacing/>
        <w:rPr>
          <w:rFonts w:ascii="宋体" w:hAnsi="宋体" w:cs="宋体"/>
          <w:szCs w:val="21"/>
        </w:rPr>
      </w:pPr>
      <w:r>
        <w:rPr>
          <w:rFonts w:hint="eastAsia" w:ascii="宋体" w:hAnsi="宋体" w:cs="宋体"/>
          <w:szCs w:val="21"/>
        </w:rPr>
        <w:t>2、各项目部应根据国家和省、市有关法律、法规、标准、规范,按照项目部的工作要求建立如下规章制度。</w:t>
      </w:r>
    </w:p>
    <w:p w14:paraId="089CE40D">
      <w:pPr>
        <w:spacing w:line="360" w:lineRule="auto"/>
        <w:ind w:firstLine="420" w:firstLineChars="200"/>
        <w:contextualSpacing/>
        <w:rPr>
          <w:rFonts w:ascii="宋体" w:hAnsi="宋体" w:cs="宋体"/>
          <w:szCs w:val="21"/>
        </w:rPr>
      </w:pPr>
      <w:r>
        <w:rPr>
          <w:rFonts w:hint="eastAsia" w:ascii="宋体" w:hAnsi="宋体" w:cs="宋体"/>
          <w:szCs w:val="21"/>
        </w:rPr>
        <w:t>(1)安全生产责任制度、安全教育制度</w:t>
      </w:r>
    </w:p>
    <w:p w14:paraId="0BCE8833">
      <w:pPr>
        <w:spacing w:line="360" w:lineRule="auto"/>
        <w:ind w:firstLine="420" w:firstLineChars="200"/>
        <w:contextualSpacing/>
        <w:rPr>
          <w:rFonts w:ascii="宋体" w:hAnsi="宋体" w:cs="宋体"/>
          <w:szCs w:val="21"/>
        </w:rPr>
      </w:pPr>
      <w:r>
        <w:rPr>
          <w:rFonts w:hint="eastAsia" w:ascii="宋体" w:hAnsi="宋体" w:cs="宋体"/>
          <w:szCs w:val="21"/>
        </w:rPr>
        <w:t>(2)质量、进度目标管理制度</w:t>
      </w:r>
    </w:p>
    <w:p w14:paraId="35C49F31">
      <w:pPr>
        <w:spacing w:line="360" w:lineRule="auto"/>
        <w:ind w:firstLine="420" w:firstLineChars="200"/>
        <w:contextualSpacing/>
        <w:rPr>
          <w:rFonts w:ascii="宋体" w:hAnsi="宋体" w:cs="宋体"/>
          <w:szCs w:val="21"/>
        </w:rPr>
      </w:pPr>
      <w:r>
        <w:rPr>
          <w:rFonts w:hint="eastAsia" w:ascii="宋体" w:hAnsi="宋体" w:cs="宋体"/>
          <w:szCs w:val="21"/>
        </w:rPr>
        <w:t>(3)文明施工及场地清洁卫生管理制度</w:t>
      </w:r>
    </w:p>
    <w:p w14:paraId="1C4B8F5F">
      <w:pPr>
        <w:spacing w:line="360" w:lineRule="auto"/>
        <w:ind w:firstLine="420" w:firstLineChars="200"/>
        <w:contextualSpacing/>
        <w:rPr>
          <w:rFonts w:ascii="宋体" w:hAnsi="宋体" w:cs="宋体"/>
          <w:szCs w:val="21"/>
        </w:rPr>
      </w:pPr>
      <w:r>
        <w:rPr>
          <w:rFonts w:hint="eastAsia" w:ascii="宋体" w:hAnsi="宋体" w:cs="宋体"/>
          <w:szCs w:val="21"/>
        </w:rPr>
        <w:t>(4)施工用电管理制度</w:t>
      </w:r>
    </w:p>
    <w:p w14:paraId="547BA52F">
      <w:pPr>
        <w:spacing w:line="360" w:lineRule="auto"/>
        <w:ind w:firstLine="420" w:firstLineChars="200"/>
        <w:contextualSpacing/>
        <w:rPr>
          <w:rFonts w:ascii="宋体" w:hAnsi="宋体" w:cs="宋体"/>
          <w:szCs w:val="21"/>
        </w:rPr>
      </w:pPr>
      <w:r>
        <w:rPr>
          <w:rFonts w:hint="eastAsia" w:ascii="宋体" w:hAnsi="宋体" w:cs="宋体"/>
          <w:szCs w:val="21"/>
        </w:rPr>
        <w:t>(5)“三宝”、“四口”“五临边”防护制度</w:t>
      </w:r>
    </w:p>
    <w:p w14:paraId="681646F3">
      <w:pPr>
        <w:spacing w:line="360" w:lineRule="auto"/>
        <w:ind w:firstLine="420" w:firstLineChars="200"/>
        <w:contextualSpacing/>
        <w:rPr>
          <w:rFonts w:ascii="宋体" w:hAnsi="宋体" w:cs="宋体"/>
          <w:szCs w:val="21"/>
        </w:rPr>
      </w:pPr>
      <w:r>
        <w:rPr>
          <w:rFonts w:hint="eastAsia" w:ascii="宋体" w:hAnsi="宋体" w:cs="宋体"/>
          <w:szCs w:val="21"/>
        </w:rPr>
        <w:t>(6)成品保护制度</w:t>
      </w:r>
    </w:p>
    <w:p w14:paraId="62F9F369">
      <w:pPr>
        <w:spacing w:line="360" w:lineRule="auto"/>
        <w:ind w:firstLine="420" w:firstLineChars="200"/>
        <w:contextualSpacing/>
        <w:rPr>
          <w:rFonts w:ascii="宋体" w:hAnsi="宋体" w:cs="宋体"/>
          <w:szCs w:val="21"/>
        </w:rPr>
      </w:pPr>
      <w:r>
        <w:rPr>
          <w:rFonts w:hint="eastAsia" w:ascii="宋体" w:hAnsi="宋体" w:cs="宋体"/>
          <w:szCs w:val="21"/>
        </w:rPr>
        <w:t>(7)动火管理制度</w:t>
      </w:r>
    </w:p>
    <w:p w14:paraId="11439D7F">
      <w:pPr>
        <w:spacing w:line="360" w:lineRule="auto"/>
        <w:ind w:firstLine="420" w:firstLineChars="200"/>
        <w:contextualSpacing/>
        <w:rPr>
          <w:rFonts w:ascii="宋体" w:hAnsi="宋体" w:cs="宋体"/>
          <w:szCs w:val="21"/>
        </w:rPr>
      </w:pPr>
      <w:r>
        <w:rPr>
          <w:rFonts w:hint="eastAsia" w:ascii="宋体" w:hAnsi="宋体" w:cs="宋体"/>
          <w:szCs w:val="21"/>
        </w:rPr>
        <w:t>(8)其它规章制度</w:t>
      </w:r>
    </w:p>
    <w:p w14:paraId="3DA55181">
      <w:pPr>
        <w:spacing w:line="360" w:lineRule="auto"/>
        <w:ind w:firstLine="420" w:firstLineChars="200"/>
        <w:contextualSpacing/>
        <w:rPr>
          <w:rFonts w:ascii="宋体" w:hAnsi="宋体" w:cs="宋体"/>
          <w:szCs w:val="21"/>
        </w:rPr>
      </w:pPr>
      <w:r>
        <w:rPr>
          <w:rFonts w:hint="eastAsia" w:ascii="宋体" w:hAnsi="宋体" w:cs="宋体"/>
          <w:szCs w:val="21"/>
        </w:rPr>
        <w:t>3、各项目部应认真执行如下规定。</w:t>
      </w:r>
    </w:p>
    <w:p w14:paraId="3CEA6E5B">
      <w:pPr>
        <w:spacing w:line="360" w:lineRule="auto"/>
        <w:ind w:firstLine="420" w:firstLineChars="200"/>
        <w:contextualSpacing/>
        <w:rPr>
          <w:rFonts w:ascii="宋体" w:hAnsi="宋体" w:cs="宋体"/>
          <w:szCs w:val="21"/>
        </w:rPr>
      </w:pPr>
      <w:r>
        <w:rPr>
          <w:rFonts w:hint="eastAsia" w:ascii="宋体" w:hAnsi="宋体" w:cs="宋体"/>
          <w:szCs w:val="21"/>
        </w:rPr>
        <w:t>(1)各施工单位的项目经理必须坚守工作岗位,遇有特殊情况需要离开施工现场必须向承包人、监理请假,经同意后才能离开。</w:t>
      </w:r>
    </w:p>
    <w:p w14:paraId="6311CAA7">
      <w:pPr>
        <w:spacing w:line="360" w:lineRule="auto"/>
        <w:ind w:firstLine="420" w:firstLineChars="200"/>
        <w:contextualSpacing/>
        <w:rPr>
          <w:rFonts w:ascii="宋体" w:hAnsi="宋体" w:cs="宋体"/>
          <w:szCs w:val="21"/>
        </w:rPr>
      </w:pPr>
      <w:r>
        <w:rPr>
          <w:rFonts w:hint="eastAsia" w:ascii="宋体" w:hAnsi="宋体" w:cs="宋体"/>
          <w:szCs w:val="21"/>
        </w:rPr>
        <w:t>(2)各项目部的质量和安全管理人员应认真履行工作职责,上述人员如有变动必须报发包人、监理同意。</w:t>
      </w:r>
    </w:p>
    <w:p w14:paraId="582E9A9D">
      <w:pPr>
        <w:spacing w:line="360" w:lineRule="auto"/>
        <w:ind w:firstLine="420" w:firstLineChars="200"/>
        <w:contextualSpacing/>
        <w:rPr>
          <w:rFonts w:ascii="宋体" w:hAnsi="宋体" w:cs="宋体"/>
          <w:szCs w:val="21"/>
        </w:rPr>
      </w:pPr>
      <w:r>
        <w:rPr>
          <w:rFonts w:hint="eastAsia" w:ascii="宋体" w:hAnsi="宋体" w:cs="宋体"/>
          <w:szCs w:val="21"/>
        </w:rPr>
        <w:t>(3)各项目部在施工前应认真编制施工方案,并上报监理、发包人审核,经审核同意后严格按方案实施,对重点部位应按要求编制专项施工方案。</w:t>
      </w:r>
    </w:p>
    <w:p w14:paraId="2CC799DE">
      <w:pPr>
        <w:spacing w:line="360" w:lineRule="auto"/>
        <w:ind w:firstLine="420" w:firstLineChars="200"/>
        <w:contextualSpacing/>
        <w:rPr>
          <w:rFonts w:ascii="宋体" w:hAnsi="宋体" w:cs="宋体"/>
          <w:szCs w:val="21"/>
        </w:rPr>
      </w:pPr>
      <w:r>
        <w:rPr>
          <w:rFonts w:hint="eastAsia" w:ascii="宋体" w:hAnsi="宋体" w:cs="宋体"/>
          <w:szCs w:val="21"/>
        </w:rPr>
        <w:t>(4)隐蔽工程应先进行自检,自检合格后报监理及发包人进行隐蔽部位验收隐蔽工程在封闭前要求各施工单位执行会签制度。未经验收、会签不得擅自封闭。</w:t>
      </w:r>
    </w:p>
    <w:p w14:paraId="0903BB23">
      <w:pPr>
        <w:spacing w:line="360" w:lineRule="auto"/>
        <w:ind w:firstLine="420" w:firstLineChars="200"/>
        <w:contextualSpacing/>
        <w:rPr>
          <w:rFonts w:ascii="宋体" w:hAnsi="宋体" w:cs="宋体"/>
          <w:szCs w:val="21"/>
        </w:rPr>
      </w:pPr>
      <w:r>
        <w:rPr>
          <w:rFonts w:hint="eastAsia" w:ascii="宋体" w:hAnsi="宋体" w:cs="宋体"/>
          <w:szCs w:val="21"/>
        </w:rPr>
        <w:t>(5)所有进场施工材料必须经监理、发包人验收合格后才能使用,材料如需复试,必须待试验合格后方可使用。同时不合格的进场材料要求立即退场,若已使用必须拆除。工程材料需及时提供样品,征得业主、监理确认同意后,按样品进行验收。</w:t>
      </w:r>
    </w:p>
    <w:p w14:paraId="67465E39">
      <w:pPr>
        <w:spacing w:line="360" w:lineRule="auto"/>
        <w:ind w:firstLine="420" w:firstLineChars="200"/>
        <w:contextualSpacing/>
        <w:rPr>
          <w:rFonts w:ascii="宋体" w:hAnsi="宋体" w:cs="宋体"/>
          <w:szCs w:val="21"/>
        </w:rPr>
      </w:pPr>
      <w:r>
        <w:rPr>
          <w:rFonts w:hint="eastAsia" w:ascii="宋体" w:hAnsi="宋体" w:cs="宋体"/>
          <w:szCs w:val="21"/>
        </w:rPr>
        <w:t>(6)加强现场安全保卫工作,所有施工单位进场人员必须佩带胸牌上岗,进入施工现场必须配戴安全帽。</w:t>
      </w:r>
    </w:p>
    <w:p w14:paraId="434AE307">
      <w:pPr>
        <w:spacing w:line="360" w:lineRule="auto"/>
        <w:ind w:firstLine="420" w:firstLineChars="200"/>
        <w:contextualSpacing/>
        <w:rPr>
          <w:rFonts w:ascii="宋体" w:hAnsi="宋体" w:cs="宋体"/>
          <w:szCs w:val="21"/>
        </w:rPr>
      </w:pPr>
      <w:r>
        <w:rPr>
          <w:rFonts w:hint="eastAsia" w:ascii="宋体" w:hAnsi="宋体" w:cs="宋体"/>
          <w:szCs w:val="21"/>
        </w:rPr>
        <w:t>(7)未施工的材料应要善保管,已施工完毕的成品必须加强保护(附件:成品地面、门窗成品保护要求),同时要求做好防火、防盗和用电安全管理等工作。</w:t>
      </w:r>
    </w:p>
    <w:p w14:paraId="3FD406F3">
      <w:pPr>
        <w:spacing w:line="360" w:lineRule="auto"/>
        <w:ind w:firstLine="420" w:firstLineChars="200"/>
        <w:contextualSpacing/>
        <w:rPr>
          <w:rFonts w:ascii="宋体" w:hAnsi="宋体" w:cs="宋体"/>
          <w:szCs w:val="21"/>
        </w:rPr>
      </w:pPr>
      <w:r>
        <w:rPr>
          <w:rFonts w:hint="eastAsia" w:ascii="宋体" w:hAnsi="宋体" w:cs="宋体"/>
          <w:szCs w:val="21"/>
        </w:rPr>
        <w:t>(8)保持施工现场环境卫生整洁。建筑垃圾、生活垃圾及时清理,按指定地点堆放。</w:t>
      </w:r>
    </w:p>
    <w:p w14:paraId="7C72EE4E">
      <w:pPr>
        <w:spacing w:line="360" w:lineRule="auto"/>
        <w:ind w:firstLine="420" w:firstLineChars="200"/>
        <w:contextualSpacing/>
        <w:rPr>
          <w:rFonts w:ascii="宋体" w:hAnsi="宋体" w:cs="宋体"/>
          <w:szCs w:val="21"/>
        </w:rPr>
      </w:pPr>
      <w:r>
        <w:rPr>
          <w:rFonts w:hint="eastAsia" w:ascii="宋体" w:hAnsi="宋体" w:cs="宋体"/>
          <w:szCs w:val="21"/>
        </w:rPr>
        <w:t>(9)施工单位必须按照图纸施工,施工中如需调整与变更应及时办理变更手续,并严格执行。</w:t>
      </w:r>
    </w:p>
    <w:p w14:paraId="1F56F39D">
      <w:pPr>
        <w:spacing w:line="360" w:lineRule="auto"/>
        <w:ind w:firstLine="420" w:firstLineChars="200"/>
        <w:contextualSpacing/>
        <w:rPr>
          <w:rFonts w:ascii="宋体" w:hAnsi="宋体" w:cs="宋体"/>
          <w:szCs w:val="21"/>
        </w:rPr>
      </w:pPr>
      <w:r>
        <w:rPr>
          <w:rFonts w:hint="eastAsia" w:ascii="宋体" w:hAnsi="宋体" w:cs="宋体"/>
          <w:szCs w:val="21"/>
        </w:rPr>
        <w:t>(10)对监理、业主发现的工程施工质量、安全问题,各施工单位应按发包人、监理意见积极整改到位。</w:t>
      </w:r>
    </w:p>
    <w:p w14:paraId="44867F20">
      <w:pPr>
        <w:spacing w:line="360" w:lineRule="auto"/>
        <w:ind w:firstLine="420" w:firstLineChars="200"/>
        <w:contextualSpacing/>
        <w:rPr>
          <w:rFonts w:ascii="宋体" w:hAnsi="宋体" w:cs="宋体"/>
          <w:szCs w:val="21"/>
        </w:rPr>
      </w:pPr>
      <w:r>
        <w:rPr>
          <w:rFonts w:hint="eastAsia" w:ascii="宋体" w:hAnsi="宋体" w:cs="宋体"/>
          <w:szCs w:val="21"/>
        </w:rPr>
        <w:t>(11)各施工单位应树立全局观念,主动积极做好协调、配合工作,不得故意刁难,相互扯皮。</w:t>
      </w:r>
    </w:p>
    <w:p w14:paraId="18DD4983">
      <w:pPr>
        <w:spacing w:line="360" w:lineRule="auto"/>
        <w:ind w:firstLine="420" w:firstLineChars="200"/>
        <w:contextualSpacing/>
        <w:rPr>
          <w:rFonts w:ascii="宋体" w:hAnsi="宋体" w:cs="宋体"/>
          <w:szCs w:val="21"/>
        </w:rPr>
      </w:pPr>
      <w:r>
        <w:rPr>
          <w:rFonts w:hint="eastAsia" w:ascii="宋体" w:hAnsi="宋体" w:cs="宋体"/>
          <w:szCs w:val="21"/>
        </w:rPr>
        <w:t>(12)各施工单位必须对照施工合同,严格履行合同承诺。</w:t>
      </w:r>
    </w:p>
    <w:p w14:paraId="66F96884">
      <w:pPr>
        <w:spacing w:line="360" w:lineRule="auto"/>
        <w:ind w:firstLine="420" w:firstLineChars="200"/>
        <w:contextualSpacing/>
        <w:rPr>
          <w:rFonts w:ascii="宋体" w:hAnsi="宋体" w:cs="宋体"/>
          <w:szCs w:val="21"/>
        </w:rPr>
      </w:pPr>
      <w:r>
        <w:rPr>
          <w:rFonts w:hint="eastAsia" w:ascii="宋体" w:hAnsi="宋体" w:cs="宋体"/>
          <w:szCs w:val="21"/>
        </w:rPr>
        <w:t>二、施工管理处罚规定:</w:t>
      </w:r>
    </w:p>
    <w:p w14:paraId="1C919F02">
      <w:pPr>
        <w:spacing w:line="360" w:lineRule="auto"/>
        <w:ind w:firstLine="420" w:firstLineChars="200"/>
        <w:contextualSpacing/>
        <w:rPr>
          <w:rFonts w:ascii="宋体" w:hAnsi="宋体" w:cs="宋体"/>
          <w:szCs w:val="21"/>
        </w:rPr>
      </w:pPr>
      <w:r>
        <w:rPr>
          <w:rFonts w:hint="eastAsia" w:ascii="宋体" w:hAnsi="宋体" w:cs="宋体"/>
          <w:szCs w:val="21"/>
        </w:rPr>
        <w:t>凡出现下列情况者给予处罚如下:</w:t>
      </w:r>
    </w:p>
    <w:p w14:paraId="40A87AB2">
      <w:pPr>
        <w:spacing w:line="360" w:lineRule="auto"/>
        <w:ind w:firstLine="420" w:firstLineChars="200"/>
        <w:contextualSpacing/>
        <w:rPr>
          <w:rFonts w:ascii="宋体" w:hAnsi="宋体" w:cs="宋体"/>
          <w:szCs w:val="21"/>
        </w:rPr>
      </w:pPr>
      <w:r>
        <w:rPr>
          <w:rFonts w:hint="eastAsia" w:ascii="宋体" w:hAnsi="宋体" w:cs="宋体"/>
          <w:szCs w:val="21"/>
        </w:rPr>
        <w:t>1、文明施工方面:</w:t>
      </w:r>
    </w:p>
    <w:p w14:paraId="5D55062C">
      <w:pPr>
        <w:spacing w:line="360" w:lineRule="auto"/>
        <w:ind w:firstLine="420" w:firstLineChars="200"/>
        <w:contextualSpacing/>
        <w:rPr>
          <w:rFonts w:ascii="宋体" w:hAnsi="宋体" w:cs="宋体"/>
          <w:szCs w:val="21"/>
        </w:rPr>
      </w:pPr>
      <w:r>
        <w:rPr>
          <w:rFonts w:hint="eastAsia" w:ascii="宋体" w:hAnsi="宋体" w:cs="宋体"/>
          <w:szCs w:val="21"/>
        </w:rPr>
        <w:t>(1)各单位人员进入现场施工必须佩戴工作卡,发现无卡人员每人次处罚50元。</w:t>
      </w:r>
    </w:p>
    <w:p w14:paraId="748D4C57">
      <w:pPr>
        <w:spacing w:line="360" w:lineRule="auto"/>
        <w:ind w:firstLine="420" w:firstLineChars="200"/>
        <w:contextualSpacing/>
        <w:rPr>
          <w:rFonts w:ascii="宋体" w:hAnsi="宋体" w:cs="宋体"/>
          <w:szCs w:val="21"/>
        </w:rPr>
      </w:pPr>
      <w:r>
        <w:rPr>
          <w:rFonts w:hint="eastAsia" w:ascii="宋体" w:hAnsi="宋体" w:cs="宋体"/>
          <w:szCs w:val="21"/>
        </w:rPr>
        <w:t>(2)施工作业人员不准穿拖鞋、高跟鞋、赤膊,发现一人次处罚50元。严禁酒后进入施工区作业,发现一人次罚款50元。严禁家眷、小孩进入施工区,每发现一人次处罚50元。</w:t>
      </w:r>
    </w:p>
    <w:p w14:paraId="41D7C2C9">
      <w:pPr>
        <w:spacing w:line="360" w:lineRule="auto"/>
        <w:ind w:firstLine="420" w:firstLineChars="200"/>
        <w:contextualSpacing/>
        <w:rPr>
          <w:rFonts w:ascii="宋体" w:hAnsi="宋体" w:cs="宋体"/>
          <w:szCs w:val="21"/>
        </w:rPr>
      </w:pPr>
      <w:r>
        <w:rPr>
          <w:rFonts w:hint="eastAsia" w:ascii="宋体" w:hAnsi="宋体" w:cs="宋体"/>
          <w:szCs w:val="21"/>
        </w:rPr>
        <w:t>(3)仓库易燃、易爆品及其它物品必须分开堆放,严禁混放,发现一处罚款200元。现场灭火器材、消防通道焊接接火斗等消防设施未设置到位,发现一处罚款20O元。仓库严禁烟火,施工现场严禁吸烟,每发现一次处罚50元。</w:t>
      </w:r>
    </w:p>
    <w:p w14:paraId="7029E654">
      <w:pPr>
        <w:spacing w:line="360" w:lineRule="auto"/>
        <w:ind w:firstLine="420" w:firstLineChars="200"/>
        <w:contextualSpacing/>
        <w:rPr>
          <w:rFonts w:ascii="宋体" w:hAnsi="宋体" w:cs="宋体"/>
          <w:szCs w:val="21"/>
        </w:rPr>
      </w:pPr>
      <w:r>
        <w:rPr>
          <w:rFonts w:hint="eastAsia" w:ascii="宋体" w:hAnsi="宋体" w:cs="宋体"/>
          <w:szCs w:val="21"/>
        </w:rPr>
        <w:t>(4)在建建筑物内除仓库保管员及保卫人员外,其余人员严禁入住,发现一次处罚200元。</w:t>
      </w:r>
    </w:p>
    <w:p w14:paraId="4670081A">
      <w:pPr>
        <w:spacing w:line="360" w:lineRule="auto"/>
        <w:ind w:firstLine="420" w:firstLineChars="200"/>
        <w:contextualSpacing/>
        <w:rPr>
          <w:rFonts w:ascii="宋体" w:hAnsi="宋体" w:cs="宋体"/>
          <w:szCs w:val="21"/>
        </w:rPr>
      </w:pPr>
      <w:r>
        <w:rPr>
          <w:rFonts w:hint="eastAsia" w:ascii="宋体" w:hAnsi="宋体" w:cs="宋体"/>
          <w:szCs w:val="21"/>
        </w:rPr>
        <w:t>(5)现场施工人员盗窃发现一次立即开除,按造成直接损失的3倍进行赔偿。情节严重者送当地公安部门处理。</w:t>
      </w:r>
    </w:p>
    <w:p w14:paraId="028D9989">
      <w:pPr>
        <w:spacing w:line="360" w:lineRule="auto"/>
        <w:ind w:firstLine="420" w:firstLineChars="200"/>
        <w:contextualSpacing/>
        <w:rPr>
          <w:rFonts w:ascii="宋体" w:hAnsi="宋体" w:cs="宋体"/>
          <w:szCs w:val="21"/>
        </w:rPr>
      </w:pPr>
      <w:r>
        <w:rPr>
          <w:rFonts w:hint="eastAsia" w:ascii="宋体" w:hAnsi="宋体" w:cs="宋体"/>
          <w:szCs w:val="21"/>
        </w:rPr>
        <w:t>(6)施工现场严禁赌博、打架斗殴,每发现一次处罚500元,情节严重者送当地公安部门处理。</w:t>
      </w:r>
    </w:p>
    <w:p w14:paraId="3D3603A8">
      <w:pPr>
        <w:spacing w:line="360" w:lineRule="auto"/>
        <w:ind w:firstLine="420" w:firstLineChars="200"/>
        <w:contextualSpacing/>
        <w:rPr>
          <w:rFonts w:ascii="宋体" w:hAnsi="宋体" w:cs="宋体"/>
          <w:szCs w:val="21"/>
        </w:rPr>
      </w:pPr>
      <w:r>
        <w:rPr>
          <w:rFonts w:hint="eastAsia" w:ascii="宋体" w:hAnsi="宋体" w:cs="宋体"/>
          <w:szCs w:val="21"/>
        </w:rPr>
        <w:t>(7)夜间施工必须有足够的照明设施,楼梯通道必须设置安全照明灯。每发现一处不合格处罚200元。</w:t>
      </w:r>
    </w:p>
    <w:p w14:paraId="30061968">
      <w:pPr>
        <w:spacing w:line="360" w:lineRule="auto"/>
        <w:ind w:firstLine="420" w:firstLineChars="200"/>
        <w:contextualSpacing/>
        <w:rPr>
          <w:rFonts w:ascii="宋体" w:hAnsi="宋体" w:cs="宋体"/>
          <w:szCs w:val="21"/>
        </w:rPr>
      </w:pPr>
      <w:r>
        <w:rPr>
          <w:rFonts w:hint="eastAsia" w:ascii="宋体" w:hAnsi="宋体" w:cs="宋体"/>
          <w:szCs w:val="21"/>
        </w:rPr>
        <w:t>(8)发现施工现场环境脏、乱、差每次处罚200元。监理通知后仍不积极整改,汇报业主派人清理,费用从相关施工单位工程款中扣除。</w:t>
      </w:r>
    </w:p>
    <w:p w14:paraId="09BBCC02">
      <w:pPr>
        <w:spacing w:line="360" w:lineRule="auto"/>
        <w:ind w:firstLine="420" w:firstLineChars="200"/>
        <w:contextualSpacing/>
        <w:rPr>
          <w:rFonts w:ascii="宋体" w:hAnsi="宋体" w:cs="宋体"/>
          <w:szCs w:val="21"/>
        </w:rPr>
      </w:pPr>
      <w:r>
        <w:rPr>
          <w:rFonts w:hint="eastAsia" w:ascii="宋体" w:hAnsi="宋体" w:cs="宋体"/>
          <w:szCs w:val="21"/>
        </w:rPr>
        <w:t>(9)建筑物内各标段应设置临时厕所，严禁随地大小便,每发现一次处罚50元。</w:t>
      </w:r>
    </w:p>
    <w:p w14:paraId="2FE11161">
      <w:pPr>
        <w:spacing w:line="360" w:lineRule="auto"/>
        <w:ind w:firstLine="420" w:firstLineChars="200"/>
        <w:contextualSpacing/>
        <w:rPr>
          <w:rFonts w:ascii="宋体" w:hAnsi="宋体" w:cs="宋体"/>
          <w:szCs w:val="21"/>
        </w:rPr>
      </w:pPr>
      <w:r>
        <w:rPr>
          <w:rFonts w:hint="eastAsia" w:ascii="宋体" w:hAnsi="宋体" w:cs="宋体"/>
          <w:szCs w:val="21"/>
        </w:rPr>
        <w:t>(10)自行车、电动车、摩托车按指定地点停放,不得进入建筑物施工现场内，每发现一辆处罚50元。</w:t>
      </w:r>
    </w:p>
    <w:p w14:paraId="2CDB8B9C">
      <w:pPr>
        <w:spacing w:line="360" w:lineRule="auto"/>
        <w:ind w:firstLine="420" w:firstLineChars="200"/>
        <w:contextualSpacing/>
        <w:rPr>
          <w:rFonts w:ascii="宋体" w:hAnsi="宋体" w:cs="宋体"/>
          <w:szCs w:val="21"/>
        </w:rPr>
      </w:pPr>
      <w:r>
        <w:rPr>
          <w:rFonts w:hint="eastAsia" w:ascii="宋体" w:hAnsi="宋体" w:cs="宋体"/>
          <w:szCs w:val="21"/>
        </w:rPr>
        <w:t>2、现场管理方面:</w:t>
      </w:r>
    </w:p>
    <w:p w14:paraId="7178089D">
      <w:pPr>
        <w:spacing w:line="360" w:lineRule="auto"/>
        <w:ind w:firstLine="420" w:firstLineChars="200"/>
        <w:contextualSpacing/>
        <w:rPr>
          <w:rFonts w:ascii="宋体" w:hAnsi="宋体" w:cs="宋体"/>
          <w:szCs w:val="21"/>
        </w:rPr>
      </w:pPr>
      <w:r>
        <w:rPr>
          <w:rFonts w:hint="eastAsia" w:ascii="宋体" w:hAnsi="宋体" w:cs="宋体"/>
          <w:szCs w:val="21"/>
        </w:rPr>
        <w:t>(I)各施工单位在施工中相互扯皮不协调配合,造成返工或浪费所产生的费用由业主、监理按实进行核算,在工程款中予以扣除。</w:t>
      </w:r>
    </w:p>
    <w:p w14:paraId="3338777E">
      <w:pPr>
        <w:spacing w:line="360" w:lineRule="auto"/>
        <w:ind w:firstLine="420" w:firstLineChars="200"/>
        <w:contextualSpacing/>
        <w:rPr>
          <w:rFonts w:ascii="宋体" w:hAnsi="宋体" w:cs="宋体"/>
          <w:szCs w:val="21"/>
        </w:rPr>
      </w:pPr>
      <w:r>
        <w:rPr>
          <w:rFonts w:hint="eastAsia" w:ascii="宋体" w:hAnsi="宋体" w:cs="宋体"/>
          <w:szCs w:val="21"/>
        </w:rPr>
        <w:t>(2)各施工单位未按业主、监理要求时间完成配合工作,造成其它施工单位工期延误,出现一次处罚1000元,为不影响总体进度,业主、监理有权另请其它单位进行施工,费用从施工单位工程款中扣除。</w:t>
      </w:r>
    </w:p>
    <w:p w14:paraId="4B34D716">
      <w:pPr>
        <w:spacing w:line="360" w:lineRule="auto"/>
        <w:ind w:firstLine="420" w:firstLineChars="200"/>
        <w:contextualSpacing/>
        <w:rPr>
          <w:rFonts w:ascii="宋体" w:hAnsi="宋体" w:cs="宋体"/>
          <w:szCs w:val="21"/>
        </w:rPr>
      </w:pPr>
      <w:r>
        <w:rPr>
          <w:rFonts w:hint="eastAsia" w:ascii="宋体" w:hAnsi="宋体" w:cs="宋体"/>
          <w:szCs w:val="21"/>
        </w:rPr>
        <w:t>(3)因施工方原因影响群众利益,造成负面影晌,导致群众堵工上访或新闻媒体曝光的,每发生一次罚款10000元。</w:t>
      </w:r>
    </w:p>
    <w:p w14:paraId="1BBB195A">
      <w:pPr>
        <w:spacing w:line="360" w:lineRule="auto"/>
        <w:ind w:firstLine="420" w:firstLineChars="200"/>
        <w:contextualSpacing/>
        <w:rPr>
          <w:rFonts w:ascii="宋体" w:hAnsi="宋体" w:cs="宋体"/>
          <w:szCs w:val="21"/>
        </w:rPr>
      </w:pPr>
      <w:r>
        <w:rPr>
          <w:rFonts w:hint="eastAsia" w:ascii="宋体" w:hAnsi="宋体" w:cs="宋体"/>
          <w:szCs w:val="21"/>
        </w:rPr>
        <w:t>(4)发现管理人员值班不在岗,每人次处罚100元。现场有人施工作业时专职安全员不在岗,每发现一次处罚100元。工序质量验收时,专职质检员不在岗,每发现一次处罚100元。特殊工种无上岗证违规操作者,每人次处罚100元。</w:t>
      </w:r>
    </w:p>
    <w:p w14:paraId="212C3EAD">
      <w:pPr>
        <w:spacing w:line="360" w:lineRule="auto"/>
        <w:ind w:firstLine="420" w:firstLineChars="200"/>
        <w:contextualSpacing/>
        <w:rPr>
          <w:rFonts w:ascii="宋体" w:hAnsi="宋体" w:cs="宋体"/>
          <w:szCs w:val="21"/>
        </w:rPr>
      </w:pPr>
      <w:r>
        <w:rPr>
          <w:rFonts w:hint="eastAsia" w:ascii="宋体" w:hAnsi="宋体" w:cs="宋体"/>
          <w:szCs w:val="21"/>
        </w:rPr>
        <w:t>(5)现场项目经理、主要负责人必须每天在现场6小时以上,召开工程例会有关人员无故缺席的,有特殊情况需提前请假。违反规定,每人次每天处罚1000元。</w:t>
      </w:r>
    </w:p>
    <w:p w14:paraId="599FD0CF">
      <w:pPr>
        <w:spacing w:line="360" w:lineRule="auto"/>
        <w:ind w:firstLine="420" w:firstLineChars="200"/>
        <w:contextualSpacing/>
        <w:rPr>
          <w:rFonts w:ascii="宋体" w:hAnsi="宋体" w:cs="宋体"/>
          <w:szCs w:val="21"/>
        </w:rPr>
      </w:pPr>
      <w:r>
        <w:rPr>
          <w:rFonts w:hint="eastAsia" w:ascii="宋体" w:hAnsi="宋体" w:cs="宋体"/>
          <w:szCs w:val="21"/>
        </w:rPr>
        <w:t>(6)施工单位需对进场材料及时报验,未经业主、监理单位验收合格擅自使用,处罚责任单位1000元。工程材料便用劣质、冒牌材料,发现一次除按合同有关条款处罚外,再处罚责任单位3000元。</w:t>
      </w:r>
    </w:p>
    <w:p w14:paraId="7B432EA0">
      <w:pPr>
        <w:spacing w:line="360" w:lineRule="auto"/>
        <w:ind w:firstLine="420" w:firstLineChars="200"/>
        <w:contextualSpacing/>
        <w:rPr>
          <w:rFonts w:ascii="宋体" w:hAnsi="宋体" w:cs="宋体"/>
          <w:szCs w:val="21"/>
        </w:rPr>
      </w:pPr>
      <w:r>
        <w:rPr>
          <w:rFonts w:hint="eastAsia" w:ascii="宋体" w:hAnsi="宋体" w:cs="宋体"/>
          <w:szCs w:val="21"/>
        </w:rPr>
        <w:t>(7)施工方如果发现现场实物与图纸内容不符,需及时上报监理、业主,严禁盲目施工,发现一次处罚责任单位2000元。</w:t>
      </w:r>
    </w:p>
    <w:p w14:paraId="189257DB">
      <w:pPr>
        <w:spacing w:line="360" w:lineRule="auto"/>
        <w:ind w:firstLine="420" w:firstLineChars="200"/>
        <w:contextualSpacing/>
        <w:rPr>
          <w:rFonts w:ascii="宋体" w:hAnsi="宋体" w:cs="宋体"/>
          <w:szCs w:val="21"/>
        </w:rPr>
      </w:pPr>
      <w:r>
        <w:rPr>
          <w:rFonts w:hint="eastAsia" w:ascii="宋体" w:hAnsi="宋体" w:cs="宋体"/>
          <w:szCs w:val="21"/>
        </w:rPr>
        <w:t>(8)各单位做好现场成品保护工作,保护好自己和他人的工程成品,一经查实损害他人成品,按实价赔偿。若发现恶意破坏他人成品现象,发现一次按造成直接损失的3倍进行赔偿。</w:t>
      </w:r>
    </w:p>
    <w:p w14:paraId="4FF84A35">
      <w:pPr>
        <w:spacing w:line="360" w:lineRule="auto"/>
        <w:ind w:firstLine="420" w:firstLineChars="200"/>
        <w:contextualSpacing/>
        <w:rPr>
          <w:rFonts w:ascii="宋体" w:hAnsi="宋体" w:cs="宋体"/>
          <w:szCs w:val="21"/>
        </w:rPr>
      </w:pPr>
      <w:r>
        <w:rPr>
          <w:rFonts w:hint="eastAsia" w:ascii="宋体" w:hAnsi="宋体" w:cs="宋体"/>
          <w:szCs w:val="21"/>
        </w:rPr>
        <w:t>(9)现场材料堆放严禁超过设计荷载值,发现一次处罚责任单位1000元。</w:t>
      </w:r>
    </w:p>
    <w:p w14:paraId="02FE644A">
      <w:pPr>
        <w:spacing w:line="360" w:lineRule="auto"/>
        <w:ind w:firstLine="420" w:firstLineChars="200"/>
        <w:contextualSpacing/>
        <w:rPr>
          <w:rFonts w:ascii="宋体" w:hAnsi="宋体" w:cs="宋体"/>
          <w:szCs w:val="21"/>
        </w:rPr>
      </w:pPr>
      <w:r>
        <w:rPr>
          <w:rFonts w:hint="eastAsia" w:ascii="宋体" w:hAnsi="宋体" w:cs="宋体"/>
          <w:szCs w:val="21"/>
        </w:rPr>
        <w:t>(10)若工程被质量监督部门、安全监督部门或其它建筑主管部门通报批评,出现一次处罚责任单位5000元。</w:t>
      </w:r>
    </w:p>
    <w:p w14:paraId="09CF6913">
      <w:pPr>
        <w:spacing w:line="360" w:lineRule="auto"/>
        <w:ind w:firstLine="420" w:firstLineChars="200"/>
        <w:contextualSpacing/>
        <w:rPr>
          <w:rFonts w:ascii="宋体" w:hAnsi="宋体" w:cs="宋体"/>
          <w:szCs w:val="21"/>
        </w:rPr>
      </w:pPr>
      <w:r>
        <w:rPr>
          <w:rFonts w:hint="eastAsia" w:ascii="宋体" w:hAnsi="宋体" w:cs="宋体"/>
          <w:szCs w:val="21"/>
        </w:rPr>
        <w:t>(11)各施工单位应积极主动配合各类检查、观摩活动,由于现场工作未做到位导致不良后果,视情节严重情况,出现一次处罚责任单位200―500元。</w:t>
      </w:r>
    </w:p>
    <w:p w14:paraId="23B41426">
      <w:pPr>
        <w:spacing w:line="360" w:lineRule="auto"/>
        <w:ind w:firstLine="420" w:firstLineChars="200"/>
        <w:contextualSpacing/>
        <w:rPr>
          <w:rFonts w:ascii="宋体" w:hAnsi="宋体" w:cs="宋体"/>
          <w:szCs w:val="21"/>
        </w:rPr>
      </w:pPr>
      <w:r>
        <w:rPr>
          <w:rFonts w:hint="eastAsia" w:ascii="宋体" w:hAnsi="宋体" w:cs="宋体"/>
          <w:szCs w:val="21"/>
        </w:rPr>
        <w:t>(12)不服从业主、监理人员管理,出现漫骂、侮辱、殴打现场业主、监理人员,发现一次处罚1000元,责任人员限期退场。</w:t>
      </w:r>
    </w:p>
    <w:p w14:paraId="2E7A752E">
      <w:pPr>
        <w:spacing w:line="360" w:lineRule="auto"/>
        <w:ind w:firstLine="420" w:firstLineChars="200"/>
        <w:contextualSpacing/>
        <w:rPr>
          <w:rFonts w:ascii="宋体" w:hAnsi="宋体" w:cs="宋体"/>
          <w:szCs w:val="21"/>
        </w:rPr>
      </w:pPr>
      <w:r>
        <w:rPr>
          <w:rFonts w:hint="eastAsia" w:ascii="宋体" w:hAnsi="宋体" w:cs="宋体"/>
          <w:szCs w:val="21"/>
        </w:rPr>
        <w:t>(13)上道工序未经业主、监理验收合格,擅自进入下道工序施工,隐蔽工程未经业主、监理检查合格擅白隐蔽,进行剥露检验,质量不符合要求,返工费用由施工单位承担,出现一次处罚1000元。</w:t>
      </w:r>
    </w:p>
    <w:p w14:paraId="25E4091F">
      <w:pPr>
        <w:spacing w:line="360" w:lineRule="auto"/>
        <w:ind w:firstLine="420" w:firstLineChars="200"/>
        <w:contextualSpacing/>
        <w:rPr>
          <w:rFonts w:ascii="宋体" w:hAnsi="宋体" w:cs="宋体"/>
          <w:szCs w:val="21"/>
        </w:rPr>
      </w:pPr>
      <w:r>
        <w:rPr>
          <w:rFonts w:hint="eastAsia" w:ascii="宋体" w:hAnsi="宋体" w:cs="宋体"/>
          <w:szCs w:val="21"/>
        </w:rPr>
        <w:t>(14)监理、业主如发现的工程施工质量、安全问题,第一次以书面形式告知并限期整改,在期限内未能及时整改到位,发现一次处罚200元,第二次告知仍不积极整改,发现一次处罚500元。</w:t>
      </w:r>
    </w:p>
    <w:p w14:paraId="7AE3EC65">
      <w:pPr>
        <w:spacing w:line="360" w:lineRule="auto"/>
        <w:ind w:firstLine="420" w:firstLineChars="200"/>
        <w:contextualSpacing/>
        <w:rPr>
          <w:rFonts w:ascii="宋体" w:hAnsi="宋体" w:cs="宋体"/>
          <w:szCs w:val="21"/>
        </w:rPr>
      </w:pPr>
      <w:r>
        <w:rPr>
          <w:rFonts w:hint="eastAsia" w:ascii="宋体" w:hAnsi="宋体" w:cs="宋体"/>
          <w:szCs w:val="21"/>
        </w:rPr>
        <w:t>(15)各施工单位在施工时,未经业主、监理同意,不得擅自停水、停电、开挖道路、阻碍交通等影响其它单位施工行为。如出现上述问题,每发现一次罚款1000元,另再追究造成的停工间接损失。</w:t>
      </w:r>
    </w:p>
    <w:p w14:paraId="1388D0A0">
      <w:pPr>
        <w:spacing w:line="360" w:lineRule="auto"/>
        <w:ind w:firstLine="420" w:firstLineChars="200"/>
        <w:contextualSpacing/>
        <w:rPr>
          <w:rFonts w:ascii="宋体" w:hAnsi="宋体" w:cs="宋体"/>
          <w:szCs w:val="21"/>
        </w:rPr>
      </w:pPr>
      <w:r>
        <w:rPr>
          <w:rFonts w:hint="eastAsia" w:ascii="宋体" w:hAnsi="宋体" w:cs="宋体"/>
          <w:szCs w:val="21"/>
        </w:rPr>
        <w:t>3、安全检查方面:</w:t>
      </w:r>
    </w:p>
    <w:p w14:paraId="18C9FF39">
      <w:pPr>
        <w:spacing w:line="360" w:lineRule="auto"/>
        <w:ind w:firstLine="420" w:firstLineChars="200"/>
        <w:contextualSpacing/>
        <w:rPr>
          <w:rFonts w:ascii="宋体" w:hAnsi="宋体" w:cs="宋体"/>
          <w:szCs w:val="21"/>
        </w:rPr>
      </w:pPr>
      <w:r>
        <w:rPr>
          <w:rFonts w:hint="eastAsia" w:ascii="宋体" w:hAnsi="宋体" w:cs="宋体"/>
          <w:szCs w:val="21"/>
        </w:rPr>
        <w:t>(1)在危险部位未设置明显的安全警示标志及防范措施,发现一处罚款50元。</w:t>
      </w:r>
    </w:p>
    <w:p w14:paraId="7A42E1F5">
      <w:pPr>
        <w:spacing w:line="360" w:lineRule="auto"/>
        <w:ind w:firstLine="420" w:firstLineChars="200"/>
        <w:contextualSpacing/>
        <w:rPr>
          <w:rFonts w:ascii="宋体" w:hAnsi="宋体" w:cs="宋体"/>
          <w:szCs w:val="21"/>
        </w:rPr>
      </w:pPr>
      <w:r>
        <w:rPr>
          <w:rFonts w:hint="eastAsia" w:ascii="宋体" w:hAnsi="宋体" w:cs="宋体"/>
          <w:szCs w:val="21"/>
        </w:rPr>
        <w:t>(2)对危险性较大的部位,施工前未编制专项施工方案或方案未经施工单位技术负责人及总监审批擅自施工,每发现一次处罚500元。</w:t>
      </w:r>
    </w:p>
    <w:p w14:paraId="28B920B0">
      <w:pPr>
        <w:spacing w:line="360" w:lineRule="auto"/>
        <w:ind w:firstLine="420" w:firstLineChars="200"/>
        <w:contextualSpacing/>
        <w:rPr>
          <w:rFonts w:ascii="宋体" w:hAnsi="宋体" w:cs="宋体"/>
          <w:szCs w:val="21"/>
        </w:rPr>
      </w:pPr>
      <w:r>
        <w:rPr>
          <w:rFonts w:hint="eastAsia" w:ascii="宋体" w:hAnsi="宋体" w:cs="宋体"/>
          <w:szCs w:val="21"/>
        </w:rPr>
        <w:t>(3)分部分项工程施工前未对施工班组、作业人员进行安全技术交底,发现一次处罚200元。</w:t>
      </w:r>
    </w:p>
    <w:p w14:paraId="66E75C90">
      <w:pPr>
        <w:spacing w:line="360" w:lineRule="auto"/>
        <w:ind w:firstLine="420" w:firstLineChars="200"/>
        <w:contextualSpacing/>
        <w:rPr>
          <w:rFonts w:ascii="宋体" w:hAnsi="宋体" w:cs="宋体"/>
          <w:szCs w:val="21"/>
        </w:rPr>
      </w:pPr>
      <w:r>
        <w:rPr>
          <w:rFonts w:hint="eastAsia" w:ascii="宋体" w:hAnsi="宋体" w:cs="宋体"/>
          <w:szCs w:val="21"/>
        </w:rPr>
        <w:t>(4)施工负责人对工地现场安全未执行定期检查制度或检查无记录,发现一次处罚200元。</w:t>
      </w:r>
    </w:p>
    <w:p w14:paraId="4D502688">
      <w:pPr>
        <w:spacing w:line="360" w:lineRule="auto"/>
        <w:ind w:firstLine="420" w:firstLineChars="200"/>
        <w:contextualSpacing/>
        <w:rPr>
          <w:rFonts w:ascii="宋体" w:hAnsi="宋体" w:cs="宋体"/>
          <w:szCs w:val="21"/>
        </w:rPr>
      </w:pPr>
      <w:r>
        <w:rPr>
          <w:rFonts w:hint="eastAsia" w:ascii="宋体" w:hAnsi="宋体" w:cs="宋体"/>
          <w:szCs w:val="21"/>
        </w:rPr>
        <w:t>(5)无安全教育制度，新进场人员未进行三级安全教育，发现一次处罚100元。</w:t>
      </w:r>
    </w:p>
    <w:p w14:paraId="39861E80">
      <w:pPr>
        <w:spacing w:line="360" w:lineRule="auto"/>
        <w:ind w:firstLine="420" w:firstLineChars="200"/>
        <w:contextualSpacing/>
        <w:rPr>
          <w:rFonts w:ascii="宋体" w:hAnsi="宋体" w:cs="宋体"/>
          <w:szCs w:val="21"/>
        </w:rPr>
      </w:pPr>
      <w:r>
        <w:rPr>
          <w:rFonts w:hint="eastAsia" w:ascii="宋体" w:hAnsi="宋体" w:cs="宋体"/>
          <w:szCs w:val="21"/>
        </w:rPr>
        <w:t>(6)发现违章操作、野蛮施工或强令冒险作业,每发现一次处罚500元。</w:t>
      </w:r>
    </w:p>
    <w:p w14:paraId="64383EE8">
      <w:pPr>
        <w:spacing w:line="360" w:lineRule="auto"/>
        <w:ind w:firstLine="420" w:firstLineChars="200"/>
        <w:contextualSpacing/>
        <w:rPr>
          <w:rFonts w:ascii="宋体" w:hAnsi="宋体" w:cs="宋体"/>
          <w:szCs w:val="21"/>
        </w:rPr>
      </w:pPr>
      <w:r>
        <w:rPr>
          <w:rFonts w:hint="eastAsia" w:ascii="宋体" w:hAnsi="宋体" w:cs="宋体"/>
          <w:szCs w:val="21"/>
        </w:rPr>
        <w:t>(7)严禁高空向下抛物、倾倒垃圾,每发现一次处罚200—500元，若造成人员伤害及财产损失,由当事人承担相关责任。</w:t>
      </w:r>
    </w:p>
    <w:p w14:paraId="05D94CD0">
      <w:pPr>
        <w:spacing w:line="360" w:lineRule="auto"/>
        <w:ind w:firstLine="420" w:firstLineChars="200"/>
        <w:contextualSpacing/>
        <w:rPr>
          <w:rFonts w:ascii="宋体" w:hAnsi="宋体" w:cs="宋体"/>
          <w:szCs w:val="21"/>
        </w:rPr>
      </w:pPr>
      <w:r>
        <w:rPr>
          <w:rFonts w:hint="eastAsia" w:ascii="宋体" w:hAnsi="宋体" w:cs="宋体"/>
          <w:szCs w:val="21"/>
        </w:rPr>
        <w:t>(8)“三宝”使用不当，口”“五临边”防护不到位，每发现一次处罚100元(其中不戴安全帽,发现一人次处罚50元)。</w:t>
      </w:r>
    </w:p>
    <w:p w14:paraId="413624E4">
      <w:pPr>
        <w:spacing w:line="360" w:lineRule="auto"/>
        <w:ind w:firstLine="420" w:firstLineChars="200"/>
        <w:contextualSpacing/>
        <w:rPr>
          <w:rFonts w:ascii="宋体" w:hAnsi="宋体" w:cs="宋体"/>
          <w:szCs w:val="21"/>
        </w:rPr>
      </w:pPr>
      <w:r>
        <w:rPr>
          <w:rFonts w:hint="eastAsia" w:ascii="宋体" w:hAnsi="宋体" w:cs="宋体"/>
          <w:szCs w:val="21"/>
        </w:rPr>
        <w:t>(9)如发现违反用电安全情况时每次处罚100元。由于安全用电措施不落实、用电不规范导致不良后果,除按相关规定追究责任外,视情节轻重罚款200—2000元。</w:t>
      </w:r>
    </w:p>
    <w:p w14:paraId="3E96138B">
      <w:pPr>
        <w:spacing w:line="360" w:lineRule="auto"/>
        <w:ind w:firstLine="420" w:firstLineChars="200"/>
        <w:contextualSpacing/>
        <w:rPr>
          <w:rFonts w:ascii="宋体" w:hAnsi="宋体" w:cs="宋体"/>
          <w:szCs w:val="21"/>
        </w:rPr>
      </w:pPr>
      <w:r>
        <w:rPr>
          <w:rFonts w:hint="eastAsia" w:ascii="宋体" w:hAnsi="宋体" w:cs="宋体"/>
          <w:szCs w:val="21"/>
        </w:rPr>
        <w:t>(10)脚手架搭设必须进行设计计算，编制搭拆方案，满足规范要求。严禁施工荷载超过规定要求。每发现一处不合格处罚500元。</w:t>
      </w:r>
    </w:p>
    <w:p w14:paraId="72ACB05A">
      <w:pPr>
        <w:spacing w:line="360" w:lineRule="auto"/>
        <w:ind w:firstLine="420" w:firstLineChars="200"/>
        <w:contextualSpacing/>
        <w:rPr>
          <w:rFonts w:ascii="宋体" w:hAnsi="宋体" w:cs="宋体"/>
          <w:szCs w:val="21"/>
        </w:rPr>
      </w:pPr>
      <w:r>
        <w:rPr>
          <w:rFonts w:hint="eastAsia" w:ascii="宋体" w:hAnsi="宋体" w:cs="宋体"/>
          <w:szCs w:val="21"/>
        </w:rPr>
        <w:t>(11)电梯应指定专人进行操作,严禁电梯超荷载运行,按规定做好交接班。违反电梯使用规定,每发现一处不合格处罚200—500元。谁损坏谁赔偿。</w:t>
      </w:r>
    </w:p>
    <w:p w14:paraId="331238C1">
      <w:pPr>
        <w:spacing w:line="360" w:lineRule="auto"/>
        <w:ind w:firstLine="420" w:firstLineChars="200"/>
        <w:contextualSpacing/>
        <w:rPr>
          <w:rFonts w:ascii="宋体" w:hAnsi="宋体" w:cs="宋体"/>
          <w:szCs w:val="21"/>
        </w:rPr>
      </w:pPr>
      <w:r>
        <w:rPr>
          <w:rFonts w:hint="eastAsia" w:ascii="宋体" w:hAnsi="宋体" w:cs="宋体"/>
          <w:szCs w:val="21"/>
        </w:rPr>
        <w:t>(12)由于焊接火花、明火、吸烟、电火花等造成施工现场失火事件，除追究当事人责任外,再视情节轻重罚款500—2000元，并按造成直接损失进行赔偿。</w:t>
      </w:r>
    </w:p>
    <w:p w14:paraId="08F445F2">
      <w:pPr>
        <w:spacing w:line="360" w:lineRule="auto"/>
        <w:ind w:firstLine="420" w:firstLineChars="200"/>
        <w:contextualSpacing/>
        <w:rPr>
          <w:rFonts w:ascii="宋体" w:hAnsi="宋体" w:cs="宋体"/>
          <w:szCs w:val="21"/>
        </w:rPr>
      </w:pPr>
      <w:r>
        <w:rPr>
          <w:rFonts w:hint="eastAsia" w:ascii="宋体" w:hAnsi="宋体" w:cs="宋体"/>
          <w:szCs w:val="21"/>
        </w:rPr>
        <w:t>(13)因违反其它安全规定造成不良后果，由违反单位及责任者承担全部责任。</w:t>
      </w:r>
    </w:p>
    <w:p w14:paraId="3EE18931">
      <w:pPr>
        <w:spacing w:line="360" w:lineRule="auto"/>
        <w:ind w:firstLine="420" w:firstLineChars="200"/>
        <w:contextualSpacing/>
        <w:rPr>
          <w:rFonts w:ascii="宋体" w:hAnsi="宋体" w:cs="宋体"/>
          <w:szCs w:val="21"/>
        </w:rPr>
      </w:pPr>
      <w:r>
        <w:rPr>
          <w:rFonts w:hint="eastAsia" w:ascii="宋体" w:hAnsi="宋体" w:cs="宋体"/>
          <w:szCs w:val="21"/>
        </w:rPr>
        <w:t>由业主、监理在日常工作中进行监督检查，同时业主、监理不定期组织施工单位检查，一经发现上述情况由业主、监理按规定进行处罚,所有罚款在施工单位履约保证金或工程款中扣除。(本规定自公布之日起执行)</w:t>
      </w:r>
    </w:p>
    <w:p w14:paraId="5E81A6B8">
      <w:pPr>
        <w:spacing w:line="360" w:lineRule="auto"/>
        <w:ind w:firstLine="420" w:firstLineChars="200"/>
        <w:contextualSpacing/>
        <w:rPr>
          <w:rFonts w:ascii="宋体" w:hAnsi="宋体" w:cs="宋体"/>
          <w:szCs w:val="21"/>
        </w:rPr>
      </w:pPr>
      <w:r>
        <w:rPr>
          <w:rFonts w:hint="eastAsia" w:ascii="宋体" w:hAnsi="宋体" w:cs="宋体"/>
          <w:szCs w:val="21"/>
        </w:rPr>
        <w:t>附件：</w:t>
      </w:r>
    </w:p>
    <w:p w14:paraId="2001CD14">
      <w:pPr>
        <w:spacing w:line="360" w:lineRule="auto"/>
        <w:ind w:firstLine="420" w:firstLineChars="200"/>
        <w:contextualSpacing/>
        <w:rPr>
          <w:rFonts w:ascii="宋体" w:hAnsi="宋体" w:cs="宋体"/>
          <w:szCs w:val="21"/>
        </w:rPr>
      </w:pPr>
      <w:r>
        <w:rPr>
          <w:rFonts w:hint="eastAsia" w:ascii="宋体" w:hAnsi="宋体" w:cs="宋体"/>
          <w:szCs w:val="21"/>
        </w:rPr>
        <w:t>成品地面、门窗成品保护要求：</w:t>
      </w:r>
    </w:p>
    <w:p w14:paraId="5256B36D">
      <w:pPr>
        <w:spacing w:line="360" w:lineRule="auto"/>
        <w:ind w:firstLine="420" w:firstLineChars="200"/>
        <w:contextualSpacing/>
        <w:rPr>
          <w:rFonts w:ascii="宋体" w:hAnsi="宋体" w:cs="宋体"/>
          <w:szCs w:val="21"/>
        </w:rPr>
      </w:pPr>
      <w:r>
        <w:rPr>
          <w:rFonts w:hint="eastAsia" w:ascii="宋体" w:hAnsi="宋体" w:cs="宋体"/>
          <w:szCs w:val="21"/>
        </w:rPr>
        <w:t>要求地面开槽、凿洞须经业主、监理同意方可施工。</w:t>
      </w:r>
    </w:p>
    <w:p w14:paraId="2AB28FD8">
      <w:pPr>
        <w:spacing w:line="360" w:lineRule="auto"/>
        <w:ind w:firstLine="420" w:firstLineChars="200"/>
        <w:contextualSpacing/>
        <w:rPr>
          <w:rFonts w:ascii="宋体" w:hAnsi="宋体" w:cs="宋体"/>
          <w:szCs w:val="21"/>
        </w:rPr>
      </w:pPr>
      <w:r>
        <w:rPr>
          <w:rFonts w:hint="eastAsia" w:ascii="宋体" w:hAnsi="宋体" w:cs="宋体"/>
          <w:szCs w:val="21"/>
        </w:rPr>
        <w:t>成品地面必须有覆盖物保护措施。</w:t>
      </w:r>
    </w:p>
    <w:p w14:paraId="7753064E">
      <w:pPr>
        <w:spacing w:line="360" w:lineRule="auto"/>
        <w:ind w:firstLine="420" w:firstLineChars="200"/>
        <w:contextualSpacing/>
        <w:rPr>
          <w:rFonts w:ascii="宋体" w:hAnsi="宋体" w:cs="宋体"/>
          <w:szCs w:val="21"/>
        </w:rPr>
      </w:pPr>
      <w:r>
        <w:rPr>
          <w:rFonts w:hint="eastAsia" w:ascii="宋体" w:hAnsi="宋体" w:cs="宋体"/>
          <w:szCs w:val="21"/>
        </w:rPr>
        <w:t>在成品地面上不允许进行切割、焊接、绞丝等施工作业。</w:t>
      </w:r>
    </w:p>
    <w:p w14:paraId="15140951">
      <w:pPr>
        <w:spacing w:line="360" w:lineRule="auto"/>
        <w:ind w:firstLine="420" w:firstLineChars="200"/>
        <w:contextualSpacing/>
        <w:rPr>
          <w:rFonts w:ascii="宋体" w:hAnsi="宋体" w:cs="宋体"/>
          <w:szCs w:val="21"/>
        </w:rPr>
      </w:pPr>
      <w:r>
        <w:rPr>
          <w:rFonts w:hint="eastAsia" w:ascii="宋体" w:hAnsi="宋体" w:cs="宋体"/>
          <w:szCs w:val="21"/>
        </w:rPr>
        <w:t>铁梯、脚手架等必须包护脚。</w:t>
      </w:r>
    </w:p>
    <w:p w14:paraId="77C5276A">
      <w:pPr>
        <w:spacing w:line="360" w:lineRule="auto"/>
        <w:ind w:firstLine="420" w:firstLineChars="200"/>
        <w:contextualSpacing/>
        <w:rPr>
          <w:rFonts w:ascii="宋体" w:hAnsi="宋体" w:cs="宋体"/>
          <w:szCs w:val="21"/>
        </w:rPr>
      </w:pPr>
      <w:r>
        <w:rPr>
          <w:rFonts w:hint="eastAsia" w:ascii="宋体" w:hAnsi="宋体" w:cs="宋体"/>
          <w:szCs w:val="21"/>
        </w:rPr>
        <w:t>地面防止被油污浸入污染。</w:t>
      </w:r>
    </w:p>
    <w:p w14:paraId="5D7A812D">
      <w:pPr>
        <w:spacing w:line="360" w:lineRule="auto"/>
        <w:ind w:firstLine="420" w:firstLineChars="200"/>
        <w:contextualSpacing/>
        <w:rPr>
          <w:rFonts w:ascii="宋体" w:hAnsi="宋体" w:cs="宋体"/>
          <w:szCs w:val="21"/>
        </w:rPr>
      </w:pPr>
      <w:r>
        <w:rPr>
          <w:rFonts w:hint="eastAsia" w:ascii="宋体" w:hAnsi="宋体" w:cs="宋体"/>
          <w:szCs w:val="21"/>
        </w:rPr>
        <w:t>地面、门窗不准硬物、重物撞击及利物损伤，造成损坏或变形。</w:t>
      </w:r>
    </w:p>
    <w:p w14:paraId="331BA247">
      <w:pPr>
        <w:spacing w:line="360" w:lineRule="auto"/>
        <w:ind w:firstLine="420" w:firstLineChars="200"/>
        <w:contextualSpacing/>
        <w:rPr>
          <w:rFonts w:ascii="宋体" w:hAnsi="宋体" w:cs="宋体"/>
          <w:szCs w:val="21"/>
        </w:rPr>
      </w:pPr>
      <w:r>
        <w:rPr>
          <w:rFonts w:hint="eastAsia" w:ascii="宋体" w:hAnsi="宋体" w:cs="宋体"/>
          <w:szCs w:val="21"/>
        </w:rPr>
        <w:t>窗框上不允许搁置重物。</w:t>
      </w:r>
    </w:p>
    <w:p w14:paraId="4CD3BF79">
      <w:pPr>
        <w:spacing w:line="360" w:lineRule="auto"/>
        <w:ind w:firstLine="420" w:firstLineChars="200"/>
        <w:contextualSpacing/>
        <w:rPr>
          <w:rFonts w:ascii="宋体" w:hAnsi="宋体" w:cs="宋体"/>
          <w:szCs w:val="21"/>
        </w:rPr>
      </w:pPr>
      <w:r>
        <w:rPr>
          <w:rFonts w:hint="eastAsia" w:ascii="宋体" w:hAnsi="宋体" w:cs="宋体"/>
          <w:szCs w:val="21"/>
        </w:rPr>
        <w:t>幕墙及窗框防止被污染，必须有保护措施。</w:t>
      </w:r>
    </w:p>
    <w:p w14:paraId="6D69493A">
      <w:pPr>
        <w:spacing w:line="360" w:lineRule="auto"/>
        <w:ind w:firstLine="420" w:firstLineChars="200"/>
        <w:contextualSpacing/>
        <w:rPr>
          <w:rFonts w:ascii="宋体" w:hAnsi="宋体" w:cs="宋体"/>
          <w:szCs w:val="21"/>
        </w:rPr>
      </w:pPr>
      <w:r>
        <w:rPr>
          <w:rFonts w:hint="eastAsia" w:ascii="宋体" w:hAnsi="宋体" w:cs="宋体"/>
          <w:szCs w:val="21"/>
        </w:rPr>
        <w:t>玻璃及易碎品防止损坏。</w:t>
      </w:r>
    </w:p>
    <w:p w14:paraId="74E378C7">
      <w:pPr>
        <w:spacing w:line="360" w:lineRule="auto"/>
        <w:ind w:firstLine="420" w:firstLineChars="200"/>
        <w:contextualSpacing/>
        <w:rPr>
          <w:rFonts w:ascii="宋体" w:hAnsi="宋体" w:cs="宋体"/>
          <w:szCs w:val="21"/>
        </w:rPr>
      </w:pPr>
      <w:r>
        <w:rPr>
          <w:rFonts w:hint="eastAsia" w:ascii="宋体" w:hAnsi="宋体" w:cs="宋体"/>
          <w:szCs w:val="21"/>
        </w:rPr>
        <w:t>防止玻璃被火花烧伤。</w:t>
      </w:r>
    </w:p>
    <w:p w14:paraId="62C3C162">
      <w:pPr>
        <w:spacing w:line="360" w:lineRule="auto"/>
        <w:ind w:firstLine="420" w:firstLineChars="200"/>
        <w:contextualSpacing/>
        <w:rPr>
          <w:rFonts w:ascii="宋体" w:hAnsi="宋体" w:cs="宋体"/>
          <w:sz w:val="24"/>
        </w:rPr>
      </w:pPr>
      <w:r>
        <w:rPr>
          <w:rFonts w:hint="eastAsia" w:ascii="宋体" w:hAnsi="宋体" w:cs="宋体"/>
          <w:szCs w:val="21"/>
        </w:rPr>
        <w:t>地面、门窗成品保护不到位，执行《施工场地管理规定》2、（8）条。</w:t>
      </w:r>
    </w:p>
    <w:p w14:paraId="560A95FA">
      <w:pPr>
        <w:spacing w:line="360" w:lineRule="auto"/>
        <w:ind w:firstLine="482" w:firstLineChars="200"/>
        <w:contextualSpacing/>
        <w:jc w:val="center"/>
        <w:rPr>
          <w:rFonts w:ascii="宋体" w:hAnsi="宋体" w:cs="宋体"/>
          <w:b/>
          <w:sz w:val="24"/>
        </w:rPr>
      </w:pPr>
    </w:p>
    <w:p w14:paraId="44442962">
      <w:pPr>
        <w:spacing w:line="360" w:lineRule="auto"/>
        <w:ind w:firstLine="482" w:firstLineChars="200"/>
        <w:contextualSpacing/>
        <w:outlineLvl w:val="1"/>
        <w:rPr>
          <w:rFonts w:ascii="宋体" w:hAnsi="宋体" w:cs="宋体"/>
          <w:b/>
          <w:sz w:val="28"/>
          <w:szCs w:val="28"/>
        </w:rPr>
      </w:pPr>
      <w:r>
        <w:rPr>
          <w:rFonts w:hint="eastAsia" w:ascii="宋体" w:hAnsi="宋体" w:cs="宋体"/>
          <w:b/>
          <w:sz w:val="24"/>
        </w:rPr>
        <w:br w:type="page"/>
      </w:r>
      <w:r>
        <w:rPr>
          <w:rFonts w:hint="eastAsia" w:ascii="宋体" w:hAnsi="宋体" w:cs="宋体"/>
          <w:b/>
          <w:sz w:val="28"/>
          <w:szCs w:val="28"/>
        </w:rPr>
        <w:t>附件2</w:t>
      </w:r>
    </w:p>
    <w:p w14:paraId="62D1F560">
      <w:pPr>
        <w:spacing w:line="440" w:lineRule="exact"/>
        <w:contextualSpacing/>
        <w:jc w:val="center"/>
        <w:rPr>
          <w:rFonts w:ascii="宋体" w:hAnsi="宋体" w:cs="宋体"/>
          <w:b/>
          <w:bCs/>
          <w:sz w:val="32"/>
          <w:szCs w:val="32"/>
        </w:rPr>
      </w:pPr>
      <w:r>
        <w:rPr>
          <w:rFonts w:hint="eastAsia" w:ascii="宋体" w:hAnsi="宋体" w:cs="宋体"/>
          <w:b/>
          <w:bCs/>
          <w:sz w:val="32"/>
          <w:szCs w:val="32"/>
        </w:rPr>
        <w:t>建设工程安全文明施工管理办法</w:t>
      </w:r>
    </w:p>
    <w:p w14:paraId="0A7A222E">
      <w:pPr>
        <w:spacing w:line="360" w:lineRule="auto"/>
        <w:ind w:firstLine="420" w:firstLineChars="200"/>
        <w:contextualSpacing/>
        <w:rPr>
          <w:rFonts w:ascii="宋体" w:hAnsi="宋体" w:cs="宋体"/>
          <w:szCs w:val="21"/>
        </w:rPr>
      </w:pPr>
      <w:r>
        <w:rPr>
          <w:rFonts w:hint="eastAsia" w:ascii="宋体" w:hAnsi="宋体" w:cs="宋体"/>
          <w:szCs w:val="21"/>
        </w:rPr>
        <w:t>第一章总则</w:t>
      </w:r>
    </w:p>
    <w:p w14:paraId="36EE5F1D">
      <w:pPr>
        <w:spacing w:line="360" w:lineRule="auto"/>
        <w:ind w:firstLine="420" w:firstLineChars="200"/>
        <w:contextualSpacing/>
        <w:rPr>
          <w:rFonts w:ascii="宋体" w:hAnsi="宋体" w:cs="宋体"/>
          <w:szCs w:val="21"/>
        </w:rPr>
      </w:pPr>
      <w:r>
        <w:rPr>
          <w:rFonts w:hint="eastAsia" w:ascii="宋体" w:hAnsi="宋体" w:cs="宋体"/>
          <w:szCs w:val="21"/>
        </w:rPr>
        <w:t>第一条为了切实加强医院基本建设安全文明施工管理,根据建设部有关安全文明施工的规定,结合我院实际,制定本管理办法。</w:t>
      </w:r>
    </w:p>
    <w:p w14:paraId="7D16C970">
      <w:pPr>
        <w:spacing w:line="360" w:lineRule="auto"/>
        <w:ind w:firstLine="420" w:firstLineChars="200"/>
        <w:contextualSpacing/>
        <w:rPr>
          <w:rFonts w:ascii="宋体" w:hAnsi="宋体" w:cs="宋体"/>
          <w:szCs w:val="21"/>
        </w:rPr>
      </w:pPr>
      <w:r>
        <w:rPr>
          <w:rFonts w:hint="eastAsia" w:ascii="宋体" w:hAnsi="宋体" w:cs="宋体"/>
          <w:szCs w:val="21"/>
        </w:rPr>
        <w:t>第二条凡在院区范围内从事有基建办负责管理的基本建设、改扩建及维修工程的施工单位,必须遵守本办法。</w:t>
      </w:r>
    </w:p>
    <w:p w14:paraId="1C1C6092">
      <w:pPr>
        <w:spacing w:line="360" w:lineRule="auto"/>
        <w:ind w:firstLine="420" w:firstLineChars="200"/>
        <w:contextualSpacing/>
        <w:rPr>
          <w:rFonts w:ascii="宋体" w:hAnsi="宋体" w:cs="宋体"/>
          <w:szCs w:val="21"/>
        </w:rPr>
      </w:pPr>
      <w:r>
        <w:rPr>
          <w:rFonts w:hint="eastAsia" w:ascii="宋体" w:hAnsi="宋体" w:cs="宋体"/>
          <w:szCs w:val="21"/>
        </w:rPr>
        <w:t>第三条施工单位、监理单位是安全文明施工的责任主体,对其施工、监理范围内工程的安全文明施工负责。基建办有关管理人员负协助管理责任。</w:t>
      </w:r>
    </w:p>
    <w:p w14:paraId="223A9916">
      <w:pPr>
        <w:spacing w:line="360" w:lineRule="auto"/>
        <w:ind w:firstLine="420" w:firstLineChars="200"/>
        <w:contextualSpacing/>
        <w:rPr>
          <w:rFonts w:ascii="宋体" w:hAnsi="宋体" w:cs="宋体"/>
          <w:szCs w:val="21"/>
        </w:rPr>
      </w:pPr>
      <w:r>
        <w:rPr>
          <w:rFonts w:hint="eastAsia" w:ascii="宋体" w:hAnsi="宋体" w:cs="宋体"/>
          <w:szCs w:val="21"/>
        </w:rPr>
        <w:t>第四条施工单位、监理单位及基建办指派的现场管理人员要对安全文明施工采取切实可行的措施,严格按照建设部有关安全文明施工的规定组织施工,防止安全事故和不文明行为的发生。具体条款参照建设部最新规定相关条款执行。</w:t>
      </w:r>
    </w:p>
    <w:p w14:paraId="389A27B2">
      <w:pPr>
        <w:spacing w:line="360" w:lineRule="auto"/>
        <w:ind w:firstLine="420" w:firstLineChars="200"/>
        <w:contextualSpacing/>
        <w:rPr>
          <w:rFonts w:ascii="宋体" w:hAnsi="宋体" w:cs="宋体"/>
          <w:szCs w:val="21"/>
        </w:rPr>
      </w:pPr>
      <w:r>
        <w:rPr>
          <w:rFonts w:hint="eastAsia" w:ascii="宋体" w:hAnsi="宋体" w:cs="宋体"/>
          <w:szCs w:val="21"/>
        </w:rPr>
        <w:t>第二章施工现场安全文明管理</w:t>
      </w:r>
    </w:p>
    <w:p w14:paraId="0FB319AC">
      <w:pPr>
        <w:spacing w:line="360" w:lineRule="auto"/>
        <w:ind w:firstLine="420" w:firstLineChars="200"/>
        <w:contextualSpacing/>
        <w:rPr>
          <w:rFonts w:ascii="宋体" w:hAnsi="宋体" w:cs="宋体"/>
          <w:szCs w:val="21"/>
        </w:rPr>
      </w:pPr>
      <w:r>
        <w:rPr>
          <w:rFonts w:hint="eastAsia" w:ascii="宋体" w:hAnsi="宋体" w:cs="宋体"/>
          <w:szCs w:val="21"/>
        </w:rPr>
        <w:t>第五条施工场地四周围墙设置高度应不低于1.8米,在主要路段工地施工的围墙设置应不低于2.5米。围墙须沿工地四周连续设置,并建有门楼和值班室。围墙及门楼材料要坚固,做到稳定、整洁、美观。</w:t>
      </w:r>
    </w:p>
    <w:p w14:paraId="41B51A6A">
      <w:pPr>
        <w:spacing w:line="360" w:lineRule="auto"/>
        <w:ind w:firstLine="420" w:firstLineChars="200"/>
        <w:contextualSpacing/>
        <w:rPr>
          <w:rFonts w:ascii="宋体" w:hAnsi="宋体" w:cs="宋体"/>
          <w:szCs w:val="21"/>
        </w:rPr>
      </w:pPr>
      <w:r>
        <w:rPr>
          <w:rFonts w:hint="eastAsia" w:ascii="宋体" w:hAnsi="宋体" w:cs="宋体"/>
          <w:szCs w:val="21"/>
        </w:rPr>
        <w:t>第六条施工门楼前必须设置企业标志,新建或改扩建项目平面布置图、效果图,以及工程概况、组织管理网络、文明施工管理、安全生产牌。十项安全技术措施，消防须知牌等各种现场管理制度。</w:t>
      </w:r>
    </w:p>
    <w:p w14:paraId="3DAF91F4">
      <w:pPr>
        <w:spacing w:line="360" w:lineRule="auto"/>
        <w:ind w:firstLine="420" w:firstLineChars="200"/>
        <w:contextualSpacing/>
        <w:rPr>
          <w:rFonts w:ascii="宋体" w:hAnsi="宋体" w:cs="宋体"/>
          <w:szCs w:val="21"/>
        </w:rPr>
      </w:pPr>
      <w:r>
        <w:rPr>
          <w:rFonts w:hint="eastAsia" w:ascii="宋体" w:hAnsi="宋体" w:cs="宋体"/>
          <w:szCs w:val="21"/>
        </w:rPr>
        <w:t>第七条施工现场必须配备责任心强的值班人员,实行封闭式管理。施工作业人员和工作人员进出施工现场必须佩戴工作卡,非现场工作人员未经批准不得擅自进入施工现场。</w:t>
      </w:r>
    </w:p>
    <w:p w14:paraId="2B36402E">
      <w:pPr>
        <w:spacing w:line="360" w:lineRule="auto"/>
        <w:ind w:firstLine="420" w:firstLineChars="200"/>
        <w:contextualSpacing/>
        <w:rPr>
          <w:rFonts w:ascii="宋体" w:hAnsi="宋体" w:cs="宋体"/>
          <w:szCs w:val="21"/>
        </w:rPr>
      </w:pPr>
      <w:r>
        <w:rPr>
          <w:rFonts w:hint="eastAsia" w:ascii="宋体" w:hAnsi="宋体" w:cs="宋体"/>
          <w:szCs w:val="21"/>
        </w:rPr>
        <w:t>第八条现场施工人员及其工作人员必须佩戴安全帽。同时现场应配备一定数量的安全帽,以便供外来参观和检查人员使用。</w:t>
      </w:r>
    </w:p>
    <w:p w14:paraId="412C6422">
      <w:pPr>
        <w:spacing w:line="360" w:lineRule="auto"/>
        <w:ind w:firstLine="420" w:firstLineChars="200"/>
        <w:contextualSpacing/>
        <w:rPr>
          <w:rFonts w:ascii="宋体" w:hAnsi="宋体" w:cs="宋体"/>
          <w:szCs w:val="21"/>
        </w:rPr>
      </w:pPr>
      <w:r>
        <w:rPr>
          <w:rFonts w:hint="eastAsia" w:ascii="宋体" w:hAnsi="宋体" w:cs="宋体"/>
          <w:szCs w:val="21"/>
        </w:rPr>
        <w:t>第九条主要出入口和通道口应设置有顶盖的安全防护,临近道路和其它建筑物的外墙立面或有其它要求的外墙立面应采取封闭施工。</w:t>
      </w:r>
    </w:p>
    <w:p w14:paraId="20F6D0E2">
      <w:pPr>
        <w:spacing w:line="360" w:lineRule="auto"/>
        <w:ind w:firstLine="420" w:firstLineChars="200"/>
        <w:contextualSpacing/>
        <w:rPr>
          <w:rFonts w:ascii="宋体" w:hAnsi="宋体" w:cs="宋体"/>
          <w:szCs w:val="21"/>
        </w:rPr>
      </w:pPr>
      <w:r>
        <w:rPr>
          <w:rFonts w:hint="eastAsia" w:ascii="宋体" w:hAnsi="宋体" w:cs="宋体"/>
          <w:szCs w:val="21"/>
        </w:rPr>
        <w:t>第十条现场施工必须严格遵守国家有关安全文明施工的规定和规范要求，严禁违规操作。</w:t>
      </w:r>
    </w:p>
    <w:p w14:paraId="4E3FA514">
      <w:pPr>
        <w:spacing w:line="360" w:lineRule="auto"/>
        <w:ind w:firstLine="420" w:firstLineChars="200"/>
        <w:contextualSpacing/>
        <w:rPr>
          <w:rFonts w:ascii="宋体" w:hAnsi="宋体" w:cs="宋体"/>
          <w:szCs w:val="21"/>
        </w:rPr>
      </w:pPr>
      <w:r>
        <w:rPr>
          <w:rFonts w:hint="eastAsia" w:ascii="宋体" w:hAnsi="宋体" w:cs="宋体"/>
          <w:szCs w:val="21"/>
        </w:rPr>
        <w:t>第十一条加强现场成品保护和周边环境保护。施工单位是施工现场成品的安全责任主体,要派专人看守,基建办应予以协助。施工单位的施工人员在施工过程中不得破坏和损坏周边环境。包括道路和树木。</w:t>
      </w:r>
    </w:p>
    <w:p w14:paraId="6F8336C5">
      <w:pPr>
        <w:spacing w:line="360" w:lineRule="auto"/>
        <w:ind w:firstLine="420" w:firstLineChars="200"/>
        <w:contextualSpacing/>
        <w:rPr>
          <w:rFonts w:ascii="宋体" w:hAnsi="宋体" w:cs="宋体"/>
          <w:szCs w:val="21"/>
        </w:rPr>
      </w:pPr>
      <w:r>
        <w:rPr>
          <w:rFonts w:hint="eastAsia" w:ascii="宋体" w:hAnsi="宋体" w:cs="宋体"/>
          <w:szCs w:val="21"/>
        </w:rPr>
        <w:t>第十二条施工现场道路和材料堆放场地必须硬化,排水通畅,保证施工现场无积水。</w:t>
      </w:r>
    </w:p>
    <w:p w14:paraId="5CE13EAD">
      <w:pPr>
        <w:spacing w:line="360" w:lineRule="auto"/>
        <w:ind w:firstLine="420" w:firstLineChars="200"/>
        <w:contextualSpacing/>
        <w:rPr>
          <w:rFonts w:ascii="宋体" w:hAnsi="宋体" w:cs="宋体"/>
          <w:szCs w:val="21"/>
        </w:rPr>
      </w:pPr>
      <w:r>
        <w:rPr>
          <w:rFonts w:hint="eastAsia" w:ascii="宋体" w:hAnsi="宋体" w:cs="宋体"/>
          <w:szCs w:val="21"/>
        </w:rPr>
        <w:t>第十三条施工材料、机具及设备应按平面布置图合理摆放在施工现场内,不得混合堆放,且标识正确、清楚。易燃易爆及危险品要严格按规定分类入库管理。无论是施工材料还是施工用机具与设备,均不得随意摆放在场外。</w:t>
      </w:r>
    </w:p>
    <w:p w14:paraId="3078EE3D">
      <w:pPr>
        <w:spacing w:line="360" w:lineRule="auto"/>
        <w:ind w:firstLine="420" w:firstLineChars="200"/>
        <w:contextualSpacing/>
        <w:rPr>
          <w:rFonts w:ascii="宋体" w:hAnsi="宋体" w:cs="宋体"/>
          <w:szCs w:val="21"/>
        </w:rPr>
      </w:pPr>
      <w:r>
        <w:rPr>
          <w:rFonts w:hint="eastAsia" w:ascii="宋体" w:hAnsi="宋体" w:cs="宋体"/>
          <w:szCs w:val="21"/>
        </w:rPr>
        <w:t>第十四条对于单体建筑工程的施工现场,其道路必须畅通无阻,现场出入口处道路必须设置车辆冲洗槽、沉淀池,配备冲洗设备。出入车辆必须冲洗干净,保证车辆不带泥土上路。对于难以保证车辆不带泥土上路的工程,施工单位在施工过程中要派专人及时清扫路面,保持路面整洁、干净。</w:t>
      </w:r>
    </w:p>
    <w:p w14:paraId="07F9A717">
      <w:pPr>
        <w:spacing w:line="360" w:lineRule="auto"/>
        <w:ind w:firstLine="420" w:firstLineChars="200"/>
        <w:contextualSpacing/>
        <w:rPr>
          <w:rFonts w:ascii="宋体" w:hAnsi="宋体" w:cs="宋体"/>
          <w:szCs w:val="21"/>
        </w:rPr>
      </w:pPr>
      <w:r>
        <w:rPr>
          <w:rFonts w:hint="eastAsia" w:ascii="宋体" w:hAnsi="宋体" w:cs="宋体"/>
          <w:szCs w:val="21"/>
        </w:rPr>
        <w:t>第十五条施工现场的建筑废料和垃圾要及时清理外运,做到工完料尽场清。严格按要求运至基建办指定地点。严禁未经批准随处乱倒建筑废料和垃圾。</w:t>
      </w:r>
    </w:p>
    <w:p w14:paraId="70B49675">
      <w:pPr>
        <w:spacing w:line="360" w:lineRule="auto"/>
        <w:ind w:firstLine="420" w:firstLineChars="200"/>
        <w:contextualSpacing/>
        <w:rPr>
          <w:rFonts w:ascii="宋体" w:hAnsi="宋体" w:cs="宋体"/>
          <w:szCs w:val="21"/>
        </w:rPr>
      </w:pPr>
      <w:r>
        <w:rPr>
          <w:rFonts w:hint="eastAsia" w:ascii="宋体" w:hAnsi="宋体" w:cs="宋体"/>
          <w:szCs w:val="21"/>
        </w:rPr>
        <w:t>第十六条生活区必须与施工作业区分开。正在施工的工程不得用作施工单位职工宿舍、项目部办公室。生活临时用房要按基建办指定地点新建,工程完工后应将其场地清理干净。</w:t>
      </w:r>
    </w:p>
    <w:p w14:paraId="26F28DBC">
      <w:pPr>
        <w:spacing w:line="360" w:lineRule="auto"/>
        <w:ind w:firstLine="420" w:firstLineChars="200"/>
        <w:contextualSpacing/>
        <w:rPr>
          <w:rFonts w:ascii="宋体" w:hAnsi="宋体" w:cs="宋体"/>
          <w:szCs w:val="21"/>
        </w:rPr>
      </w:pPr>
      <w:r>
        <w:rPr>
          <w:rFonts w:hint="eastAsia" w:ascii="宋体" w:hAnsi="宋体" w:cs="宋体"/>
          <w:szCs w:val="21"/>
        </w:rPr>
        <w:t>第十七条施工现场要采取防粉尘、防噪音、防灯光措施,严禁在施工现场焚烧有毒有害物质,一般不得在晚上6点至次日凌晨6点时段内施工，中午避让病人休息时间。特殊情况须经基建办领导批准后，向环保部门办理夜间施工相关手续。</w:t>
      </w:r>
    </w:p>
    <w:p w14:paraId="33EFC3F5">
      <w:pPr>
        <w:spacing w:line="360" w:lineRule="auto"/>
        <w:ind w:firstLine="420" w:firstLineChars="200"/>
        <w:contextualSpacing/>
        <w:rPr>
          <w:rFonts w:ascii="宋体" w:hAnsi="宋体" w:cs="宋体"/>
          <w:szCs w:val="21"/>
        </w:rPr>
      </w:pPr>
      <w:r>
        <w:rPr>
          <w:rFonts w:hint="eastAsia" w:ascii="宋体" w:hAnsi="宋体" w:cs="宋体"/>
          <w:szCs w:val="21"/>
        </w:rPr>
        <w:t>第十八条施工现场应制定防火制度,落实防火责任人。施工单位要认真贯彻“以防为主,防消结合”的方针。现场要配足必备的灭火器材,提供充足的消防水源,并建有临时休息室,严禁作业人员乱扔烟头。</w:t>
      </w:r>
    </w:p>
    <w:p w14:paraId="37509199">
      <w:pPr>
        <w:spacing w:line="360" w:lineRule="auto"/>
        <w:ind w:firstLine="420" w:firstLineChars="200"/>
        <w:contextualSpacing/>
        <w:rPr>
          <w:rFonts w:ascii="宋体" w:hAnsi="宋体" w:cs="宋体"/>
          <w:szCs w:val="21"/>
        </w:rPr>
      </w:pPr>
      <w:r>
        <w:rPr>
          <w:rFonts w:hint="eastAsia" w:ascii="宋体" w:hAnsi="宋体" w:cs="宋体"/>
          <w:szCs w:val="21"/>
        </w:rPr>
        <w:t>第十九条施工现场应设置自冲式男、女厕所,严禁作业人员随地大小便。</w:t>
      </w:r>
    </w:p>
    <w:p w14:paraId="46DA39BE">
      <w:pPr>
        <w:spacing w:line="360" w:lineRule="auto"/>
        <w:ind w:firstLine="420" w:firstLineChars="200"/>
        <w:contextualSpacing/>
        <w:rPr>
          <w:rFonts w:ascii="宋体" w:hAnsi="宋体" w:cs="宋体"/>
          <w:szCs w:val="21"/>
        </w:rPr>
      </w:pPr>
      <w:r>
        <w:rPr>
          <w:rFonts w:hint="eastAsia" w:ascii="宋体" w:hAnsi="宋体" w:cs="宋体"/>
          <w:szCs w:val="21"/>
        </w:rPr>
        <w:t>第三章安全文明综合治理</w:t>
      </w:r>
    </w:p>
    <w:p w14:paraId="3215240E">
      <w:pPr>
        <w:spacing w:line="360" w:lineRule="auto"/>
        <w:ind w:firstLine="420" w:firstLineChars="200"/>
        <w:contextualSpacing/>
        <w:rPr>
          <w:rFonts w:ascii="宋体" w:hAnsi="宋体" w:cs="宋体"/>
          <w:szCs w:val="21"/>
        </w:rPr>
      </w:pPr>
      <w:r>
        <w:rPr>
          <w:rFonts w:hint="eastAsia" w:ascii="宋体" w:hAnsi="宋体" w:cs="宋体"/>
          <w:szCs w:val="21"/>
        </w:rPr>
        <w:t>第二十条施工单位的所有人员必须遵守国家的法律法规。各施工单位应定期对其职工加强安全文明教育和遵纪守法教育。</w:t>
      </w:r>
    </w:p>
    <w:p w14:paraId="4A2CC4D6">
      <w:pPr>
        <w:spacing w:line="360" w:lineRule="auto"/>
        <w:ind w:firstLine="420" w:firstLineChars="200"/>
        <w:contextualSpacing/>
        <w:rPr>
          <w:rFonts w:ascii="宋体" w:hAnsi="宋体" w:cs="宋体"/>
          <w:szCs w:val="21"/>
        </w:rPr>
      </w:pPr>
      <w:r>
        <w:rPr>
          <w:rFonts w:hint="eastAsia" w:ascii="宋体" w:hAnsi="宋体" w:cs="宋体"/>
          <w:szCs w:val="21"/>
        </w:rPr>
        <w:t>第二十一条施工单位应建立安全文明管理制度,采取切实可行的安全保卫和文明管理措施,落实责任人,坚决杜绝不安全和不文明行为的发生,严禁打架斗殴、赌博、行窃等违法违纪行为。</w:t>
      </w:r>
    </w:p>
    <w:p w14:paraId="780D8542">
      <w:pPr>
        <w:spacing w:line="360" w:lineRule="auto"/>
        <w:ind w:firstLine="420" w:firstLineChars="200"/>
        <w:contextualSpacing/>
        <w:rPr>
          <w:rFonts w:ascii="宋体" w:hAnsi="宋体" w:cs="宋体"/>
          <w:szCs w:val="21"/>
        </w:rPr>
      </w:pPr>
      <w:r>
        <w:rPr>
          <w:rFonts w:hint="eastAsia" w:ascii="宋体" w:hAnsi="宋体" w:cs="宋体"/>
          <w:szCs w:val="21"/>
        </w:rPr>
        <w:t>第二十二条加强施工人员生活区管理。生活区的食堂、厕所与垃圾箱应保持一定的距离。生活区与现场作业区相邻时,场内须设置带盖的垃圾桶。生活垃圾与建筑垃圾应分开堆放和处置。</w:t>
      </w:r>
    </w:p>
    <w:p w14:paraId="57126EB6">
      <w:pPr>
        <w:spacing w:line="360" w:lineRule="auto"/>
        <w:ind w:firstLine="420" w:firstLineChars="200"/>
        <w:contextualSpacing/>
        <w:rPr>
          <w:rFonts w:ascii="宋体" w:hAnsi="宋体" w:cs="宋体"/>
          <w:szCs w:val="21"/>
        </w:rPr>
      </w:pPr>
      <w:r>
        <w:rPr>
          <w:rFonts w:hint="eastAsia" w:ascii="宋体" w:hAnsi="宋体" w:cs="宋体"/>
          <w:szCs w:val="21"/>
        </w:rPr>
        <w:t>第二十三条加强施工人员宿舍内用电管理，宿舍内严禁使用大功率电器。</w:t>
      </w:r>
    </w:p>
    <w:p w14:paraId="7D8EFB8B">
      <w:pPr>
        <w:spacing w:line="360" w:lineRule="auto"/>
        <w:ind w:firstLine="420" w:firstLineChars="200"/>
        <w:contextualSpacing/>
        <w:rPr>
          <w:rFonts w:ascii="宋体" w:hAnsi="宋体" w:cs="宋体"/>
          <w:szCs w:val="21"/>
        </w:rPr>
      </w:pPr>
      <w:r>
        <w:rPr>
          <w:rFonts w:hint="eastAsia" w:ascii="宋体" w:hAnsi="宋体" w:cs="宋体"/>
          <w:szCs w:val="21"/>
        </w:rPr>
        <w:t>第二十四条施工单位所有车辆不得在院区内高速行驶和鸣号,所有建筑材料运输车辆不得在院区路道路上行驶,因施工需要,须经基建办领导批准。</w:t>
      </w:r>
    </w:p>
    <w:p w14:paraId="6D8503C9">
      <w:pPr>
        <w:spacing w:line="360" w:lineRule="auto"/>
        <w:ind w:firstLine="420" w:firstLineChars="200"/>
        <w:contextualSpacing/>
        <w:rPr>
          <w:rFonts w:ascii="宋体" w:hAnsi="宋体" w:cs="宋体"/>
          <w:szCs w:val="21"/>
        </w:rPr>
      </w:pPr>
      <w:r>
        <w:rPr>
          <w:rFonts w:hint="eastAsia" w:ascii="宋体" w:hAnsi="宋体" w:cs="宋体"/>
          <w:szCs w:val="21"/>
        </w:rPr>
        <w:t>第四章处罚措施</w:t>
      </w:r>
    </w:p>
    <w:p w14:paraId="620141F2">
      <w:pPr>
        <w:spacing w:line="360" w:lineRule="auto"/>
        <w:ind w:firstLine="420" w:firstLineChars="200"/>
        <w:contextualSpacing/>
        <w:rPr>
          <w:rFonts w:ascii="宋体" w:hAnsi="宋体" w:cs="宋体"/>
          <w:szCs w:val="21"/>
        </w:rPr>
      </w:pPr>
      <w:r>
        <w:rPr>
          <w:rFonts w:hint="eastAsia" w:ascii="宋体" w:hAnsi="宋体" w:cs="宋体"/>
          <w:szCs w:val="21"/>
        </w:rPr>
        <w:t>第二十五条监理单位和基建办指派现场的管理人员要加强施工现场安全文明施工的管理和监督,对施工单位违反本办法的规定和不安全、不文明的行为应提出处理处罚建议,经基建办主管领导批准执行。</w:t>
      </w:r>
    </w:p>
    <w:p w14:paraId="5F75D294">
      <w:pPr>
        <w:spacing w:line="360" w:lineRule="auto"/>
        <w:ind w:firstLine="420" w:firstLineChars="200"/>
        <w:contextualSpacing/>
        <w:rPr>
          <w:rFonts w:ascii="宋体" w:hAnsi="宋体" w:cs="宋体"/>
          <w:szCs w:val="21"/>
        </w:rPr>
      </w:pPr>
      <w:r>
        <w:rPr>
          <w:rFonts w:hint="eastAsia" w:ascii="宋体" w:hAnsi="宋体" w:cs="宋体"/>
          <w:szCs w:val="21"/>
        </w:rPr>
        <w:t>第二十六条对于任何处理处罚决定,基建办应出据处理处罚通知书。通知书一式五份,施工单位、处办公室、现场管理人员、监理公司、基建办主管领导各一份。对于经济处罚决定,其处理处罚通知书应另加一份送校基建财务科,由校基建财务科从被处罚单位工程款项中扣减其处罚款。</w:t>
      </w:r>
    </w:p>
    <w:p w14:paraId="364054E6">
      <w:pPr>
        <w:spacing w:line="360" w:lineRule="auto"/>
        <w:ind w:firstLine="420" w:firstLineChars="200"/>
        <w:contextualSpacing/>
        <w:rPr>
          <w:rFonts w:ascii="宋体" w:hAnsi="宋体" w:cs="宋体"/>
          <w:szCs w:val="21"/>
        </w:rPr>
      </w:pPr>
      <w:r>
        <w:rPr>
          <w:rFonts w:hint="eastAsia" w:ascii="宋体" w:hAnsi="宋体" w:cs="宋体"/>
          <w:szCs w:val="21"/>
        </w:rPr>
        <w:t>第二十七条有下列行为之一者,应给予告诫整改、责令停工整顿、罚款等处理处罚。情节严重者送交司法机关,追究刑事责任。</w:t>
      </w:r>
    </w:p>
    <w:p w14:paraId="1165388B">
      <w:pPr>
        <w:spacing w:line="360" w:lineRule="auto"/>
        <w:ind w:firstLine="420" w:firstLineChars="200"/>
        <w:contextualSpacing/>
        <w:rPr>
          <w:rFonts w:ascii="宋体" w:hAnsi="宋体" w:cs="宋体"/>
          <w:szCs w:val="21"/>
        </w:rPr>
      </w:pPr>
      <w:r>
        <w:rPr>
          <w:rFonts w:hint="eastAsia" w:ascii="宋体" w:hAnsi="宋体" w:cs="宋体"/>
          <w:szCs w:val="21"/>
        </w:rPr>
        <w:t>(一)施工现场围墙及安全保护设施不符合本管理办法规定的规范要求,进行告诫整改或责令停工整顿,必要时应进行经济处罚。</w:t>
      </w:r>
    </w:p>
    <w:p w14:paraId="5A12D01E">
      <w:pPr>
        <w:spacing w:line="360" w:lineRule="auto"/>
        <w:ind w:firstLine="420" w:firstLineChars="200"/>
        <w:contextualSpacing/>
        <w:rPr>
          <w:rFonts w:ascii="宋体" w:hAnsi="宋体" w:cs="宋体"/>
          <w:szCs w:val="21"/>
        </w:rPr>
      </w:pPr>
      <w:r>
        <w:rPr>
          <w:rFonts w:hint="eastAsia" w:ascii="宋体" w:hAnsi="宋体" w:cs="宋体"/>
          <w:szCs w:val="21"/>
        </w:rPr>
        <w:t>(二)现场施工人员违反施工管理规定和施工操作规范,在告诫整改不听的情况下,处以100—500元的罚款。</w:t>
      </w:r>
    </w:p>
    <w:p w14:paraId="5E44DED7">
      <w:pPr>
        <w:spacing w:line="360" w:lineRule="auto"/>
        <w:ind w:firstLine="420" w:firstLineChars="200"/>
        <w:contextualSpacing/>
        <w:rPr>
          <w:rFonts w:ascii="宋体" w:hAnsi="宋体" w:cs="宋体"/>
          <w:szCs w:val="21"/>
        </w:rPr>
      </w:pPr>
      <w:r>
        <w:rPr>
          <w:rFonts w:hint="eastAsia" w:ascii="宋体" w:hAnsi="宋体" w:cs="宋体"/>
          <w:szCs w:val="21"/>
        </w:rPr>
        <w:t>(三)施工人员在施工过程中破坏或损坏周边环境、应保护成品,除赔偿损失外,处以200—600元的罚款。</w:t>
      </w:r>
    </w:p>
    <w:p w14:paraId="4395F8F9">
      <w:pPr>
        <w:spacing w:line="360" w:lineRule="auto"/>
        <w:ind w:firstLine="420" w:firstLineChars="200"/>
        <w:contextualSpacing/>
        <w:rPr>
          <w:rFonts w:ascii="宋体" w:hAnsi="宋体" w:cs="宋体"/>
          <w:szCs w:val="21"/>
        </w:rPr>
      </w:pPr>
      <w:r>
        <w:rPr>
          <w:rFonts w:hint="eastAsia" w:ascii="宋体" w:hAnsi="宋体" w:cs="宋体"/>
          <w:szCs w:val="21"/>
        </w:rPr>
        <w:t>(四)施工车辆未经清洗上路行驶,污染路面而未及时清扫干净,除接受城管部门处罚外，来院再处以1000—5000元的罚款。</w:t>
      </w:r>
    </w:p>
    <w:p w14:paraId="25E0B24A">
      <w:pPr>
        <w:spacing w:line="360" w:lineRule="auto"/>
        <w:ind w:firstLine="420" w:firstLineChars="200"/>
        <w:contextualSpacing/>
        <w:rPr>
          <w:rFonts w:ascii="宋体" w:hAnsi="宋体" w:cs="宋体"/>
          <w:szCs w:val="21"/>
        </w:rPr>
      </w:pPr>
      <w:r>
        <w:rPr>
          <w:rFonts w:hint="eastAsia" w:ascii="宋体" w:hAnsi="宋体" w:cs="宋体"/>
          <w:szCs w:val="21"/>
        </w:rPr>
        <w:t>(五)施工单位对职工管理不严,出现打架斗殴、盗窃、赌博等违纪违法行为,轻则告诫整改和进行经济处罚,发现一起可处以500—1000元的罚款。重则移交司法机关追究刑事责任。</w:t>
      </w:r>
    </w:p>
    <w:p w14:paraId="0405D5B8">
      <w:pPr>
        <w:spacing w:line="360" w:lineRule="auto"/>
        <w:ind w:firstLine="420" w:firstLineChars="200"/>
        <w:contextualSpacing/>
        <w:rPr>
          <w:rFonts w:ascii="宋体" w:hAnsi="宋体" w:cs="宋体"/>
          <w:szCs w:val="21"/>
        </w:rPr>
      </w:pPr>
      <w:r>
        <w:rPr>
          <w:rFonts w:hint="eastAsia" w:ascii="宋体" w:hAnsi="宋体" w:cs="宋体"/>
          <w:szCs w:val="21"/>
        </w:rPr>
        <w:t>(六)未经批准,其建筑材料运输车辆和施工车辆擅自进入院区道路行驶,处以500—1000元的罚款。</w:t>
      </w:r>
    </w:p>
    <w:p w14:paraId="0235AEFE">
      <w:pPr>
        <w:spacing w:line="360" w:lineRule="auto"/>
        <w:ind w:firstLine="420" w:firstLineChars="200"/>
        <w:contextualSpacing/>
        <w:rPr>
          <w:rFonts w:ascii="宋体" w:hAnsi="宋体" w:cs="宋体"/>
          <w:szCs w:val="21"/>
        </w:rPr>
      </w:pPr>
      <w:r>
        <w:rPr>
          <w:rFonts w:hint="eastAsia" w:ascii="宋体" w:hAnsi="宋体" w:cs="宋体"/>
          <w:szCs w:val="21"/>
        </w:rPr>
        <w:t>(七)违反本办法的其它规定,经教育不改者,可处以200—1000元的罚款。</w:t>
      </w:r>
    </w:p>
    <w:p w14:paraId="0E4D2EB5">
      <w:pPr>
        <w:pStyle w:val="10"/>
        <w:tabs>
          <w:tab w:val="left" w:pos="0"/>
          <w:tab w:val="left" w:pos="993"/>
          <w:tab w:val="left" w:pos="1134"/>
        </w:tabs>
        <w:spacing w:line="360" w:lineRule="auto"/>
        <w:ind w:left="0" w:leftChars="0" w:firstLine="420" w:firstLineChars="200"/>
        <w:jc w:val="left"/>
        <w:rPr>
          <w:rFonts w:hAnsi="宋体" w:cs="仿宋"/>
          <w:snapToGrid w:val="0"/>
          <w:szCs w:val="21"/>
        </w:rPr>
      </w:pPr>
    </w:p>
    <w:p w14:paraId="4CC3343B">
      <w:pPr>
        <w:tabs>
          <w:tab w:val="left" w:pos="0"/>
          <w:tab w:val="left" w:pos="993"/>
          <w:tab w:val="left" w:pos="1134"/>
        </w:tabs>
        <w:spacing w:line="360" w:lineRule="auto"/>
        <w:rPr>
          <w:rFonts w:eastAsia="黑体"/>
          <w:b/>
          <w:snapToGrid w:val="0"/>
          <w:sz w:val="32"/>
        </w:rPr>
      </w:pPr>
    </w:p>
    <w:p w14:paraId="6773D86A">
      <w:pPr>
        <w:tabs>
          <w:tab w:val="left" w:pos="0"/>
          <w:tab w:val="left" w:pos="993"/>
          <w:tab w:val="left" w:pos="1134"/>
        </w:tabs>
        <w:spacing w:line="360" w:lineRule="auto"/>
        <w:rPr>
          <w:rFonts w:eastAsia="黑体"/>
          <w:b/>
          <w:snapToGrid w:val="0"/>
          <w:sz w:val="32"/>
        </w:rPr>
      </w:pPr>
    </w:p>
    <w:p w14:paraId="5F9895B8">
      <w:pPr>
        <w:tabs>
          <w:tab w:val="left" w:pos="0"/>
          <w:tab w:val="left" w:pos="993"/>
          <w:tab w:val="left" w:pos="1134"/>
        </w:tabs>
        <w:spacing w:line="360" w:lineRule="auto"/>
        <w:rPr>
          <w:rFonts w:eastAsia="黑体"/>
          <w:b/>
          <w:snapToGrid w:val="0"/>
          <w:sz w:val="32"/>
        </w:rPr>
      </w:pPr>
    </w:p>
    <w:p w14:paraId="66C2828A">
      <w:pPr>
        <w:rPr>
          <w:rFonts w:ascii="宋体" w:hAnsi="宋体" w:cs="宋体"/>
          <w:b/>
          <w:bCs/>
          <w:sz w:val="32"/>
          <w:szCs w:val="32"/>
        </w:rPr>
      </w:pPr>
      <w:r>
        <w:rPr>
          <w:rFonts w:hint="eastAsia" w:ascii="宋体" w:hAnsi="宋体" w:cs="宋体"/>
          <w:b/>
          <w:bCs/>
          <w:sz w:val="32"/>
          <w:szCs w:val="32"/>
        </w:rPr>
        <w:br w:type="page"/>
      </w:r>
    </w:p>
    <w:p w14:paraId="467D6BF7">
      <w:pPr>
        <w:tabs>
          <w:tab w:val="left" w:pos="0"/>
          <w:tab w:val="left" w:pos="993"/>
          <w:tab w:val="left" w:pos="1134"/>
        </w:tabs>
        <w:spacing w:line="360" w:lineRule="auto"/>
        <w:ind w:firstLine="643" w:firstLineChars="200"/>
        <w:jc w:val="center"/>
        <w:outlineLvl w:val="1"/>
        <w:rPr>
          <w:rFonts w:ascii="宋体" w:hAnsi="宋体" w:cs="宋体"/>
          <w:b/>
          <w:bCs/>
          <w:sz w:val="32"/>
          <w:szCs w:val="32"/>
        </w:rPr>
      </w:pPr>
      <w:r>
        <w:rPr>
          <w:rFonts w:hint="eastAsia" w:ascii="宋体" w:hAnsi="宋体" w:cs="宋体"/>
          <w:b/>
          <w:bCs/>
          <w:sz w:val="32"/>
          <w:szCs w:val="32"/>
        </w:rPr>
        <w:t>工程质量保修书</w:t>
      </w:r>
    </w:p>
    <w:p w14:paraId="1811B4B4">
      <w:pPr>
        <w:pStyle w:val="58"/>
        <w:adjustRightInd/>
        <w:spacing w:before="0" w:after="0" w:line="360" w:lineRule="auto"/>
        <w:ind w:left="0" w:right="0" w:firstLine="420" w:firstLineChars="200"/>
        <w:contextualSpacing/>
        <w:rPr>
          <w:rFonts w:ascii="宋体" w:hAnsi="宋体" w:cs="宋体"/>
          <w:b/>
          <w:sz w:val="21"/>
          <w:szCs w:val="21"/>
        </w:rPr>
      </w:pPr>
      <w:r>
        <w:rPr>
          <w:rFonts w:hint="eastAsia" w:ascii="宋体" w:hAnsi="宋体" w:cs="宋体"/>
          <w:sz w:val="21"/>
          <w:szCs w:val="21"/>
        </w:rPr>
        <w:t>发包人：</w:t>
      </w:r>
      <w:r>
        <w:rPr>
          <w:rFonts w:hint="eastAsia" w:ascii="宋体" w:hAnsi="宋体" w:cs="宋体"/>
          <w:b/>
          <w:sz w:val="21"/>
          <w:szCs w:val="21"/>
        </w:rPr>
        <w:t>扬州大学附属医院</w:t>
      </w:r>
    </w:p>
    <w:p w14:paraId="4DDC777F">
      <w:pPr>
        <w:pStyle w:val="58"/>
        <w:adjustRightInd/>
        <w:spacing w:before="0" w:after="0" w:line="360" w:lineRule="auto"/>
        <w:ind w:left="0" w:right="0" w:firstLine="420" w:firstLineChars="200"/>
        <w:contextualSpacing/>
        <w:rPr>
          <w:rFonts w:ascii="宋体" w:hAnsi="宋体" w:cs="宋体"/>
          <w:b/>
          <w:sz w:val="21"/>
          <w:szCs w:val="21"/>
        </w:rPr>
      </w:pPr>
      <w:r>
        <w:rPr>
          <w:rFonts w:hint="eastAsia" w:ascii="宋体" w:hAnsi="宋体" w:cs="宋体"/>
          <w:sz w:val="21"/>
          <w:szCs w:val="21"/>
        </w:rPr>
        <w:t>承包人：</w:t>
      </w:r>
      <w:r>
        <w:rPr>
          <w:rFonts w:hint="eastAsia" w:ascii="宋体" w:hAnsi="宋体" w:cs="宋体"/>
          <w:b/>
          <w:sz w:val="21"/>
          <w:szCs w:val="21"/>
        </w:rPr>
        <w:t xml:space="preserve"> </w:t>
      </w:r>
    </w:p>
    <w:p w14:paraId="5E9110E3">
      <w:pPr>
        <w:spacing w:line="360" w:lineRule="auto"/>
        <w:ind w:firstLine="420" w:firstLineChars="200"/>
        <w:contextualSpacing/>
        <w:rPr>
          <w:rFonts w:ascii="宋体" w:hAnsi="宋体" w:cs="宋体"/>
          <w:b/>
          <w:bCs/>
          <w:snapToGrid w:val="0"/>
          <w:szCs w:val="21"/>
        </w:rPr>
      </w:pPr>
      <w:r>
        <w:rPr>
          <w:rFonts w:hint="eastAsia" w:ascii="宋体" w:hAnsi="宋体" w:cs="宋体"/>
          <w:szCs w:val="21"/>
        </w:rPr>
        <w:t>发包人承包人双方根据《中华人民共和国建筑法》、《建设工程质量管理条例》和《房屋建筑工程质量保修办法》，经协商一致，对</w:t>
      </w:r>
      <w:r>
        <w:rPr>
          <w:rFonts w:hint="eastAsia" w:ascii="宋体" w:hAnsi="宋体" w:cs="宋体"/>
          <w:b/>
          <w:bCs/>
          <w:szCs w:val="21"/>
          <w:u w:val="single"/>
        </w:rPr>
        <w:t xml:space="preserve">                           </w:t>
      </w:r>
      <w:r>
        <w:rPr>
          <w:rFonts w:hint="eastAsia" w:ascii="宋体" w:hAnsi="宋体" w:cs="宋体"/>
          <w:bCs/>
          <w:snapToGrid w:val="0"/>
          <w:szCs w:val="21"/>
        </w:rPr>
        <w:t>项目</w:t>
      </w:r>
      <w:r>
        <w:rPr>
          <w:rFonts w:hint="eastAsia" w:ascii="宋体" w:hAnsi="宋体" w:cs="宋体"/>
          <w:szCs w:val="21"/>
        </w:rPr>
        <w:t>签订工程质量保修书。</w:t>
      </w:r>
    </w:p>
    <w:p w14:paraId="18921EE9">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一、工程质量保修范围和内容</w:t>
      </w:r>
    </w:p>
    <w:p w14:paraId="5C3580DE">
      <w:pPr>
        <w:pStyle w:val="22"/>
        <w:spacing w:before="0" w:beforeAutospacing="0" w:after="0" w:afterAutospacing="0" w:line="360" w:lineRule="auto"/>
        <w:ind w:firstLine="420" w:firstLineChars="200"/>
        <w:contextualSpacing/>
        <w:rPr>
          <w:rFonts w:ascii="宋体" w:hAnsi="宋体" w:cs="宋体"/>
          <w:b/>
          <w:sz w:val="21"/>
          <w:szCs w:val="21"/>
          <w:u w:val="single"/>
        </w:rPr>
      </w:pPr>
      <w:r>
        <w:rPr>
          <w:rFonts w:hint="eastAsia" w:ascii="宋体" w:hAnsi="宋体" w:cs="宋体"/>
          <w:sz w:val="21"/>
          <w:szCs w:val="21"/>
        </w:rPr>
        <w:t>1、承包人在质量保修期内，按照有关法律、法规、规章的管理规定和双方约定，承担本工程质量保修责任。质量保修范围内包括合同约定的全部承包项目。具体质量保修内容双方约定如下：</w:t>
      </w:r>
      <w:r>
        <w:rPr>
          <w:rFonts w:hint="eastAsia" w:ascii="宋体" w:hAnsi="宋体" w:cs="宋体"/>
          <w:b/>
          <w:sz w:val="21"/>
          <w:szCs w:val="21"/>
          <w:u w:val="single"/>
        </w:rPr>
        <w:t>凡属承包人加工及施工工艺、施工方法及材料质量等质量问题造成的需返工修补的情况。</w:t>
      </w:r>
    </w:p>
    <w:p w14:paraId="0401F88E">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二、质量保修期</w:t>
      </w:r>
    </w:p>
    <w:p w14:paraId="2D9A77C9">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1、质量保修期从工程实际竣工之日起开始计算。分单项竣工验收的工程，按单项工程分别计算质量保修期。双方根据《建设工程质量管理条例》及有关规定，约定本工程的质量保修期如下：</w:t>
      </w:r>
    </w:p>
    <w:p w14:paraId="506DADCA">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本工程质量保修期为</w:t>
      </w:r>
      <w:r>
        <w:rPr>
          <w:rFonts w:hint="eastAsia" w:ascii="宋体" w:hAnsi="宋体" w:cs="宋体"/>
          <w:b/>
          <w:sz w:val="21"/>
          <w:szCs w:val="21"/>
          <w:u w:val="single"/>
          <w:lang w:val="en-US" w:eastAsia="zh-CN"/>
        </w:rPr>
        <w:t>2</w:t>
      </w:r>
      <w:r>
        <w:rPr>
          <w:rFonts w:hint="eastAsia" w:ascii="宋体" w:hAnsi="宋体" w:cs="宋体"/>
          <w:b/>
          <w:sz w:val="21"/>
          <w:szCs w:val="21"/>
          <w:u w:val="single"/>
        </w:rPr>
        <w:t>年</w:t>
      </w:r>
      <w:r>
        <w:rPr>
          <w:rFonts w:hint="eastAsia" w:ascii="宋体" w:hAnsi="宋体" w:cs="宋体"/>
          <w:sz w:val="21"/>
          <w:szCs w:val="21"/>
        </w:rPr>
        <w:t>，从工程竣工验收合格之日起，2年内因工程质量问题所发生的材料费、保修人工费等均由承包人负责免费维修和更换。</w:t>
      </w:r>
    </w:p>
    <w:p w14:paraId="035048CD">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2、在承包人对质量保证期内出现的质量问题进行维修时，承包人应相应延长维修或更换部分的质量保证期。</w:t>
      </w:r>
    </w:p>
    <w:p w14:paraId="70594A4F">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3、质量保证期内因发包人原因或自然灾害而造成的损坏，承包人不承担保修责任，但承包人有义务对此进行维修，维修发生的材料和人工费用由发包人承担。</w:t>
      </w:r>
    </w:p>
    <w:p w14:paraId="6A4B430D">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三、质量保修责任</w:t>
      </w:r>
    </w:p>
    <w:p w14:paraId="5EA468B5">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1、属于保修范围、内容的项目，承包人应当在接到保修通知之曰起7天内派人保修。承包人不在约定期限内派人保修的，发包人可以委托他人修理，保修费用从质量保修金内扣除。</w:t>
      </w:r>
    </w:p>
    <w:p w14:paraId="0EF74A91">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2、发生紧急抢修事故的，承包人在接到事故通知后，应当立即到达事故现场抢修。非承包人施工质量引起的事故，费用由发包人承担。</w:t>
      </w:r>
    </w:p>
    <w:p w14:paraId="1456BF3F">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3、在国家规定的工程合理使用年限内，承包人要确保工程质量。因承包人原因致使工程在合理使用年限内造成人身和财产损害的，承包人应承担损害赔偿责任。</w:t>
      </w:r>
    </w:p>
    <w:p w14:paraId="1F13FFE4">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四、保修费用</w:t>
      </w:r>
    </w:p>
    <w:p w14:paraId="3D81A050">
      <w:pPr>
        <w:pStyle w:val="22"/>
        <w:spacing w:before="0" w:beforeAutospacing="0" w:after="0" w:afterAutospacing="0" w:line="360" w:lineRule="auto"/>
        <w:ind w:firstLine="420" w:firstLineChars="200"/>
        <w:contextualSpacing/>
        <w:rPr>
          <w:rFonts w:hint="eastAsia" w:ascii="宋体" w:hAnsi="宋体" w:cs="宋体"/>
          <w:sz w:val="21"/>
          <w:szCs w:val="21"/>
        </w:rPr>
      </w:pPr>
      <w:r>
        <w:rPr>
          <w:rFonts w:hint="eastAsia" w:ascii="宋体" w:hAnsi="宋体" w:cs="宋体"/>
          <w:sz w:val="21"/>
          <w:szCs w:val="21"/>
        </w:rPr>
        <w:t>保修费用由造成质量缺陷的责任方承担。</w:t>
      </w:r>
    </w:p>
    <w:p w14:paraId="47DC443C">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五、质量保修金的退还</w:t>
      </w:r>
    </w:p>
    <w:p w14:paraId="30B04509">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发包人在质量保修期满后21天内，将剩余保修金（不计利息）返还承包人。</w:t>
      </w:r>
    </w:p>
    <w:p w14:paraId="12E0916B">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六、其他</w:t>
      </w:r>
    </w:p>
    <w:p w14:paraId="4151AE66">
      <w:pPr>
        <w:pStyle w:val="22"/>
        <w:spacing w:before="0" w:beforeAutospacing="0" w:after="0" w:afterAutospacing="0" w:line="360" w:lineRule="auto"/>
        <w:ind w:firstLine="420" w:firstLineChars="200"/>
        <w:contextualSpacing/>
        <w:rPr>
          <w:rFonts w:ascii="宋体" w:hAnsi="宋体" w:cs="宋体"/>
          <w:b/>
          <w:sz w:val="21"/>
          <w:szCs w:val="21"/>
        </w:rPr>
      </w:pPr>
      <w:r>
        <w:rPr>
          <w:rFonts w:hint="eastAsia" w:ascii="宋体" w:hAnsi="宋体" w:cs="宋体"/>
          <w:sz w:val="21"/>
          <w:szCs w:val="21"/>
        </w:rPr>
        <w:t>双方约定的其他工程质量保修事项：</w:t>
      </w:r>
      <w:r>
        <w:rPr>
          <w:rFonts w:hint="eastAsia" w:ascii="宋体" w:hAnsi="宋体" w:cs="宋体"/>
          <w:b/>
          <w:sz w:val="21"/>
          <w:szCs w:val="21"/>
          <w:u w:val="single"/>
        </w:rPr>
        <w:t xml:space="preserve">       /       </w:t>
      </w:r>
      <w:r>
        <w:rPr>
          <w:rFonts w:hint="eastAsia" w:ascii="宋体" w:hAnsi="宋体" w:cs="宋体"/>
          <w:b/>
          <w:sz w:val="21"/>
          <w:szCs w:val="21"/>
        </w:rPr>
        <w:t>。</w:t>
      </w:r>
    </w:p>
    <w:p w14:paraId="312FCBF2">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本工程质量保修书，由施工合同发包人、承包人双方在竣工验收前共同签署，作为施工合同附件其有效期限至保修期满。</w:t>
      </w:r>
    </w:p>
    <w:p w14:paraId="04C1C308">
      <w:pPr>
        <w:spacing w:line="360" w:lineRule="auto"/>
        <w:contextualSpacing/>
        <w:rPr>
          <w:rFonts w:ascii="宋体" w:hAnsi="宋体" w:cs="宋体"/>
          <w:szCs w:val="21"/>
        </w:rPr>
      </w:pPr>
    </w:p>
    <w:p w14:paraId="17200E8D">
      <w:pPr>
        <w:pStyle w:val="58"/>
        <w:adjustRightInd/>
        <w:spacing w:before="0" w:after="0" w:line="360" w:lineRule="auto"/>
        <w:ind w:left="0" w:right="0" w:firstLine="420" w:firstLineChars="200"/>
        <w:contextualSpacing/>
        <w:rPr>
          <w:rFonts w:ascii="宋体" w:hAnsi="宋体" w:cs="宋体"/>
          <w:b/>
          <w:sz w:val="21"/>
          <w:szCs w:val="21"/>
        </w:rPr>
      </w:pPr>
      <w:r>
        <w:rPr>
          <w:rFonts w:hint="eastAsia" w:ascii="宋体" w:hAnsi="宋体" w:cs="宋体"/>
          <w:sz w:val="21"/>
          <w:szCs w:val="21"/>
        </w:rPr>
        <w:t>发包人：（盖章）</w:t>
      </w:r>
      <w:r>
        <w:rPr>
          <w:rFonts w:hint="eastAsia" w:ascii="宋体" w:hAnsi="宋体" w:cs="宋体"/>
          <w:b/>
          <w:sz w:val="21"/>
          <w:szCs w:val="21"/>
        </w:rPr>
        <w:t xml:space="preserve">扬州大学附属医院        </w:t>
      </w:r>
      <w:r>
        <w:rPr>
          <w:rFonts w:hint="eastAsia" w:ascii="宋体" w:hAnsi="宋体" w:cs="宋体"/>
          <w:sz w:val="21"/>
          <w:szCs w:val="21"/>
        </w:rPr>
        <w:t>承包人：（盖章）</w:t>
      </w:r>
    </w:p>
    <w:p w14:paraId="4190828B">
      <w:pPr>
        <w:spacing w:line="360" w:lineRule="auto"/>
        <w:ind w:firstLine="420" w:firstLineChars="200"/>
        <w:contextualSpacing/>
        <w:rPr>
          <w:rFonts w:ascii="宋体" w:hAnsi="宋体" w:cs="宋体"/>
          <w:bCs/>
          <w:szCs w:val="21"/>
        </w:rPr>
      </w:pPr>
      <w:r>
        <w:rPr>
          <w:rFonts w:hint="eastAsia" w:ascii="宋体" w:hAnsi="宋体" w:cs="宋体"/>
          <w:szCs w:val="21"/>
        </w:rPr>
        <w:t>法定代表人：                            法定代表人：</w:t>
      </w:r>
    </w:p>
    <w:p w14:paraId="485C39E1">
      <w:pPr>
        <w:spacing w:line="360" w:lineRule="auto"/>
        <w:ind w:firstLine="420" w:firstLineChars="200"/>
        <w:contextualSpacing/>
        <w:rPr>
          <w:rFonts w:ascii="宋体" w:hAnsi="宋体" w:cs="宋体"/>
          <w:bCs/>
          <w:szCs w:val="21"/>
        </w:rPr>
      </w:pPr>
      <w:r>
        <w:rPr>
          <w:rFonts w:hint="eastAsia" w:ascii="宋体" w:hAnsi="宋体" w:cs="宋体"/>
          <w:szCs w:val="21"/>
        </w:rPr>
        <w:t>（或授权签约人）：                      （或授权签约人）：</w:t>
      </w:r>
    </w:p>
    <w:p w14:paraId="604119B1">
      <w:pPr>
        <w:pStyle w:val="17"/>
        <w:rPr>
          <w:rFonts w:ascii="宋体" w:hAnsi="宋体" w:cs="宋体"/>
          <w:sz w:val="21"/>
          <w:szCs w:val="21"/>
        </w:rPr>
      </w:pPr>
      <w:r>
        <w:rPr>
          <w:rFonts w:hint="eastAsia" w:ascii="宋体" w:hAnsi="宋体" w:cs="宋体"/>
          <w:sz w:val="21"/>
          <w:szCs w:val="21"/>
        </w:rPr>
        <w:t>日期:2025年  月    日                   日期：2025年   月     日</w:t>
      </w:r>
    </w:p>
    <w:p w14:paraId="0D2F43B6">
      <w:pPr>
        <w:rPr>
          <w:rFonts w:ascii="宋体" w:hAnsi="宋体" w:cs="宋体"/>
          <w:szCs w:val="21"/>
        </w:rPr>
      </w:pPr>
      <w:r>
        <w:rPr>
          <w:rFonts w:hint="eastAsia" w:ascii="宋体" w:hAnsi="宋体" w:cs="宋体"/>
          <w:szCs w:val="21"/>
        </w:rPr>
        <w:br w:type="page"/>
      </w:r>
    </w:p>
    <w:p w14:paraId="7134F78E">
      <w:pPr>
        <w:spacing w:line="360" w:lineRule="auto"/>
        <w:ind w:firstLine="643" w:firstLineChars="200"/>
        <w:jc w:val="center"/>
        <w:rPr>
          <w:rFonts w:ascii="宋体" w:hAnsi="宋体" w:cs="宋体"/>
          <w:b/>
          <w:bCs/>
          <w:sz w:val="36"/>
          <w:szCs w:val="36"/>
        </w:rPr>
      </w:pPr>
      <w:r>
        <w:rPr>
          <w:rFonts w:hint="eastAsia" w:ascii="宋体" w:hAnsi="宋体" w:cs="宋体"/>
          <w:b/>
          <w:bCs/>
          <w:sz w:val="32"/>
          <w:szCs w:val="32"/>
        </w:rPr>
        <w:t>廉洁协议书</w:t>
      </w:r>
    </w:p>
    <w:p w14:paraId="426FF216">
      <w:pPr>
        <w:spacing w:line="360" w:lineRule="auto"/>
        <w:ind w:firstLine="420" w:firstLineChars="200"/>
        <w:rPr>
          <w:rFonts w:ascii="宋体" w:hAnsi="宋体" w:cs="宋体"/>
          <w:b/>
          <w:szCs w:val="21"/>
        </w:rPr>
      </w:pPr>
      <w:r>
        <w:rPr>
          <w:rFonts w:hint="eastAsia" w:ascii="宋体" w:hAnsi="宋体" w:cs="宋体"/>
          <w:szCs w:val="21"/>
        </w:rPr>
        <w:t>发包人名称:</w:t>
      </w:r>
      <w:r>
        <w:rPr>
          <w:rFonts w:hint="eastAsia" w:ascii="宋体" w:hAnsi="宋体" w:cs="宋体"/>
          <w:b/>
          <w:szCs w:val="21"/>
        </w:rPr>
        <w:t>扬州大学附属医院</w:t>
      </w:r>
    </w:p>
    <w:p w14:paraId="38C22BC6">
      <w:pPr>
        <w:spacing w:line="360" w:lineRule="auto"/>
        <w:ind w:firstLine="420" w:firstLineChars="200"/>
        <w:contextualSpacing/>
        <w:rPr>
          <w:rFonts w:ascii="宋体" w:hAnsi="宋体" w:cs="宋体"/>
          <w:b/>
          <w:szCs w:val="21"/>
        </w:rPr>
      </w:pPr>
      <w:r>
        <w:rPr>
          <w:rFonts w:hint="eastAsia" w:ascii="宋体" w:hAnsi="宋体" w:cs="宋体"/>
          <w:szCs w:val="21"/>
        </w:rPr>
        <w:t>承包人名称:</w:t>
      </w:r>
    </w:p>
    <w:p w14:paraId="2AE2DA22">
      <w:pPr>
        <w:spacing w:line="360" w:lineRule="auto"/>
        <w:ind w:firstLine="420" w:firstLineChars="200"/>
        <w:rPr>
          <w:rFonts w:ascii="宋体" w:hAnsi="宋体" w:cs="宋体"/>
          <w:szCs w:val="21"/>
        </w:rPr>
      </w:pPr>
      <w:r>
        <w:rPr>
          <w:rFonts w:hint="eastAsia" w:ascii="宋体" w:hAnsi="宋体" w:cs="宋体"/>
          <w:szCs w:val="21"/>
        </w:rPr>
        <w:t>在发包人承包人双方订立、履行合同过程中，为保持廉洁自律的工作作风，防止各种不正当行为的发生，发包人承包人双方订立协议如下：</w:t>
      </w:r>
    </w:p>
    <w:p w14:paraId="247162AE">
      <w:pPr>
        <w:spacing w:line="360" w:lineRule="auto"/>
        <w:ind w:firstLine="420" w:firstLineChars="200"/>
        <w:rPr>
          <w:rFonts w:ascii="宋体" w:hAnsi="宋体" w:cs="宋体"/>
          <w:szCs w:val="21"/>
        </w:rPr>
      </w:pPr>
      <w:r>
        <w:rPr>
          <w:rFonts w:hint="eastAsia" w:ascii="宋体" w:hAnsi="宋体" w:cs="宋体"/>
          <w:szCs w:val="21"/>
        </w:rPr>
        <w:t>一、发包人承包人双方应当自觉遵守国家、地方法律法规以及本协议的约定，在合同的订立、履行过程中廉洁自律。</w:t>
      </w:r>
    </w:p>
    <w:p w14:paraId="6BB41AE7">
      <w:pPr>
        <w:spacing w:line="360" w:lineRule="auto"/>
        <w:ind w:firstLine="420" w:firstLineChars="200"/>
        <w:rPr>
          <w:rFonts w:ascii="宋体" w:hAnsi="宋体" w:cs="宋体"/>
          <w:szCs w:val="21"/>
        </w:rPr>
      </w:pPr>
      <w:r>
        <w:rPr>
          <w:rFonts w:hint="eastAsia" w:ascii="宋体" w:hAnsi="宋体" w:cs="宋体"/>
          <w:szCs w:val="21"/>
        </w:rPr>
        <w:t>二、发包人工作人员严禁进行商业目的的统方，不得以任何形式向承包人索要和收受个人回扣等好处费。</w:t>
      </w:r>
    </w:p>
    <w:p w14:paraId="354BAA9A">
      <w:pPr>
        <w:spacing w:line="360" w:lineRule="auto"/>
        <w:ind w:firstLine="420" w:firstLineChars="200"/>
        <w:rPr>
          <w:rFonts w:ascii="宋体" w:hAnsi="宋体" w:cs="宋体"/>
          <w:szCs w:val="21"/>
        </w:rPr>
      </w:pPr>
      <w:r>
        <w:rPr>
          <w:rFonts w:hint="eastAsia" w:ascii="宋体" w:hAnsi="宋体" w:cs="宋体"/>
          <w:szCs w:val="21"/>
        </w:rPr>
        <w:t>三、发包人工作人员应当保持与承包人的正常业务交往，不得接受承包人的礼金、有价证券和贵重物品，不得在承包人报销任何应由其个人承担的费用。</w:t>
      </w:r>
    </w:p>
    <w:p w14:paraId="7B6EFAB8">
      <w:pPr>
        <w:spacing w:line="360" w:lineRule="auto"/>
        <w:ind w:firstLine="420" w:firstLineChars="200"/>
        <w:rPr>
          <w:rFonts w:ascii="宋体" w:hAnsi="宋体" w:cs="宋体"/>
          <w:szCs w:val="21"/>
        </w:rPr>
      </w:pPr>
      <w:r>
        <w:rPr>
          <w:rFonts w:hint="eastAsia" w:ascii="宋体" w:hAnsi="宋体" w:cs="宋体"/>
          <w:szCs w:val="21"/>
        </w:rPr>
        <w:t>四、发包人工作人员不得参加可能对公正开展业务有影响的宴请和娱乐活动。如发包人工作人员确因实际情况须参加宴请、进行娱乐活动的，须事先报上一级批准。</w:t>
      </w:r>
    </w:p>
    <w:p w14:paraId="1F7F1F67">
      <w:pPr>
        <w:spacing w:line="360" w:lineRule="auto"/>
        <w:ind w:firstLine="420" w:firstLineChars="200"/>
        <w:rPr>
          <w:rFonts w:ascii="宋体" w:hAnsi="宋体" w:cs="宋体"/>
          <w:szCs w:val="21"/>
        </w:rPr>
      </w:pPr>
      <w:r>
        <w:rPr>
          <w:rFonts w:hint="eastAsia" w:ascii="宋体" w:hAnsi="宋体" w:cs="宋体"/>
          <w:szCs w:val="21"/>
        </w:rPr>
        <w:t>五、发包人工作人员不得要求或者接受承包人为其住房装修、婚丧嫁娶、家属和子女的工作安排以及出国等提供方便。</w:t>
      </w:r>
    </w:p>
    <w:p w14:paraId="7F6815C7">
      <w:pPr>
        <w:spacing w:line="360" w:lineRule="auto"/>
        <w:ind w:firstLine="420" w:firstLineChars="200"/>
        <w:rPr>
          <w:rFonts w:ascii="宋体" w:hAnsi="宋体" w:cs="宋体"/>
          <w:szCs w:val="21"/>
        </w:rPr>
      </w:pPr>
      <w:r>
        <w:rPr>
          <w:rFonts w:hint="eastAsia" w:ascii="宋体" w:hAnsi="宋体" w:cs="宋体"/>
          <w:szCs w:val="21"/>
        </w:rPr>
        <w:t>六、承包人不得接受发包人工作人员介绍的家属或者亲友从事与合同相关的业务。</w:t>
      </w:r>
    </w:p>
    <w:p w14:paraId="162F613F">
      <w:pPr>
        <w:spacing w:line="360" w:lineRule="auto"/>
        <w:ind w:firstLine="420" w:firstLineChars="200"/>
        <w:rPr>
          <w:rFonts w:ascii="宋体" w:hAnsi="宋体" w:cs="宋体"/>
          <w:szCs w:val="21"/>
        </w:rPr>
      </w:pPr>
      <w:r>
        <w:rPr>
          <w:rFonts w:hint="eastAsia" w:ascii="宋体" w:hAnsi="宋体" w:cs="宋体"/>
          <w:szCs w:val="21"/>
        </w:rPr>
        <w:t>七、承包人应当通过正常途径开展相关业务，不得为获取某些不正当利益而向发包人工作人员赠送礼金、有价证券和贵重物品等，或给发包人工作人员报销其个人费用，或邀请发包人工作人员外出旅游和进入营业性娱乐场所，或为发包人工作人员住房装修、婚丧嫁娶、家属和子女的工作安排以及出国等提供方便。</w:t>
      </w:r>
    </w:p>
    <w:p w14:paraId="0D315B77">
      <w:pPr>
        <w:spacing w:line="360" w:lineRule="auto"/>
        <w:ind w:firstLine="420" w:firstLineChars="200"/>
        <w:rPr>
          <w:rFonts w:ascii="宋体" w:hAnsi="宋体" w:cs="宋体"/>
          <w:szCs w:val="21"/>
        </w:rPr>
      </w:pPr>
      <w:r>
        <w:rPr>
          <w:rFonts w:hint="eastAsia" w:ascii="宋体" w:hAnsi="宋体" w:cs="宋体"/>
          <w:szCs w:val="21"/>
        </w:rPr>
        <w:t>八、承包人如发现发包人工作人员有违反上述协议者，应向发包人举报（发包人举报接待部门：纪委办公室；举报电话：87907263）。发包人不得找任何借口对承包人进行报复。发包人对举报属实和严格遵守廉洁协议的承包人，在同等条件下优先考虑与承包人继续合作。</w:t>
      </w:r>
    </w:p>
    <w:p w14:paraId="7A2F93CE">
      <w:pPr>
        <w:spacing w:line="360" w:lineRule="auto"/>
        <w:ind w:firstLine="420" w:firstLineChars="200"/>
        <w:rPr>
          <w:rFonts w:ascii="宋体" w:hAnsi="宋体" w:cs="宋体"/>
          <w:szCs w:val="21"/>
        </w:rPr>
      </w:pPr>
      <w:r>
        <w:rPr>
          <w:rFonts w:hint="eastAsia" w:ascii="宋体" w:hAnsi="宋体" w:cs="宋体"/>
          <w:szCs w:val="21"/>
        </w:rPr>
        <w:t>九、发包人发现承包人有违反本协议或者采用不正当的手段行贿发包人工作人员等不正当竞争行为的，发包人有权解除合同。</w:t>
      </w:r>
    </w:p>
    <w:p w14:paraId="1A4022D8">
      <w:pPr>
        <w:spacing w:line="360" w:lineRule="auto"/>
        <w:ind w:firstLine="420" w:firstLineChars="200"/>
        <w:rPr>
          <w:rFonts w:ascii="宋体" w:hAnsi="宋体" w:cs="宋体"/>
          <w:szCs w:val="21"/>
        </w:rPr>
      </w:pPr>
      <w:r>
        <w:rPr>
          <w:rFonts w:hint="eastAsia" w:ascii="宋体" w:hAnsi="宋体" w:cs="宋体"/>
          <w:szCs w:val="21"/>
        </w:rPr>
        <w:t>十、本廉洁协议作为合同的附件，与合同具有同等法律效力。经协议双方签署后立即生效。</w:t>
      </w:r>
    </w:p>
    <w:p w14:paraId="2FB33456">
      <w:pPr>
        <w:spacing w:line="360" w:lineRule="auto"/>
        <w:ind w:firstLine="420" w:firstLineChars="200"/>
        <w:rPr>
          <w:rFonts w:ascii="宋体" w:hAnsi="宋体" w:cs="宋体"/>
          <w:szCs w:val="21"/>
        </w:rPr>
      </w:pPr>
      <w:r>
        <w:rPr>
          <w:rFonts w:hint="eastAsia" w:ascii="宋体" w:hAnsi="宋体" w:cs="宋体"/>
          <w:szCs w:val="21"/>
        </w:rPr>
        <w:t>十一、本协议一式</w:t>
      </w:r>
      <w:r>
        <w:rPr>
          <w:rFonts w:hint="eastAsia" w:ascii="宋体" w:hAnsi="宋体" w:cs="宋体"/>
          <w:b/>
          <w:bCs/>
          <w:szCs w:val="21"/>
          <w:u w:val="single"/>
        </w:rPr>
        <w:t>伍</w:t>
      </w:r>
      <w:r>
        <w:rPr>
          <w:rFonts w:hint="eastAsia" w:ascii="宋体" w:hAnsi="宋体" w:cs="宋体"/>
          <w:szCs w:val="21"/>
        </w:rPr>
        <w:t>份，发包人方执</w:t>
      </w:r>
      <w:r>
        <w:rPr>
          <w:rFonts w:hint="eastAsia" w:ascii="宋体" w:hAnsi="宋体" w:cs="宋体"/>
          <w:b/>
          <w:bCs/>
          <w:szCs w:val="21"/>
          <w:u w:val="single"/>
        </w:rPr>
        <w:t>叁</w:t>
      </w:r>
      <w:r>
        <w:rPr>
          <w:rFonts w:hint="eastAsia" w:ascii="宋体" w:hAnsi="宋体" w:cs="宋体"/>
          <w:szCs w:val="21"/>
        </w:rPr>
        <w:t>份，承包人方执</w:t>
      </w:r>
      <w:r>
        <w:rPr>
          <w:rFonts w:hint="eastAsia" w:ascii="宋体" w:hAnsi="宋体" w:cs="宋体"/>
          <w:b/>
          <w:bCs/>
          <w:szCs w:val="21"/>
          <w:u w:val="single"/>
        </w:rPr>
        <w:t>贰</w:t>
      </w:r>
      <w:r>
        <w:rPr>
          <w:rFonts w:hint="eastAsia" w:ascii="宋体" w:hAnsi="宋体" w:cs="宋体"/>
          <w:szCs w:val="21"/>
        </w:rPr>
        <w:t>份，并从签订之日起生效。</w:t>
      </w:r>
    </w:p>
    <w:p w14:paraId="649393D0">
      <w:pPr>
        <w:pStyle w:val="58"/>
        <w:adjustRightInd/>
        <w:spacing w:before="0" w:after="0" w:line="360" w:lineRule="auto"/>
        <w:ind w:left="0" w:right="0" w:firstLine="420" w:firstLineChars="200"/>
        <w:contextualSpacing/>
        <w:rPr>
          <w:rFonts w:ascii="宋体" w:hAnsi="宋体" w:cs="宋体"/>
          <w:sz w:val="21"/>
          <w:szCs w:val="21"/>
        </w:rPr>
      </w:pPr>
    </w:p>
    <w:p w14:paraId="2FF57110">
      <w:pPr>
        <w:pStyle w:val="58"/>
        <w:adjustRightInd/>
        <w:spacing w:before="0" w:after="0" w:line="360" w:lineRule="auto"/>
        <w:ind w:left="0" w:right="0" w:firstLine="420" w:firstLineChars="200"/>
        <w:contextualSpacing/>
        <w:rPr>
          <w:rFonts w:ascii="宋体" w:hAnsi="宋体" w:cs="宋体"/>
          <w:b/>
          <w:sz w:val="21"/>
          <w:szCs w:val="21"/>
        </w:rPr>
      </w:pPr>
      <w:r>
        <w:rPr>
          <w:rFonts w:hint="eastAsia" w:ascii="宋体" w:hAnsi="宋体" w:cs="宋体"/>
          <w:sz w:val="21"/>
          <w:szCs w:val="21"/>
        </w:rPr>
        <w:t>发包人：（盖章）</w:t>
      </w:r>
      <w:r>
        <w:rPr>
          <w:rFonts w:hint="eastAsia" w:ascii="宋体" w:hAnsi="宋体" w:cs="宋体"/>
          <w:b/>
          <w:sz w:val="21"/>
          <w:szCs w:val="21"/>
        </w:rPr>
        <w:t xml:space="preserve">扬州大学附属医院        </w:t>
      </w:r>
      <w:r>
        <w:rPr>
          <w:rFonts w:hint="eastAsia" w:ascii="宋体" w:hAnsi="宋体" w:cs="宋体"/>
          <w:sz w:val="21"/>
          <w:szCs w:val="21"/>
        </w:rPr>
        <w:t>承包人：（盖章）</w:t>
      </w:r>
    </w:p>
    <w:p w14:paraId="0060F968">
      <w:pPr>
        <w:spacing w:line="360" w:lineRule="auto"/>
        <w:ind w:firstLine="420" w:firstLineChars="200"/>
        <w:contextualSpacing/>
        <w:rPr>
          <w:rFonts w:ascii="宋体" w:hAnsi="宋体" w:cs="宋体"/>
          <w:bCs/>
          <w:szCs w:val="21"/>
        </w:rPr>
      </w:pPr>
      <w:r>
        <w:rPr>
          <w:rFonts w:hint="eastAsia" w:ascii="宋体" w:hAnsi="宋体" w:cs="宋体"/>
          <w:szCs w:val="21"/>
        </w:rPr>
        <w:t>法定代表人：                            法定代表人：</w:t>
      </w:r>
    </w:p>
    <w:p w14:paraId="1AC8C324">
      <w:pPr>
        <w:spacing w:line="360" w:lineRule="auto"/>
        <w:ind w:firstLine="420" w:firstLineChars="200"/>
        <w:contextualSpacing/>
        <w:rPr>
          <w:rFonts w:ascii="宋体" w:hAnsi="宋体" w:cs="宋体"/>
          <w:bCs/>
          <w:szCs w:val="21"/>
        </w:rPr>
      </w:pPr>
      <w:r>
        <w:rPr>
          <w:rFonts w:hint="eastAsia" w:ascii="宋体" w:hAnsi="宋体" w:cs="宋体"/>
          <w:szCs w:val="21"/>
        </w:rPr>
        <w:t>（或授权签约人）：                      （或授权签约人）：</w:t>
      </w:r>
    </w:p>
    <w:p w14:paraId="692B9FAD">
      <w:pPr>
        <w:spacing w:line="360" w:lineRule="auto"/>
        <w:ind w:firstLine="420" w:firstLineChars="200"/>
        <w:contextualSpacing/>
        <w:rPr>
          <w:rFonts w:ascii="宋体" w:hAnsi="宋体" w:cs="宋体"/>
          <w:szCs w:val="21"/>
        </w:rPr>
      </w:pPr>
      <w:r>
        <w:rPr>
          <w:rFonts w:hint="eastAsia" w:ascii="宋体" w:hAnsi="宋体" w:cs="宋体"/>
          <w:szCs w:val="21"/>
        </w:rPr>
        <w:t>日期:2025年  月    日                   日期：2025年   月     日</w:t>
      </w:r>
    </w:p>
    <w:p w14:paraId="0D2283EA">
      <w:pPr>
        <w:rPr>
          <w:rFonts w:ascii="宋体" w:hAnsi="宋体" w:cs="宋体"/>
          <w:szCs w:val="21"/>
        </w:rPr>
      </w:pPr>
      <w:r>
        <w:rPr>
          <w:rFonts w:hint="eastAsia" w:ascii="宋体" w:hAnsi="宋体" w:cs="宋体"/>
          <w:szCs w:val="21"/>
        </w:rPr>
        <w:br w:type="page"/>
      </w:r>
    </w:p>
    <w:p w14:paraId="7675D6DE">
      <w:pPr>
        <w:pStyle w:val="17"/>
        <w:rPr>
          <w:rFonts w:ascii="宋体" w:hAnsi="宋体" w:cs="宋体"/>
          <w:sz w:val="21"/>
          <w:szCs w:val="21"/>
        </w:rPr>
      </w:pPr>
      <w:r>
        <w:rPr>
          <w:rFonts w:hint="eastAsia" w:ascii="宋体" w:hAnsi="宋体" w:cs="宋体"/>
          <w:sz w:val="21"/>
          <w:szCs w:val="21"/>
        </w:rPr>
        <w:t>附件：图纸（仅供参考）</w:t>
      </w:r>
    </w:p>
    <w:p w14:paraId="3320FC42">
      <w:pPr>
        <w:pStyle w:val="17"/>
        <w:rPr>
          <w:rFonts w:hint="default" w:ascii="宋体" w:hAnsi="宋体" w:eastAsia="宋体" w:cs="宋体"/>
          <w:sz w:val="21"/>
          <w:szCs w:val="21"/>
          <w:lang w:val="en-US" w:eastAsia="zh-CN"/>
        </w:rPr>
      </w:pPr>
      <w:r>
        <w:rPr>
          <w:rFonts w:hint="eastAsia" w:ascii="宋体" w:hAnsi="宋体" w:cs="宋体"/>
          <w:sz w:val="21"/>
          <w:szCs w:val="21"/>
          <w:lang w:val="en-US" w:eastAsia="zh-CN"/>
        </w:rPr>
        <w:t>1.12病区平面图</w:t>
      </w:r>
    </w:p>
    <w:p w14:paraId="3B005E2D">
      <w:pPr>
        <w:pStyle w:val="17"/>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6179820" cy="6464935"/>
            <wp:effectExtent l="0" t="0" r="12065" b="11430"/>
            <wp:docPr id="35" name="图片 35" descr="12病区平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2病区平面_00"/>
                    <pic:cNvPicPr>
                      <a:picLocks noChangeAspect="1"/>
                    </pic:cNvPicPr>
                  </pic:nvPicPr>
                  <pic:blipFill>
                    <a:blip r:embed="rId15"/>
                    <a:stretch>
                      <a:fillRect/>
                    </a:stretch>
                  </pic:blipFill>
                  <pic:spPr>
                    <a:xfrm rot="5400000">
                      <a:off x="0" y="0"/>
                      <a:ext cx="6179820" cy="6464935"/>
                    </a:xfrm>
                    <a:prstGeom prst="rect">
                      <a:avLst/>
                    </a:prstGeom>
                  </pic:spPr>
                </pic:pic>
              </a:graphicData>
            </a:graphic>
          </wp:inline>
        </w:drawing>
      </w:r>
    </w:p>
    <w:p w14:paraId="556047B6">
      <w:pPr>
        <w:rPr>
          <w:rFonts w:hint="default" w:ascii="宋体" w:hAnsi="宋体" w:cs="宋体"/>
          <w:sz w:val="21"/>
          <w:szCs w:val="21"/>
          <w:lang w:val="en-US" w:eastAsia="zh-CN"/>
        </w:rPr>
      </w:pPr>
    </w:p>
    <w:p w14:paraId="0C82107C">
      <w:pPr>
        <w:rPr>
          <w:rFonts w:hint="default" w:ascii="宋体" w:hAnsi="宋体" w:cs="宋体"/>
          <w:sz w:val="21"/>
          <w:szCs w:val="21"/>
          <w:lang w:val="en-US" w:eastAsia="zh-CN"/>
        </w:rPr>
      </w:pPr>
    </w:p>
    <w:sectPr>
      <w:footerReference r:id="rId4" w:type="default"/>
      <w:pgSz w:w="11906" w:h="16838"/>
      <w:pgMar w:top="1440" w:right="1080" w:bottom="1440" w:left="108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56036190"/>
      <w:docPartObj>
        <w:docPartGallery w:val="autotext"/>
      </w:docPartObj>
    </w:sdtPr>
    <w:sdtContent>
      <w:p w14:paraId="5B5DDF4B">
        <w:pPr>
          <w:pStyle w:val="17"/>
          <w:jc w:val="center"/>
        </w:pPr>
        <w:r>
          <w:fldChar w:fldCharType="begin"/>
        </w:r>
        <w:r>
          <w:instrText xml:space="preserve">PAGE   \* MERGEFORMAT</w:instrText>
        </w:r>
        <w:r>
          <w:fldChar w:fldCharType="separate"/>
        </w:r>
        <w:r>
          <w:rPr>
            <w:lang w:val="zh-CN"/>
          </w:rPr>
          <w:t>24</w:t>
        </w:r>
        <w:r>
          <w:fldChar w:fldCharType="end"/>
        </w:r>
      </w:p>
    </w:sdtContent>
  </w:sdt>
  <w:p w14:paraId="5095FF92">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8102457"/>
    </w:sdtPr>
    <w:sdtContent>
      <w:p w14:paraId="483D9E34">
        <w:pPr>
          <w:pStyle w:val="17"/>
          <w:jc w:val="center"/>
        </w:pPr>
        <w:r>
          <w:fldChar w:fldCharType="begin"/>
        </w:r>
        <w:r>
          <w:instrText xml:space="preserve">PAGE   \* MERGEFORMAT</w:instrText>
        </w:r>
        <w:r>
          <w:fldChar w:fldCharType="separate"/>
        </w:r>
        <w:r>
          <w:rPr>
            <w:lang w:val="zh-CN"/>
          </w:rPr>
          <w:t>3</w:t>
        </w:r>
        <w:r>
          <w:rPr>
            <w:lang w:val="zh-CN"/>
          </w:rPr>
          <w:fldChar w:fldCharType="end"/>
        </w:r>
      </w:p>
    </w:sdtContent>
  </w:sdt>
  <w:p w14:paraId="09067505">
    <w:pPr>
      <w:pStyle w:val="1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14C11"/>
    <w:multiLevelType w:val="singleLevel"/>
    <w:tmpl w:val="93814C11"/>
    <w:lvl w:ilvl="0" w:tentative="0">
      <w:start w:val="4"/>
      <w:numFmt w:val="chineseCounting"/>
      <w:suff w:val="nothing"/>
      <w:lvlText w:val="%1、"/>
      <w:lvlJc w:val="left"/>
      <w:rPr>
        <w:rFonts w:hint="eastAsia"/>
      </w:rPr>
    </w:lvl>
  </w:abstractNum>
  <w:abstractNum w:abstractNumId="1">
    <w:nsid w:val="96D61BFD"/>
    <w:multiLevelType w:val="singleLevel"/>
    <w:tmpl w:val="96D61BFD"/>
    <w:lvl w:ilvl="0" w:tentative="0">
      <w:start w:val="5"/>
      <w:numFmt w:val="chineseCounting"/>
      <w:suff w:val="nothing"/>
      <w:lvlText w:val="%1、"/>
      <w:lvlJc w:val="left"/>
      <w:rPr>
        <w:rFonts w:hint="eastAsia"/>
      </w:rPr>
    </w:lvl>
  </w:abstractNum>
  <w:abstractNum w:abstractNumId="2">
    <w:nsid w:val="B65BD28B"/>
    <w:multiLevelType w:val="singleLevel"/>
    <w:tmpl w:val="B65BD28B"/>
    <w:lvl w:ilvl="0" w:tentative="0">
      <w:start w:val="2"/>
      <w:numFmt w:val="decimal"/>
      <w:lvlText w:val="（%1)"/>
      <w:lvlJc w:val="left"/>
      <w:pPr>
        <w:tabs>
          <w:tab w:val="left" w:pos="312"/>
        </w:tabs>
      </w:pPr>
    </w:lvl>
  </w:abstractNum>
  <w:abstractNum w:abstractNumId="3">
    <w:nsid w:val="FFFFFF83"/>
    <w:multiLevelType w:val="singleLevel"/>
    <w:tmpl w:val="FFFFFF83"/>
    <w:lvl w:ilvl="0" w:tentative="0">
      <w:start w:val="1"/>
      <w:numFmt w:val="bullet"/>
      <w:pStyle w:val="11"/>
      <w:lvlText w:val=""/>
      <w:lvlJc w:val="left"/>
      <w:pPr>
        <w:tabs>
          <w:tab w:val="left" w:pos="780"/>
        </w:tabs>
        <w:ind w:left="780" w:leftChars="200" w:hanging="360" w:hangingChars="200"/>
      </w:pPr>
      <w:rPr>
        <w:rFonts w:hint="default" w:ascii="Wingdings" w:hAnsi="Wingdings"/>
      </w:rPr>
    </w:lvl>
  </w:abstractNum>
  <w:abstractNum w:abstractNumId="4">
    <w:nsid w:val="14E0F544"/>
    <w:multiLevelType w:val="singleLevel"/>
    <w:tmpl w:val="14E0F544"/>
    <w:lvl w:ilvl="0" w:tentative="0">
      <w:start w:val="3"/>
      <w:numFmt w:val="chineseCounting"/>
      <w:suff w:val="nothing"/>
      <w:lvlText w:val="%1、"/>
      <w:lvlJc w:val="left"/>
      <w:rPr>
        <w:rFonts w:hint="eastAsia"/>
      </w:rPr>
    </w:lvl>
  </w:abstractNum>
  <w:abstractNum w:abstractNumId="5">
    <w:nsid w:val="1E09DAB9"/>
    <w:multiLevelType w:val="singleLevel"/>
    <w:tmpl w:val="1E09DAB9"/>
    <w:lvl w:ilvl="0" w:tentative="0">
      <w:start w:val="2"/>
      <w:numFmt w:val="chineseCounting"/>
      <w:suff w:val="nothing"/>
      <w:lvlText w:val="%1、"/>
      <w:lvlJc w:val="left"/>
      <w:rPr>
        <w:rFonts w:hint="eastAsia"/>
      </w:rPr>
    </w:lvl>
  </w:abstractNum>
  <w:num w:numId="1">
    <w:abstractNumId w:val="3"/>
  </w:num>
  <w:num w:numId="2">
    <w:abstractNumId w:val="0"/>
  </w:num>
  <w:num w:numId="3">
    <w:abstractNumId w:val="5"/>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C46"/>
    <w:rsid w:val="0000270E"/>
    <w:rsid w:val="00003AF8"/>
    <w:rsid w:val="0000425E"/>
    <w:rsid w:val="000058AF"/>
    <w:rsid w:val="00006F20"/>
    <w:rsid w:val="000077B3"/>
    <w:rsid w:val="00010637"/>
    <w:rsid w:val="000106D7"/>
    <w:rsid w:val="00015063"/>
    <w:rsid w:val="00015440"/>
    <w:rsid w:val="00015CD1"/>
    <w:rsid w:val="000211A7"/>
    <w:rsid w:val="00023EE4"/>
    <w:rsid w:val="000251B0"/>
    <w:rsid w:val="00027A9E"/>
    <w:rsid w:val="000316F0"/>
    <w:rsid w:val="00031B82"/>
    <w:rsid w:val="00031E4A"/>
    <w:rsid w:val="000324B6"/>
    <w:rsid w:val="000342A5"/>
    <w:rsid w:val="0003463E"/>
    <w:rsid w:val="0003700B"/>
    <w:rsid w:val="00041B7A"/>
    <w:rsid w:val="00041BA1"/>
    <w:rsid w:val="00042874"/>
    <w:rsid w:val="00043CAB"/>
    <w:rsid w:val="000444A5"/>
    <w:rsid w:val="00047C26"/>
    <w:rsid w:val="000500A7"/>
    <w:rsid w:val="00050FFE"/>
    <w:rsid w:val="00051B95"/>
    <w:rsid w:val="00052743"/>
    <w:rsid w:val="00052CB3"/>
    <w:rsid w:val="00052F93"/>
    <w:rsid w:val="0005416E"/>
    <w:rsid w:val="0005624C"/>
    <w:rsid w:val="00056910"/>
    <w:rsid w:val="00057554"/>
    <w:rsid w:val="0005769F"/>
    <w:rsid w:val="000624DA"/>
    <w:rsid w:val="00067DCB"/>
    <w:rsid w:val="00070769"/>
    <w:rsid w:val="00070E1D"/>
    <w:rsid w:val="00072A11"/>
    <w:rsid w:val="000745EF"/>
    <w:rsid w:val="000757CB"/>
    <w:rsid w:val="00075E7E"/>
    <w:rsid w:val="0009075B"/>
    <w:rsid w:val="0009129B"/>
    <w:rsid w:val="000914DC"/>
    <w:rsid w:val="0009169D"/>
    <w:rsid w:val="00091E74"/>
    <w:rsid w:val="00092540"/>
    <w:rsid w:val="00093012"/>
    <w:rsid w:val="000967E7"/>
    <w:rsid w:val="00096ADA"/>
    <w:rsid w:val="00096B7B"/>
    <w:rsid w:val="000A2512"/>
    <w:rsid w:val="000A3D4A"/>
    <w:rsid w:val="000A6D0E"/>
    <w:rsid w:val="000A6E49"/>
    <w:rsid w:val="000B1028"/>
    <w:rsid w:val="000B34F4"/>
    <w:rsid w:val="000B3E14"/>
    <w:rsid w:val="000B50D9"/>
    <w:rsid w:val="000B6BE9"/>
    <w:rsid w:val="000C0DCD"/>
    <w:rsid w:val="000C2069"/>
    <w:rsid w:val="000C23F2"/>
    <w:rsid w:val="000C2CF2"/>
    <w:rsid w:val="000C3ACE"/>
    <w:rsid w:val="000C51AF"/>
    <w:rsid w:val="000C55D7"/>
    <w:rsid w:val="000D02D6"/>
    <w:rsid w:val="000D07DB"/>
    <w:rsid w:val="000D140E"/>
    <w:rsid w:val="000D1543"/>
    <w:rsid w:val="000D2AFA"/>
    <w:rsid w:val="000D40D9"/>
    <w:rsid w:val="000D47F6"/>
    <w:rsid w:val="000D7845"/>
    <w:rsid w:val="000D79DC"/>
    <w:rsid w:val="000E11E0"/>
    <w:rsid w:val="000E364B"/>
    <w:rsid w:val="000E4728"/>
    <w:rsid w:val="000E4B6A"/>
    <w:rsid w:val="000E4EA3"/>
    <w:rsid w:val="000E541E"/>
    <w:rsid w:val="000E54E5"/>
    <w:rsid w:val="000F0043"/>
    <w:rsid w:val="000F03D5"/>
    <w:rsid w:val="000F10CA"/>
    <w:rsid w:val="000F136E"/>
    <w:rsid w:val="000F4538"/>
    <w:rsid w:val="000F45E9"/>
    <w:rsid w:val="000F7A06"/>
    <w:rsid w:val="000F7BF6"/>
    <w:rsid w:val="000F7CEC"/>
    <w:rsid w:val="001000E6"/>
    <w:rsid w:val="00100C1C"/>
    <w:rsid w:val="00102036"/>
    <w:rsid w:val="001041DF"/>
    <w:rsid w:val="0010572D"/>
    <w:rsid w:val="001071E4"/>
    <w:rsid w:val="00110991"/>
    <w:rsid w:val="00111341"/>
    <w:rsid w:val="00112329"/>
    <w:rsid w:val="00114234"/>
    <w:rsid w:val="001153BB"/>
    <w:rsid w:val="00116DEF"/>
    <w:rsid w:val="00120FC3"/>
    <w:rsid w:val="00121AF7"/>
    <w:rsid w:val="00122E69"/>
    <w:rsid w:val="00123FB1"/>
    <w:rsid w:val="00124007"/>
    <w:rsid w:val="00124044"/>
    <w:rsid w:val="00125547"/>
    <w:rsid w:val="00125673"/>
    <w:rsid w:val="001257D7"/>
    <w:rsid w:val="00125FFC"/>
    <w:rsid w:val="0012632F"/>
    <w:rsid w:val="00126E59"/>
    <w:rsid w:val="00127F17"/>
    <w:rsid w:val="00127FC8"/>
    <w:rsid w:val="001312CF"/>
    <w:rsid w:val="00133005"/>
    <w:rsid w:val="00134CAE"/>
    <w:rsid w:val="001377C1"/>
    <w:rsid w:val="0014052F"/>
    <w:rsid w:val="00144BE6"/>
    <w:rsid w:val="001451DC"/>
    <w:rsid w:val="00146512"/>
    <w:rsid w:val="00150005"/>
    <w:rsid w:val="00152C2A"/>
    <w:rsid w:val="00153F6A"/>
    <w:rsid w:val="00155B28"/>
    <w:rsid w:val="0015741C"/>
    <w:rsid w:val="00160C59"/>
    <w:rsid w:val="00160F65"/>
    <w:rsid w:val="00162B2D"/>
    <w:rsid w:val="0016369C"/>
    <w:rsid w:val="00164056"/>
    <w:rsid w:val="0016575D"/>
    <w:rsid w:val="00165D8B"/>
    <w:rsid w:val="00172142"/>
    <w:rsid w:val="0017216F"/>
    <w:rsid w:val="0017240E"/>
    <w:rsid w:val="001726C9"/>
    <w:rsid w:val="00172DF4"/>
    <w:rsid w:val="00175320"/>
    <w:rsid w:val="0017657B"/>
    <w:rsid w:val="00176B93"/>
    <w:rsid w:val="00180953"/>
    <w:rsid w:val="001814F0"/>
    <w:rsid w:val="0018375F"/>
    <w:rsid w:val="00183A27"/>
    <w:rsid w:val="001860A4"/>
    <w:rsid w:val="0018660F"/>
    <w:rsid w:val="001929EE"/>
    <w:rsid w:val="001931CB"/>
    <w:rsid w:val="0019323C"/>
    <w:rsid w:val="00193320"/>
    <w:rsid w:val="00193FB3"/>
    <w:rsid w:val="001946C7"/>
    <w:rsid w:val="0019499D"/>
    <w:rsid w:val="001952F8"/>
    <w:rsid w:val="0019599C"/>
    <w:rsid w:val="00195FF8"/>
    <w:rsid w:val="001969B5"/>
    <w:rsid w:val="001A264D"/>
    <w:rsid w:val="001A32DA"/>
    <w:rsid w:val="001A3575"/>
    <w:rsid w:val="001A4417"/>
    <w:rsid w:val="001A49AE"/>
    <w:rsid w:val="001A6A76"/>
    <w:rsid w:val="001A6EFD"/>
    <w:rsid w:val="001B0988"/>
    <w:rsid w:val="001B1CBD"/>
    <w:rsid w:val="001B407B"/>
    <w:rsid w:val="001B5353"/>
    <w:rsid w:val="001B61F1"/>
    <w:rsid w:val="001B636F"/>
    <w:rsid w:val="001C0BDC"/>
    <w:rsid w:val="001C590E"/>
    <w:rsid w:val="001C76D3"/>
    <w:rsid w:val="001D07DA"/>
    <w:rsid w:val="001D4E25"/>
    <w:rsid w:val="001D4F3F"/>
    <w:rsid w:val="001D601B"/>
    <w:rsid w:val="001D6075"/>
    <w:rsid w:val="001E000F"/>
    <w:rsid w:val="001E0021"/>
    <w:rsid w:val="001E0618"/>
    <w:rsid w:val="001E0D2D"/>
    <w:rsid w:val="001E158C"/>
    <w:rsid w:val="001E1596"/>
    <w:rsid w:val="001E3684"/>
    <w:rsid w:val="001E65EA"/>
    <w:rsid w:val="001E7CE3"/>
    <w:rsid w:val="001F069E"/>
    <w:rsid w:val="001F1F9A"/>
    <w:rsid w:val="001F35FE"/>
    <w:rsid w:val="001F36D1"/>
    <w:rsid w:val="001F57B3"/>
    <w:rsid w:val="002106F1"/>
    <w:rsid w:val="00211F2C"/>
    <w:rsid w:val="00212CBA"/>
    <w:rsid w:val="0021423F"/>
    <w:rsid w:val="0021514D"/>
    <w:rsid w:val="002159EB"/>
    <w:rsid w:val="00217134"/>
    <w:rsid w:val="00220D94"/>
    <w:rsid w:val="00220F6C"/>
    <w:rsid w:val="00223922"/>
    <w:rsid w:val="00225F53"/>
    <w:rsid w:val="002262C8"/>
    <w:rsid w:val="00231AA9"/>
    <w:rsid w:val="00231B54"/>
    <w:rsid w:val="0023328D"/>
    <w:rsid w:val="002341AA"/>
    <w:rsid w:val="00235F90"/>
    <w:rsid w:val="00237CDE"/>
    <w:rsid w:val="00237F55"/>
    <w:rsid w:val="00240256"/>
    <w:rsid w:val="002410E4"/>
    <w:rsid w:val="002418F2"/>
    <w:rsid w:val="00241B56"/>
    <w:rsid w:val="00242F20"/>
    <w:rsid w:val="00243852"/>
    <w:rsid w:val="00244304"/>
    <w:rsid w:val="002503F2"/>
    <w:rsid w:val="002516AA"/>
    <w:rsid w:val="002534E1"/>
    <w:rsid w:val="00254742"/>
    <w:rsid w:val="002565F3"/>
    <w:rsid w:val="00256FE9"/>
    <w:rsid w:val="00261352"/>
    <w:rsid w:val="002651E3"/>
    <w:rsid w:val="00265EAF"/>
    <w:rsid w:val="00267EB9"/>
    <w:rsid w:val="0027154E"/>
    <w:rsid w:val="00271BCA"/>
    <w:rsid w:val="00273D92"/>
    <w:rsid w:val="00274AF2"/>
    <w:rsid w:val="00275663"/>
    <w:rsid w:val="002801EA"/>
    <w:rsid w:val="002808D4"/>
    <w:rsid w:val="00284D1D"/>
    <w:rsid w:val="00285D3E"/>
    <w:rsid w:val="00285E69"/>
    <w:rsid w:val="00287508"/>
    <w:rsid w:val="0028752B"/>
    <w:rsid w:val="00291B7B"/>
    <w:rsid w:val="00295864"/>
    <w:rsid w:val="0029662C"/>
    <w:rsid w:val="00296FA7"/>
    <w:rsid w:val="002A31E8"/>
    <w:rsid w:val="002A3D2D"/>
    <w:rsid w:val="002A407D"/>
    <w:rsid w:val="002A6103"/>
    <w:rsid w:val="002B115D"/>
    <w:rsid w:val="002B154D"/>
    <w:rsid w:val="002B3E1C"/>
    <w:rsid w:val="002B3F78"/>
    <w:rsid w:val="002B4315"/>
    <w:rsid w:val="002B5979"/>
    <w:rsid w:val="002B7C7B"/>
    <w:rsid w:val="002C08F2"/>
    <w:rsid w:val="002C2D5B"/>
    <w:rsid w:val="002C6CB2"/>
    <w:rsid w:val="002D0471"/>
    <w:rsid w:val="002D49BC"/>
    <w:rsid w:val="002D7331"/>
    <w:rsid w:val="002D73C6"/>
    <w:rsid w:val="002E14AF"/>
    <w:rsid w:val="002E2468"/>
    <w:rsid w:val="002E377A"/>
    <w:rsid w:val="002E3CFD"/>
    <w:rsid w:val="002E41D0"/>
    <w:rsid w:val="002E4643"/>
    <w:rsid w:val="002E6879"/>
    <w:rsid w:val="002E7A00"/>
    <w:rsid w:val="002F0C39"/>
    <w:rsid w:val="002F1327"/>
    <w:rsid w:val="002F19F1"/>
    <w:rsid w:val="002F3689"/>
    <w:rsid w:val="002F3896"/>
    <w:rsid w:val="002F46F0"/>
    <w:rsid w:val="002F4C60"/>
    <w:rsid w:val="002F586F"/>
    <w:rsid w:val="002F5D50"/>
    <w:rsid w:val="002F7CE0"/>
    <w:rsid w:val="00301F0C"/>
    <w:rsid w:val="0030401B"/>
    <w:rsid w:val="003044E4"/>
    <w:rsid w:val="00304880"/>
    <w:rsid w:val="00304D86"/>
    <w:rsid w:val="00306D77"/>
    <w:rsid w:val="003109D2"/>
    <w:rsid w:val="00312325"/>
    <w:rsid w:val="00312D45"/>
    <w:rsid w:val="0032018B"/>
    <w:rsid w:val="00321E1C"/>
    <w:rsid w:val="003221C8"/>
    <w:rsid w:val="0032221B"/>
    <w:rsid w:val="0032304A"/>
    <w:rsid w:val="00326C5C"/>
    <w:rsid w:val="0033073C"/>
    <w:rsid w:val="00330A60"/>
    <w:rsid w:val="00336511"/>
    <w:rsid w:val="00336701"/>
    <w:rsid w:val="00341CB3"/>
    <w:rsid w:val="00342647"/>
    <w:rsid w:val="003431F1"/>
    <w:rsid w:val="0034462C"/>
    <w:rsid w:val="0034709A"/>
    <w:rsid w:val="003478B4"/>
    <w:rsid w:val="00350E54"/>
    <w:rsid w:val="00351765"/>
    <w:rsid w:val="003525C6"/>
    <w:rsid w:val="003541C5"/>
    <w:rsid w:val="00354287"/>
    <w:rsid w:val="00355E4B"/>
    <w:rsid w:val="00356F1F"/>
    <w:rsid w:val="0035787B"/>
    <w:rsid w:val="0036022E"/>
    <w:rsid w:val="003623AC"/>
    <w:rsid w:val="0036250C"/>
    <w:rsid w:val="00365996"/>
    <w:rsid w:val="00370EFB"/>
    <w:rsid w:val="00371741"/>
    <w:rsid w:val="0037262D"/>
    <w:rsid w:val="00373547"/>
    <w:rsid w:val="00373948"/>
    <w:rsid w:val="00373D76"/>
    <w:rsid w:val="00375287"/>
    <w:rsid w:val="003759EF"/>
    <w:rsid w:val="00375BD8"/>
    <w:rsid w:val="00376202"/>
    <w:rsid w:val="00382E86"/>
    <w:rsid w:val="00383671"/>
    <w:rsid w:val="0038462C"/>
    <w:rsid w:val="0038595E"/>
    <w:rsid w:val="00385A9D"/>
    <w:rsid w:val="00387375"/>
    <w:rsid w:val="00387488"/>
    <w:rsid w:val="003928E9"/>
    <w:rsid w:val="00392BE0"/>
    <w:rsid w:val="003931EA"/>
    <w:rsid w:val="003932C6"/>
    <w:rsid w:val="00394065"/>
    <w:rsid w:val="003943D3"/>
    <w:rsid w:val="00394F8D"/>
    <w:rsid w:val="00395417"/>
    <w:rsid w:val="00395817"/>
    <w:rsid w:val="00396D00"/>
    <w:rsid w:val="00396F2D"/>
    <w:rsid w:val="003A0487"/>
    <w:rsid w:val="003A2D4E"/>
    <w:rsid w:val="003A2F57"/>
    <w:rsid w:val="003A334D"/>
    <w:rsid w:val="003A45ED"/>
    <w:rsid w:val="003A4C49"/>
    <w:rsid w:val="003A505F"/>
    <w:rsid w:val="003B086B"/>
    <w:rsid w:val="003B46C3"/>
    <w:rsid w:val="003B65AD"/>
    <w:rsid w:val="003B6A04"/>
    <w:rsid w:val="003B6CC9"/>
    <w:rsid w:val="003C080D"/>
    <w:rsid w:val="003C4352"/>
    <w:rsid w:val="003D0F77"/>
    <w:rsid w:val="003D3BF2"/>
    <w:rsid w:val="003D4601"/>
    <w:rsid w:val="003D5FA1"/>
    <w:rsid w:val="003D72DD"/>
    <w:rsid w:val="003D7B15"/>
    <w:rsid w:val="003E0994"/>
    <w:rsid w:val="003E0E50"/>
    <w:rsid w:val="003E12AD"/>
    <w:rsid w:val="003E1C7D"/>
    <w:rsid w:val="003E3E1B"/>
    <w:rsid w:val="003E670F"/>
    <w:rsid w:val="003E6C88"/>
    <w:rsid w:val="003E748B"/>
    <w:rsid w:val="003E75F8"/>
    <w:rsid w:val="003F09BD"/>
    <w:rsid w:val="003F0E01"/>
    <w:rsid w:val="003F0ED2"/>
    <w:rsid w:val="003F4E3E"/>
    <w:rsid w:val="003F528E"/>
    <w:rsid w:val="00401318"/>
    <w:rsid w:val="0040419A"/>
    <w:rsid w:val="004067F3"/>
    <w:rsid w:val="00407389"/>
    <w:rsid w:val="004118F0"/>
    <w:rsid w:val="00412FC6"/>
    <w:rsid w:val="004131D9"/>
    <w:rsid w:val="00414399"/>
    <w:rsid w:val="00415B4D"/>
    <w:rsid w:val="004163D9"/>
    <w:rsid w:val="00416D75"/>
    <w:rsid w:val="00417231"/>
    <w:rsid w:val="00417BC1"/>
    <w:rsid w:val="0042068D"/>
    <w:rsid w:val="004213F9"/>
    <w:rsid w:val="00421C0A"/>
    <w:rsid w:val="004264C4"/>
    <w:rsid w:val="0043156D"/>
    <w:rsid w:val="00431BB8"/>
    <w:rsid w:val="00432B2C"/>
    <w:rsid w:val="00435F0A"/>
    <w:rsid w:val="00437742"/>
    <w:rsid w:val="004417FA"/>
    <w:rsid w:val="004450D0"/>
    <w:rsid w:val="0044542F"/>
    <w:rsid w:val="004462F0"/>
    <w:rsid w:val="00447846"/>
    <w:rsid w:val="00447F0D"/>
    <w:rsid w:val="00450129"/>
    <w:rsid w:val="00451B9F"/>
    <w:rsid w:val="00452F7D"/>
    <w:rsid w:val="0045460B"/>
    <w:rsid w:val="00460FA1"/>
    <w:rsid w:val="00461031"/>
    <w:rsid w:val="00461820"/>
    <w:rsid w:val="00465790"/>
    <w:rsid w:val="004659CB"/>
    <w:rsid w:val="00471ECB"/>
    <w:rsid w:val="00472820"/>
    <w:rsid w:val="00473067"/>
    <w:rsid w:val="00473D5B"/>
    <w:rsid w:val="00475303"/>
    <w:rsid w:val="00480AED"/>
    <w:rsid w:val="00481283"/>
    <w:rsid w:val="00481872"/>
    <w:rsid w:val="004818BD"/>
    <w:rsid w:val="00482280"/>
    <w:rsid w:val="004822DF"/>
    <w:rsid w:val="00483498"/>
    <w:rsid w:val="00484905"/>
    <w:rsid w:val="00485F44"/>
    <w:rsid w:val="00486831"/>
    <w:rsid w:val="00486ED1"/>
    <w:rsid w:val="00490046"/>
    <w:rsid w:val="004900F3"/>
    <w:rsid w:val="00490712"/>
    <w:rsid w:val="00490D83"/>
    <w:rsid w:val="004916F3"/>
    <w:rsid w:val="00494DAF"/>
    <w:rsid w:val="00495CF5"/>
    <w:rsid w:val="004963E9"/>
    <w:rsid w:val="00497FF3"/>
    <w:rsid w:val="004A481C"/>
    <w:rsid w:val="004A5115"/>
    <w:rsid w:val="004A5F95"/>
    <w:rsid w:val="004A6DD6"/>
    <w:rsid w:val="004B28BE"/>
    <w:rsid w:val="004B57AD"/>
    <w:rsid w:val="004B6000"/>
    <w:rsid w:val="004B6C46"/>
    <w:rsid w:val="004B6F27"/>
    <w:rsid w:val="004B70D1"/>
    <w:rsid w:val="004B775C"/>
    <w:rsid w:val="004C203F"/>
    <w:rsid w:val="004C2FC5"/>
    <w:rsid w:val="004C4B5B"/>
    <w:rsid w:val="004C6405"/>
    <w:rsid w:val="004C787A"/>
    <w:rsid w:val="004D0E7C"/>
    <w:rsid w:val="004D0FB0"/>
    <w:rsid w:val="004D1C35"/>
    <w:rsid w:val="004D6462"/>
    <w:rsid w:val="004D799A"/>
    <w:rsid w:val="004E0088"/>
    <w:rsid w:val="004E04D7"/>
    <w:rsid w:val="004E4AE9"/>
    <w:rsid w:val="004E5F95"/>
    <w:rsid w:val="004F176C"/>
    <w:rsid w:val="004F3565"/>
    <w:rsid w:val="004F705B"/>
    <w:rsid w:val="004F72C8"/>
    <w:rsid w:val="0050181D"/>
    <w:rsid w:val="005028B9"/>
    <w:rsid w:val="00502DE5"/>
    <w:rsid w:val="00502FD9"/>
    <w:rsid w:val="00503074"/>
    <w:rsid w:val="00504176"/>
    <w:rsid w:val="00504DE1"/>
    <w:rsid w:val="00510E42"/>
    <w:rsid w:val="005118FE"/>
    <w:rsid w:val="005121DB"/>
    <w:rsid w:val="00512FDC"/>
    <w:rsid w:val="00513252"/>
    <w:rsid w:val="005135B2"/>
    <w:rsid w:val="005149F0"/>
    <w:rsid w:val="00521F5A"/>
    <w:rsid w:val="00522F64"/>
    <w:rsid w:val="00523A30"/>
    <w:rsid w:val="00523B6F"/>
    <w:rsid w:val="00523EB0"/>
    <w:rsid w:val="0052405E"/>
    <w:rsid w:val="0052553B"/>
    <w:rsid w:val="00525919"/>
    <w:rsid w:val="0053218A"/>
    <w:rsid w:val="00533A52"/>
    <w:rsid w:val="00533DBD"/>
    <w:rsid w:val="005362C2"/>
    <w:rsid w:val="0053644C"/>
    <w:rsid w:val="00541625"/>
    <w:rsid w:val="0054188F"/>
    <w:rsid w:val="00542C1F"/>
    <w:rsid w:val="00543138"/>
    <w:rsid w:val="00545406"/>
    <w:rsid w:val="00550554"/>
    <w:rsid w:val="0055147D"/>
    <w:rsid w:val="00552640"/>
    <w:rsid w:val="0055563C"/>
    <w:rsid w:val="005565CC"/>
    <w:rsid w:val="00556F31"/>
    <w:rsid w:val="00560746"/>
    <w:rsid w:val="00563833"/>
    <w:rsid w:val="00563C6B"/>
    <w:rsid w:val="00566F2F"/>
    <w:rsid w:val="00567B2A"/>
    <w:rsid w:val="0057135C"/>
    <w:rsid w:val="00571697"/>
    <w:rsid w:val="00571AEC"/>
    <w:rsid w:val="00575576"/>
    <w:rsid w:val="00577FB8"/>
    <w:rsid w:val="005800C5"/>
    <w:rsid w:val="00580985"/>
    <w:rsid w:val="0058196C"/>
    <w:rsid w:val="00581D9A"/>
    <w:rsid w:val="00585D26"/>
    <w:rsid w:val="005867C8"/>
    <w:rsid w:val="0059143E"/>
    <w:rsid w:val="0059234F"/>
    <w:rsid w:val="00592565"/>
    <w:rsid w:val="0059296F"/>
    <w:rsid w:val="00594A90"/>
    <w:rsid w:val="00595FCA"/>
    <w:rsid w:val="00597339"/>
    <w:rsid w:val="005A1F46"/>
    <w:rsid w:val="005A46E2"/>
    <w:rsid w:val="005A4836"/>
    <w:rsid w:val="005A4FB5"/>
    <w:rsid w:val="005A64E0"/>
    <w:rsid w:val="005B1769"/>
    <w:rsid w:val="005B1CBA"/>
    <w:rsid w:val="005B3EA4"/>
    <w:rsid w:val="005B50B2"/>
    <w:rsid w:val="005B56B3"/>
    <w:rsid w:val="005B594D"/>
    <w:rsid w:val="005B5E0E"/>
    <w:rsid w:val="005C0A63"/>
    <w:rsid w:val="005C214F"/>
    <w:rsid w:val="005C26E5"/>
    <w:rsid w:val="005C3B41"/>
    <w:rsid w:val="005C3C3F"/>
    <w:rsid w:val="005C448B"/>
    <w:rsid w:val="005C5EE9"/>
    <w:rsid w:val="005C6898"/>
    <w:rsid w:val="005D170A"/>
    <w:rsid w:val="005D3026"/>
    <w:rsid w:val="005D3EF0"/>
    <w:rsid w:val="005D4611"/>
    <w:rsid w:val="005D5076"/>
    <w:rsid w:val="005D6928"/>
    <w:rsid w:val="005D719D"/>
    <w:rsid w:val="005D785C"/>
    <w:rsid w:val="005E335A"/>
    <w:rsid w:val="005E36C7"/>
    <w:rsid w:val="005E3AC4"/>
    <w:rsid w:val="005E3C4B"/>
    <w:rsid w:val="005E3D9F"/>
    <w:rsid w:val="005E4C43"/>
    <w:rsid w:val="005E6CF8"/>
    <w:rsid w:val="005E6EA4"/>
    <w:rsid w:val="005E7D6A"/>
    <w:rsid w:val="005F2306"/>
    <w:rsid w:val="005F60A2"/>
    <w:rsid w:val="00600300"/>
    <w:rsid w:val="00600B17"/>
    <w:rsid w:val="00600FDE"/>
    <w:rsid w:val="00601D6F"/>
    <w:rsid w:val="00602914"/>
    <w:rsid w:val="00605DC9"/>
    <w:rsid w:val="006078D6"/>
    <w:rsid w:val="006102B0"/>
    <w:rsid w:val="00611189"/>
    <w:rsid w:val="0061139E"/>
    <w:rsid w:val="00614B3E"/>
    <w:rsid w:val="00615EC7"/>
    <w:rsid w:val="006170C1"/>
    <w:rsid w:val="0062079F"/>
    <w:rsid w:val="00620FEA"/>
    <w:rsid w:val="00621E6E"/>
    <w:rsid w:val="00625D25"/>
    <w:rsid w:val="0063028A"/>
    <w:rsid w:val="006303D1"/>
    <w:rsid w:val="00630DA3"/>
    <w:rsid w:val="00631FF0"/>
    <w:rsid w:val="00632BCE"/>
    <w:rsid w:val="00632FE3"/>
    <w:rsid w:val="00633529"/>
    <w:rsid w:val="006372DD"/>
    <w:rsid w:val="006404AB"/>
    <w:rsid w:val="00642A93"/>
    <w:rsid w:val="00642E38"/>
    <w:rsid w:val="006446AF"/>
    <w:rsid w:val="006463E1"/>
    <w:rsid w:val="0065105A"/>
    <w:rsid w:val="00651D84"/>
    <w:rsid w:val="00651E74"/>
    <w:rsid w:val="00652BE1"/>
    <w:rsid w:val="00653D25"/>
    <w:rsid w:val="00655A80"/>
    <w:rsid w:val="00655B93"/>
    <w:rsid w:val="00656BCD"/>
    <w:rsid w:val="00660885"/>
    <w:rsid w:val="00663EC7"/>
    <w:rsid w:val="006647BA"/>
    <w:rsid w:val="00672077"/>
    <w:rsid w:val="0067378C"/>
    <w:rsid w:val="0067402F"/>
    <w:rsid w:val="00674273"/>
    <w:rsid w:val="00675D6A"/>
    <w:rsid w:val="006775B2"/>
    <w:rsid w:val="006801F6"/>
    <w:rsid w:val="006808A3"/>
    <w:rsid w:val="00682169"/>
    <w:rsid w:val="00682A5B"/>
    <w:rsid w:val="00684F3E"/>
    <w:rsid w:val="006859C5"/>
    <w:rsid w:val="006860E4"/>
    <w:rsid w:val="00686198"/>
    <w:rsid w:val="00686611"/>
    <w:rsid w:val="00690E90"/>
    <w:rsid w:val="00695435"/>
    <w:rsid w:val="006964F6"/>
    <w:rsid w:val="006A04E1"/>
    <w:rsid w:val="006A1054"/>
    <w:rsid w:val="006A13B9"/>
    <w:rsid w:val="006A22B5"/>
    <w:rsid w:val="006A2331"/>
    <w:rsid w:val="006A7DB1"/>
    <w:rsid w:val="006B1475"/>
    <w:rsid w:val="006B1A94"/>
    <w:rsid w:val="006B23FF"/>
    <w:rsid w:val="006B2AC2"/>
    <w:rsid w:val="006B33E1"/>
    <w:rsid w:val="006B4583"/>
    <w:rsid w:val="006B7158"/>
    <w:rsid w:val="006C0630"/>
    <w:rsid w:val="006C0F5C"/>
    <w:rsid w:val="006C36F8"/>
    <w:rsid w:val="006C6327"/>
    <w:rsid w:val="006C7860"/>
    <w:rsid w:val="006D0355"/>
    <w:rsid w:val="006D209E"/>
    <w:rsid w:val="006D21FC"/>
    <w:rsid w:val="006D256C"/>
    <w:rsid w:val="006D3F9E"/>
    <w:rsid w:val="006D4824"/>
    <w:rsid w:val="006D4F17"/>
    <w:rsid w:val="006D5129"/>
    <w:rsid w:val="006D5B92"/>
    <w:rsid w:val="006D678F"/>
    <w:rsid w:val="006D67EA"/>
    <w:rsid w:val="006D75D3"/>
    <w:rsid w:val="006E12DA"/>
    <w:rsid w:val="006E350A"/>
    <w:rsid w:val="006F0C1F"/>
    <w:rsid w:val="006F1619"/>
    <w:rsid w:val="006F2C5B"/>
    <w:rsid w:val="006F357F"/>
    <w:rsid w:val="006F3840"/>
    <w:rsid w:val="006F407F"/>
    <w:rsid w:val="006F5A79"/>
    <w:rsid w:val="006F5CCE"/>
    <w:rsid w:val="006F7486"/>
    <w:rsid w:val="006F7DE3"/>
    <w:rsid w:val="006F7F35"/>
    <w:rsid w:val="007008B4"/>
    <w:rsid w:val="0070116E"/>
    <w:rsid w:val="007017B6"/>
    <w:rsid w:val="00701E0E"/>
    <w:rsid w:val="00704A16"/>
    <w:rsid w:val="00704CFA"/>
    <w:rsid w:val="007051DA"/>
    <w:rsid w:val="007059E9"/>
    <w:rsid w:val="00706FC7"/>
    <w:rsid w:val="007072F7"/>
    <w:rsid w:val="0070791A"/>
    <w:rsid w:val="00712999"/>
    <w:rsid w:val="00713F3F"/>
    <w:rsid w:val="00716058"/>
    <w:rsid w:val="00716F25"/>
    <w:rsid w:val="00717491"/>
    <w:rsid w:val="00717EF6"/>
    <w:rsid w:val="00720A9A"/>
    <w:rsid w:val="007217F4"/>
    <w:rsid w:val="00721BDC"/>
    <w:rsid w:val="00722589"/>
    <w:rsid w:val="007249B8"/>
    <w:rsid w:val="00727C39"/>
    <w:rsid w:val="00730EE1"/>
    <w:rsid w:val="007315AA"/>
    <w:rsid w:val="00733436"/>
    <w:rsid w:val="00734924"/>
    <w:rsid w:val="0073609B"/>
    <w:rsid w:val="0073705E"/>
    <w:rsid w:val="00742C2C"/>
    <w:rsid w:val="00742E50"/>
    <w:rsid w:val="007457FD"/>
    <w:rsid w:val="0075035E"/>
    <w:rsid w:val="0075332B"/>
    <w:rsid w:val="0075695D"/>
    <w:rsid w:val="00761227"/>
    <w:rsid w:val="00763D7D"/>
    <w:rsid w:val="00764A99"/>
    <w:rsid w:val="00764D37"/>
    <w:rsid w:val="00764D8E"/>
    <w:rsid w:val="0076515E"/>
    <w:rsid w:val="00766160"/>
    <w:rsid w:val="00770E16"/>
    <w:rsid w:val="00771D22"/>
    <w:rsid w:val="00775007"/>
    <w:rsid w:val="00782864"/>
    <w:rsid w:val="00784F3F"/>
    <w:rsid w:val="007875FD"/>
    <w:rsid w:val="007878C3"/>
    <w:rsid w:val="00787E66"/>
    <w:rsid w:val="00791B54"/>
    <w:rsid w:val="00795779"/>
    <w:rsid w:val="00796698"/>
    <w:rsid w:val="007972B9"/>
    <w:rsid w:val="00797AF6"/>
    <w:rsid w:val="007A05D9"/>
    <w:rsid w:val="007A13BF"/>
    <w:rsid w:val="007A3639"/>
    <w:rsid w:val="007A5279"/>
    <w:rsid w:val="007A7340"/>
    <w:rsid w:val="007B24A5"/>
    <w:rsid w:val="007C3160"/>
    <w:rsid w:val="007C5D5E"/>
    <w:rsid w:val="007C5FAA"/>
    <w:rsid w:val="007C60BD"/>
    <w:rsid w:val="007D295F"/>
    <w:rsid w:val="007D4484"/>
    <w:rsid w:val="007D49A7"/>
    <w:rsid w:val="007D5868"/>
    <w:rsid w:val="007D5EEC"/>
    <w:rsid w:val="007D600F"/>
    <w:rsid w:val="007E0AC6"/>
    <w:rsid w:val="007E0DE1"/>
    <w:rsid w:val="007E0F3F"/>
    <w:rsid w:val="007E1080"/>
    <w:rsid w:val="007E1B68"/>
    <w:rsid w:val="007E2727"/>
    <w:rsid w:val="007E4333"/>
    <w:rsid w:val="007E44FF"/>
    <w:rsid w:val="007E6E4D"/>
    <w:rsid w:val="007E6EEE"/>
    <w:rsid w:val="007E728A"/>
    <w:rsid w:val="007E7BC6"/>
    <w:rsid w:val="007F0BFF"/>
    <w:rsid w:val="007F2509"/>
    <w:rsid w:val="007F3471"/>
    <w:rsid w:val="007F4907"/>
    <w:rsid w:val="007F5248"/>
    <w:rsid w:val="007F573D"/>
    <w:rsid w:val="007F6DE2"/>
    <w:rsid w:val="0080360D"/>
    <w:rsid w:val="0080517C"/>
    <w:rsid w:val="008054EF"/>
    <w:rsid w:val="00806045"/>
    <w:rsid w:val="0080703C"/>
    <w:rsid w:val="00807C66"/>
    <w:rsid w:val="008125F8"/>
    <w:rsid w:val="0081487A"/>
    <w:rsid w:val="00814F05"/>
    <w:rsid w:val="00820106"/>
    <w:rsid w:val="0082011C"/>
    <w:rsid w:val="0082127F"/>
    <w:rsid w:val="0082167F"/>
    <w:rsid w:val="0082258D"/>
    <w:rsid w:val="00822BD4"/>
    <w:rsid w:val="00823614"/>
    <w:rsid w:val="008251D5"/>
    <w:rsid w:val="008262E0"/>
    <w:rsid w:val="00831899"/>
    <w:rsid w:val="008353BE"/>
    <w:rsid w:val="00836C39"/>
    <w:rsid w:val="00840605"/>
    <w:rsid w:val="008440DA"/>
    <w:rsid w:val="0084566E"/>
    <w:rsid w:val="0084760C"/>
    <w:rsid w:val="008553B6"/>
    <w:rsid w:val="00855D60"/>
    <w:rsid w:val="00857508"/>
    <w:rsid w:val="0085763C"/>
    <w:rsid w:val="00857B6E"/>
    <w:rsid w:val="00857E39"/>
    <w:rsid w:val="008605EB"/>
    <w:rsid w:val="00861878"/>
    <w:rsid w:val="00863B97"/>
    <w:rsid w:val="00864932"/>
    <w:rsid w:val="008651A5"/>
    <w:rsid w:val="00872F79"/>
    <w:rsid w:val="00873511"/>
    <w:rsid w:val="008744CC"/>
    <w:rsid w:val="00874D7F"/>
    <w:rsid w:val="00875501"/>
    <w:rsid w:val="0087619D"/>
    <w:rsid w:val="00881A2D"/>
    <w:rsid w:val="00881E5F"/>
    <w:rsid w:val="00882405"/>
    <w:rsid w:val="00882FA7"/>
    <w:rsid w:val="0089184B"/>
    <w:rsid w:val="008921FA"/>
    <w:rsid w:val="00894F7B"/>
    <w:rsid w:val="008964A9"/>
    <w:rsid w:val="008A0747"/>
    <w:rsid w:val="008A0996"/>
    <w:rsid w:val="008A1780"/>
    <w:rsid w:val="008A40EA"/>
    <w:rsid w:val="008A4A1D"/>
    <w:rsid w:val="008A58E2"/>
    <w:rsid w:val="008A5F56"/>
    <w:rsid w:val="008A735A"/>
    <w:rsid w:val="008A7E1E"/>
    <w:rsid w:val="008B2AFA"/>
    <w:rsid w:val="008B391F"/>
    <w:rsid w:val="008B6351"/>
    <w:rsid w:val="008B6740"/>
    <w:rsid w:val="008B697E"/>
    <w:rsid w:val="008B71CB"/>
    <w:rsid w:val="008C1C42"/>
    <w:rsid w:val="008C1EBA"/>
    <w:rsid w:val="008C27D9"/>
    <w:rsid w:val="008C32BE"/>
    <w:rsid w:val="008C3EB3"/>
    <w:rsid w:val="008C4DC6"/>
    <w:rsid w:val="008C56BC"/>
    <w:rsid w:val="008C5D03"/>
    <w:rsid w:val="008C5FA9"/>
    <w:rsid w:val="008C7978"/>
    <w:rsid w:val="008D22C0"/>
    <w:rsid w:val="008D33B7"/>
    <w:rsid w:val="008D3A94"/>
    <w:rsid w:val="008D450B"/>
    <w:rsid w:val="008D7547"/>
    <w:rsid w:val="008D7A4A"/>
    <w:rsid w:val="008D7B5E"/>
    <w:rsid w:val="008E1A4A"/>
    <w:rsid w:val="008E3575"/>
    <w:rsid w:val="008F19F2"/>
    <w:rsid w:val="008F3B22"/>
    <w:rsid w:val="008F421C"/>
    <w:rsid w:val="008F5D67"/>
    <w:rsid w:val="008F77F3"/>
    <w:rsid w:val="00901145"/>
    <w:rsid w:val="009019CE"/>
    <w:rsid w:val="00901E4A"/>
    <w:rsid w:val="00902275"/>
    <w:rsid w:val="00902D37"/>
    <w:rsid w:val="009030DD"/>
    <w:rsid w:val="009045BA"/>
    <w:rsid w:val="00906345"/>
    <w:rsid w:val="009070B2"/>
    <w:rsid w:val="00914BF3"/>
    <w:rsid w:val="00915BE5"/>
    <w:rsid w:val="00920CE2"/>
    <w:rsid w:val="00921035"/>
    <w:rsid w:val="00921457"/>
    <w:rsid w:val="00922BD2"/>
    <w:rsid w:val="009234A5"/>
    <w:rsid w:val="0092364B"/>
    <w:rsid w:val="0092373D"/>
    <w:rsid w:val="00924510"/>
    <w:rsid w:val="00925496"/>
    <w:rsid w:val="009303C1"/>
    <w:rsid w:val="009337DA"/>
    <w:rsid w:val="0093404B"/>
    <w:rsid w:val="009349AA"/>
    <w:rsid w:val="00935621"/>
    <w:rsid w:val="00937AC6"/>
    <w:rsid w:val="00940DF1"/>
    <w:rsid w:val="009413FF"/>
    <w:rsid w:val="00941E62"/>
    <w:rsid w:val="00942348"/>
    <w:rsid w:val="009455EF"/>
    <w:rsid w:val="00946902"/>
    <w:rsid w:val="00950394"/>
    <w:rsid w:val="00955198"/>
    <w:rsid w:val="0095543C"/>
    <w:rsid w:val="00956597"/>
    <w:rsid w:val="00957BFF"/>
    <w:rsid w:val="00957DE2"/>
    <w:rsid w:val="0096121A"/>
    <w:rsid w:val="00962294"/>
    <w:rsid w:val="009637EE"/>
    <w:rsid w:val="0096440E"/>
    <w:rsid w:val="0096641D"/>
    <w:rsid w:val="00966435"/>
    <w:rsid w:val="00966A73"/>
    <w:rsid w:val="00967730"/>
    <w:rsid w:val="00970EDB"/>
    <w:rsid w:val="009717F2"/>
    <w:rsid w:val="0097331B"/>
    <w:rsid w:val="00973E00"/>
    <w:rsid w:val="00977B9C"/>
    <w:rsid w:val="0098089D"/>
    <w:rsid w:val="00980A5C"/>
    <w:rsid w:val="00981F15"/>
    <w:rsid w:val="009827E0"/>
    <w:rsid w:val="00982F0D"/>
    <w:rsid w:val="00983ABA"/>
    <w:rsid w:val="009848B7"/>
    <w:rsid w:val="00985A7C"/>
    <w:rsid w:val="00985AFD"/>
    <w:rsid w:val="00987050"/>
    <w:rsid w:val="00991CBC"/>
    <w:rsid w:val="0099247C"/>
    <w:rsid w:val="00992E7E"/>
    <w:rsid w:val="00993BEA"/>
    <w:rsid w:val="009944AD"/>
    <w:rsid w:val="009953B4"/>
    <w:rsid w:val="009A46B4"/>
    <w:rsid w:val="009A4AA9"/>
    <w:rsid w:val="009A54BE"/>
    <w:rsid w:val="009A5634"/>
    <w:rsid w:val="009A6A1C"/>
    <w:rsid w:val="009B27AE"/>
    <w:rsid w:val="009B2B65"/>
    <w:rsid w:val="009B3F9E"/>
    <w:rsid w:val="009B61CA"/>
    <w:rsid w:val="009B6859"/>
    <w:rsid w:val="009B7446"/>
    <w:rsid w:val="009C0A13"/>
    <w:rsid w:val="009C1621"/>
    <w:rsid w:val="009C39AB"/>
    <w:rsid w:val="009C78B0"/>
    <w:rsid w:val="009D0259"/>
    <w:rsid w:val="009D0582"/>
    <w:rsid w:val="009D121C"/>
    <w:rsid w:val="009D43D1"/>
    <w:rsid w:val="009D4D00"/>
    <w:rsid w:val="009D50A5"/>
    <w:rsid w:val="009D5DC8"/>
    <w:rsid w:val="009D6017"/>
    <w:rsid w:val="009D7822"/>
    <w:rsid w:val="009E0A3B"/>
    <w:rsid w:val="009E1ACB"/>
    <w:rsid w:val="009E444A"/>
    <w:rsid w:val="009E5001"/>
    <w:rsid w:val="009E5EBC"/>
    <w:rsid w:val="009E7BA9"/>
    <w:rsid w:val="009F3F1B"/>
    <w:rsid w:val="009F4D26"/>
    <w:rsid w:val="009F53A0"/>
    <w:rsid w:val="009F5EBC"/>
    <w:rsid w:val="00A00CD8"/>
    <w:rsid w:val="00A02DDC"/>
    <w:rsid w:val="00A03559"/>
    <w:rsid w:val="00A049C7"/>
    <w:rsid w:val="00A04A25"/>
    <w:rsid w:val="00A05959"/>
    <w:rsid w:val="00A07CB1"/>
    <w:rsid w:val="00A12F61"/>
    <w:rsid w:val="00A1387A"/>
    <w:rsid w:val="00A1419F"/>
    <w:rsid w:val="00A1434B"/>
    <w:rsid w:val="00A144EA"/>
    <w:rsid w:val="00A14F93"/>
    <w:rsid w:val="00A177DF"/>
    <w:rsid w:val="00A21E95"/>
    <w:rsid w:val="00A2520C"/>
    <w:rsid w:val="00A25910"/>
    <w:rsid w:val="00A27CC5"/>
    <w:rsid w:val="00A316B1"/>
    <w:rsid w:val="00A35EA7"/>
    <w:rsid w:val="00A371A7"/>
    <w:rsid w:val="00A3794D"/>
    <w:rsid w:val="00A379BA"/>
    <w:rsid w:val="00A40B1E"/>
    <w:rsid w:val="00A42D4D"/>
    <w:rsid w:val="00A50770"/>
    <w:rsid w:val="00A50F18"/>
    <w:rsid w:val="00A51367"/>
    <w:rsid w:val="00A51641"/>
    <w:rsid w:val="00A5602F"/>
    <w:rsid w:val="00A57593"/>
    <w:rsid w:val="00A62AD7"/>
    <w:rsid w:val="00A637CA"/>
    <w:rsid w:val="00A7229B"/>
    <w:rsid w:val="00A733BB"/>
    <w:rsid w:val="00A75763"/>
    <w:rsid w:val="00A76622"/>
    <w:rsid w:val="00A77CCA"/>
    <w:rsid w:val="00A831CB"/>
    <w:rsid w:val="00A838FF"/>
    <w:rsid w:val="00A84B3C"/>
    <w:rsid w:val="00A8575A"/>
    <w:rsid w:val="00A85E29"/>
    <w:rsid w:val="00A860C0"/>
    <w:rsid w:val="00A86AA7"/>
    <w:rsid w:val="00A86BAA"/>
    <w:rsid w:val="00A93B26"/>
    <w:rsid w:val="00A93E83"/>
    <w:rsid w:val="00A9529F"/>
    <w:rsid w:val="00A952E7"/>
    <w:rsid w:val="00A96899"/>
    <w:rsid w:val="00A97226"/>
    <w:rsid w:val="00AA0307"/>
    <w:rsid w:val="00AA127E"/>
    <w:rsid w:val="00AA154C"/>
    <w:rsid w:val="00AA2102"/>
    <w:rsid w:val="00AA3894"/>
    <w:rsid w:val="00AA5483"/>
    <w:rsid w:val="00AA5AC2"/>
    <w:rsid w:val="00AA6155"/>
    <w:rsid w:val="00AA6A22"/>
    <w:rsid w:val="00AA6AD8"/>
    <w:rsid w:val="00AA6D05"/>
    <w:rsid w:val="00AB07DC"/>
    <w:rsid w:val="00AB0808"/>
    <w:rsid w:val="00AB1031"/>
    <w:rsid w:val="00AB1D11"/>
    <w:rsid w:val="00AB48F3"/>
    <w:rsid w:val="00AC0641"/>
    <w:rsid w:val="00AC1464"/>
    <w:rsid w:val="00AC1B93"/>
    <w:rsid w:val="00AC55BE"/>
    <w:rsid w:val="00AD0842"/>
    <w:rsid w:val="00AD503A"/>
    <w:rsid w:val="00AE0F54"/>
    <w:rsid w:val="00AE1608"/>
    <w:rsid w:val="00AF0896"/>
    <w:rsid w:val="00AF14FF"/>
    <w:rsid w:val="00AF1F29"/>
    <w:rsid w:val="00AF20BD"/>
    <w:rsid w:val="00AF2743"/>
    <w:rsid w:val="00AF5FE1"/>
    <w:rsid w:val="00B010B3"/>
    <w:rsid w:val="00B0169B"/>
    <w:rsid w:val="00B02154"/>
    <w:rsid w:val="00B02932"/>
    <w:rsid w:val="00B070CD"/>
    <w:rsid w:val="00B07805"/>
    <w:rsid w:val="00B07D02"/>
    <w:rsid w:val="00B07D20"/>
    <w:rsid w:val="00B11411"/>
    <w:rsid w:val="00B11628"/>
    <w:rsid w:val="00B1166D"/>
    <w:rsid w:val="00B119B8"/>
    <w:rsid w:val="00B130AC"/>
    <w:rsid w:val="00B13D91"/>
    <w:rsid w:val="00B15347"/>
    <w:rsid w:val="00B2003A"/>
    <w:rsid w:val="00B201FF"/>
    <w:rsid w:val="00B206B1"/>
    <w:rsid w:val="00B208ED"/>
    <w:rsid w:val="00B25B9C"/>
    <w:rsid w:val="00B26DD9"/>
    <w:rsid w:val="00B31E69"/>
    <w:rsid w:val="00B333A7"/>
    <w:rsid w:val="00B34E70"/>
    <w:rsid w:val="00B36547"/>
    <w:rsid w:val="00B37CD3"/>
    <w:rsid w:val="00B40342"/>
    <w:rsid w:val="00B40611"/>
    <w:rsid w:val="00B42429"/>
    <w:rsid w:val="00B4531E"/>
    <w:rsid w:val="00B462FA"/>
    <w:rsid w:val="00B47925"/>
    <w:rsid w:val="00B50E26"/>
    <w:rsid w:val="00B519E9"/>
    <w:rsid w:val="00B5488D"/>
    <w:rsid w:val="00B551C7"/>
    <w:rsid w:val="00B55A1C"/>
    <w:rsid w:val="00B57785"/>
    <w:rsid w:val="00B60082"/>
    <w:rsid w:val="00B613B6"/>
    <w:rsid w:val="00B61668"/>
    <w:rsid w:val="00B61903"/>
    <w:rsid w:val="00B62506"/>
    <w:rsid w:val="00B673A7"/>
    <w:rsid w:val="00B67715"/>
    <w:rsid w:val="00B7091C"/>
    <w:rsid w:val="00B71289"/>
    <w:rsid w:val="00B72B6A"/>
    <w:rsid w:val="00B737F3"/>
    <w:rsid w:val="00B73919"/>
    <w:rsid w:val="00B740C3"/>
    <w:rsid w:val="00B7517C"/>
    <w:rsid w:val="00B759F3"/>
    <w:rsid w:val="00B75C32"/>
    <w:rsid w:val="00B774F4"/>
    <w:rsid w:val="00B77E60"/>
    <w:rsid w:val="00B80E1D"/>
    <w:rsid w:val="00B8302E"/>
    <w:rsid w:val="00B838D1"/>
    <w:rsid w:val="00B84DEA"/>
    <w:rsid w:val="00B931D8"/>
    <w:rsid w:val="00B93942"/>
    <w:rsid w:val="00B9445A"/>
    <w:rsid w:val="00B94AD5"/>
    <w:rsid w:val="00B96F06"/>
    <w:rsid w:val="00B97453"/>
    <w:rsid w:val="00BA09E7"/>
    <w:rsid w:val="00BA0F7A"/>
    <w:rsid w:val="00BA1EB9"/>
    <w:rsid w:val="00BA42F7"/>
    <w:rsid w:val="00BA7634"/>
    <w:rsid w:val="00BB13F0"/>
    <w:rsid w:val="00BB143F"/>
    <w:rsid w:val="00BB2203"/>
    <w:rsid w:val="00BB280C"/>
    <w:rsid w:val="00BB5AF5"/>
    <w:rsid w:val="00BC0D92"/>
    <w:rsid w:val="00BC250D"/>
    <w:rsid w:val="00BC46E7"/>
    <w:rsid w:val="00BC5105"/>
    <w:rsid w:val="00BC52D1"/>
    <w:rsid w:val="00BC546A"/>
    <w:rsid w:val="00BD2853"/>
    <w:rsid w:val="00BD6688"/>
    <w:rsid w:val="00BD6EEE"/>
    <w:rsid w:val="00BD78E0"/>
    <w:rsid w:val="00BD7DC6"/>
    <w:rsid w:val="00BE2D3E"/>
    <w:rsid w:val="00BE39AD"/>
    <w:rsid w:val="00BE4FF5"/>
    <w:rsid w:val="00BF035D"/>
    <w:rsid w:val="00BF21BB"/>
    <w:rsid w:val="00BF3CD8"/>
    <w:rsid w:val="00BF429A"/>
    <w:rsid w:val="00BF49B3"/>
    <w:rsid w:val="00BF57CA"/>
    <w:rsid w:val="00BF785E"/>
    <w:rsid w:val="00C00330"/>
    <w:rsid w:val="00C0079F"/>
    <w:rsid w:val="00C00D11"/>
    <w:rsid w:val="00C01CC7"/>
    <w:rsid w:val="00C0242F"/>
    <w:rsid w:val="00C046E9"/>
    <w:rsid w:val="00C050D6"/>
    <w:rsid w:val="00C0750B"/>
    <w:rsid w:val="00C116BF"/>
    <w:rsid w:val="00C133DB"/>
    <w:rsid w:val="00C14DB6"/>
    <w:rsid w:val="00C1563C"/>
    <w:rsid w:val="00C174C9"/>
    <w:rsid w:val="00C17AFC"/>
    <w:rsid w:val="00C211A6"/>
    <w:rsid w:val="00C213D2"/>
    <w:rsid w:val="00C2166B"/>
    <w:rsid w:val="00C30D4C"/>
    <w:rsid w:val="00C43F09"/>
    <w:rsid w:val="00C44AF6"/>
    <w:rsid w:val="00C45E59"/>
    <w:rsid w:val="00C504CE"/>
    <w:rsid w:val="00C5230C"/>
    <w:rsid w:val="00C564C2"/>
    <w:rsid w:val="00C5688F"/>
    <w:rsid w:val="00C569C1"/>
    <w:rsid w:val="00C5765C"/>
    <w:rsid w:val="00C61FAF"/>
    <w:rsid w:val="00C62657"/>
    <w:rsid w:val="00C626BF"/>
    <w:rsid w:val="00C6379D"/>
    <w:rsid w:val="00C66EF6"/>
    <w:rsid w:val="00C67621"/>
    <w:rsid w:val="00C6769B"/>
    <w:rsid w:val="00C74FBB"/>
    <w:rsid w:val="00C75182"/>
    <w:rsid w:val="00C7714A"/>
    <w:rsid w:val="00C77551"/>
    <w:rsid w:val="00C77DD9"/>
    <w:rsid w:val="00C81710"/>
    <w:rsid w:val="00C81DDD"/>
    <w:rsid w:val="00C8384C"/>
    <w:rsid w:val="00C84A01"/>
    <w:rsid w:val="00C90948"/>
    <w:rsid w:val="00C90D34"/>
    <w:rsid w:val="00C93460"/>
    <w:rsid w:val="00C960CB"/>
    <w:rsid w:val="00C964DA"/>
    <w:rsid w:val="00C969AE"/>
    <w:rsid w:val="00C9724B"/>
    <w:rsid w:val="00C97B38"/>
    <w:rsid w:val="00CA0825"/>
    <w:rsid w:val="00CA246D"/>
    <w:rsid w:val="00CA50D9"/>
    <w:rsid w:val="00CA6FB6"/>
    <w:rsid w:val="00CA7198"/>
    <w:rsid w:val="00CB05D9"/>
    <w:rsid w:val="00CB07EE"/>
    <w:rsid w:val="00CC0F77"/>
    <w:rsid w:val="00CC334C"/>
    <w:rsid w:val="00CC3556"/>
    <w:rsid w:val="00CC37AF"/>
    <w:rsid w:val="00CC43D3"/>
    <w:rsid w:val="00CC4F41"/>
    <w:rsid w:val="00CC5E10"/>
    <w:rsid w:val="00CC6CEB"/>
    <w:rsid w:val="00CD0093"/>
    <w:rsid w:val="00CD076A"/>
    <w:rsid w:val="00CD10CB"/>
    <w:rsid w:val="00CD11E8"/>
    <w:rsid w:val="00CD1BC5"/>
    <w:rsid w:val="00CD1E22"/>
    <w:rsid w:val="00CD263F"/>
    <w:rsid w:val="00CD35FF"/>
    <w:rsid w:val="00CD6F70"/>
    <w:rsid w:val="00CE063D"/>
    <w:rsid w:val="00CE065D"/>
    <w:rsid w:val="00CE2F4E"/>
    <w:rsid w:val="00CE407B"/>
    <w:rsid w:val="00CE4DA0"/>
    <w:rsid w:val="00CE79D6"/>
    <w:rsid w:val="00CF0006"/>
    <w:rsid w:val="00CF5571"/>
    <w:rsid w:val="00D01120"/>
    <w:rsid w:val="00D017D3"/>
    <w:rsid w:val="00D03587"/>
    <w:rsid w:val="00D03B81"/>
    <w:rsid w:val="00D048BD"/>
    <w:rsid w:val="00D05A25"/>
    <w:rsid w:val="00D06A81"/>
    <w:rsid w:val="00D109B7"/>
    <w:rsid w:val="00D12AC7"/>
    <w:rsid w:val="00D16089"/>
    <w:rsid w:val="00D160FC"/>
    <w:rsid w:val="00D16867"/>
    <w:rsid w:val="00D20A3E"/>
    <w:rsid w:val="00D21440"/>
    <w:rsid w:val="00D2413C"/>
    <w:rsid w:val="00D25B2A"/>
    <w:rsid w:val="00D25C2C"/>
    <w:rsid w:val="00D25FDC"/>
    <w:rsid w:val="00D260CD"/>
    <w:rsid w:val="00D30023"/>
    <w:rsid w:val="00D3247A"/>
    <w:rsid w:val="00D334BD"/>
    <w:rsid w:val="00D35483"/>
    <w:rsid w:val="00D35888"/>
    <w:rsid w:val="00D364C6"/>
    <w:rsid w:val="00D41940"/>
    <w:rsid w:val="00D42DE5"/>
    <w:rsid w:val="00D42F97"/>
    <w:rsid w:val="00D43DB0"/>
    <w:rsid w:val="00D44CE3"/>
    <w:rsid w:val="00D45FDA"/>
    <w:rsid w:val="00D469A8"/>
    <w:rsid w:val="00D46D65"/>
    <w:rsid w:val="00D51084"/>
    <w:rsid w:val="00D51A64"/>
    <w:rsid w:val="00D534DA"/>
    <w:rsid w:val="00D53942"/>
    <w:rsid w:val="00D54F63"/>
    <w:rsid w:val="00D55EF2"/>
    <w:rsid w:val="00D5765E"/>
    <w:rsid w:val="00D604C3"/>
    <w:rsid w:val="00D60F9E"/>
    <w:rsid w:val="00D61C24"/>
    <w:rsid w:val="00D620EB"/>
    <w:rsid w:val="00D62D11"/>
    <w:rsid w:val="00D6447D"/>
    <w:rsid w:val="00D66298"/>
    <w:rsid w:val="00D718DE"/>
    <w:rsid w:val="00D719E8"/>
    <w:rsid w:val="00D71EED"/>
    <w:rsid w:val="00D7391A"/>
    <w:rsid w:val="00D74AAD"/>
    <w:rsid w:val="00D75ABB"/>
    <w:rsid w:val="00D77761"/>
    <w:rsid w:val="00D83EF1"/>
    <w:rsid w:val="00D93A5E"/>
    <w:rsid w:val="00D94C1A"/>
    <w:rsid w:val="00D94F92"/>
    <w:rsid w:val="00D95394"/>
    <w:rsid w:val="00D959B7"/>
    <w:rsid w:val="00D96021"/>
    <w:rsid w:val="00D97308"/>
    <w:rsid w:val="00D97B8A"/>
    <w:rsid w:val="00DA0AA5"/>
    <w:rsid w:val="00DA2A5E"/>
    <w:rsid w:val="00DA4AF6"/>
    <w:rsid w:val="00DA6173"/>
    <w:rsid w:val="00DB08BE"/>
    <w:rsid w:val="00DB0F72"/>
    <w:rsid w:val="00DB131E"/>
    <w:rsid w:val="00DB1AD6"/>
    <w:rsid w:val="00DB1DA7"/>
    <w:rsid w:val="00DB2F04"/>
    <w:rsid w:val="00DB4549"/>
    <w:rsid w:val="00DB5FCC"/>
    <w:rsid w:val="00DB6033"/>
    <w:rsid w:val="00DC0FC0"/>
    <w:rsid w:val="00DC5A63"/>
    <w:rsid w:val="00DD0265"/>
    <w:rsid w:val="00DD1663"/>
    <w:rsid w:val="00DD296E"/>
    <w:rsid w:val="00DD37D9"/>
    <w:rsid w:val="00DE26A8"/>
    <w:rsid w:val="00DE2BFF"/>
    <w:rsid w:val="00DE2C94"/>
    <w:rsid w:val="00DE3753"/>
    <w:rsid w:val="00DE5FB4"/>
    <w:rsid w:val="00DE6A3E"/>
    <w:rsid w:val="00DE72D6"/>
    <w:rsid w:val="00DF165B"/>
    <w:rsid w:val="00DF1776"/>
    <w:rsid w:val="00DF2855"/>
    <w:rsid w:val="00DF3823"/>
    <w:rsid w:val="00E001AC"/>
    <w:rsid w:val="00E018E5"/>
    <w:rsid w:val="00E02E04"/>
    <w:rsid w:val="00E03730"/>
    <w:rsid w:val="00E05EDC"/>
    <w:rsid w:val="00E06BBC"/>
    <w:rsid w:val="00E06DBC"/>
    <w:rsid w:val="00E071DB"/>
    <w:rsid w:val="00E10A48"/>
    <w:rsid w:val="00E1102A"/>
    <w:rsid w:val="00E1120C"/>
    <w:rsid w:val="00E12106"/>
    <w:rsid w:val="00E1337A"/>
    <w:rsid w:val="00E141F3"/>
    <w:rsid w:val="00E14A0A"/>
    <w:rsid w:val="00E15851"/>
    <w:rsid w:val="00E1656B"/>
    <w:rsid w:val="00E20114"/>
    <w:rsid w:val="00E20BF2"/>
    <w:rsid w:val="00E214D2"/>
    <w:rsid w:val="00E24066"/>
    <w:rsid w:val="00E24C04"/>
    <w:rsid w:val="00E251DA"/>
    <w:rsid w:val="00E258C1"/>
    <w:rsid w:val="00E26F57"/>
    <w:rsid w:val="00E30E33"/>
    <w:rsid w:val="00E31EB5"/>
    <w:rsid w:val="00E32561"/>
    <w:rsid w:val="00E34FAA"/>
    <w:rsid w:val="00E359AA"/>
    <w:rsid w:val="00E36ACB"/>
    <w:rsid w:val="00E36CF7"/>
    <w:rsid w:val="00E51C1D"/>
    <w:rsid w:val="00E57365"/>
    <w:rsid w:val="00E576F5"/>
    <w:rsid w:val="00E6040C"/>
    <w:rsid w:val="00E60493"/>
    <w:rsid w:val="00E60759"/>
    <w:rsid w:val="00E60B9B"/>
    <w:rsid w:val="00E63E7C"/>
    <w:rsid w:val="00E66ACD"/>
    <w:rsid w:val="00E6776D"/>
    <w:rsid w:val="00E714C8"/>
    <w:rsid w:val="00E73202"/>
    <w:rsid w:val="00E74802"/>
    <w:rsid w:val="00E76093"/>
    <w:rsid w:val="00E76654"/>
    <w:rsid w:val="00E76DA5"/>
    <w:rsid w:val="00E77B1A"/>
    <w:rsid w:val="00E818AC"/>
    <w:rsid w:val="00E838D7"/>
    <w:rsid w:val="00E83BA9"/>
    <w:rsid w:val="00E909E1"/>
    <w:rsid w:val="00E92D4E"/>
    <w:rsid w:val="00E97EFA"/>
    <w:rsid w:val="00EA0B96"/>
    <w:rsid w:val="00EA0BC0"/>
    <w:rsid w:val="00EA1526"/>
    <w:rsid w:val="00EA1767"/>
    <w:rsid w:val="00EA1CD5"/>
    <w:rsid w:val="00EA26C7"/>
    <w:rsid w:val="00EA319C"/>
    <w:rsid w:val="00EA39BB"/>
    <w:rsid w:val="00EA4FC6"/>
    <w:rsid w:val="00EA5103"/>
    <w:rsid w:val="00EA5A0D"/>
    <w:rsid w:val="00EA5B6D"/>
    <w:rsid w:val="00EA6299"/>
    <w:rsid w:val="00EA6403"/>
    <w:rsid w:val="00EA7115"/>
    <w:rsid w:val="00EB0487"/>
    <w:rsid w:val="00EB05C2"/>
    <w:rsid w:val="00EB22DA"/>
    <w:rsid w:val="00EB23DE"/>
    <w:rsid w:val="00EC3264"/>
    <w:rsid w:val="00EC43C5"/>
    <w:rsid w:val="00EC7A92"/>
    <w:rsid w:val="00ED12DE"/>
    <w:rsid w:val="00ED38B9"/>
    <w:rsid w:val="00ED5972"/>
    <w:rsid w:val="00ED60E0"/>
    <w:rsid w:val="00ED7A73"/>
    <w:rsid w:val="00EE0F7C"/>
    <w:rsid w:val="00EE4B0F"/>
    <w:rsid w:val="00EF0C5E"/>
    <w:rsid w:val="00EF2D9F"/>
    <w:rsid w:val="00EF4A06"/>
    <w:rsid w:val="00EF5213"/>
    <w:rsid w:val="00EF5E30"/>
    <w:rsid w:val="00EF7FDB"/>
    <w:rsid w:val="00F00E59"/>
    <w:rsid w:val="00F00E97"/>
    <w:rsid w:val="00F024A6"/>
    <w:rsid w:val="00F0475D"/>
    <w:rsid w:val="00F04A19"/>
    <w:rsid w:val="00F051D2"/>
    <w:rsid w:val="00F070BE"/>
    <w:rsid w:val="00F1214E"/>
    <w:rsid w:val="00F12651"/>
    <w:rsid w:val="00F1643A"/>
    <w:rsid w:val="00F20677"/>
    <w:rsid w:val="00F23C79"/>
    <w:rsid w:val="00F240BB"/>
    <w:rsid w:val="00F242F0"/>
    <w:rsid w:val="00F24F7B"/>
    <w:rsid w:val="00F30711"/>
    <w:rsid w:val="00F3261B"/>
    <w:rsid w:val="00F365C4"/>
    <w:rsid w:val="00F36AE2"/>
    <w:rsid w:val="00F36BB0"/>
    <w:rsid w:val="00F371D9"/>
    <w:rsid w:val="00F37A96"/>
    <w:rsid w:val="00F43666"/>
    <w:rsid w:val="00F45864"/>
    <w:rsid w:val="00F45B13"/>
    <w:rsid w:val="00F51111"/>
    <w:rsid w:val="00F513A5"/>
    <w:rsid w:val="00F53649"/>
    <w:rsid w:val="00F5422C"/>
    <w:rsid w:val="00F54CD5"/>
    <w:rsid w:val="00F55D9A"/>
    <w:rsid w:val="00F55F5D"/>
    <w:rsid w:val="00F5787A"/>
    <w:rsid w:val="00F57FD4"/>
    <w:rsid w:val="00F60784"/>
    <w:rsid w:val="00F6241B"/>
    <w:rsid w:val="00F62CEF"/>
    <w:rsid w:val="00F638B4"/>
    <w:rsid w:val="00F64500"/>
    <w:rsid w:val="00F6501E"/>
    <w:rsid w:val="00F65CF0"/>
    <w:rsid w:val="00F66C37"/>
    <w:rsid w:val="00F66FEB"/>
    <w:rsid w:val="00F6761C"/>
    <w:rsid w:val="00F70AB3"/>
    <w:rsid w:val="00F71CCC"/>
    <w:rsid w:val="00F73483"/>
    <w:rsid w:val="00F736DB"/>
    <w:rsid w:val="00F7565F"/>
    <w:rsid w:val="00F757AE"/>
    <w:rsid w:val="00F76DBA"/>
    <w:rsid w:val="00F7707C"/>
    <w:rsid w:val="00F82E64"/>
    <w:rsid w:val="00F8431A"/>
    <w:rsid w:val="00F869F0"/>
    <w:rsid w:val="00F92509"/>
    <w:rsid w:val="00F9257C"/>
    <w:rsid w:val="00F934B0"/>
    <w:rsid w:val="00F952BC"/>
    <w:rsid w:val="00F95844"/>
    <w:rsid w:val="00F96766"/>
    <w:rsid w:val="00F979B8"/>
    <w:rsid w:val="00FA08E7"/>
    <w:rsid w:val="00FA13D2"/>
    <w:rsid w:val="00FA2CE8"/>
    <w:rsid w:val="00FA3879"/>
    <w:rsid w:val="00FA3A0D"/>
    <w:rsid w:val="00FA4F5C"/>
    <w:rsid w:val="00FA664A"/>
    <w:rsid w:val="00FA76B7"/>
    <w:rsid w:val="00FA7AA1"/>
    <w:rsid w:val="00FB1042"/>
    <w:rsid w:val="00FB1A4B"/>
    <w:rsid w:val="00FB2310"/>
    <w:rsid w:val="00FB355E"/>
    <w:rsid w:val="00FB36B3"/>
    <w:rsid w:val="00FB3B41"/>
    <w:rsid w:val="00FB3F19"/>
    <w:rsid w:val="00FB66E9"/>
    <w:rsid w:val="00FB6EAD"/>
    <w:rsid w:val="00FC0128"/>
    <w:rsid w:val="00FC44A3"/>
    <w:rsid w:val="00FC5920"/>
    <w:rsid w:val="00FC5F43"/>
    <w:rsid w:val="00FC7F83"/>
    <w:rsid w:val="00FD0453"/>
    <w:rsid w:val="00FD13D5"/>
    <w:rsid w:val="00FD4C6A"/>
    <w:rsid w:val="00FD6164"/>
    <w:rsid w:val="00FD6D3D"/>
    <w:rsid w:val="00FE0165"/>
    <w:rsid w:val="00FE05F6"/>
    <w:rsid w:val="00FE2AD8"/>
    <w:rsid w:val="00FE335F"/>
    <w:rsid w:val="00FE3B07"/>
    <w:rsid w:val="00FE704F"/>
    <w:rsid w:val="00FE705E"/>
    <w:rsid w:val="00FE790B"/>
    <w:rsid w:val="00FE7E59"/>
    <w:rsid w:val="00FF0E68"/>
    <w:rsid w:val="00FF1081"/>
    <w:rsid w:val="00FF10FA"/>
    <w:rsid w:val="00FF223A"/>
    <w:rsid w:val="00FF3171"/>
    <w:rsid w:val="01D803E5"/>
    <w:rsid w:val="01E07299"/>
    <w:rsid w:val="01F3521E"/>
    <w:rsid w:val="020410A9"/>
    <w:rsid w:val="020F621C"/>
    <w:rsid w:val="02290C40"/>
    <w:rsid w:val="025649A5"/>
    <w:rsid w:val="028B36A9"/>
    <w:rsid w:val="02A14C7A"/>
    <w:rsid w:val="02B71386"/>
    <w:rsid w:val="02D432A2"/>
    <w:rsid w:val="03041433"/>
    <w:rsid w:val="03506580"/>
    <w:rsid w:val="03C0118E"/>
    <w:rsid w:val="04387860"/>
    <w:rsid w:val="043D4E77"/>
    <w:rsid w:val="0475016D"/>
    <w:rsid w:val="05031C1C"/>
    <w:rsid w:val="05F61781"/>
    <w:rsid w:val="06473D8B"/>
    <w:rsid w:val="06562220"/>
    <w:rsid w:val="06E25862"/>
    <w:rsid w:val="07131EBF"/>
    <w:rsid w:val="07443763"/>
    <w:rsid w:val="07A34FF1"/>
    <w:rsid w:val="07BA49ED"/>
    <w:rsid w:val="07C02047"/>
    <w:rsid w:val="07C733D5"/>
    <w:rsid w:val="08534C69"/>
    <w:rsid w:val="0865499C"/>
    <w:rsid w:val="090B10A0"/>
    <w:rsid w:val="092B7FA2"/>
    <w:rsid w:val="09376339"/>
    <w:rsid w:val="09436A8B"/>
    <w:rsid w:val="09954E0D"/>
    <w:rsid w:val="09E162A4"/>
    <w:rsid w:val="0A7E3AF3"/>
    <w:rsid w:val="0A943317"/>
    <w:rsid w:val="0A982E07"/>
    <w:rsid w:val="0A984BB5"/>
    <w:rsid w:val="0AC345EC"/>
    <w:rsid w:val="0B043FF8"/>
    <w:rsid w:val="0B8769D7"/>
    <w:rsid w:val="0BF57DE5"/>
    <w:rsid w:val="0C4A0131"/>
    <w:rsid w:val="0C523489"/>
    <w:rsid w:val="0C935725"/>
    <w:rsid w:val="0CE00754"/>
    <w:rsid w:val="0D2342C8"/>
    <w:rsid w:val="0DDC300B"/>
    <w:rsid w:val="0E3A41D5"/>
    <w:rsid w:val="0E3E1F17"/>
    <w:rsid w:val="0E4868F2"/>
    <w:rsid w:val="0E6574A4"/>
    <w:rsid w:val="0E9953A0"/>
    <w:rsid w:val="0EA31D7A"/>
    <w:rsid w:val="0F713C26"/>
    <w:rsid w:val="0F747896"/>
    <w:rsid w:val="10030D22"/>
    <w:rsid w:val="10961B97"/>
    <w:rsid w:val="10A818CA"/>
    <w:rsid w:val="12DF0704"/>
    <w:rsid w:val="12E36BE9"/>
    <w:rsid w:val="133E2072"/>
    <w:rsid w:val="13B50586"/>
    <w:rsid w:val="13DD188A"/>
    <w:rsid w:val="14123C2A"/>
    <w:rsid w:val="1448764C"/>
    <w:rsid w:val="14534C64"/>
    <w:rsid w:val="14A30D26"/>
    <w:rsid w:val="14C50C9C"/>
    <w:rsid w:val="14D64C58"/>
    <w:rsid w:val="151E215B"/>
    <w:rsid w:val="156C736A"/>
    <w:rsid w:val="15F22A72"/>
    <w:rsid w:val="160B65B8"/>
    <w:rsid w:val="161812A0"/>
    <w:rsid w:val="16881F81"/>
    <w:rsid w:val="16D3646B"/>
    <w:rsid w:val="17487963"/>
    <w:rsid w:val="179F790B"/>
    <w:rsid w:val="181B00DE"/>
    <w:rsid w:val="18354B4A"/>
    <w:rsid w:val="18934C0E"/>
    <w:rsid w:val="18EB2C9C"/>
    <w:rsid w:val="1A693E78"/>
    <w:rsid w:val="1A6F1CDF"/>
    <w:rsid w:val="1AAA261B"/>
    <w:rsid w:val="1AAC634A"/>
    <w:rsid w:val="1AD75285"/>
    <w:rsid w:val="1B2A7AAB"/>
    <w:rsid w:val="1BB2184F"/>
    <w:rsid w:val="1BDB0DA5"/>
    <w:rsid w:val="1BF6706B"/>
    <w:rsid w:val="1C1F5136"/>
    <w:rsid w:val="1CF3211F"/>
    <w:rsid w:val="1CF9552A"/>
    <w:rsid w:val="1CFD4BB7"/>
    <w:rsid w:val="1D1E7436"/>
    <w:rsid w:val="1D81772B"/>
    <w:rsid w:val="1D9C27B6"/>
    <w:rsid w:val="1DB47B00"/>
    <w:rsid w:val="1DDC2BB3"/>
    <w:rsid w:val="1E5310C7"/>
    <w:rsid w:val="1E5D1F46"/>
    <w:rsid w:val="1E7352C5"/>
    <w:rsid w:val="1E967206"/>
    <w:rsid w:val="1EE97BD3"/>
    <w:rsid w:val="1F3F5AEF"/>
    <w:rsid w:val="1FAA11BB"/>
    <w:rsid w:val="20473BA3"/>
    <w:rsid w:val="20517888"/>
    <w:rsid w:val="20621A95"/>
    <w:rsid w:val="206550E2"/>
    <w:rsid w:val="209D487B"/>
    <w:rsid w:val="20A7394C"/>
    <w:rsid w:val="21035972"/>
    <w:rsid w:val="21246D4B"/>
    <w:rsid w:val="212D20A3"/>
    <w:rsid w:val="21780E44"/>
    <w:rsid w:val="218A4072"/>
    <w:rsid w:val="21AF0D0A"/>
    <w:rsid w:val="22A00653"/>
    <w:rsid w:val="22C205C9"/>
    <w:rsid w:val="23971A56"/>
    <w:rsid w:val="239D4B92"/>
    <w:rsid w:val="23D74548"/>
    <w:rsid w:val="23DD1433"/>
    <w:rsid w:val="24194B61"/>
    <w:rsid w:val="247E2C16"/>
    <w:rsid w:val="24903D54"/>
    <w:rsid w:val="24BB79C6"/>
    <w:rsid w:val="24F4656C"/>
    <w:rsid w:val="252F3F10"/>
    <w:rsid w:val="25F211C5"/>
    <w:rsid w:val="260D5FFF"/>
    <w:rsid w:val="264A2D58"/>
    <w:rsid w:val="266F6CBA"/>
    <w:rsid w:val="269229A8"/>
    <w:rsid w:val="26A1499A"/>
    <w:rsid w:val="27475E96"/>
    <w:rsid w:val="27871DE1"/>
    <w:rsid w:val="27EB2370"/>
    <w:rsid w:val="285717B4"/>
    <w:rsid w:val="28902F18"/>
    <w:rsid w:val="29177195"/>
    <w:rsid w:val="293164A9"/>
    <w:rsid w:val="29982084"/>
    <w:rsid w:val="299D58EC"/>
    <w:rsid w:val="29AC0C5F"/>
    <w:rsid w:val="29BF5862"/>
    <w:rsid w:val="2A12478B"/>
    <w:rsid w:val="2AC375D4"/>
    <w:rsid w:val="2B0A6292"/>
    <w:rsid w:val="2B3109E2"/>
    <w:rsid w:val="2B852ADC"/>
    <w:rsid w:val="2BE912BD"/>
    <w:rsid w:val="2C4402A1"/>
    <w:rsid w:val="2C8B2374"/>
    <w:rsid w:val="2CBA67B5"/>
    <w:rsid w:val="2CC118F2"/>
    <w:rsid w:val="2D0363AE"/>
    <w:rsid w:val="2D300825"/>
    <w:rsid w:val="2D6A1F89"/>
    <w:rsid w:val="2E083F3B"/>
    <w:rsid w:val="2EAF0755"/>
    <w:rsid w:val="2F012479"/>
    <w:rsid w:val="2FB27C17"/>
    <w:rsid w:val="307B59E5"/>
    <w:rsid w:val="30F6418C"/>
    <w:rsid w:val="31717D8A"/>
    <w:rsid w:val="31AB0563"/>
    <w:rsid w:val="32C40510"/>
    <w:rsid w:val="33BC72B7"/>
    <w:rsid w:val="33D20888"/>
    <w:rsid w:val="341744ED"/>
    <w:rsid w:val="341E3ACD"/>
    <w:rsid w:val="34237336"/>
    <w:rsid w:val="34733E19"/>
    <w:rsid w:val="34D41B0D"/>
    <w:rsid w:val="350607E9"/>
    <w:rsid w:val="352922AF"/>
    <w:rsid w:val="353115DE"/>
    <w:rsid w:val="35814314"/>
    <w:rsid w:val="35973B37"/>
    <w:rsid w:val="35A95619"/>
    <w:rsid w:val="35C44DEE"/>
    <w:rsid w:val="35C9101D"/>
    <w:rsid w:val="35D46B3A"/>
    <w:rsid w:val="35F8791E"/>
    <w:rsid w:val="36B83D65"/>
    <w:rsid w:val="36E326B9"/>
    <w:rsid w:val="377C4D93"/>
    <w:rsid w:val="37E62B54"/>
    <w:rsid w:val="381661D8"/>
    <w:rsid w:val="38405E56"/>
    <w:rsid w:val="38E56968"/>
    <w:rsid w:val="39180AEB"/>
    <w:rsid w:val="396F26D5"/>
    <w:rsid w:val="39822409"/>
    <w:rsid w:val="39AE1450"/>
    <w:rsid w:val="39C72511"/>
    <w:rsid w:val="39FA28E7"/>
    <w:rsid w:val="3A06128C"/>
    <w:rsid w:val="3A4941CF"/>
    <w:rsid w:val="3A8A3C6B"/>
    <w:rsid w:val="3B2319C9"/>
    <w:rsid w:val="3B312DF4"/>
    <w:rsid w:val="3B64198D"/>
    <w:rsid w:val="3B8E32E7"/>
    <w:rsid w:val="3BC0486E"/>
    <w:rsid w:val="3C2B4FD9"/>
    <w:rsid w:val="3C805325"/>
    <w:rsid w:val="3CCB0BE1"/>
    <w:rsid w:val="3D9902ED"/>
    <w:rsid w:val="3E0E4BB3"/>
    <w:rsid w:val="3E55633E"/>
    <w:rsid w:val="3E8665B1"/>
    <w:rsid w:val="3F872A6E"/>
    <w:rsid w:val="4004626D"/>
    <w:rsid w:val="40640ABA"/>
    <w:rsid w:val="407C4056"/>
    <w:rsid w:val="40907B01"/>
    <w:rsid w:val="40A47108"/>
    <w:rsid w:val="40F64D19"/>
    <w:rsid w:val="40F97454"/>
    <w:rsid w:val="414E6551"/>
    <w:rsid w:val="416E7E42"/>
    <w:rsid w:val="417C1E33"/>
    <w:rsid w:val="41AA2E44"/>
    <w:rsid w:val="41ED07ED"/>
    <w:rsid w:val="41FB36A0"/>
    <w:rsid w:val="4208360A"/>
    <w:rsid w:val="42310E70"/>
    <w:rsid w:val="423D5A66"/>
    <w:rsid w:val="4267142A"/>
    <w:rsid w:val="42B37AD7"/>
    <w:rsid w:val="42DE3341"/>
    <w:rsid w:val="4352109E"/>
    <w:rsid w:val="436E66AD"/>
    <w:rsid w:val="43A0005B"/>
    <w:rsid w:val="44823C05"/>
    <w:rsid w:val="456F454F"/>
    <w:rsid w:val="473867FC"/>
    <w:rsid w:val="47411B55"/>
    <w:rsid w:val="47D429C9"/>
    <w:rsid w:val="488C6E00"/>
    <w:rsid w:val="48A53C34"/>
    <w:rsid w:val="49290AF3"/>
    <w:rsid w:val="493A2D00"/>
    <w:rsid w:val="498D249B"/>
    <w:rsid w:val="4A037596"/>
    <w:rsid w:val="4A1240B3"/>
    <w:rsid w:val="4AC84139"/>
    <w:rsid w:val="4B013AD5"/>
    <w:rsid w:val="4C194E4E"/>
    <w:rsid w:val="4C746529"/>
    <w:rsid w:val="4CFC34F9"/>
    <w:rsid w:val="4D1B1AD8"/>
    <w:rsid w:val="4D2A7712"/>
    <w:rsid w:val="4E375A60"/>
    <w:rsid w:val="4E462DBA"/>
    <w:rsid w:val="4F2B257A"/>
    <w:rsid w:val="4F9547EC"/>
    <w:rsid w:val="4FA17635"/>
    <w:rsid w:val="501E0C85"/>
    <w:rsid w:val="50E27F05"/>
    <w:rsid w:val="513B5867"/>
    <w:rsid w:val="517E2641"/>
    <w:rsid w:val="523429E2"/>
    <w:rsid w:val="527434F3"/>
    <w:rsid w:val="52952D55"/>
    <w:rsid w:val="52BE22AC"/>
    <w:rsid w:val="52D10231"/>
    <w:rsid w:val="53281E1B"/>
    <w:rsid w:val="53285977"/>
    <w:rsid w:val="545C1D7C"/>
    <w:rsid w:val="556101D6"/>
    <w:rsid w:val="55690BF5"/>
    <w:rsid w:val="557355CF"/>
    <w:rsid w:val="55E069DD"/>
    <w:rsid w:val="55FE375F"/>
    <w:rsid w:val="561548D9"/>
    <w:rsid w:val="56494582"/>
    <w:rsid w:val="56CB31E9"/>
    <w:rsid w:val="57A846D2"/>
    <w:rsid w:val="59081510"/>
    <w:rsid w:val="59637709"/>
    <w:rsid w:val="5A3D5D31"/>
    <w:rsid w:val="5A753B98"/>
    <w:rsid w:val="5A7871E4"/>
    <w:rsid w:val="5B173309"/>
    <w:rsid w:val="5B231846"/>
    <w:rsid w:val="5B603A70"/>
    <w:rsid w:val="5B7A6F8C"/>
    <w:rsid w:val="5BF44F90"/>
    <w:rsid w:val="5C62014C"/>
    <w:rsid w:val="5C7D31D8"/>
    <w:rsid w:val="5C835BEE"/>
    <w:rsid w:val="5C8C0757"/>
    <w:rsid w:val="5CF54B1C"/>
    <w:rsid w:val="5D177188"/>
    <w:rsid w:val="5D6D0B56"/>
    <w:rsid w:val="5D8C204C"/>
    <w:rsid w:val="5DD15589"/>
    <w:rsid w:val="5DE7566D"/>
    <w:rsid w:val="5DF03535"/>
    <w:rsid w:val="5DF10AEF"/>
    <w:rsid w:val="5E0771FD"/>
    <w:rsid w:val="5E086AD1"/>
    <w:rsid w:val="5EC61DC6"/>
    <w:rsid w:val="5FA6034F"/>
    <w:rsid w:val="5FD749AD"/>
    <w:rsid w:val="606C1599"/>
    <w:rsid w:val="60C63657"/>
    <w:rsid w:val="616E7593"/>
    <w:rsid w:val="618D7A19"/>
    <w:rsid w:val="618E553F"/>
    <w:rsid w:val="6242704B"/>
    <w:rsid w:val="628154AE"/>
    <w:rsid w:val="62A52B40"/>
    <w:rsid w:val="62BE1E54"/>
    <w:rsid w:val="631F28F3"/>
    <w:rsid w:val="632C3261"/>
    <w:rsid w:val="639F1B94"/>
    <w:rsid w:val="63BA4B07"/>
    <w:rsid w:val="6408782B"/>
    <w:rsid w:val="642E6B65"/>
    <w:rsid w:val="64616F3B"/>
    <w:rsid w:val="6477675E"/>
    <w:rsid w:val="64A82DBC"/>
    <w:rsid w:val="656E7B61"/>
    <w:rsid w:val="66155AA3"/>
    <w:rsid w:val="66AA2E1B"/>
    <w:rsid w:val="66AE269A"/>
    <w:rsid w:val="66D460EA"/>
    <w:rsid w:val="670D0E9E"/>
    <w:rsid w:val="6773320D"/>
    <w:rsid w:val="67F105D6"/>
    <w:rsid w:val="694A2693"/>
    <w:rsid w:val="6990454A"/>
    <w:rsid w:val="69937B96"/>
    <w:rsid w:val="699851AD"/>
    <w:rsid w:val="69C266CE"/>
    <w:rsid w:val="69FA3B9E"/>
    <w:rsid w:val="6B056872"/>
    <w:rsid w:val="6B8C5023"/>
    <w:rsid w:val="6BC93D43"/>
    <w:rsid w:val="6CAE2AAB"/>
    <w:rsid w:val="6D376809"/>
    <w:rsid w:val="6D995997"/>
    <w:rsid w:val="6DC5053A"/>
    <w:rsid w:val="6DCC7B1B"/>
    <w:rsid w:val="6DDE4D3D"/>
    <w:rsid w:val="6DED797A"/>
    <w:rsid w:val="6EAB7730"/>
    <w:rsid w:val="6EBF31DC"/>
    <w:rsid w:val="6F0C39A1"/>
    <w:rsid w:val="6F4162E7"/>
    <w:rsid w:val="6F52697D"/>
    <w:rsid w:val="6F715FDB"/>
    <w:rsid w:val="6F795A80"/>
    <w:rsid w:val="6FA026BC"/>
    <w:rsid w:val="6FF31971"/>
    <w:rsid w:val="6FF670D1"/>
    <w:rsid w:val="70671D7D"/>
    <w:rsid w:val="70BE58ED"/>
    <w:rsid w:val="71015D2D"/>
    <w:rsid w:val="71A45F17"/>
    <w:rsid w:val="71D05A85"/>
    <w:rsid w:val="71E03B95"/>
    <w:rsid w:val="72172CB7"/>
    <w:rsid w:val="7236680F"/>
    <w:rsid w:val="724E4FA2"/>
    <w:rsid w:val="72CA0900"/>
    <w:rsid w:val="72DD6326"/>
    <w:rsid w:val="734A47CF"/>
    <w:rsid w:val="734B1181"/>
    <w:rsid w:val="73A0093B"/>
    <w:rsid w:val="73A62BBC"/>
    <w:rsid w:val="74850A24"/>
    <w:rsid w:val="75292FF9"/>
    <w:rsid w:val="75952EE8"/>
    <w:rsid w:val="75A31161"/>
    <w:rsid w:val="75B01AD0"/>
    <w:rsid w:val="75D05CCE"/>
    <w:rsid w:val="763527EB"/>
    <w:rsid w:val="76760624"/>
    <w:rsid w:val="76853CEB"/>
    <w:rsid w:val="76AC673B"/>
    <w:rsid w:val="77065E4C"/>
    <w:rsid w:val="77302EC9"/>
    <w:rsid w:val="7735228D"/>
    <w:rsid w:val="775213D7"/>
    <w:rsid w:val="775F5EBE"/>
    <w:rsid w:val="77B75CD2"/>
    <w:rsid w:val="77C6382D"/>
    <w:rsid w:val="78654DF4"/>
    <w:rsid w:val="78727511"/>
    <w:rsid w:val="788C05D2"/>
    <w:rsid w:val="78931961"/>
    <w:rsid w:val="78C91C66"/>
    <w:rsid w:val="78FB2838"/>
    <w:rsid w:val="79A76158"/>
    <w:rsid w:val="7A301431"/>
    <w:rsid w:val="7A3F3423"/>
    <w:rsid w:val="7A6730A5"/>
    <w:rsid w:val="7ABB6F4D"/>
    <w:rsid w:val="7AC64AA5"/>
    <w:rsid w:val="7B2F16E9"/>
    <w:rsid w:val="7B3C363D"/>
    <w:rsid w:val="7B7F7F7B"/>
    <w:rsid w:val="7BD77DB7"/>
    <w:rsid w:val="7C2823C0"/>
    <w:rsid w:val="7CB225D2"/>
    <w:rsid w:val="7D456FA2"/>
    <w:rsid w:val="7D851A94"/>
    <w:rsid w:val="7DD50326"/>
    <w:rsid w:val="7E6C1254"/>
    <w:rsid w:val="7EA5419C"/>
    <w:rsid w:val="7F3B72CE"/>
    <w:rsid w:val="7F6A1BF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99" w:semiHidden="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qFormat="1" w:uiPriority="99"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3"/>
    <w:next w:val="1"/>
    <w:link w:val="33"/>
    <w:qFormat/>
    <w:uiPriority w:val="9"/>
    <w:pPr>
      <w:keepNext/>
      <w:spacing w:line="360" w:lineRule="auto"/>
      <w:jc w:val="center"/>
      <w:outlineLvl w:val="0"/>
    </w:pPr>
    <w:rPr>
      <w:rFonts w:ascii="宋体" w:hAnsi="宋体" w:cs="宋体"/>
      <w:sz w:val="28"/>
      <w:szCs w:val="20"/>
    </w:rPr>
  </w:style>
  <w:style w:type="paragraph" w:styleId="4">
    <w:name w:val="heading 2"/>
    <w:basedOn w:val="1"/>
    <w:next w:val="1"/>
    <w:link w:val="69"/>
    <w:unhideWhenUsed/>
    <w:qFormat/>
    <w:uiPriority w:val="9"/>
    <w:pPr>
      <w:keepNext/>
      <w:keepLines/>
      <w:widowControl/>
      <w:kinsoku w:val="0"/>
      <w:autoSpaceDE w:val="0"/>
      <w:autoSpaceDN w:val="0"/>
      <w:adjustRightInd w:val="0"/>
      <w:snapToGrid w:val="0"/>
      <w:spacing w:before="260" w:after="260" w:line="413" w:lineRule="auto"/>
      <w:jc w:val="left"/>
      <w:textAlignment w:val="baseline"/>
      <w:outlineLvl w:val="1"/>
    </w:pPr>
    <w:rPr>
      <w:rFonts w:ascii="Arial" w:hAnsi="Arial" w:eastAsia="黑体" w:cs="Arial"/>
      <w:b/>
      <w:snapToGrid w:val="0"/>
      <w:color w:val="000000"/>
      <w:kern w:val="0"/>
      <w:sz w:val="32"/>
      <w:szCs w:val="21"/>
    </w:rPr>
  </w:style>
  <w:style w:type="paragraph" w:styleId="3">
    <w:name w:val="heading 3"/>
    <w:basedOn w:val="1"/>
    <w:next w:val="1"/>
    <w:link w:val="34"/>
    <w:unhideWhenUsed/>
    <w:qFormat/>
    <w:uiPriority w:val="9"/>
    <w:pPr>
      <w:keepNext/>
      <w:keepLines/>
      <w:spacing w:before="260" w:after="260" w:line="412" w:lineRule="auto"/>
      <w:outlineLvl w:val="2"/>
    </w:pPr>
    <w:rPr>
      <w:rFonts w:cs="宋体"/>
      <w:b/>
      <w:sz w:val="32"/>
      <w:szCs w:val="20"/>
    </w:rPr>
  </w:style>
  <w:style w:type="paragraph" w:styleId="5">
    <w:name w:val="heading 4"/>
    <w:basedOn w:val="1"/>
    <w:next w:val="1"/>
    <w:link w:val="70"/>
    <w:unhideWhenUsed/>
    <w:qFormat/>
    <w:uiPriority w:val="9"/>
    <w:pPr>
      <w:keepNext/>
      <w:keepLines/>
      <w:widowControl/>
      <w:kinsoku w:val="0"/>
      <w:autoSpaceDE w:val="0"/>
      <w:autoSpaceDN w:val="0"/>
      <w:adjustRightInd w:val="0"/>
      <w:snapToGrid w:val="0"/>
      <w:spacing w:before="280" w:after="290" w:line="372" w:lineRule="auto"/>
      <w:jc w:val="left"/>
      <w:textAlignment w:val="baseline"/>
      <w:outlineLvl w:val="3"/>
    </w:pPr>
    <w:rPr>
      <w:rFonts w:ascii="Arial" w:hAnsi="Arial" w:eastAsia="黑体" w:cs="Arial"/>
      <w:b/>
      <w:snapToGrid w:val="0"/>
      <w:color w:val="000000"/>
      <w:kern w:val="0"/>
      <w:sz w:val="28"/>
      <w:szCs w:val="21"/>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unhideWhenUsed/>
    <w:qFormat/>
    <w:uiPriority w:val="99"/>
    <w:pPr>
      <w:ind w:firstLine="420"/>
    </w:pPr>
  </w:style>
  <w:style w:type="paragraph" w:styleId="7">
    <w:name w:val="annotation text"/>
    <w:basedOn w:val="1"/>
    <w:link w:val="35"/>
    <w:semiHidden/>
    <w:unhideWhenUsed/>
    <w:qFormat/>
    <w:uiPriority w:val="99"/>
    <w:pPr>
      <w:jc w:val="left"/>
    </w:pPr>
  </w:style>
  <w:style w:type="paragraph" w:styleId="8">
    <w:name w:val="Body Text"/>
    <w:basedOn w:val="1"/>
    <w:next w:val="9"/>
    <w:link w:val="39"/>
    <w:semiHidden/>
    <w:unhideWhenUsed/>
    <w:qFormat/>
    <w:uiPriority w:val="99"/>
    <w:pPr>
      <w:jc w:val="left"/>
    </w:pPr>
    <w:rPr>
      <w:rFonts w:ascii="楷体_GB2312" w:hAnsi="华文楷体" w:eastAsia="楷体_GB2312"/>
      <w:sz w:val="28"/>
      <w:szCs w:val="28"/>
    </w:rPr>
  </w:style>
  <w:style w:type="paragraph" w:styleId="9">
    <w:name w:val="Body Text 2"/>
    <w:basedOn w:val="1"/>
    <w:link w:val="61"/>
    <w:semiHidden/>
    <w:unhideWhenUsed/>
    <w:qFormat/>
    <w:uiPriority w:val="99"/>
    <w:pPr>
      <w:spacing w:after="120" w:line="480" w:lineRule="auto"/>
    </w:pPr>
  </w:style>
  <w:style w:type="paragraph" w:styleId="10">
    <w:name w:val="Body Text Indent"/>
    <w:basedOn w:val="1"/>
    <w:link w:val="40"/>
    <w:semiHidden/>
    <w:unhideWhenUsed/>
    <w:qFormat/>
    <w:uiPriority w:val="99"/>
    <w:pPr>
      <w:spacing w:after="120"/>
      <w:ind w:left="420" w:leftChars="200"/>
    </w:pPr>
  </w:style>
  <w:style w:type="paragraph" w:styleId="11">
    <w:name w:val="List Bullet 2"/>
    <w:basedOn w:val="1"/>
    <w:qFormat/>
    <w:uiPriority w:val="0"/>
    <w:pPr>
      <w:numPr>
        <w:ilvl w:val="0"/>
        <w:numId w:val="1"/>
      </w:numPr>
      <w:ind w:left="0" w:leftChars="0" w:firstLine="0" w:firstLineChars="0"/>
    </w:pPr>
    <w:rPr>
      <w:rFonts w:ascii="Times New Roman" w:hAnsi="Times New Roman"/>
      <w:szCs w:val="22"/>
    </w:rPr>
  </w:style>
  <w:style w:type="paragraph" w:styleId="12">
    <w:name w:val="index 4"/>
    <w:basedOn w:val="1"/>
    <w:next w:val="1"/>
    <w:autoRedefine/>
    <w:unhideWhenUsed/>
    <w:qFormat/>
    <w:uiPriority w:val="99"/>
    <w:pPr>
      <w:ind w:left="600" w:leftChars="600"/>
    </w:pPr>
    <w:rPr>
      <w:rFonts w:ascii="等线" w:hAnsi="等线" w:eastAsia="等线" w:cs="等线"/>
      <w:szCs w:val="21"/>
    </w:rPr>
  </w:style>
  <w:style w:type="paragraph" w:styleId="13">
    <w:name w:val="Plain Text"/>
    <w:basedOn w:val="1"/>
    <w:link w:val="43"/>
    <w:unhideWhenUsed/>
    <w:qFormat/>
    <w:uiPriority w:val="99"/>
    <w:rPr>
      <w:rFonts w:ascii="宋体" w:hAnsi="Courier New" w:cs="Courier New"/>
      <w:szCs w:val="21"/>
    </w:rPr>
  </w:style>
  <w:style w:type="paragraph" w:styleId="14">
    <w:name w:val="Date"/>
    <w:basedOn w:val="1"/>
    <w:next w:val="1"/>
    <w:link w:val="41"/>
    <w:semiHidden/>
    <w:unhideWhenUsed/>
    <w:qFormat/>
    <w:uiPriority w:val="99"/>
    <w:pPr>
      <w:ind w:left="100" w:leftChars="2500"/>
    </w:pPr>
    <w:rPr>
      <w:rFonts w:eastAsia="楷体_GB2312"/>
      <w:b/>
      <w:bCs/>
      <w:sz w:val="32"/>
    </w:rPr>
  </w:style>
  <w:style w:type="paragraph" w:styleId="15">
    <w:name w:val="Body Text Indent 2"/>
    <w:basedOn w:val="1"/>
    <w:link w:val="42"/>
    <w:semiHidden/>
    <w:unhideWhenUsed/>
    <w:qFormat/>
    <w:uiPriority w:val="99"/>
    <w:pPr>
      <w:spacing w:after="120" w:line="480" w:lineRule="auto"/>
      <w:ind w:left="420" w:leftChars="200"/>
    </w:pPr>
  </w:style>
  <w:style w:type="paragraph" w:styleId="16">
    <w:name w:val="Balloon Text"/>
    <w:basedOn w:val="1"/>
    <w:link w:val="45"/>
    <w:semiHidden/>
    <w:unhideWhenUsed/>
    <w:qFormat/>
    <w:uiPriority w:val="99"/>
    <w:rPr>
      <w:sz w:val="18"/>
      <w:szCs w:val="18"/>
    </w:rPr>
  </w:style>
  <w:style w:type="paragraph" w:styleId="17">
    <w:name w:val="footer"/>
    <w:basedOn w:val="1"/>
    <w:link w:val="37"/>
    <w:unhideWhenUsed/>
    <w:qFormat/>
    <w:uiPriority w:val="99"/>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tabs>
        <w:tab w:val="right" w:leader="dot" w:pos="8296"/>
      </w:tabs>
      <w:spacing w:line="360" w:lineRule="auto"/>
    </w:pPr>
  </w:style>
  <w:style w:type="paragraph" w:styleId="21">
    <w:name w:val="toc 2"/>
    <w:basedOn w:val="1"/>
    <w:next w:val="1"/>
    <w:unhideWhenUsed/>
    <w:qFormat/>
    <w:uiPriority w:val="39"/>
    <w:pPr>
      <w:ind w:left="420" w:leftChars="200"/>
    </w:pPr>
    <w:rPr>
      <w:rFonts w:ascii="Times New Roman" w:hAnsi="Times New Roman"/>
      <w:szCs w:val="22"/>
    </w:rPr>
  </w:style>
  <w:style w:type="paragraph" w:styleId="22">
    <w:name w:val="Normal (Web)"/>
    <w:basedOn w:val="1"/>
    <w:unhideWhenUsed/>
    <w:qFormat/>
    <w:uiPriority w:val="99"/>
    <w:pPr>
      <w:spacing w:before="100" w:beforeAutospacing="1" w:after="100" w:afterAutospacing="1"/>
      <w:jc w:val="left"/>
    </w:pPr>
    <w:rPr>
      <w:kern w:val="0"/>
      <w:sz w:val="24"/>
      <w:szCs w:val="20"/>
    </w:rPr>
  </w:style>
  <w:style w:type="paragraph" w:styleId="23">
    <w:name w:val="Title"/>
    <w:basedOn w:val="1"/>
    <w:link w:val="38"/>
    <w:qFormat/>
    <w:uiPriority w:val="10"/>
    <w:pPr>
      <w:adjustRightInd w:val="0"/>
      <w:spacing w:before="240" w:after="60" w:line="420" w:lineRule="atLeast"/>
      <w:jc w:val="center"/>
      <w:outlineLvl w:val="0"/>
    </w:pPr>
    <w:rPr>
      <w:rFonts w:ascii="Arial" w:hAnsi="Arial"/>
      <w:b/>
      <w:kern w:val="0"/>
      <w:sz w:val="32"/>
      <w:szCs w:val="20"/>
    </w:rPr>
  </w:style>
  <w:style w:type="paragraph" w:styleId="24">
    <w:name w:val="annotation subject"/>
    <w:basedOn w:val="7"/>
    <w:next w:val="7"/>
    <w:link w:val="44"/>
    <w:semiHidden/>
    <w:unhideWhenUsed/>
    <w:qFormat/>
    <w:uiPriority w:val="99"/>
    <w:rPr>
      <w:b/>
      <w:bCs/>
    </w:rPr>
  </w:style>
  <w:style w:type="paragraph" w:styleId="25">
    <w:name w:val="Body Text First Indent 2"/>
    <w:basedOn w:val="10"/>
    <w:qFormat/>
    <w:uiPriority w:val="0"/>
    <w:pPr>
      <w:tabs>
        <w:tab w:val="left" w:pos="0"/>
        <w:tab w:val="left" w:pos="993"/>
        <w:tab w:val="left" w:pos="1134"/>
      </w:tabs>
      <w:ind w:firstLine="420"/>
    </w:pPr>
    <w:rPr>
      <w:rFonts w:ascii="Times New Roman" w:hAnsi="Times New Roman"/>
    </w:rPr>
  </w:style>
  <w:style w:type="table" w:styleId="27">
    <w:name w:val="Table Grid"/>
    <w:basedOn w:val="26"/>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FollowedHyperlink"/>
    <w:basedOn w:val="28"/>
    <w:semiHidden/>
    <w:unhideWhenUsed/>
    <w:qFormat/>
    <w:uiPriority w:val="99"/>
    <w:rPr>
      <w:color w:val="800080" w:themeColor="followedHyperlink"/>
      <w:u w:val="single"/>
      <w14:textFill>
        <w14:solidFill>
          <w14:schemeClr w14:val="folHlink"/>
        </w14:solidFill>
      </w14:textFill>
    </w:rPr>
  </w:style>
  <w:style w:type="character" w:styleId="30">
    <w:name w:val="Hyperlink"/>
    <w:unhideWhenUsed/>
    <w:qFormat/>
    <w:uiPriority w:val="99"/>
    <w:rPr>
      <w:color w:val="0000FF"/>
      <w:u w:val="single"/>
    </w:rPr>
  </w:style>
  <w:style w:type="character" w:styleId="31">
    <w:name w:val="annotation reference"/>
    <w:semiHidden/>
    <w:unhideWhenUsed/>
    <w:qFormat/>
    <w:uiPriority w:val="0"/>
    <w:rPr>
      <w:sz w:val="21"/>
      <w:szCs w:val="21"/>
    </w:rPr>
  </w:style>
  <w:style w:type="paragraph" w:customStyle="1" w:styleId="32">
    <w:name w:val="Default"/>
    <w:next w:val="1"/>
    <w:qFormat/>
    <w:uiPriority w:val="0"/>
    <w:pPr>
      <w:widowControl w:val="0"/>
      <w:autoSpaceDE w:val="0"/>
      <w:autoSpaceDN w:val="0"/>
      <w:adjustRightInd w:val="0"/>
    </w:pPr>
    <w:rPr>
      <w:rFonts w:ascii="等线" w:hAnsi="等线" w:eastAsia="等线" w:cs="Times New Roman"/>
      <w:color w:val="000000"/>
      <w:sz w:val="24"/>
      <w:szCs w:val="24"/>
      <w:lang w:val="en-US" w:eastAsia="zh-CN" w:bidi="ar-SA"/>
    </w:rPr>
  </w:style>
  <w:style w:type="character" w:customStyle="1" w:styleId="33">
    <w:name w:val="标题 1 Char"/>
    <w:basedOn w:val="28"/>
    <w:link w:val="2"/>
    <w:qFormat/>
    <w:uiPriority w:val="9"/>
    <w:rPr>
      <w:rFonts w:ascii="宋体" w:hAnsi="宋体" w:eastAsia="宋体" w:cs="宋体"/>
      <w:b/>
      <w:sz w:val="28"/>
      <w:szCs w:val="20"/>
    </w:rPr>
  </w:style>
  <w:style w:type="character" w:customStyle="1" w:styleId="34">
    <w:name w:val="标题 3 Char"/>
    <w:basedOn w:val="28"/>
    <w:link w:val="3"/>
    <w:qFormat/>
    <w:uiPriority w:val="9"/>
    <w:rPr>
      <w:rFonts w:ascii="Calibri" w:hAnsi="Calibri" w:eastAsia="宋体" w:cs="宋体"/>
      <w:b/>
      <w:sz w:val="32"/>
      <w:szCs w:val="20"/>
    </w:rPr>
  </w:style>
  <w:style w:type="character" w:customStyle="1" w:styleId="35">
    <w:name w:val="批注文字 Char"/>
    <w:basedOn w:val="28"/>
    <w:link w:val="7"/>
    <w:semiHidden/>
    <w:qFormat/>
    <w:uiPriority w:val="99"/>
    <w:rPr>
      <w:rFonts w:ascii="Calibri" w:hAnsi="Calibri" w:eastAsia="宋体" w:cs="Times New Roman"/>
      <w:szCs w:val="24"/>
    </w:rPr>
  </w:style>
  <w:style w:type="character" w:customStyle="1" w:styleId="36">
    <w:name w:val="页眉 Char"/>
    <w:basedOn w:val="28"/>
    <w:link w:val="19"/>
    <w:qFormat/>
    <w:uiPriority w:val="99"/>
    <w:rPr>
      <w:rFonts w:ascii="Calibri" w:hAnsi="Calibri" w:eastAsia="宋体" w:cs="Times New Roman"/>
      <w:sz w:val="18"/>
      <w:szCs w:val="18"/>
    </w:rPr>
  </w:style>
  <w:style w:type="character" w:customStyle="1" w:styleId="37">
    <w:name w:val="页脚 Char"/>
    <w:basedOn w:val="28"/>
    <w:link w:val="17"/>
    <w:qFormat/>
    <w:uiPriority w:val="99"/>
    <w:rPr>
      <w:rFonts w:ascii="Calibri" w:hAnsi="Calibri" w:eastAsia="宋体" w:cs="Times New Roman"/>
      <w:sz w:val="18"/>
      <w:szCs w:val="18"/>
    </w:rPr>
  </w:style>
  <w:style w:type="character" w:customStyle="1" w:styleId="38">
    <w:name w:val="标题 Char"/>
    <w:basedOn w:val="28"/>
    <w:link w:val="23"/>
    <w:qFormat/>
    <w:uiPriority w:val="10"/>
    <w:rPr>
      <w:rFonts w:ascii="Arial" w:hAnsi="Arial" w:eastAsia="宋体" w:cs="Times New Roman"/>
      <w:b/>
      <w:kern w:val="0"/>
      <w:sz w:val="32"/>
      <w:szCs w:val="20"/>
    </w:rPr>
  </w:style>
  <w:style w:type="character" w:customStyle="1" w:styleId="39">
    <w:name w:val="正文文本 Char"/>
    <w:basedOn w:val="28"/>
    <w:link w:val="8"/>
    <w:semiHidden/>
    <w:qFormat/>
    <w:uiPriority w:val="99"/>
    <w:rPr>
      <w:rFonts w:ascii="楷体_GB2312" w:hAnsi="华文楷体" w:eastAsia="楷体_GB2312" w:cs="Times New Roman"/>
      <w:sz w:val="28"/>
      <w:szCs w:val="28"/>
    </w:rPr>
  </w:style>
  <w:style w:type="character" w:customStyle="1" w:styleId="40">
    <w:name w:val="正文文本缩进 Char"/>
    <w:basedOn w:val="28"/>
    <w:link w:val="10"/>
    <w:semiHidden/>
    <w:qFormat/>
    <w:uiPriority w:val="99"/>
    <w:rPr>
      <w:rFonts w:ascii="Calibri" w:hAnsi="Calibri" w:eastAsia="宋体" w:cs="Times New Roman"/>
      <w:szCs w:val="24"/>
    </w:rPr>
  </w:style>
  <w:style w:type="character" w:customStyle="1" w:styleId="41">
    <w:name w:val="日期 Char"/>
    <w:basedOn w:val="28"/>
    <w:link w:val="14"/>
    <w:semiHidden/>
    <w:qFormat/>
    <w:uiPriority w:val="99"/>
    <w:rPr>
      <w:rFonts w:ascii="Calibri" w:hAnsi="Calibri" w:eastAsia="楷体_GB2312" w:cs="Times New Roman"/>
      <w:b/>
      <w:bCs/>
      <w:sz w:val="32"/>
      <w:szCs w:val="24"/>
    </w:rPr>
  </w:style>
  <w:style w:type="character" w:customStyle="1" w:styleId="42">
    <w:name w:val="正文文本缩进 2 Char"/>
    <w:basedOn w:val="28"/>
    <w:link w:val="15"/>
    <w:semiHidden/>
    <w:qFormat/>
    <w:uiPriority w:val="99"/>
    <w:rPr>
      <w:rFonts w:ascii="Calibri" w:hAnsi="Calibri" w:eastAsia="宋体" w:cs="Times New Roman"/>
      <w:szCs w:val="24"/>
    </w:rPr>
  </w:style>
  <w:style w:type="character" w:customStyle="1" w:styleId="43">
    <w:name w:val="纯文本 Char"/>
    <w:basedOn w:val="28"/>
    <w:link w:val="13"/>
    <w:qFormat/>
    <w:uiPriority w:val="99"/>
    <w:rPr>
      <w:rFonts w:ascii="宋体" w:hAnsi="Courier New" w:eastAsia="宋体" w:cs="Courier New"/>
      <w:szCs w:val="21"/>
    </w:rPr>
  </w:style>
  <w:style w:type="character" w:customStyle="1" w:styleId="44">
    <w:name w:val="批注主题 Char"/>
    <w:basedOn w:val="35"/>
    <w:link w:val="24"/>
    <w:semiHidden/>
    <w:qFormat/>
    <w:uiPriority w:val="99"/>
    <w:rPr>
      <w:rFonts w:ascii="Calibri" w:hAnsi="Calibri" w:eastAsia="宋体" w:cs="Times New Roman"/>
      <w:b/>
      <w:bCs/>
      <w:szCs w:val="24"/>
    </w:rPr>
  </w:style>
  <w:style w:type="character" w:customStyle="1" w:styleId="45">
    <w:name w:val="批注框文本 Char"/>
    <w:basedOn w:val="28"/>
    <w:link w:val="16"/>
    <w:semiHidden/>
    <w:qFormat/>
    <w:uiPriority w:val="99"/>
    <w:rPr>
      <w:rFonts w:ascii="Calibri" w:hAnsi="Calibri" w:eastAsia="宋体" w:cs="Times New Roman"/>
      <w:sz w:val="18"/>
      <w:szCs w:val="18"/>
    </w:rPr>
  </w:style>
  <w:style w:type="paragraph" w:styleId="46">
    <w:name w:val="List Paragraph"/>
    <w:basedOn w:val="1"/>
    <w:qFormat/>
    <w:uiPriority w:val="34"/>
    <w:pPr>
      <w:ind w:firstLine="420" w:firstLineChars="200"/>
    </w:pPr>
    <w:rPr>
      <w:szCs w:val="20"/>
    </w:rPr>
  </w:style>
  <w:style w:type="paragraph" w:customStyle="1" w:styleId="47">
    <w:name w:val="Char Char1 Char Char Char Char Char Char"/>
    <w:basedOn w:val="1"/>
    <w:qFormat/>
    <w:uiPriority w:val="99"/>
    <w:pPr>
      <w:widowControl/>
      <w:spacing w:after="160" w:line="240" w:lineRule="exact"/>
      <w:jc w:val="left"/>
    </w:pPr>
    <w:rPr>
      <w:szCs w:val="20"/>
    </w:rPr>
  </w:style>
  <w:style w:type="paragraph" w:customStyle="1" w:styleId="48">
    <w:name w:val="2"/>
    <w:basedOn w:val="1"/>
    <w:qFormat/>
    <w:uiPriority w:val="99"/>
    <w:pPr>
      <w:widowControl/>
      <w:spacing w:before="100" w:beforeAutospacing="1" w:after="100" w:afterAutospacing="1"/>
      <w:jc w:val="left"/>
    </w:pPr>
    <w:rPr>
      <w:rFonts w:ascii="宋体" w:hAnsi="宋体" w:cs="宋体"/>
      <w:kern w:val="0"/>
      <w:sz w:val="24"/>
    </w:rPr>
  </w:style>
  <w:style w:type="paragraph" w:customStyle="1" w:styleId="49">
    <w:name w:val="列出段落1"/>
    <w:basedOn w:val="1"/>
    <w:qFormat/>
    <w:uiPriority w:val="0"/>
    <w:pPr>
      <w:ind w:firstLine="420" w:firstLineChars="200"/>
    </w:pPr>
  </w:style>
  <w:style w:type="paragraph" w:customStyle="1" w:styleId="50">
    <w:name w:val="Char"/>
    <w:basedOn w:val="1"/>
    <w:qFormat/>
    <w:uiPriority w:val="99"/>
    <w:pPr>
      <w:widowControl/>
      <w:spacing w:after="160" w:line="240" w:lineRule="exact"/>
      <w:jc w:val="left"/>
    </w:pPr>
  </w:style>
  <w:style w:type="paragraph" w:customStyle="1" w:styleId="51">
    <w:name w:val="正文_2"/>
    <w:qFormat/>
    <w:uiPriority w:val="99"/>
    <w:rPr>
      <w:rFonts w:ascii="Calibri" w:hAnsi="Calibri" w:eastAsia="宋体" w:cs="Times New Roman"/>
      <w:sz w:val="21"/>
      <w:szCs w:val="22"/>
      <w:lang w:val="en-US" w:eastAsia="zh-CN" w:bidi="ar-SA"/>
    </w:rPr>
  </w:style>
  <w:style w:type="paragraph" w:customStyle="1" w:styleId="52">
    <w:name w:val="正文_0_0"/>
    <w:qFormat/>
    <w:uiPriority w:val="99"/>
    <w:pPr>
      <w:widowControl w:val="0"/>
      <w:jc w:val="both"/>
    </w:pPr>
    <w:rPr>
      <w:rFonts w:ascii="Calibri" w:hAnsi="Calibri" w:eastAsia="宋体" w:cs="Times New Roman"/>
      <w:kern w:val="2"/>
      <w:sz w:val="21"/>
      <w:szCs w:val="22"/>
      <w:lang w:val="en-US" w:eastAsia="zh-CN" w:bidi="ar-SA"/>
    </w:rPr>
  </w:style>
  <w:style w:type="character" w:customStyle="1" w:styleId="53">
    <w:name w:val="标题 Char1"/>
    <w:basedOn w:val="28"/>
    <w:qFormat/>
    <w:uiPriority w:val="10"/>
    <w:rPr>
      <w:rFonts w:hint="default" w:asciiTheme="majorHAnsi" w:hAnsiTheme="majorHAnsi" w:cstheme="majorBidi"/>
      <w:b/>
      <w:bCs/>
      <w:kern w:val="2"/>
      <w:sz w:val="32"/>
      <w:szCs w:val="32"/>
    </w:rPr>
  </w:style>
  <w:style w:type="character" w:customStyle="1" w:styleId="54">
    <w:name w:val="批注文字 Char1"/>
    <w:basedOn w:val="28"/>
    <w:semiHidden/>
    <w:qFormat/>
    <w:uiPriority w:val="99"/>
    <w:rPr>
      <w:kern w:val="2"/>
      <w:sz w:val="21"/>
      <w:szCs w:val="24"/>
    </w:rPr>
  </w:style>
  <w:style w:type="character" w:customStyle="1" w:styleId="55">
    <w:name w:val="批注主题 Char1"/>
    <w:basedOn w:val="54"/>
    <w:semiHidden/>
    <w:qFormat/>
    <w:uiPriority w:val="99"/>
    <w:rPr>
      <w:b/>
      <w:bCs/>
      <w:kern w:val="2"/>
      <w:sz w:val="21"/>
      <w:szCs w:val="24"/>
    </w:rPr>
  </w:style>
  <w:style w:type="paragraph" w:customStyle="1" w:styleId="56">
    <w:name w:val="TOC 标题1"/>
    <w:basedOn w:val="2"/>
    <w:next w:val="1"/>
    <w:unhideWhenUsed/>
    <w:qFormat/>
    <w:uiPriority w:val="39"/>
    <w:pPr>
      <w:keepLines/>
      <w:widowControl/>
      <w:spacing w:before="24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character" w:customStyle="1" w:styleId="57">
    <w:name w:val="Blockquote Char Char"/>
    <w:link w:val="58"/>
    <w:qFormat/>
    <w:uiPriority w:val="0"/>
    <w:rPr>
      <w:sz w:val="24"/>
    </w:rPr>
  </w:style>
  <w:style w:type="paragraph" w:customStyle="1" w:styleId="58">
    <w:name w:val="Blockquote"/>
    <w:basedOn w:val="1"/>
    <w:link w:val="57"/>
    <w:qFormat/>
    <w:uiPriority w:val="0"/>
    <w:pPr>
      <w:autoSpaceDE w:val="0"/>
      <w:autoSpaceDN w:val="0"/>
      <w:adjustRightInd w:val="0"/>
      <w:spacing w:before="100" w:after="100"/>
      <w:ind w:left="360" w:right="360"/>
      <w:jc w:val="left"/>
    </w:pPr>
    <w:rPr>
      <w:rFonts w:ascii="Times New Roman" w:hAnsi="Times New Roman"/>
      <w:kern w:val="0"/>
      <w:sz w:val="24"/>
      <w:szCs w:val="20"/>
    </w:rPr>
  </w:style>
  <w:style w:type="paragraph" w:customStyle="1" w:styleId="59">
    <w:name w:val="正文_0_0_0_0"/>
    <w:qFormat/>
    <w:uiPriority w:val="0"/>
    <w:pPr>
      <w:widowControl w:val="0"/>
      <w:jc w:val="both"/>
    </w:pPr>
    <w:rPr>
      <w:rFonts w:ascii="Times New Roman" w:hAnsi="Times New Roman" w:eastAsia="宋体" w:cs="Times New Roman"/>
      <w:lang w:val="en-US" w:eastAsia="zh-CN" w:bidi="ar-SA"/>
    </w:rPr>
  </w:style>
  <w:style w:type="paragraph" w:customStyle="1" w:styleId="60">
    <w:name w:val="正文_0"/>
    <w:qFormat/>
    <w:uiPriority w:val="0"/>
    <w:pPr>
      <w:widowControl w:val="0"/>
      <w:ind w:firstLine="360"/>
      <w:jc w:val="both"/>
    </w:pPr>
    <w:rPr>
      <w:rFonts w:ascii="Times New Roman" w:hAnsi="Times New Roman" w:eastAsia="宋体" w:cs="Times New Roman"/>
      <w:kern w:val="2"/>
      <w:sz w:val="21"/>
      <w:szCs w:val="22"/>
      <w:lang w:val="en-US" w:eastAsia="zh-CN" w:bidi="ar-SA"/>
    </w:rPr>
  </w:style>
  <w:style w:type="character" w:customStyle="1" w:styleId="61">
    <w:name w:val="正文文本 2 Char"/>
    <w:basedOn w:val="28"/>
    <w:link w:val="9"/>
    <w:semiHidden/>
    <w:qFormat/>
    <w:uiPriority w:val="99"/>
    <w:rPr>
      <w:rFonts w:ascii="Calibri" w:hAnsi="Calibri" w:eastAsia="宋体" w:cs="Times New Roman"/>
      <w:kern w:val="2"/>
      <w:sz w:val="21"/>
      <w:szCs w:val="24"/>
    </w:rPr>
  </w:style>
  <w:style w:type="character" w:customStyle="1" w:styleId="62">
    <w:name w:val="NormalCharacter"/>
    <w:qFormat/>
    <w:uiPriority w:val="0"/>
  </w:style>
  <w:style w:type="paragraph" w:customStyle="1" w:styleId="63">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64">
    <w:name w:val="宋体小四正文"/>
    <w:basedOn w:val="1"/>
    <w:link w:val="65"/>
    <w:qFormat/>
    <w:uiPriority w:val="0"/>
    <w:pPr>
      <w:spacing w:line="360" w:lineRule="auto"/>
      <w:ind w:firstLine="200" w:firstLineChars="200"/>
    </w:pPr>
    <w:rPr>
      <w:rFonts w:ascii="宋体" w:hAnsi="宋体" w:cstheme="minorBidi"/>
      <w:color w:val="000000" w:themeColor="text1"/>
      <w:sz w:val="24"/>
      <w:szCs w:val="28"/>
      <w14:textFill>
        <w14:solidFill>
          <w14:schemeClr w14:val="tx1"/>
        </w14:solidFill>
      </w14:textFill>
    </w:rPr>
  </w:style>
  <w:style w:type="character" w:customStyle="1" w:styleId="65">
    <w:name w:val="宋体小四正文 字符"/>
    <w:basedOn w:val="28"/>
    <w:link w:val="64"/>
    <w:qFormat/>
    <w:uiPriority w:val="0"/>
    <w:rPr>
      <w:rFonts w:ascii="宋体" w:hAnsi="宋体" w:eastAsia="宋体"/>
      <w:color w:val="000000" w:themeColor="text1"/>
      <w:kern w:val="2"/>
      <w:sz w:val="24"/>
      <w:szCs w:val="28"/>
      <w14:textFill>
        <w14:solidFill>
          <w14:schemeClr w14:val="tx1"/>
        </w14:solidFill>
      </w14:textFill>
    </w:rPr>
  </w:style>
  <w:style w:type="character" w:customStyle="1" w:styleId="66">
    <w:name w:val="font31"/>
    <w:basedOn w:val="28"/>
    <w:qFormat/>
    <w:uiPriority w:val="0"/>
    <w:rPr>
      <w:rFonts w:hint="eastAsia" w:ascii="宋体" w:hAnsi="宋体" w:eastAsia="宋体" w:cs="宋体"/>
      <w:color w:val="000000"/>
      <w:sz w:val="24"/>
      <w:szCs w:val="24"/>
      <w:u w:val="none"/>
    </w:rPr>
  </w:style>
  <w:style w:type="character" w:customStyle="1" w:styleId="67">
    <w:name w:val="font51"/>
    <w:basedOn w:val="28"/>
    <w:qFormat/>
    <w:uiPriority w:val="0"/>
    <w:rPr>
      <w:rFonts w:hint="eastAsia" w:ascii="宋体" w:hAnsi="宋体" w:eastAsia="宋体" w:cs="宋体"/>
      <w:b/>
      <w:bCs/>
      <w:color w:val="000000"/>
      <w:sz w:val="21"/>
      <w:szCs w:val="21"/>
      <w:u w:val="none"/>
    </w:rPr>
  </w:style>
  <w:style w:type="paragraph" w:customStyle="1" w:styleId="68">
    <w:name w:val="__正文"/>
    <w:qFormat/>
    <w:uiPriority w:val="0"/>
    <w:pPr>
      <w:spacing w:line="360" w:lineRule="auto"/>
      <w:ind w:firstLine="200" w:firstLineChars="200"/>
    </w:pPr>
    <w:rPr>
      <w:rFonts w:ascii="Calibri" w:hAnsi="Calibri" w:eastAsia="宋体" w:cs="Times New Roman"/>
      <w:kern w:val="2"/>
      <w:sz w:val="24"/>
      <w:szCs w:val="21"/>
      <w:lang w:val="en-US" w:eastAsia="zh-CN" w:bidi="ar-SA"/>
    </w:rPr>
  </w:style>
  <w:style w:type="character" w:customStyle="1" w:styleId="69">
    <w:name w:val="标题 2 Char"/>
    <w:basedOn w:val="28"/>
    <w:link w:val="4"/>
    <w:qFormat/>
    <w:uiPriority w:val="9"/>
    <w:rPr>
      <w:rFonts w:ascii="Arial" w:hAnsi="Arial" w:eastAsia="黑体" w:cs="Arial"/>
      <w:b/>
      <w:snapToGrid w:val="0"/>
      <w:color w:val="000000"/>
      <w:sz w:val="32"/>
      <w:szCs w:val="21"/>
    </w:rPr>
  </w:style>
  <w:style w:type="character" w:customStyle="1" w:styleId="70">
    <w:name w:val="标题 4 Char"/>
    <w:basedOn w:val="28"/>
    <w:link w:val="5"/>
    <w:qFormat/>
    <w:uiPriority w:val="9"/>
    <w:rPr>
      <w:rFonts w:ascii="Arial" w:hAnsi="Arial" w:eastAsia="黑体" w:cs="Arial"/>
      <w:b/>
      <w:snapToGrid w:val="0"/>
      <w:color w:val="000000"/>
      <w:sz w:val="28"/>
      <w:szCs w:val="21"/>
    </w:rPr>
  </w:style>
  <w:style w:type="paragraph" w:styleId="71">
    <w:name w:val="No Spacing"/>
    <w:qFormat/>
    <w:uiPriority w:val="1"/>
    <w:rPr>
      <w:rFonts w:ascii="Calibri" w:hAnsi="Calibri" w:eastAsia="宋体" w:cs="Times New Roman"/>
      <w:sz w:val="22"/>
      <w:szCs w:val="22"/>
      <w:lang w:val="en-US" w:eastAsia="zh-CN" w:bidi="ar-SA"/>
    </w:rPr>
  </w:style>
  <w:style w:type="character" w:customStyle="1" w:styleId="72">
    <w:name w:val="font21"/>
    <w:basedOn w:val="28"/>
    <w:qFormat/>
    <w:uiPriority w:val="0"/>
    <w:rPr>
      <w:rFonts w:hint="eastAsia" w:ascii="宋体" w:hAnsi="宋体" w:eastAsia="宋体" w:cs="宋体"/>
      <w:color w:val="000000"/>
      <w:sz w:val="24"/>
      <w:szCs w:val="24"/>
      <w:u w:val="none"/>
    </w:rPr>
  </w:style>
  <w:style w:type="paragraph" w:customStyle="1" w:styleId="73">
    <w:name w:val="M正文"/>
    <w:basedOn w:val="1"/>
    <w:qFormat/>
    <w:uiPriority w:val="0"/>
    <w:pPr>
      <w:spacing w:line="360" w:lineRule="auto"/>
      <w:ind w:firstLine="480" w:firstLineChars="200"/>
    </w:pPr>
    <w:rPr>
      <w:rFonts w:asciiTheme="minorHAnsi" w:hAnsiTheme="minorHAnsi" w:eastAsiaTheme="minorEastAsia" w:cstheme="minorBidi"/>
      <w:sz w:val="24"/>
    </w:rPr>
  </w:style>
  <w:style w:type="paragraph" w:customStyle="1" w:styleId="74">
    <w:name w:val="表格"/>
    <w:link w:val="75"/>
    <w:qFormat/>
    <w:uiPriority w:val="0"/>
    <w:pPr>
      <w:jc w:val="center"/>
    </w:pPr>
    <w:rPr>
      <w:rFonts w:ascii="Times New Roman" w:hAnsi="Times New Roman" w:eastAsia="仿宋" w:cs="Times New Roman"/>
      <w:kern w:val="2"/>
      <w:sz w:val="21"/>
      <w:szCs w:val="22"/>
      <w:lang w:val="en-US" w:eastAsia="zh-CN" w:bidi="ar-SA"/>
    </w:rPr>
  </w:style>
  <w:style w:type="character" w:customStyle="1" w:styleId="75">
    <w:name w:val="表格 Char"/>
    <w:link w:val="74"/>
    <w:qFormat/>
    <w:uiPriority w:val="0"/>
    <w:rPr>
      <w:rFonts w:ascii="Times New Roman" w:hAnsi="Times New Roman" w:eastAsia="仿宋" w:cs="Times New Roman"/>
      <w:kern w:val="2"/>
      <w:sz w:val="21"/>
      <w:szCs w:val="22"/>
    </w:rPr>
  </w:style>
  <w:style w:type="character" w:customStyle="1" w:styleId="76">
    <w:name w:val="font01"/>
    <w:basedOn w:val="28"/>
    <w:qFormat/>
    <w:uiPriority w:val="0"/>
    <w:rPr>
      <w:rFonts w:hint="eastAsia" w:ascii="等线" w:hAnsi="等线" w:eastAsia="等线" w:cs="等线"/>
      <w:color w:val="000000"/>
      <w:sz w:val="22"/>
      <w:szCs w:val="22"/>
      <w:u w:val="none"/>
    </w:rPr>
  </w:style>
  <w:style w:type="character" w:customStyle="1" w:styleId="77">
    <w:name w:val="font61"/>
    <w:basedOn w:val="28"/>
    <w:qFormat/>
    <w:uiPriority w:val="0"/>
    <w:rPr>
      <w:rFonts w:ascii="Calibri" w:hAnsi="Calibri" w:cs="Calibri"/>
      <w:color w:val="000000"/>
      <w:sz w:val="20"/>
      <w:szCs w:val="20"/>
      <w:u w:val="none"/>
    </w:rPr>
  </w:style>
  <w:style w:type="character" w:customStyle="1" w:styleId="78">
    <w:name w:val="font11"/>
    <w:basedOn w:val="28"/>
    <w:qFormat/>
    <w:uiPriority w:val="0"/>
    <w:rPr>
      <w:rFonts w:hint="eastAsia" w:ascii="宋体" w:hAnsi="宋体" w:eastAsia="宋体" w:cs="宋体"/>
      <w:color w:val="000000"/>
      <w:sz w:val="20"/>
      <w:szCs w:val="20"/>
      <w:u w:val="none"/>
    </w:rPr>
  </w:style>
  <w:style w:type="character" w:customStyle="1" w:styleId="79">
    <w:name w:val="PageNumber"/>
    <w:basedOn w:val="62"/>
    <w:qFormat/>
    <w:uiPriority w:val="0"/>
  </w:style>
  <w:style w:type="character" w:customStyle="1" w:styleId="80">
    <w:name w:val="font71"/>
    <w:basedOn w:val="28"/>
    <w:qFormat/>
    <w:uiPriority w:val="0"/>
    <w:rPr>
      <w:rFonts w:hint="eastAsia" w:ascii="微软雅黑" w:hAnsi="微软雅黑" w:eastAsia="微软雅黑" w:cs="微软雅黑"/>
      <w:b/>
      <w:bCs/>
      <w:color w:val="000000"/>
      <w:sz w:val="24"/>
      <w:szCs w:val="24"/>
      <w:u w:val="none"/>
    </w:rPr>
  </w:style>
  <w:style w:type="paragraph" w:customStyle="1" w:styleId="81">
    <w:name w:val="正文缩进_0"/>
    <w:basedOn w:val="1"/>
    <w:qFormat/>
    <w:uiPriority w:val="0"/>
    <w:pPr>
      <w:widowControl/>
      <w:snapToGrid/>
      <w:spacing w:line="240" w:lineRule="auto"/>
      <w:jc w:val="left"/>
    </w:pPr>
    <w:rPr>
      <w:rFonts w:ascii="Times New Roman" w:hAnsi="Times New Roman" w:cs="Times New Roman"/>
      <w:kern w:val="0"/>
      <w:sz w:val="20"/>
      <w:szCs w:val="20"/>
    </w:rPr>
  </w:style>
  <w:style w:type="character" w:customStyle="1" w:styleId="82">
    <w:name w:val="font41"/>
    <w:basedOn w:val="28"/>
    <w:qFormat/>
    <w:uiPriority w:val="0"/>
    <w:rPr>
      <w:rFonts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96085-D959-42A5-9762-85E36C5C130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54</Pages>
  <Words>1392</Words>
  <Characters>1463</Characters>
  <Lines>333</Lines>
  <Paragraphs>93</Paragraphs>
  <TotalTime>1</TotalTime>
  <ScaleCrop>false</ScaleCrop>
  <LinksUpToDate>false</LinksUpToDate>
  <CharactersWithSpaces>1477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2023-03-09T06:08:00Z</dcterms:created>
  <dc:creator>未定义</dc:creator>
  <cp:lastModifiedBy>基建处</cp:lastModifiedBy>
  <cp:lastPrinted>2024-12-25T05:57:00Z</cp:lastPrinted>
  <dcterms:modified xsi:type="dcterms:W3CDTF">2025-05-26T08:58:19Z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F404057135AD42DC95DDE20210038BB9_13</vt:lpwstr>
  </property>
  <property fmtid="{D5CDD505-2E9C-101B-9397-08002B2CF9AE}" pid="4" name="KSOTemplateDocerSaveRecord">
    <vt:lpwstr>eyJoZGlkIjoiODRiNjhlYzQwYTQ1ZWJiZDE3NTEzMWEyNmJlZmIxNTkiLCJ1c2VySWQiOiIyNDAyOTMzNTYifQ==</vt:lpwstr>
  </property>
</Properties>
</file>