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69928">
      <w:pPr>
        <w:jc w:val="center"/>
        <w:rPr>
          <w:rFonts w:hint="eastAsia"/>
          <w:b/>
          <w:bCs/>
          <w:sz w:val="44"/>
          <w:szCs w:val="44"/>
          <w:lang w:val="en-US" w:eastAsia="zh-CN"/>
        </w:rPr>
      </w:pPr>
      <w:r>
        <w:rPr>
          <w:rFonts w:hint="eastAsia"/>
          <w:b/>
          <w:bCs/>
          <w:sz w:val="44"/>
          <w:szCs w:val="44"/>
          <w:lang w:val="en-US" w:eastAsia="zh-CN"/>
        </w:rPr>
        <w:t>评分标准</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096"/>
        <w:gridCol w:w="856"/>
        <w:gridCol w:w="5720"/>
      </w:tblGrid>
      <w:tr w14:paraId="7DE50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14:paraId="6E9F6DB5">
            <w:pPr>
              <w:rPr>
                <w:rFonts w:hint="default"/>
                <w:vertAlign w:val="baseline"/>
                <w:lang w:val="en-US" w:eastAsia="zh-CN"/>
              </w:rPr>
            </w:pPr>
          </w:p>
        </w:tc>
        <w:tc>
          <w:tcPr>
            <w:tcW w:w="1096" w:type="dxa"/>
          </w:tcPr>
          <w:p w14:paraId="2D484A27">
            <w:pPr>
              <w:rPr>
                <w:rFonts w:hint="default"/>
                <w:vertAlign w:val="baseline"/>
                <w:lang w:val="en-US" w:eastAsia="zh-CN"/>
              </w:rPr>
            </w:pPr>
          </w:p>
        </w:tc>
        <w:tc>
          <w:tcPr>
            <w:tcW w:w="856" w:type="dxa"/>
          </w:tcPr>
          <w:p w14:paraId="559D87D9">
            <w:pPr>
              <w:rPr>
                <w:rFonts w:hint="default"/>
                <w:vertAlign w:val="baseline"/>
                <w:lang w:val="en-US" w:eastAsia="zh-CN"/>
              </w:rPr>
            </w:pPr>
            <w:r>
              <w:rPr>
                <w:rFonts w:hint="eastAsia"/>
                <w:vertAlign w:val="baseline"/>
                <w:lang w:val="en-US" w:eastAsia="zh-CN"/>
              </w:rPr>
              <w:t>分值</w:t>
            </w:r>
          </w:p>
        </w:tc>
        <w:tc>
          <w:tcPr>
            <w:tcW w:w="5720" w:type="dxa"/>
          </w:tcPr>
          <w:p w14:paraId="0846D899">
            <w:pPr>
              <w:rPr>
                <w:rFonts w:hint="default"/>
                <w:vertAlign w:val="baseline"/>
                <w:lang w:val="en-US" w:eastAsia="zh-CN"/>
              </w:rPr>
            </w:pPr>
          </w:p>
        </w:tc>
      </w:tr>
      <w:tr w14:paraId="4CFA3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restart"/>
          </w:tcPr>
          <w:p w14:paraId="4E1C002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b/>
                <w:bCs/>
                <w:color w:val="auto"/>
                <w:lang w:val="en-US" w:eastAsia="zh-CN"/>
              </w:rPr>
            </w:pPr>
            <w:r>
              <w:rPr>
                <w:rFonts w:hint="eastAsia" w:ascii="宋体" w:hAnsi="宋体"/>
                <w:b/>
                <w:bCs/>
                <w:color w:val="auto"/>
                <w:lang w:val="en-US" w:eastAsia="zh-CN"/>
              </w:rPr>
              <w:t>报价评分</w:t>
            </w:r>
          </w:p>
          <w:p w14:paraId="4230CB4D">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b/>
                <w:bCs/>
                <w:color w:val="auto"/>
                <w:lang w:val="en-US" w:eastAsia="zh-CN"/>
              </w:rPr>
            </w:pPr>
            <w:r>
              <w:rPr>
                <w:rFonts w:hint="eastAsia" w:ascii="宋体" w:hAnsi="宋体"/>
                <w:b/>
                <w:bCs/>
                <w:color w:val="auto"/>
                <w:lang w:val="en-US" w:eastAsia="zh-CN"/>
              </w:rPr>
              <w:t>（27）</w:t>
            </w:r>
          </w:p>
        </w:tc>
        <w:tc>
          <w:tcPr>
            <w:tcW w:w="1096" w:type="dxa"/>
          </w:tcPr>
          <w:p w14:paraId="1BFC1DDA">
            <w:pPr>
              <w:rPr>
                <w:rFonts w:hint="default"/>
                <w:vertAlign w:val="baseline"/>
                <w:lang w:val="en-US" w:eastAsia="zh-CN"/>
              </w:rPr>
            </w:pPr>
            <w:r>
              <w:rPr>
                <w:rFonts w:hint="eastAsia" w:ascii="宋体" w:hAnsi="宋体"/>
                <w:b/>
                <w:bCs/>
                <w:color w:val="auto"/>
                <w:lang w:val="en-US" w:eastAsia="zh-CN"/>
              </w:rPr>
              <w:t>医责险理赔限额</w:t>
            </w:r>
          </w:p>
        </w:tc>
        <w:tc>
          <w:tcPr>
            <w:tcW w:w="856" w:type="dxa"/>
          </w:tcPr>
          <w:p w14:paraId="3A232EC5">
            <w:pPr>
              <w:rPr>
                <w:rFonts w:hint="default"/>
                <w:vertAlign w:val="baseline"/>
                <w:lang w:val="en-US" w:eastAsia="zh-CN"/>
              </w:rPr>
            </w:pPr>
            <w:r>
              <w:rPr>
                <w:rFonts w:hint="eastAsia"/>
                <w:vertAlign w:val="baseline"/>
                <w:lang w:val="en-US" w:eastAsia="zh-CN"/>
              </w:rPr>
              <w:t>15</w:t>
            </w:r>
          </w:p>
        </w:tc>
        <w:tc>
          <w:tcPr>
            <w:tcW w:w="5720" w:type="dxa"/>
          </w:tcPr>
          <w:p w14:paraId="090B09E1">
            <w:pPr>
              <w:rPr>
                <w:rFonts w:hint="eastAsia" w:ascii="宋体" w:hAnsi="宋体" w:cs="宋体"/>
                <w:b/>
                <w:bCs/>
                <w:color w:val="auto"/>
                <w:szCs w:val="21"/>
              </w:rPr>
            </w:pPr>
            <w:r>
              <w:rPr>
                <w:rFonts w:hint="eastAsia" w:ascii="宋体" w:hAnsi="宋体" w:cs="宋体"/>
                <w:b/>
                <w:bCs/>
                <w:color w:val="auto"/>
                <w:szCs w:val="21"/>
              </w:rPr>
              <w:t>得分=投标人所报赔偿限额</w:t>
            </w:r>
            <w:r>
              <w:rPr>
                <w:rFonts w:hint="eastAsia" w:ascii="宋体" w:hAnsi="宋体" w:cs="宋体"/>
                <w:b/>
                <w:bCs/>
                <w:color w:val="auto"/>
                <w:szCs w:val="21"/>
                <w:lang w:eastAsia="zh-CN"/>
              </w:rPr>
              <w:t>（</w:t>
            </w:r>
            <w:r>
              <w:rPr>
                <w:rFonts w:hint="eastAsia" w:ascii="宋体" w:hAnsi="宋体" w:cs="宋体"/>
                <w:b/>
                <w:bCs/>
                <w:color w:val="auto"/>
                <w:szCs w:val="21"/>
                <w:lang w:val="en-US" w:eastAsia="zh-CN"/>
              </w:rPr>
              <w:t>总额</w:t>
            </w:r>
            <w:r>
              <w:rPr>
                <w:rFonts w:hint="eastAsia" w:ascii="宋体" w:hAnsi="宋体" w:cs="宋体"/>
                <w:b/>
                <w:bCs/>
                <w:color w:val="auto"/>
                <w:szCs w:val="21"/>
                <w:lang w:eastAsia="zh-CN"/>
              </w:rPr>
              <w:t>）</w:t>
            </w:r>
            <w:r>
              <w:rPr>
                <w:rFonts w:hint="eastAsia" w:ascii="宋体" w:hAnsi="宋体" w:cs="宋体"/>
                <w:b/>
                <w:bCs/>
                <w:color w:val="auto"/>
                <w:szCs w:val="21"/>
              </w:rPr>
              <w:t>／所报赔偿金额最高的投标人×分值。</w:t>
            </w:r>
          </w:p>
          <w:p w14:paraId="5848EB64">
            <w:pPr>
              <w:rPr>
                <w:rFonts w:hint="default" w:ascii="宋体" w:hAnsi="宋体" w:cs="宋体" w:eastAsiaTheme="minorEastAsia"/>
                <w:b/>
                <w:bCs/>
                <w:color w:val="auto"/>
                <w:szCs w:val="21"/>
                <w:lang w:val="en-US" w:eastAsia="zh-CN"/>
              </w:rPr>
            </w:pPr>
            <w:r>
              <w:rPr>
                <w:rFonts w:hint="eastAsia" w:ascii="宋体" w:hAnsi="宋体" w:cs="宋体"/>
                <w:b/>
                <w:bCs/>
                <w:color w:val="auto"/>
                <w:szCs w:val="21"/>
                <w:lang w:val="en-US" w:eastAsia="zh-CN"/>
              </w:rPr>
              <w:t>超平均值2倍以上者视为恶意冲标，不得分。</w:t>
            </w:r>
          </w:p>
        </w:tc>
      </w:tr>
      <w:tr w14:paraId="491B1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tcPr>
          <w:p w14:paraId="16531F8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b/>
                <w:bCs/>
                <w:color w:val="auto"/>
                <w:lang w:val="en-US" w:eastAsia="zh-CN"/>
              </w:rPr>
            </w:pPr>
          </w:p>
        </w:tc>
        <w:tc>
          <w:tcPr>
            <w:tcW w:w="1096" w:type="dxa"/>
          </w:tcPr>
          <w:p w14:paraId="6C985FA0">
            <w:pPr>
              <w:rPr>
                <w:rFonts w:hint="eastAsia" w:ascii="宋体" w:hAnsi="宋体"/>
                <w:b/>
                <w:bCs/>
                <w:color w:val="auto"/>
                <w:lang w:val="en-US" w:eastAsia="zh-CN"/>
              </w:rPr>
            </w:pPr>
            <w:r>
              <w:rPr>
                <w:rFonts w:hint="eastAsia"/>
                <w:vertAlign w:val="baseline"/>
                <w:lang w:val="en-US" w:eastAsia="zh-CN"/>
              </w:rPr>
              <w:t>公共责任险</w:t>
            </w:r>
          </w:p>
        </w:tc>
        <w:tc>
          <w:tcPr>
            <w:tcW w:w="856" w:type="dxa"/>
          </w:tcPr>
          <w:p w14:paraId="3C33463C">
            <w:pPr>
              <w:rPr>
                <w:rFonts w:hint="default"/>
                <w:vertAlign w:val="baseline"/>
                <w:lang w:val="en-US" w:eastAsia="zh-CN"/>
              </w:rPr>
            </w:pPr>
            <w:r>
              <w:rPr>
                <w:rFonts w:hint="eastAsia"/>
                <w:vertAlign w:val="baseline"/>
                <w:lang w:val="en-US" w:eastAsia="zh-CN"/>
              </w:rPr>
              <w:t>2</w:t>
            </w:r>
          </w:p>
        </w:tc>
        <w:tc>
          <w:tcPr>
            <w:tcW w:w="5720" w:type="dxa"/>
          </w:tcPr>
          <w:p w14:paraId="32708C3C">
            <w:pPr>
              <w:rPr>
                <w:rFonts w:hint="eastAsia" w:ascii="宋体" w:hAnsi="宋体" w:cs="宋体"/>
                <w:b/>
                <w:bCs/>
                <w:color w:val="auto"/>
                <w:szCs w:val="21"/>
              </w:rPr>
            </w:pPr>
            <w:r>
              <w:rPr>
                <w:rFonts w:hint="eastAsia" w:ascii="宋体" w:hAnsi="宋体" w:cs="宋体"/>
                <w:b/>
                <w:bCs/>
                <w:color w:val="auto"/>
                <w:szCs w:val="21"/>
              </w:rPr>
              <w:t>得分=投标人所报赔偿限额</w:t>
            </w:r>
            <w:r>
              <w:rPr>
                <w:rFonts w:hint="eastAsia" w:ascii="宋体" w:hAnsi="宋体" w:cs="宋体"/>
                <w:b/>
                <w:bCs/>
                <w:color w:val="auto"/>
                <w:szCs w:val="21"/>
                <w:lang w:eastAsia="zh-CN"/>
              </w:rPr>
              <w:t>（</w:t>
            </w:r>
            <w:r>
              <w:rPr>
                <w:rFonts w:hint="eastAsia" w:ascii="宋体" w:hAnsi="宋体" w:cs="宋体"/>
                <w:b/>
                <w:bCs/>
                <w:color w:val="auto"/>
                <w:szCs w:val="21"/>
                <w:lang w:val="en-US" w:eastAsia="zh-CN"/>
              </w:rPr>
              <w:t>总额</w:t>
            </w:r>
            <w:r>
              <w:rPr>
                <w:rFonts w:hint="eastAsia" w:ascii="宋体" w:hAnsi="宋体" w:cs="宋体"/>
                <w:b/>
                <w:bCs/>
                <w:color w:val="auto"/>
                <w:szCs w:val="21"/>
                <w:lang w:eastAsia="zh-CN"/>
              </w:rPr>
              <w:t>）</w:t>
            </w:r>
            <w:r>
              <w:rPr>
                <w:rFonts w:hint="eastAsia" w:ascii="宋体" w:hAnsi="宋体" w:cs="宋体"/>
                <w:b/>
                <w:bCs/>
                <w:color w:val="auto"/>
                <w:szCs w:val="21"/>
              </w:rPr>
              <w:t>／所报赔偿金额最高的投标人×分值。</w:t>
            </w:r>
          </w:p>
          <w:p w14:paraId="77E016E3">
            <w:pPr>
              <w:rPr>
                <w:rFonts w:hint="eastAsia" w:ascii="宋体" w:hAnsi="宋体" w:cs="宋体"/>
                <w:b/>
                <w:bCs/>
                <w:color w:val="FF0000"/>
                <w:szCs w:val="21"/>
                <w:lang w:val="en-US" w:eastAsia="zh-CN"/>
              </w:rPr>
            </w:pPr>
            <w:r>
              <w:rPr>
                <w:rFonts w:hint="eastAsia" w:ascii="宋体" w:hAnsi="宋体" w:cs="宋体"/>
                <w:b/>
                <w:bCs/>
                <w:color w:val="auto"/>
                <w:szCs w:val="21"/>
                <w:lang w:val="en-US" w:eastAsia="zh-CN"/>
              </w:rPr>
              <w:t>超平均值2倍以上者视为恶意冲标，不得分。</w:t>
            </w:r>
          </w:p>
        </w:tc>
      </w:tr>
      <w:tr w14:paraId="32703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tcPr>
          <w:p w14:paraId="54B864A7">
            <w:pPr>
              <w:rPr>
                <w:rFonts w:hint="default"/>
                <w:vertAlign w:val="baseline"/>
                <w:lang w:val="en-US" w:eastAsia="zh-CN"/>
              </w:rPr>
            </w:pPr>
          </w:p>
        </w:tc>
        <w:tc>
          <w:tcPr>
            <w:tcW w:w="1096" w:type="dxa"/>
          </w:tcPr>
          <w:p w14:paraId="7B043DDC">
            <w:pPr>
              <w:rPr>
                <w:rFonts w:hint="default"/>
                <w:vertAlign w:val="baseline"/>
                <w:lang w:val="en-US" w:eastAsia="zh-CN"/>
              </w:rPr>
            </w:pPr>
            <w:r>
              <w:rPr>
                <w:rFonts w:hint="eastAsia"/>
                <w:vertAlign w:val="baseline"/>
                <w:lang w:val="en-US" w:eastAsia="zh-CN"/>
              </w:rPr>
              <w:t>京沪医学中心保险服务项目理赔限额</w:t>
            </w:r>
          </w:p>
        </w:tc>
        <w:tc>
          <w:tcPr>
            <w:tcW w:w="856" w:type="dxa"/>
          </w:tcPr>
          <w:p w14:paraId="44DB115E">
            <w:pPr>
              <w:rPr>
                <w:rFonts w:hint="default"/>
                <w:vertAlign w:val="baseline"/>
                <w:lang w:val="en-US" w:eastAsia="zh-CN"/>
              </w:rPr>
            </w:pPr>
            <w:r>
              <w:rPr>
                <w:rFonts w:hint="eastAsia"/>
                <w:vertAlign w:val="baseline"/>
                <w:lang w:val="en-US" w:eastAsia="zh-CN"/>
              </w:rPr>
              <w:t>8</w:t>
            </w:r>
          </w:p>
        </w:tc>
        <w:tc>
          <w:tcPr>
            <w:tcW w:w="5720" w:type="dxa"/>
          </w:tcPr>
          <w:p w14:paraId="3F810A1A">
            <w:pPr>
              <w:rPr>
                <w:rFonts w:hint="eastAsia" w:ascii="宋体" w:hAnsi="宋体" w:cs="宋体"/>
                <w:b/>
                <w:bCs/>
                <w:color w:val="auto"/>
                <w:sz w:val="21"/>
                <w:szCs w:val="21"/>
                <w:lang w:val="en-US" w:eastAsia="zh-CN"/>
              </w:rPr>
            </w:pPr>
            <w:r>
              <w:rPr>
                <w:rFonts w:hint="eastAsia" w:ascii="宋体" w:hAnsi="宋体" w:cs="宋体"/>
                <w:b/>
                <w:bCs/>
                <w:color w:val="auto"/>
                <w:sz w:val="21"/>
                <w:szCs w:val="21"/>
                <w:lang w:val="en-US" w:eastAsia="zh-CN"/>
              </w:rPr>
              <w:t>京沪医疗中心医疗责任（补充）险、医疗意外险、医师责任险、专家及团体意外险各2分。</w:t>
            </w:r>
          </w:p>
          <w:p w14:paraId="78BF30F9">
            <w:pPr>
              <w:rPr>
                <w:rFonts w:hint="eastAsia" w:ascii="宋体" w:hAnsi="宋体" w:cs="宋体"/>
                <w:b/>
                <w:bCs/>
                <w:color w:val="auto"/>
                <w:szCs w:val="21"/>
              </w:rPr>
            </w:pPr>
            <w:r>
              <w:rPr>
                <w:rFonts w:hint="eastAsia" w:ascii="宋体" w:hAnsi="宋体" w:cs="宋体"/>
                <w:b/>
                <w:bCs/>
                <w:color w:val="auto"/>
                <w:szCs w:val="21"/>
              </w:rPr>
              <w:t>得分=投标人所报赔偿限额</w:t>
            </w:r>
            <w:r>
              <w:rPr>
                <w:rFonts w:hint="eastAsia" w:ascii="宋体" w:hAnsi="宋体" w:cs="宋体"/>
                <w:b/>
                <w:bCs/>
                <w:color w:val="auto"/>
                <w:szCs w:val="21"/>
                <w:lang w:eastAsia="zh-CN"/>
              </w:rPr>
              <w:t>（</w:t>
            </w:r>
            <w:r>
              <w:rPr>
                <w:rFonts w:hint="eastAsia" w:ascii="宋体" w:hAnsi="宋体" w:cs="宋体"/>
                <w:b/>
                <w:bCs/>
                <w:color w:val="auto"/>
                <w:szCs w:val="21"/>
                <w:lang w:val="en-US" w:eastAsia="zh-CN"/>
              </w:rPr>
              <w:t>总额</w:t>
            </w:r>
            <w:r>
              <w:rPr>
                <w:rFonts w:hint="eastAsia" w:ascii="宋体" w:hAnsi="宋体" w:cs="宋体"/>
                <w:b/>
                <w:bCs/>
                <w:color w:val="auto"/>
                <w:szCs w:val="21"/>
                <w:lang w:eastAsia="zh-CN"/>
              </w:rPr>
              <w:t>）</w:t>
            </w:r>
            <w:r>
              <w:rPr>
                <w:rFonts w:hint="eastAsia" w:ascii="宋体" w:hAnsi="宋体" w:cs="宋体"/>
                <w:b/>
                <w:bCs/>
                <w:color w:val="auto"/>
                <w:szCs w:val="21"/>
              </w:rPr>
              <w:t>／所报赔偿金额最高的投标人×分值。</w:t>
            </w:r>
          </w:p>
          <w:p w14:paraId="2EA4F7FB">
            <w:pPr>
              <w:rPr>
                <w:rFonts w:hint="default" w:ascii="宋体" w:hAnsi="宋体" w:cs="宋体"/>
                <w:b/>
                <w:bCs/>
                <w:color w:val="auto"/>
                <w:sz w:val="21"/>
                <w:szCs w:val="21"/>
                <w:lang w:val="en-US" w:eastAsia="zh-CN"/>
              </w:rPr>
            </w:pPr>
            <w:r>
              <w:rPr>
                <w:rFonts w:hint="eastAsia" w:ascii="宋体" w:hAnsi="宋体" w:cs="宋体"/>
                <w:b/>
                <w:bCs/>
                <w:color w:val="auto"/>
                <w:szCs w:val="21"/>
                <w:lang w:val="en-US" w:eastAsia="zh-CN"/>
              </w:rPr>
              <w:t>超平均值2倍以上者视为恶意冲标，不得分。</w:t>
            </w:r>
          </w:p>
        </w:tc>
      </w:tr>
      <w:tr w14:paraId="6C81A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tcPr>
          <w:p w14:paraId="77D84E9D">
            <w:pPr>
              <w:rPr>
                <w:rFonts w:hint="default"/>
                <w:vertAlign w:val="baseline"/>
                <w:lang w:val="en-US" w:eastAsia="zh-CN"/>
              </w:rPr>
            </w:pPr>
          </w:p>
        </w:tc>
        <w:tc>
          <w:tcPr>
            <w:tcW w:w="1096" w:type="dxa"/>
          </w:tcPr>
          <w:p w14:paraId="56494AF1">
            <w:pPr>
              <w:rPr>
                <w:rFonts w:hint="default"/>
                <w:vertAlign w:val="baseline"/>
                <w:lang w:val="en-US" w:eastAsia="zh-CN"/>
              </w:rPr>
            </w:pPr>
            <w:r>
              <w:rPr>
                <w:rFonts w:hint="eastAsia"/>
                <w:vertAlign w:val="baseline"/>
                <w:lang w:val="en-US" w:eastAsia="zh-CN"/>
              </w:rPr>
              <w:t>手术意外险险种数</w:t>
            </w:r>
          </w:p>
        </w:tc>
        <w:tc>
          <w:tcPr>
            <w:tcW w:w="856" w:type="dxa"/>
          </w:tcPr>
          <w:p w14:paraId="1D7CBEE7">
            <w:pPr>
              <w:rPr>
                <w:rFonts w:hint="default"/>
                <w:vertAlign w:val="baseline"/>
                <w:lang w:val="en-US" w:eastAsia="zh-CN"/>
              </w:rPr>
            </w:pPr>
            <w:r>
              <w:rPr>
                <w:rFonts w:hint="eastAsia"/>
                <w:vertAlign w:val="baseline"/>
                <w:lang w:val="en-US" w:eastAsia="zh-CN"/>
              </w:rPr>
              <w:t>2</w:t>
            </w:r>
          </w:p>
        </w:tc>
        <w:tc>
          <w:tcPr>
            <w:tcW w:w="5720" w:type="dxa"/>
          </w:tcPr>
          <w:p w14:paraId="6EFC1FA5">
            <w:pPr>
              <w:rPr>
                <w:rFonts w:hint="default"/>
                <w:vertAlign w:val="baseline"/>
                <w:lang w:val="en-US" w:eastAsia="zh-CN"/>
              </w:rPr>
            </w:pPr>
            <w:r>
              <w:rPr>
                <w:rFonts w:hint="eastAsia"/>
                <w:vertAlign w:val="baseline"/>
                <w:lang w:val="en-US" w:eastAsia="zh-CN"/>
              </w:rPr>
              <w:t>20个以下不得分，20-30个得1分，30个以上得2分。</w:t>
            </w:r>
          </w:p>
        </w:tc>
      </w:tr>
      <w:tr w14:paraId="139A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restart"/>
          </w:tcPr>
          <w:p w14:paraId="702B7452">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bCs/>
                <w:color w:val="auto"/>
              </w:rPr>
            </w:pPr>
            <w:r>
              <w:rPr>
                <w:rFonts w:hint="eastAsia" w:ascii="宋体" w:hAnsi="宋体"/>
                <w:b/>
                <w:bCs/>
                <w:color w:val="auto"/>
              </w:rPr>
              <w:t>综合实力</w:t>
            </w:r>
          </w:p>
          <w:p w14:paraId="75FBD575">
            <w:pPr>
              <w:rPr>
                <w:rFonts w:hint="default"/>
                <w:vertAlign w:val="baseline"/>
                <w:lang w:val="en-US" w:eastAsia="zh-CN"/>
              </w:rPr>
            </w:pPr>
            <w:r>
              <w:rPr>
                <w:rFonts w:hint="eastAsia"/>
                <w:vertAlign w:val="baseline"/>
                <w:lang w:val="en-US" w:eastAsia="zh-CN"/>
              </w:rPr>
              <w:t>（26）</w:t>
            </w:r>
          </w:p>
        </w:tc>
        <w:tc>
          <w:tcPr>
            <w:tcW w:w="1096" w:type="dxa"/>
          </w:tcPr>
          <w:p w14:paraId="2862AEC4">
            <w:pPr>
              <w:rPr>
                <w:rFonts w:hint="default"/>
                <w:b w:val="0"/>
                <w:bCs w:val="0"/>
                <w:color w:val="auto"/>
                <w:vertAlign w:val="baseline"/>
                <w:lang w:val="en-US" w:eastAsia="zh-CN"/>
              </w:rPr>
            </w:pPr>
            <w:r>
              <w:rPr>
                <w:rFonts w:hint="eastAsia" w:ascii="宋体" w:hAnsi="宋体"/>
                <w:b w:val="0"/>
                <w:bCs w:val="0"/>
                <w:color w:val="auto"/>
                <w:highlight w:val="none"/>
              </w:rPr>
              <w:t>综合偿付能力</w:t>
            </w:r>
          </w:p>
        </w:tc>
        <w:tc>
          <w:tcPr>
            <w:tcW w:w="856" w:type="dxa"/>
          </w:tcPr>
          <w:p w14:paraId="79CB73B1">
            <w:pPr>
              <w:rPr>
                <w:rFonts w:hint="default"/>
                <w:b w:val="0"/>
                <w:bCs w:val="0"/>
                <w:color w:val="auto"/>
                <w:vertAlign w:val="baseline"/>
                <w:lang w:val="en-US" w:eastAsia="zh-CN"/>
              </w:rPr>
            </w:pPr>
            <w:r>
              <w:rPr>
                <w:rFonts w:hint="eastAsia"/>
                <w:b w:val="0"/>
                <w:bCs w:val="0"/>
                <w:color w:val="auto"/>
                <w:vertAlign w:val="baseline"/>
                <w:lang w:val="en-US" w:eastAsia="zh-CN"/>
              </w:rPr>
              <w:t>8</w:t>
            </w:r>
          </w:p>
        </w:tc>
        <w:tc>
          <w:tcPr>
            <w:tcW w:w="5720" w:type="dxa"/>
          </w:tcPr>
          <w:p w14:paraId="3CF920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 w:val="0"/>
                <w:bCs w:val="0"/>
                <w:color w:val="auto"/>
                <w:highlight w:val="none"/>
              </w:rPr>
            </w:pPr>
            <w:r>
              <w:rPr>
                <w:rFonts w:hint="eastAsia" w:ascii="宋体" w:hAnsi="宋体"/>
                <w:b w:val="0"/>
                <w:bCs w:val="0"/>
                <w:color w:val="auto"/>
                <w:highlight w:val="none"/>
                <w:lang w:val="en-US" w:eastAsia="zh-CN"/>
              </w:rPr>
              <w:t>查看</w:t>
            </w:r>
            <w:r>
              <w:rPr>
                <w:rFonts w:hint="eastAsia" w:ascii="宋体" w:hAnsi="宋体"/>
                <w:b w:val="0"/>
                <w:bCs w:val="0"/>
                <w:color w:val="auto"/>
                <w:highlight w:val="none"/>
              </w:rPr>
              <w:t>投标人所属公司</w:t>
            </w:r>
            <w:r>
              <w:rPr>
                <w:rFonts w:hint="eastAsia" w:ascii="宋体" w:hAnsi="宋体"/>
                <w:b w:val="0"/>
                <w:bCs w:val="0"/>
                <w:color w:val="auto"/>
                <w:highlight w:val="none"/>
                <w:lang w:val="en-US" w:eastAsia="zh-CN"/>
              </w:rPr>
              <w:t>(含总公司</w:t>
            </w:r>
            <w:bookmarkStart w:id="0" w:name="_GoBack"/>
            <w:bookmarkEnd w:id="0"/>
            <w:r>
              <w:rPr>
                <w:rFonts w:hint="eastAsia" w:ascii="宋体" w:hAnsi="宋体"/>
                <w:b w:val="0"/>
                <w:bCs w:val="0"/>
                <w:color w:val="auto"/>
                <w:highlight w:val="none"/>
                <w:lang w:val="en-US" w:eastAsia="zh-CN"/>
              </w:rPr>
              <w:t>)</w:t>
            </w:r>
            <w:r>
              <w:rPr>
                <w:rFonts w:hint="eastAsia" w:ascii="宋体" w:hAnsi="宋体"/>
                <w:b w:val="0"/>
                <w:bCs w:val="0"/>
                <w:color w:val="auto"/>
                <w:highlight w:val="none"/>
              </w:rPr>
              <w:t>202</w:t>
            </w:r>
            <w:r>
              <w:rPr>
                <w:rFonts w:hint="eastAsia" w:ascii="宋体" w:hAnsi="宋体"/>
                <w:b w:val="0"/>
                <w:bCs w:val="0"/>
                <w:color w:val="auto"/>
                <w:highlight w:val="none"/>
                <w:lang w:val="en-US" w:eastAsia="zh-CN"/>
              </w:rPr>
              <w:t>4</w:t>
            </w:r>
            <w:r>
              <w:rPr>
                <w:rFonts w:hint="eastAsia" w:ascii="宋体" w:hAnsi="宋体"/>
                <w:b w:val="0"/>
                <w:bCs w:val="0"/>
                <w:color w:val="auto"/>
                <w:highlight w:val="none"/>
              </w:rPr>
              <w:t>年</w:t>
            </w:r>
            <w:r>
              <w:rPr>
                <w:rFonts w:hint="eastAsia" w:ascii="宋体" w:hAnsi="宋体"/>
                <w:b w:val="0"/>
                <w:bCs w:val="0"/>
                <w:color w:val="auto"/>
                <w:highlight w:val="none"/>
                <w:lang w:val="en-US" w:eastAsia="zh-CN"/>
              </w:rPr>
              <w:t>四</w:t>
            </w:r>
            <w:r>
              <w:rPr>
                <w:rFonts w:hint="eastAsia" w:ascii="宋体" w:hAnsi="宋体"/>
                <w:b w:val="0"/>
                <w:bCs w:val="0"/>
                <w:color w:val="auto"/>
                <w:highlight w:val="none"/>
              </w:rPr>
              <w:t>季度综合偿付能力</w:t>
            </w:r>
            <w:r>
              <w:rPr>
                <w:rFonts w:hint="eastAsia" w:ascii="宋体" w:hAnsi="宋体"/>
                <w:b w:val="0"/>
                <w:bCs w:val="0"/>
                <w:color w:val="auto"/>
                <w:highlight w:val="none"/>
                <w:lang w:eastAsia="zh-CN"/>
              </w:rPr>
              <w:t>，</w:t>
            </w:r>
            <w:r>
              <w:rPr>
                <w:rFonts w:hint="eastAsia" w:ascii="宋体" w:hAnsi="宋体"/>
                <w:b w:val="0"/>
                <w:bCs w:val="0"/>
                <w:color w:val="auto"/>
                <w:highlight w:val="none"/>
              </w:rPr>
              <w:t>综合偿付能力充足率200%（含）以上，得</w:t>
            </w:r>
            <w:r>
              <w:rPr>
                <w:rFonts w:hint="eastAsia" w:ascii="宋体" w:hAnsi="宋体"/>
                <w:b w:val="0"/>
                <w:bCs w:val="0"/>
                <w:color w:val="auto"/>
                <w:highlight w:val="none"/>
                <w:lang w:val="en-US" w:eastAsia="zh-CN"/>
              </w:rPr>
              <w:t>8</w:t>
            </w:r>
            <w:r>
              <w:rPr>
                <w:rFonts w:hint="eastAsia" w:ascii="宋体" w:hAnsi="宋体"/>
                <w:b w:val="0"/>
                <w:bCs w:val="0"/>
                <w:color w:val="auto"/>
                <w:highlight w:val="none"/>
              </w:rPr>
              <w:t>分；综合偿付能力充足率175%（含）-200%（不含），得</w:t>
            </w:r>
            <w:r>
              <w:rPr>
                <w:rFonts w:hint="eastAsia" w:ascii="宋体" w:hAnsi="宋体"/>
                <w:b w:val="0"/>
                <w:bCs w:val="0"/>
                <w:color w:val="auto"/>
                <w:highlight w:val="none"/>
                <w:lang w:val="en-US" w:eastAsia="zh-CN"/>
              </w:rPr>
              <w:t>5</w:t>
            </w:r>
            <w:r>
              <w:rPr>
                <w:rFonts w:hint="eastAsia" w:ascii="宋体" w:hAnsi="宋体"/>
                <w:b w:val="0"/>
                <w:bCs w:val="0"/>
                <w:color w:val="auto"/>
                <w:highlight w:val="none"/>
              </w:rPr>
              <w:t>分；综合偿付能力充足率150%（含）-175%（不含），得</w:t>
            </w:r>
            <w:r>
              <w:rPr>
                <w:rFonts w:hint="eastAsia" w:ascii="宋体" w:hAnsi="宋体"/>
                <w:b w:val="0"/>
                <w:bCs w:val="0"/>
                <w:color w:val="auto"/>
                <w:highlight w:val="none"/>
                <w:lang w:val="en-US" w:eastAsia="zh-CN"/>
              </w:rPr>
              <w:t>3</w:t>
            </w:r>
            <w:r>
              <w:rPr>
                <w:rFonts w:hint="eastAsia" w:ascii="宋体" w:hAnsi="宋体"/>
                <w:b w:val="0"/>
                <w:bCs w:val="0"/>
                <w:color w:val="auto"/>
                <w:highlight w:val="none"/>
              </w:rPr>
              <w:t xml:space="preserve"> 分；综合偿付能力充足率150%以下（不含），不得分。</w:t>
            </w:r>
          </w:p>
          <w:p w14:paraId="7E42A2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Theme="minorEastAsia"/>
                <w:b w:val="0"/>
                <w:bCs w:val="0"/>
                <w:color w:val="auto"/>
                <w:highlight w:val="none"/>
                <w:lang w:val="en-US" w:eastAsia="zh-CN"/>
              </w:rPr>
            </w:pPr>
            <w:r>
              <w:rPr>
                <w:rFonts w:hint="eastAsia" w:ascii="宋体" w:hAnsi="宋体"/>
                <w:b/>
                <w:bCs/>
                <w:color w:val="auto"/>
                <w:highlight w:val="none"/>
              </w:rPr>
              <w:t>须提供银保监会发布的或行业协会网站下载的偿付能力情况截图或其他可以体现综合偿付能力充足率的证明材料</w:t>
            </w:r>
            <w:r>
              <w:rPr>
                <w:rFonts w:hint="eastAsia" w:ascii="宋体" w:hAnsi="宋体"/>
                <w:b/>
                <w:bCs/>
                <w:color w:val="auto"/>
                <w:highlight w:val="none"/>
                <w:lang w:eastAsia="zh-CN"/>
              </w:rPr>
              <w:t>。</w:t>
            </w:r>
          </w:p>
        </w:tc>
      </w:tr>
      <w:tr w14:paraId="59C9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tcPr>
          <w:p w14:paraId="2F0B2134">
            <w:pPr>
              <w:rPr>
                <w:rFonts w:hint="default"/>
                <w:vertAlign w:val="baseline"/>
                <w:lang w:val="en-US" w:eastAsia="zh-CN"/>
              </w:rPr>
            </w:pPr>
          </w:p>
        </w:tc>
        <w:tc>
          <w:tcPr>
            <w:tcW w:w="1096" w:type="dxa"/>
          </w:tcPr>
          <w:p w14:paraId="1200B863">
            <w:pPr>
              <w:rPr>
                <w:rFonts w:hint="default"/>
                <w:b w:val="0"/>
                <w:bCs w:val="0"/>
                <w:color w:val="auto"/>
                <w:vertAlign w:val="baseline"/>
                <w:lang w:val="en-US" w:eastAsia="zh-CN"/>
              </w:rPr>
            </w:pPr>
            <w:r>
              <w:rPr>
                <w:rFonts w:hint="eastAsia" w:ascii="宋体" w:hAnsi="宋体"/>
                <w:b w:val="0"/>
                <w:bCs w:val="0"/>
                <w:color w:val="auto"/>
                <w:highlight w:val="none"/>
              </w:rPr>
              <w:t>风险综合评级</w:t>
            </w:r>
          </w:p>
        </w:tc>
        <w:tc>
          <w:tcPr>
            <w:tcW w:w="856" w:type="dxa"/>
          </w:tcPr>
          <w:p w14:paraId="3593D49F">
            <w:pPr>
              <w:rPr>
                <w:rFonts w:hint="default"/>
                <w:b w:val="0"/>
                <w:bCs w:val="0"/>
                <w:color w:val="auto"/>
                <w:vertAlign w:val="baseline"/>
                <w:lang w:val="en-US" w:eastAsia="zh-CN"/>
              </w:rPr>
            </w:pPr>
            <w:r>
              <w:rPr>
                <w:rFonts w:hint="eastAsia"/>
                <w:b w:val="0"/>
                <w:bCs w:val="0"/>
                <w:color w:val="auto"/>
                <w:vertAlign w:val="baseline"/>
                <w:lang w:val="en-US" w:eastAsia="zh-CN"/>
              </w:rPr>
              <w:t>8</w:t>
            </w:r>
          </w:p>
        </w:tc>
        <w:tc>
          <w:tcPr>
            <w:tcW w:w="5720" w:type="dxa"/>
          </w:tcPr>
          <w:p w14:paraId="3955460A">
            <w:pPr>
              <w:rPr>
                <w:rFonts w:hint="eastAsia" w:ascii="宋体" w:hAnsi="宋体"/>
                <w:b w:val="0"/>
                <w:bCs w:val="0"/>
                <w:color w:val="auto"/>
                <w:highlight w:val="none"/>
              </w:rPr>
            </w:pPr>
            <w:r>
              <w:rPr>
                <w:rFonts w:hint="eastAsia" w:ascii="宋体" w:hAnsi="宋体"/>
                <w:b w:val="0"/>
                <w:bCs w:val="0"/>
                <w:color w:val="auto"/>
                <w:highlight w:val="none"/>
              </w:rPr>
              <w:t>投标人所属公司</w:t>
            </w:r>
            <w:r>
              <w:rPr>
                <w:rFonts w:hint="eastAsia" w:ascii="宋体" w:hAnsi="宋体"/>
                <w:b w:val="0"/>
                <w:bCs w:val="0"/>
                <w:color w:val="auto"/>
                <w:highlight w:val="none"/>
                <w:lang w:val="en-US" w:eastAsia="zh-CN"/>
              </w:rPr>
              <w:t>(含总公司)</w:t>
            </w:r>
            <w:r>
              <w:rPr>
                <w:rFonts w:hint="eastAsia" w:ascii="宋体" w:hAnsi="宋体"/>
                <w:b w:val="0"/>
                <w:bCs w:val="0"/>
                <w:color w:val="auto"/>
                <w:highlight w:val="none"/>
              </w:rPr>
              <w:t>202</w:t>
            </w:r>
            <w:r>
              <w:rPr>
                <w:rFonts w:hint="eastAsia" w:ascii="宋体" w:hAnsi="宋体"/>
                <w:b w:val="0"/>
                <w:bCs w:val="0"/>
                <w:color w:val="auto"/>
                <w:highlight w:val="none"/>
                <w:lang w:val="en-US" w:eastAsia="zh-CN"/>
              </w:rPr>
              <w:t>4</w:t>
            </w:r>
            <w:r>
              <w:rPr>
                <w:rFonts w:hint="eastAsia" w:ascii="宋体" w:hAnsi="宋体"/>
                <w:b w:val="0"/>
                <w:bCs w:val="0"/>
                <w:color w:val="auto"/>
                <w:highlight w:val="none"/>
              </w:rPr>
              <w:t>年</w:t>
            </w:r>
            <w:r>
              <w:rPr>
                <w:rFonts w:hint="eastAsia" w:ascii="宋体" w:hAnsi="宋体"/>
                <w:b w:val="0"/>
                <w:bCs w:val="0"/>
                <w:color w:val="auto"/>
                <w:highlight w:val="none"/>
                <w:lang w:val="en-US" w:eastAsia="zh-CN"/>
              </w:rPr>
              <w:t>四</w:t>
            </w:r>
            <w:r>
              <w:rPr>
                <w:rFonts w:hint="eastAsia" w:ascii="宋体" w:hAnsi="宋体"/>
                <w:b w:val="0"/>
                <w:bCs w:val="0"/>
                <w:color w:val="auto"/>
                <w:highlight w:val="none"/>
              </w:rPr>
              <w:t>季度的风险综合评级</w:t>
            </w:r>
            <w:r>
              <w:rPr>
                <w:rFonts w:hint="eastAsia" w:ascii="宋体" w:hAnsi="宋体"/>
                <w:b w:val="0"/>
                <w:bCs w:val="0"/>
                <w:color w:val="auto"/>
                <w:highlight w:val="none"/>
                <w:lang w:eastAsia="zh-CN"/>
              </w:rPr>
              <w:t>，</w:t>
            </w:r>
            <w:r>
              <w:rPr>
                <w:rFonts w:hint="eastAsia" w:ascii="宋体" w:hAnsi="宋体"/>
                <w:b w:val="0"/>
                <w:bCs w:val="0"/>
                <w:color w:val="auto"/>
                <w:highlight w:val="none"/>
              </w:rPr>
              <w:t>评分标准A类得</w:t>
            </w:r>
            <w:r>
              <w:rPr>
                <w:rFonts w:hint="eastAsia" w:ascii="宋体" w:hAnsi="宋体"/>
                <w:b w:val="0"/>
                <w:bCs w:val="0"/>
                <w:color w:val="auto"/>
                <w:highlight w:val="none"/>
                <w:lang w:val="en-US" w:eastAsia="zh-CN"/>
              </w:rPr>
              <w:t>8</w:t>
            </w:r>
            <w:r>
              <w:rPr>
                <w:rFonts w:hint="eastAsia" w:ascii="宋体" w:hAnsi="宋体"/>
                <w:b w:val="0"/>
                <w:bCs w:val="0"/>
                <w:color w:val="auto"/>
                <w:highlight w:val="none"/>
              </w:rPr>
              <w:t>分、B类得</w:t>
            </w:r>
            <w:r>
              <w:rPr>
                <w:rFonts w:hint="eastAsia" w:ascii="宋体" w:hAnsi="宋体"/>
                <w:b w:val="0"/>
                <w:bCs w:val="0"/>
                <w:color w:val="auto"/>
                <w:highlight w:val="none"/>
                <w:lang w:val="en-US" w:eastAsia="zh-CN"/>
              </w:rPr>
              <w:t>5</w:t>
            </w:r>
            <w:r>
              <w:rPr>
                <w:rFonts w:hint="eastAsia" w:ascii="宋体" w:hAnsi="宋体"/>
                <w:b w:val="0"/>
                <w:bCs w:val="0"/>
                <w:color w:val="auto"/>
                <w:highlight w:val="none"/>
              </w:rPr>
              <w:t>分，其他不得分。</w:t>
            </w:r>
          </w:p>
          <w:p w14:paraId="671DF400">
            <w:pPr>
              <w:rPr>
                <w:rFonts w:hint="default" w:ascii="宋体" w:hAnsi="宋体"/>
                <w:b w:val="0"/>
                <w:bCs w:val="0"/>
                <w:color w:val="auto"/>
                <w:highlight w:val="none"/>
                <w:lang w:val="en-US" w:eastAsia="zh-CN"/>
              </w:rPr>
            </w:pPr>
            <w:r>
              <w:rPr>
                <w:rFonts w:hint="eastAsia" w:ascii="宋体" w:hAnsi="宋体"/>
                <w:color w:val="auto"/>
                <w:highlight w:val="none"/>
              </w:rPr>
              <w:t>提供202</w:t>
            </w:r>
            <w:r>
              <w:rPr>
                <w:rFonts w:hint="eastAsia" w:ascii="宋体" w:hAnsi="宋体"/>
                <w:color w:val="auto"/>
                <w:highlight w:val="none"/>
                <w:lang w:val="en-US" w:eastAsia="zh-CN"/>
              </w:rPr>
              <w:t>4</w:t>
            </w:r>
            <w:r>
              <w:rPr>
                <w:rFonts w:hint="eastAsia" w:ascii="宋体" w:hAnsi="宋体"/>
                <w:color w:val="auto"/>
                <w:highlight w:val="none"/>
              </w:rPr>
              <w:t>年四季度末保险监管机构偿二代监管信息系统截图和对应的网站链接或相应审计部门的审计评定结果证明材料</w:t>
            </w:r>
          </w:p>
        </w:tc>
      </w:tr>
      <w:tr w14:paraId="45833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tcPr>
          <w:p w14:paraId="0FDED416">
            <w:pPr>
              <w:rPr>
                <w:rFonts w:hint="default"/>
                <w:vertAlign w:val="baseline"/>
                <w:lang w:val="en-US" w:eastAsia="zh-CN"/>
              </w:rPr>
            </w:pPr>
          </w:p>
        </w:tc>
        <w:tc>
          <w:tcPr>
            <w:tcW w:w="1096" w:type="dxa"/>
          </w:tcPr>
          <w:p w14:paraId="63F69ECD">
            <w:pPr>
              <w:rPr>
                <w:rFonts w:hint="default"/>
                <w:b w:val="0"/>
                <w:bCs w:val="0"/>
                <w:color w:val="auto"/>
                <w:vertAlign w:val="baseline"/>
                <w:lang w:val="en-US" w:eastAsia="zh-CN"/>
              </w:rPr>
            </w:pPr>
            <w:r>
              <w:rPr>
                <w:rFonts w:hint="eastAsia" w:ascii="宋体" w:hAnsi="宋体"/>
                <w:b w:val="0"/>
                <w:bCs w:val="0"/>
                <w:color w:val="auto"/>
                <w:highlight w:val="none"/>
              </w:rPr>
              <w:t>业绩及理赔经验</w:t>
            </w:r>
          </w:p>
        </w:tc>
        <w:tc>
          <w:tcPr>
            <w:tcW w:w="856" w:type="dxa"/>
          </w:tcPr>
          <w:p w14:paraId="1D31CDB3">
            <w:pPr>
              <w:rPr>
                <w:rFonts w:hint="default"/>
                <w:b w:val="0"/>
                <w:bCs w:val="0"/>
                <w:color w:val="auto"/>
                <w:vertAlign w:val="baseline"/>
                <w:lang w:val="en-US" w:eastAsia="zh-CN"/>
              </w:rPr>
            </w:pPr>
            <w:r>
              <w:rPr>
                <w:rFonts w:hint="eastAsia"/>
                <w:b w:val="0"/>
                <w:bCs w:val="0"/>
                <w:color w:val="auto"/>
                <w:vertAlign w:val="baseline"/>
                <w:lang w:val="en-US" w:eastAsia="zh-CN"/>
              </w:rPr>
              <w:t>10</w:t>
            </w:r>
          </w:p>
        </w:tc>
        <w:tc>
          <w:tcPr>
            <w:tcW w:w="5720" w:type="dxa"/>
            <w:shd w:val="clear" w:color="auto" w:fill="auto"/>
            <w:vAlign w:val="top"/>
          </w:tcPr>
          <w:p w14:paraId="50A05099">
            <w:pPr>
              <w:rPr>
                <w:rFonts w:hint="default" w:ascii="宋体" w:hAnsi="宋体" w:cs="宋体"/>
                <w:b w:val="0"/>
                <w:bCs w:val="0"/>
                <w:color w:val="auto"/>
                <w:szCs w:val="21"/>
                <w:lang w:val="en-US" w:eastAsia="zh-CN"/>
              </w:rPr>
            </w:pPr>
            <w:r>
              <w:rPr>
                <w:rFonts w:hint="eastAsia" w:ascii="宋体" w:hAnsi="宋体" w:cs="宋体"/>
                <w:b w:val="0"/>
                <w:bCs w:val="0"/>
                <w:color w:val="auto"/>
                <w:szCs w:val="21"/>
              </w:rPr>
              <w:t>投标人</w:t>
            </w:r>
            <w:r>
              <w:rPr>
                <w:rFonts w:hint="eastAsia" w:ascii="宋体" w:hAnsi="宋体"/>
                <w:b w:val="0"/>
                <w:bCs w:val="0"/>
                <w:color w:val="auto"/>
                <w:highlight w:val="none"/>
              </w:rPr>
              <w:t>所属公司</w:t>
            </w:r>
            <w:r>
              <w:rPr>
                <w:rFonts w:hint="eastAsia" w:ascii="宋体" w:hAnsi="宋体"/>
                <w:b w:val="0"/>
                <w:bCs w:val="0"/>
                <w:color w:val="auto"/>
                <w:highlight w:val="none"/>
                <w:lang w:val="en-US" w:eastAsia="zh-CN"/>
              </w:rPr>
              <w:t>(含总公司)</w:t>
            </w:r>
            <w:r>
              <w:rPr>
                <w:rFonts w:hint="eastAsia" w:ascii="宋体" w:hAnsi="宋体" w:cs="宋体"/>
                <w:b w:val="0"/>
                <w:bCs w:val="0"/>
                <w:color w:val="auto"/>
                <w:szCs w:val="21"/>
              </w:rPr>
              <w:t>自202</w:t>
            </w:r>
            <w:r>
              <w:rPr>
                <w:rFonts w:hint="eastAsia" w:ascii="宋体" w:hAnsi="宋体" w:cs="宋体"/>
                <w:b w:val="0"/>
                <w:bCs w:val="0"/>
                <w:color w:val="auto"/>
                <w:szCs w:val="21"/>
                <w:lang w:val="en-US" w:eastAsia="zh-CN"/>
              </w:rPr>
              <w:t>2</w:t>
            </w:r>
            <w:r>
              <w:rPr>
                <w:rFonts w:hint="eastAsia" w:ascii="宋体" w:hAnsi="宋体" w:cs="宋体"/>
                <w:b w:val="0"/>
                <w:bCs w:val="0"/>
                <w:color w:val="auto"/>
                <w:szCs w:val="21"/>
              </w:rPr>
              <w:t>年1月1日以来（以合同/保险单签订时间为准）有类似</w:t>
            </w:r>
            <w:r>
              <w:rPr>
                <w:rFonts w:hint="eastAsia" w:ascii="宋体" w:hAnsi="宋体" w:cs="宋体"/>
                <w:b w:val="0"/>
                <w:bCs w:val="0"/>
                <w:color w:val="auto"/>
                <w:szCs w:val="21"/>
                <w:lang w:eastAsia="zh-CN"/>
              </w:rPr>
              <w:t>公立医院</w:t>
            </w:r>
            <w:r>
              <w:rPr>
                <w:rFonts w:hint="eastAsia" w:ascii="宋体" w:hAnsi="宋体" w:cs="宋体"/>
                <w:b w:val="0"/>
                <w:bCs w:val="0"/>
                <w:color w:val="auto"/>
                <w:szCs w:val="21"/>
              </w:rPr>
              <w:t>医疗责任保险项目案例</w:t>
            </w:r>
            <w:r>
              <w:rPr>
                <w:rFonts w:hint="eastAsia" w:ascii="宋体" w:hAnsi="宋体" w:cs="宋体"/>
                <w:b w:val="0"/>
                <w:bCs w:val="0"/>
                <w:color w:val="auto"/>
                <w:szCs w:val="21"/>
                <w:lang w:eastAsia="zh-CN"/>
              </w:rPr>
              <w:t>（</w:t>
            </w:r>
            <w:r>
              <w:rPr>
                <w:rFonts w:hint="eastAsia" w:ascii="宋体" w:hAnsi="宋体" w:cs="宋体"/>
                <w:b w:val="0"/>
                <w:bCs w:val="0"/>
                <w:color w:val="auto"/>
                <w:szCs w:val="21"/>
                <w:lang w:val="en-US" w:eastAsia="zh-CN"/>
              </w:rPr>
              <w:t>含理赔案例</w:t>
            </w:r>
            <w:r>
              <w:rPr>
                <w:rFonts w:hint="eastAsia" w:ascii="宋体" w:hAnsi="宋体" w:cs="宋体"/>
                <w:b w:val="0"/>
                <w:bCs w:val="0"/>
                <w:color w:val="auto"/>
                <w:szCs w:val="21"/>
                <w:lang w:eastAsia="zh-CN"/>
              </w:rPr>
              <w:t>）</w:t>
            </w:r>
            <w:r>
              <w:rPr>
                <w:rFonts w:hint="eastAsia" w:ascii="宋体" w:hAnsi="宋体" w:cs="宋体"/>
                <w:b w:val="0"/>
                <w:bCs w:val="0"/>
                <w:color w:val="auto"/>
                <w:szCs w:val="21"/>
                <w:lang w:val="en-US" w:eastAsia="zh-CN"/>
              </w:rPr>
              <w:t>。需提供相关合同、理赔证明材料并加盖公章。</w:t>
            </w:r>
          </w:p>
          <w:p w14:paraId="1BBABE27">
            <w:pPr>
              <w:rPr>
                <w:rFonts w:hint="eastAsia" w:ascii="宋体" w:hAnsi="宋体" w:cs="宋体"/>
                <w:b w:val="0"/>
                <w:bCs w:val="0"/>
                <w:color w:val="auto"/>
                <w:szCs w:val="21"/>
                <w:lang w:val="en-US" w:eastAsia="zh-CN"/>
              </w:rPr>
            </w:pPr>
            <w:r>
              <w:rPr>
                <w:rFonts w:hint="eastAsia" w:ascii="宋体" w:hAnsi="宋体" w:cs="宋体"/>
                <w:b w:val="0"/>
                <w:bCs w:val="0"/>
                <w:color w:val="auto"/>
                <w:szCs w:val="21"/>
                <w:lang w:val="en-US" w:eastAsia="zh-CN"/>
              </w:rPr>
              <w:t>每提供一个保险服务案例得1分，满分5分；</w:t>
            </w:r>
          </w:p>
          <w:p w14:paraId="3B009437">
            <w:pPr>
              <w:rPr>
                <w:rFonts w:hint="default" w:asciiTheme="minorHAnsi" w:hAnsiTheme="minorHAnsi" w:eastAsiaTheme="minorEastAsia" w:cstheme="minorBidi"/>
                <w:b w:val="0"/>
                <w:bCs w:val="0"/>
                <w:color w:val="auto"/>
                <w:kern w:val="2"/>
                <w:sz w:val="21"/>
                <w:szCs w:val="24"/>
                <w:vertAlign w:val="baseline"/>
                <w:lang w:val="en-US" w:eastAsia="zh-CN" w:bidi="ar-SA"/>
              </w:rPr>
            </w:pPr>
            <w:r>
              <w:rPr>
                <w:rFonts w:hint="eastAsia" w:ascii="宋体" w:hAnsi="宋体" w:cs="宋体"/>
                <w:b w:val="0"/>
                <w:bCs w:val="0"/>
                <w:color w:val="auto"/>
                <w:szCs w:val="21"/>
                <w:lang w:val="en-US" w:eastAsia="zh-CN"/>
              </w:rPr>
              <w:t>每提供一个理赔案例得1分，满分5分。</w:t>
            </w:r>
          </w:p>
        </w:tc>
      </w:tr>
      <w:tr w14:paraId="1244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restart"/>
          </w:tcPr>
          <w:p w14:paraId="35FCCC2F">
            <w:pPr>
              <w:rPr>
                <w:rFonts w:hint="eastAsia" w:ascii="宋体" w:hAnsi="宋体"/>
                <w:b/>
                <w:bCs/>
                <w:color w:val="auto"/>
              </w:rPr>
            </w:pPr>
            <w:r>
              <w:rPr>
                <w:rFonts w:hint="eastAsia" w:ascii="宋体" w:hAnsi="宋体"/>
                <w:b/>
                <w:bCs/>
                <w:color w:val="auto"/>
              </w:rPr>
              <w:t>服务方案</w:t>
            </w:r>
          </w:p>
          <w:p w14:paraId="02A7EA59">
            <w:pPr>
              <w:rPr>
                <w:rFonts w:hint="default" w:ascii="宋体" w:hAnsi="宋体" w:eastAsiaTheme="minorEastAsia"/>
                <w:b/>
                <w:bCs/>
                <w:color w:val="auto"/>
                <w:lang w:val="en-US" w:eastAsia="zh-CN"/>
              </w:rPr>
            </w:pPr>
            <w:r>
              <w:rPr>
                <w:rFonts w:hint="eastAsia" w:ascii="宋体" w:hAnsi="宋体"/>
                <w:b/>
                <w:bCs/>
                <w:color w:val="auto"/>
                <w:lang w:val="en-US" w:eastAsia="zh-CN"/>
              </w:rPr>
              <w:t>(37)</w:t>
            </w:r>
          </w:p>
        </w:tc>
        <w:tc>
          <w:tcPr>
            <w:tcW w:w="1096" w:type="dxa"/>
          </w:tcPr>
          <w:p w14:paraId="2D2F66F9">
            <w:pPr>
              <w:rPr>
                <w:rFonts w:hint="default"/>
                <w:vertAlign w:val="baseline"/>
                <w:lang w:val="en-US" w:eastAsia="zh-CN"/>
              </w:rPr>
            </w:pPr>
            <w:r>
              <w:rPr>
                <w:rFonts w:hint="eastAsia"/>
                <w:b/>
                <w:bCs/>
                <w:color w:val="auto"/>
              </w:rPr>
              <w:t>人员配置</w:t>
            </w:r>
          </w:p>
        </w:tc>
        <w:tc>
          <w:tcPr>
            <w:tcW w:w="856" w:type="dxa"/>
          </w:tcPr>
          <w:p w14:paraId="1777388A">
            <w:pPr>
              <w:rPr>
                <w:rFonts w:hint="default"/>
                <w:vertAlign w:val="baseline"/>
                <w:lang w:val="en-US" w:eastAsia="zh-CN"/>
              </w:rPr>
            </w:pPr>
            <w:r>
              <w:rPr>
                <w:rFonts w:hint="eastAsia"/>
                <w:vertAlign w:val="baseline"/>
                <w:lang w:val="en-US" w:eastAsia="zh-CN"/>
              </w:rPr>
              <w:t>6</w:t>
            </w:r>
          </w:p>
        </w:tc>
        <w:tc>
          <w:tcPr>
            <w:tcW w:w="5720" w:type="dxa"/>
            <w:shd w:val="clear" w:color="auto" w:fill="auto"/>
            <w:vAlign w:val="top"/>
          </w:tcPr>
          <w:p w14:paraId="36FC2886">
            <w:pPr>
              <w:rPr>
                <w:rFonts w:hint="default" w:asciiTheme="minorHAnsi" w:hAnsiTheme="minorHAnsi" w:eastAsiaTheme="minorEastAsia" w:cstheme="minorBidi"/>
                <w:kern w:val="2"/>
                <w:sz w:val="21"/>
                <w:szCs w:val="24"/>
                <w:vertAlign w:val="baseline"/>
                <w:lang w:val="en-US" w:eastAsia="zh-CN" w:bidi="ar-SA"/>
              </w:rPr>
            </w:pPr>
            <w:r>
              <w:rPr>
                <w:rFonts w:hint="eastAsia"/>
                <w:color w:val="auto"/>
              </w:rPr>
              <w:t>项目服务团队应满足项目服务需要，配备各专业服务人员，包括项目负责人、项目服务人员和理赔人员，服务团队中具有全日制医学类或法学类或金融类</w:t>
            </w:r>
            <w:r>
              <w:rPr>
                <w:rFonts w:hint="eastAsia"/>
                <w:color w:val="auto"/>
                <w:lang w:val="en-US" w:eastAsia="zh-CN"/>
              </w:rPr>
              <w:t>本</w:t>
            </w:r>
            <w:r>
              <w:rPr>
                <w:rFonts w:hint="eastAsia"/>
                <w:color w:val="auto"/>
              </w:rPr>
              <w:t>科及以上学历的，每有1人得</w:t>
            </w:r>
            <w:r>
              <w:rPr>
                <w:rFonts w:hint="eastAsia"/>
                <w:color w:val="auto"/>
                <w:lang w:val="en-US" w:eastAsia="zh-CN"/>
              </w:rPr>
              <w:t>2</w:t>
            </w:r>
            <w:r>
              <w:rPr>
                <w:rFonts w:hint="eastAsia"/>
                <w:color w:val="auto"/>
              </w:rPr>
              <w:t>分，最高得</w:t>
            </w:r>
            <w:r>
              <w:rPr>
                <w:rFonts w:hint="eastAsia"/>
                <w:color w:val="auto"/>
                <w:lang w:val="en-US" w:eastAsia="zh-CN"/>
              </w:rPr>
              <w:t>6</w:t>
            </w:r>
            <w:r>
              <w:rPr>
                <w:rFonts w:hint="eastAsia"/>
                <w:color w:val="auto"/>
              </w:rPr>
              <w:t>分。需提供人员名单、毕业证书及学信网截图、以及投标人或所属总公司最近三个月内任意一个月为其缴纳社保的缴费记录，加盖投标人公章。</w:t>
            </w:r>
          </w:p>
        </w:tc>
      </w:tr>
      <w:tr w14:paraId="32B05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tcPr>
          <w:p w14:paraId="279D89AE">
            <w:pPr>
              <w:rPr>
                <w:rFonts w:hint="eastAsia" w:ascii="宋体" w:hAnsi="宋体"/>
                <w:b/>
                <w:bCs/>
                <w:color w:val="auto"/>
              </w:rPr>
            </w:pPr>
          </w:p>
        </w:tc>
        <w:tc>
          <w:tcPr>
            <w:tcW w:w="1096" w:type="dxa"/>
          </w:tcPr>
          <w:p w14:paraId="1A53A1A3">
            <w:pPr>
              <w:rPr>
                <w:rFonts w:hint="default"/>
                <w:vertAlign w:val="baseline"/>
                <w:lang w:val="en-US" w:eastAsia="zh-CN"/>
              </w:rPr>
            </w:pPr>
            <w:r>
              <w:rPr>
                <w:rFonts w:hint="eastAsia"/>
                <w:b/>
                <w:bCs/>
                <w:color w:val="auto"/>
                <w:lang w:val="en-US" w:eastAsia="zh-CN"/>
              </w:rPr>
              <w:t>理赔时效及资料要求</w:t>
            </w:r>
          </w:p>
        </w:tc>
        <w:tc>
          <w:tcPr>
            <w:tcW w:w="856" w:type="dxa"/>
          </w:tcPr>
          <w:p w14:paraId="2F36AB92">
            <w:pPr>
              <w:rPr>
                <w:rFonts w:hint="default"/>
                <w:vertAlign w:val="baseline"/>
                <w:lang w:val="en-US" w:eastAsia="zh-CN"/>
              </w:rPr>
            </w:pPr>
            <w:r>
              <w:rPr>
                <w:rFonts w:hint="eastAsia"/>
                <w:vertAlign w:val="baseline"/>
                <w:lang w:val="en-US" w:eastAsia="zh-CN"/>
              </w:rPr>
              <w:t>6</w:t>
            </w:r>
          </w:p>
        </w:tc>
        <w:tc>
          <w:tcPr>
            <w:tcW w:w="5720" w:type="dxa"/>
            <w:shd w:val="clear" w:color="auto" w:fill="auto"/>
            <w:vAlign w:val="top"/>
          </w:tcPr>
          <w:p w14:paraId="7A145801">
            <w:pPr>
              <w:rPr>
                <w:rFonts w:hint="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从材料齐全到理赔到位时间在3个工作日内的3分，3-7个工作日得2分，7-14个工作日得1分，14个工作日以上不得分；</w:t>
            </w:r>
          </w:p>
          <w:p w14:paraId="64737552">
            <w:pPr>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理赔资料内容限于相关病历资料、判决/鉴定文书、纠纷处置协议、医师资格证明、本院就诊费用票据的得3分，超出要求的不得分。</w:t>
            </w:r>
          </w:p>
        </w:tc>
      </w:tr>
      <w:tr w14:paraId="5B03C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tcPr>
          <w:p w14:paraId="7A24676C">
            <w:pPr>
              <w:rPr>
                <w:rFonts w:hint="eastAsia" w:ascii="宋体" w:hAnsi="宋体"/>
                <w:b/>
                <w:bCs/>
                <w:color w:val="auto"/>
              </w:rPr>
            </w:pPr>
          </w:p>
        </w:tc>
        <w:tc>
          <w:tcPr>
            <w:tcW w:w="1096" w:type="dxa"/>
          </w:tcPr>
          <w:p w14:paraId="0397E399">
            <w:pPr>
              <w:rPr>
                <w:rFonts w:hint="default"/>
                <w:vertAlign w:val="baseline"/>
                <w:lang w:val="en-US" w:eastAsia="zh-CN"/>
              </w:rPr>
            </w:pPr>
            <w:r>
              <w:rPr>
                <w:rFonts w:hint="eastAsia"/>
                <w:b/>
                <w:bCs/>
                <w:color w:val="auto"/>
              </w:rPr>
              <w:t>理赔服务方案</w:t>
            </w:r>
          </w:p>
        </w:tc>
        <w:tc>
          <w:tcPr>
            <w:tcW w:w="856" w:type="dxa"/>
          </w:tcPr>
          <w:p w14:paraId="61352B92">
            <w:pPr>
              <w:rPr>
                <w:rFonts w:hint="default"/>
                <w:vertAlign w:val="baseline"/>
                <w:lang w:val="en-US" w:eastAsia="zh-CN"/>
              </w:rPr>
            </w:pPr>
            <w:r>
              <w:rPr>
                <w:rFonts w:hint="eastAsia"/>
                <w:vertAlign w:val="baseline"/>
                <w:lang w:val="en-US" w:eastAsia="zh-CN"/>
              </w:rPr>
              <w:t>8</w:t>
            </w:r>
          </w:p>
        </w:tc>
        <w:tc>
          <w:tcPr>
            <w:tcW w:w="5720" w:type="dxa"/>
            <w:shd w:val="clear" w:color="auto" w:fill="auto"/>
            <w:vAlign w:val="top"/>
          </w:tcPr>
          <w:p w14:paraId="05023607">
            <w:pPr>
              <w:rPr>
                <w:rFonts w:hint="default" w:asciiTheme="minorHAnsi" w:hAnsiTheme="minorHAnsi" w:eastAsiaTheme="minorEastAsia" w:cstheme="minorBidi"/>
                <w:kern w:val="2"/>
                <w:sz w:val="21"/>
                <w:szCs w:val="24"/>
                <w:vertAlign w:val="baseline"/>
                <w:lang w:val="en-US" w:eastAsia="zh-CN" w:bidi="ar-SA"/>
              </w:rPr>
            </w:pPr>
            <w:r>
              <w:rPr>
                <w:rFonts w:hint="eastAsia"/>
                <w:color w:val="auto"/>
              </w:rPr>
              <w:t>包括但不限于建立理赔绿色通道、快速响应机制、培训宣传服务等，服务方案方案细致、合理，程序规范，责任明确且可行性强得</w:t>
            </w:r>
            <w:r>
              <w:rPr>
                <w:rFonts w:hint="eastAsia"/>
                <w:color w:val="auto"/>
                <w:lang w:val="en-US" w:eastAsia="zh-CN"/>
              </w:rPr>
              <w:t>8</w:t>
            </w:r>
            <w:r>
              <w:rPr>
                <w:rFonts w:hint="eastAsia"/>
                <w:color w:val="auto"/>
              </w:rPr>
              <w:t>分；方案较合理、较科学，可行性较强</w:t>
            </w:r>
            <w:r>
              <w:rPr>
                <w:rFonts w:hint="eastAsia"/>
                <w:color w:val="auto"/>
                <w:lang w:val="en-US" w:eastAsia="zh-CN"/>
              </w:rPr>
              <w:t>6</w:t>
            </w:r>
            <w:r>
              <w:rPr>
                <w:rFonts w:hint="eastAsia"/>
                <w:color w:val="auto"/>
              </w:rPr>
              <w:t>分；方案合理性、科学性一般，可行性一般得</w:t>
            </w:r>
            <w:r>
              <w:rPr>
                <w:rFonts w:hint="eastAsia"/>
                <w:color w:val="auto"/>
                <w:lang w:val="en-US" w:eastAsia="zh-CN"/>
              </w:rPr>
              <w:t>4</w:t>
            </w:r>
            <w:r>
              <w:rPr>
                <w:rFonts w:hint="eastAsia"/>
                <w:color w:val="auto"/>
              </w:rPr>
              <w:t>分，方案合理性、科学性差，可行性差得</w:t>
            </w:r>
            <w:r>
              <w:rPr>
                <w:rFonts w:hint="eastAsia"/>
                <w:color w:val="auto"/>
                <w:lang w:val="en-US" w:eastAsia="zh-CN"/>
              </w:rPr>
              <w:t>2</w:t>
            </w:r>
            <w:r>
              <w:rPr>
                <w:rFonts w:hint="eastAsia"/>
                <w:color w:val="auto"/>
              </w:rPr>
              <w:t>分，没有或具有明显不合理项的不得分。</w:t>
            </w:r>
          </w:p>
        </w:tc>
      </w:tr>
      <w:tr w14:paraId="7AB33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tcPr>
          <w:p w14:paraId="566382CA">
            <w:pPr>
              <w:rPr>
                <w:rFonts w:hint="eastAsia" w:ascii="宋体" w:hAnsi="宋体"/>
                <w:b/>
                <w:bCs/>
                <w:color w:val="auto"/>
              </w:rPr>
            </w:pPr>
          </w:p>
        </w:tc>
        <w:tc>
          <w:tcPr>
            <w:tcW w:w="1096" w:type="dxa"/>
          </w:tcPr>
          <w:p w14:paraId="2A279C70">
            <w:pPr>
              <w:rPr>
                <w:rFonts w:hint="default"/>
                <w:vertAlign w:val="baseline"/>
                <w:lang w:val="en-US" w:eastAsia="zh-CN"/>
              </w:rPr>
            </w:pPr>
            <w:r>
              <w:rPr>
                <w:rFonts w:hint="eastAsia"/>
                <w:vertAlign w:val="baseline"/>
                <w:lang w:val="en-US" w:eastAsia="zh-CN"/>
              </w:rPr>
              <w:t>医疗风险分担方案</w:t>
            </w:r>
          </w:p>
        </w:tc>
        <w:tc>
          <w:tcPr>
            <w:tcW w:w="856" w:type="dxa"/>
          </w:tcPr>
          <w:p w14:paraId="3F4C6D44">
            <w:pPr>
              <w:rPr>
                <w:rFonts w:hint="default"/>
                <w:vertAlign w:val="baseline"/>
                <w:lang w:val="en-US" w:eastAsia="zh-CN"/>
              </w:rPr>
            </w:pPr>
            <w:r>
              <w:rPr>
                <w:rFonts w:hint="eastAsia"/>
                <w:vertAlign w:val="baseline"/>
                <w:lang w:val="en-US" w:eastAsia="zh-CN"/>
              </w:rPr>
              <w:t>17</w:t>
            </w:r>
          </w:p>
        </w:tc>
        <w:tc>
          <w:tcPr>
            <w:tcW w:w="5720" w:type="dxa"/>
            <w:shd w:val="clear" w:color="auto" w:fill="auto"/>
            <w:vAlign w:val="top"/>
          </w:tcPr>
          <w:p w14:paraId="329B2E8F">
            <w:pPr>
              <w:rPr>
                <w:rFonts w:hint="eastAsia"/>
                <w:vertAlign w:val="baseline"/>
                <w:lang w:val="en-US" w:eastAsia="zh-CN"/>
              </w:rPr>
            </w:pPr>
            <w:r>
              <w:rPr>
                <w:rFonts w:hint="eastAsia"/>
                <w:vertAlign w:val="baseline"/>
                <w:lang w:val="en-US" w:eastAsia="zh-CN"/>
              </w:rPr>
              <w:t>参与医院风险管理、防范、控制各项工作，并提供必要帮助。方案内容全面，描述清晰，具有针对性和可行性，完全满足采购需求，得6分；方案一般、可行性一般得3分；未提供承诺的或方案完全不可行的，不得分。</w:t>
            </w:r>
          </w:p>
          <w:p w14:paraId="711EF21C">
            <w:pPr>
              <w:rPr>
                <w:rFonts w:hint="default"/>
                <w:vertAlign w:val="baseline"/>
                <w:lang w:val="en-US" w:eastAsia="zh-CN"/>
              </w:rPr>
            </w:pPr>
            <w:r>
              <w:rPr>
                <w:rFonts w:hint="eastAsia"/>
                <w:vertAlign w:val="baseline"/>
                <w:lang w:val="en-US" w:eastAsia="zh-CN"/>
              </w:rPr>
              <w:t>开展法律法规与医疗风险相关防范知识培训，全年不少于4次。符合要求得4分，不符合要求不得分。</w:t>
            </w:r>
          </w:p>
          <w:p w14:paraId="2F9C301D">
            <w:pPr>
              <w:rPr>
                <w:rFonts w:hint="default"/>
                <w:vertAlign w:val="baseline"/>
                <w:lang w:val="en-US" w:eastAsia="zh-CN"/>
              </w:rPr>
            </w:pPr>
            <w:r>
              <w:rPr>
                <w:rFonts w:hint="eastAsia"/>
                <w:vertAlign w:val="baseline"/>
                <w:lang w:val="en-US" w:eastAsia="zh-CN"/>
              </w:rPr>
              <w:t>为医院提供各类医疗（手术）风险的医患沟通视频宣教素材供临床科室使用；视频宣教素材在200个以上得4分，100-200个得3分，50-100个得2分，50个以下得1分，不能提供得0分。</w:t>
            </w:r>
          </w:p>
          <w:p w14:paraId="2967928E">
            <w:pPr>
              <w:rPr>
                <w:rFonts w:hint="default"/>
                <w:vertAlign w:val="baseline"/>
                <w:lang w:val="en-US" w:eastAsia="zh-CN"/>
              </w:rPr>
            </w:pPr>
            <w:r>
              <w:rPr>
                <w:rFonts w:hint="eastAsia"/>
                <w:vertAlign w:val="baseline"/>
                <w:lang w:val="en-US" w:eastAsia="zh-CN"/>
              </w:rPr>
              <w:t>提供第三方见证告知服务或医患沟通证据固定服务，符合要求得3分，不能响应要求不得分。</w:t>
            </w:r>
          </w:p>
        </w:tc>
      </w:tr>
      <w:tr w14:paraId="26467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14:paraId="1E5D4F9E">
            <w:pPr>
              <w:rPr>
                <w:rFonts w:hint="eastAsia" w:ascii="宋体" w:hAnsi="宋体"/>
                <w:b/>
                <w:bCs/>
                <w:color w:val="auto"/>
              </w:rPr>
            </w:pPr>
            <w:r>
              <w:rPr>
                <w:rFonts w:hint="eastAsia" w:ascii="宋体" w:hAnsi="宋体"/>
                <w:b/>
                <w:bCs/>
                <w:color w:val="auto"/>
                <w:highlight w:val="none"/>
                <w:lang w:val="en-US" w:eastAsia="zh-CN"/>
              </w:rPr>
              <w:t>增值服务</w:t>
            </w:r>
          </w:p>
        </w:tc>
        <w:tc>
          <w:tcPr>
            <w:tcW w:w="1096" w:type="dxa"/>
          </w:tcPr>
          <w:p w14:paraId="09CC249D">
            <w:pPr>
              <w:rPr>
                <w:rFonts w:hint="default"/>
                <w:vertAlign w:val="baseline"/>
                <w:lang w:val="en-US" w:eastAsia="zh-CN"/>
              </w:rPr>
            </w:pPr>
            <w:r>
              <w:rPr>
                <w:rFonts w:hint="eastAsia"/>
                <w:vertAlign w:val="baseline"/>
                <w:lang w:val="en-US" w:eastAsia="zh-CN"/>
              </w:rPr>
              <w:t>项目需求外增值服务</w:t>
            </w:r>
          </w:p>
        </w:tc>
        <w:tc>
          <w:tcPr>
            <w:tcW w:w="856" w:type="dxa"/>
          </w:tcPr>
          <w:p w14:paraId="3D0D3D4B">
            <w:pPr>
              <w:rPr>
                <w:rFonts w:hint="default"/>
                <w:vertAlign w:val="baseline"/>
                <w:lang w:val="en-US" w:eastAsia="zh-CN"/>
              </w:rPr>
            </w:pPr>
            <w:r>
              <w:rPr>
                <w:rFonts w:hint="eastAsia"/>
                <w:vertAlign w:val="baseline"/>
                <w:lang w:val="en-US" w:eastAsia="zh-CN"/>
              </w:rPr>
              <w:t>10</w:t>
            </w:r>
          </w:p>
        </w:tc>
        <w:tc>
          <w:tcPr>
            <w:tcW w:w="5720" w:type="dxa"/>
            <w:shd w:val="clear" w:color="auto" w:fill="auto"/>
            <w:vAlign w:val="top"/>
          </w:tcPr>
          <w:p w14:paraId="3DD21E0F">
            <w:pPr>
              <w:rPr>
                <w:rFonts w:hint="default" w:asciiTheme="minorHAnsi" w:hAnsiTheme="minorHAnsi" w:eastAsiaTheme="minorEastAsia" w:cstheme="minorBidi"/>
                <w:kern w:val="2"/>
                <w:sz w:val="21"/>
                <w:szCs w:val="24"/>
                <w:vertAlign w:val="baseline"/>
                <w:lang w:val="en-US" w:eastAsia="zh-CN" w:bidi="ar-SA"/>
              </w:rPr>
            </w:pPr>
            <w:r>
              <w:rPr>
                <w:rFonts w:hint="eastAsia"/>
                <w:color w:val="auto"/>
                <w:lang w:val="en-US" w:eastAsia="zh-CN"/>
              </w:rPr>
              <w:t>在本项目需求外，投标人每提供一个切实有效的、具有可操作性的增值服务得2分，满分10分</w:t>
            </w:r>
          </w:p>
        </w:tc>
      </w:tr>
    </w:tbl>
    <w:p w14:paraId="6EDC1CCC">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C100B3"/>
    <w:rsid w:val="11290358"/>
    <w:rsid w:val="28C100B3"/>
    <w:rsid w:val="5B5A4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1430</Words>
  <Characters>1500</Characters>
  <Lines>0</Lines>
  <Paragraphs>0</Paragraphs>
  <TotalTime>4</TotalTime>
  <ScaleCrop>false</ScaleCrop>
  <LinksUpToDate>false</LinksUpToDate>
  <CharactersWithSpaces>1501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2025-05-29T01:25:00Z</dcterms:created>
  <dc:creator>车前子</dc:creator>
  <cp:lastModifiedBy>张长君</cp:lastModifiedBy>
  <dcterms:modified xsi:type="dcterms:W3CDTF">2025-05-29T02:20:23Z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CD9D2149FE3B4CC1A6840E0BDC6298AD_11</vt:lpwstr>
  </property>
  <property fmtid="{D5CDD505-2E9C-101B-9397-08002B2CF9AE}" pid="4" name="KSOTemplateDocerSaveRecord">
    <vt:lpwstr>eyJoZGlkIjoiN2Y4ZDNhMDVmNDIzOTA1MDMwMTAyNmQxZjFhNzlmNGYiLCJ1c2VySWQiOiIxMjEwNDIxMzA4In0=</vt:lpwstr>
  </property>
</Properties>
</file>