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邗实宿舍电力改造项目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邗实宿舍电力改造项目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邗实宿舍电力改造项目</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6</w:t>
      </w:r>
      <w:r>
        <w:rPr>
          <w:rFonts w:hint="eastAsia" w:ascii="宋体" w:hAnsi="宋体"/>
          <w:b/>
          <w:sz w:val="24"/>
        </w:rPr>
        <w:t>月</w:t>
      </w:r>
      <w:r>
        <w:rPr>
          <w:rFonts w:hint="eastAsia" w:ascii="宋体" w:hAnsi="宋体"/>
          <w:b/>
          <w:sz w:val="24"/>
          <w:lang w:val="en-US" w:eastAsia="zh-CN"/>
        </w:rPr>
        <w:t>12</w:t>
      </w:r>
      <w:r>
        <w:rPr>
          <w:rFonts w:hint="eastAsia" w:ascii="宋体" w:hAnsi="宋体"/>
          <w:b/>
          <w:sz w:val="24"/>
        </w:rPr>
        <w:t>日上午9：30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邗实宿舍电力改造项目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邗实宿舍电力改造项目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付款方式为按医院要求完成玻璃钢格栅钢格板供货，乙方凭甲方的验收单及开具的正规增值税发票等材料向甲方办理付款手续，甲方凭手续齐全的票据向乙方支付建设费用。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6</w:t>
      </w:r>
      <w:r>
        <w:rPr>
          <w:rFonts w:hint="eastAsia" w:cs="微软雅黑"/>
          <w:b/>
        </w:rPr>
        <w:t>月</w:t>
      </w:r>
      <w:r>
        <w:rPr>
          <w:rFonts w:hint="eastAsia" w:cs="微软雅黑"/>
          <w:b/>
          <w:lang w:val="en-US" w:eastAsia="zh-CN"/>
        </w:rPr>
        <w:t>12</w:t>
      </w:r>
      <w:r>
        <w:rPr>
          <w:rFonts w:hint="eastAsia" w:cs="微软雅黑"/>
          <w:b/>
        </w:rPr>
        <w:t>日</w:t>
      </w:r>
      <w:r>
        <w:rPr>
          <w:rStyle w:val="32"/>
          <w:rFonts w:hint="eastAsia"/>
          <w:b/>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hint="eastAsia"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hint="eastAsia"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6</w:t>
      </w:r>
      <w:r>
        <w:rPr>
          <w:rStyle w:val="32"/>
          <w:rFonts w:ascii="宋体" w:hAnsi="宋体"/>
          <w:b/>
          <w:sz w:val="24"/>
        </w:rPr>
        <w:t>月</w:t>
      </w:r>
      <w:r>
        <w:rPr>
          <w:rStyle w:val="32"/>
          <w:rFonts w:hint="eastAsia" w:ascii="宋体" w:hAnsi="宋体"/>
          <w:b/>
          <w:sz w:val="24"/>
          <w:lang w:val="en-US" w:eastAsia="zh-CN"/>
        </w:rPr>
        <w:t>12</w:t>
      </w:r>
      <w:r>
        <w:rPr>
          <w:rStyle w:val="32"/>
          <w:rFonts w:ascii="宋体" w:hAnsi="宋体"/>
          <w:b/>
          <w:sz w:val="24"/>
        </w:rPr>
        <w:t>日</w:t>
      </w:r>
      <w:r>
        <w:rPr>
          <w:rStyle w:val="32"/>
          <w:rFonts w:hint="eastAsia" w:ascii="宋体" w:hAnsi="宋体"/>
          <w:b/>
          <w:sz w:val="24"/>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日上午9:30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rPr>
          <w:rFonts w:hint="eastAsia" w:ascii="宋体" w:hAnsi="宋体"/>
          <w:b/>
          <w:sz w:val="36"/>
          <w:szCs w:val="36"/>
        </w:rPr>
      </w:pP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邗实宿舍电力改造项目</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2025017</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2.1项目需求如下</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为进一步提升医院宿舍环境，宿舍楼增加102台</w:t>
      </w:r>
      <w:bookmarkStart w:id="1" w:name="OLE_LINK1"/>
      <w:r>
        <w:rPr>
          <w:rFonts w:hint="eastAsia" w:ascii="宋体" w:hAnsi="宋体" w:cs="宋体"/>
          <w:snapToGrid w:val="0"/>
          <w:kern w:val="0"/>
          <w:sz w:val="24"/>
          <w:lang w:val="en-US" w:eastAsia="zh-CN"/>
        </w:rPr>
        <w:t>2KW空调</w:t>
      </w:r>
      <w:bookmarkEnd w:id="1"/>
      <w:r>
        <w:rPr>
          <w:rFonts w:hint="eastAsia" w:ascii="宋体" w:hAnsi="宋体" w:cs="宋体"/>
          <w:snapToGrid w:val="0"/>
          <w:kern w:val="0"/>
          <w:sz w:val="24"/>
          <w:lang w:val="en-US" w:eastAsia="zh-CN"/>
        </w:rPr>
        <w:t>，12台3KW烧水炉，根据实际用电功率情况，现场原有2台配电柜需要改造；</w:t>
      </w:r>
    </w:p>
    <w:p>
      <w:pPr>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配电柜改造：配电柜基本参数：断路器容量:400A*2,额定电压:380V(三相输入、三相输出),尺寸：利用原有柜体，仪表:</w:t>
      </w:r>
      <w:r>
        <w:rPr>
          <w:rFonts w:hint="default" w:ascii="宋体" w:hAnsi="宋体" w:cs="宋体"/>
          <w:snapToGrid w:val="0"/>
          <w:kern w:val="0"/>
          <w:sz w:val="24"/>
          <w:lang w:val="en-US" w:eastAsia="zh-CN"/>
        </w:rPr>
        <w:t>L</w:t>
      </w:r>
      <w:r>
        <w:rPr>
          <w:rFonts w:hint="eastAsia" w:ascii="宋体" w:hAnsi="宋体" w:cs="宋体"/>
          <w:snapToGrid w:val="0"/>
          <w:kern w:val="0"/>
          <w:sz w:val="24"/>
          <w:lang w:val="en-US" w:eastAsia="zh-CN"/>
        </w:rPr>
        <w:t>CD显示，</w:t>
      </w:r>
      <w:r>
        <w:rPr>
          <w:rFonts w:hint="default" w:ascii="宋体" w:hAnsi="宋体" w:cs="宋体"/>
          <w:snapToGrid w:val="0"/>
          <w:kern w:val="0"/>
          <w:sz w:val="24"/>
          <w:lang w:val="en-US" w:eastAsia="zh-CN"/>
        </w:rPr>
        <w:t>支持显示输入输出电流</w:t>
      </w:r>
      <w:r>
        <w:rPr>
          <w:rFonts w:hint="eastAsia" w:ascii="宋体" w:hAnsi="宋体" w:cs="宋体"/>
          <w:snapToGrid w:val="0"/>
          <w:kern w:val="0"/>
          <w:sz w:val="24"/>
          <w:lang w:val="en-US" w:eastAsia="zh-CN"/>
        </w:rPr>
        <w:t>电压</w:t>
      </w:r>
      <w:r>
        <w:rPr>
          <w:rFonts w:hint="default" w:ascii="宋体" w:hAnsi="宋体" w:cs="宋体"/>
          <w:snapToGrid w:val="0"/>
          <w:kern w:val="0"/>
          <w:sz w:val="24"/>
          <w:lang w:val="en-US" w:eastAsia="zh-CN"/>
        </w:rPr>
        <w:t>、</w:t>
      </w:r>
      <w:r>
        <w:rPr>
          <w:rFonts w:hint="eastAsia" w:ascii="宋体" w:hAnsi="宋体" w:cs="宋体"/>
          <w:snapToGrid w:val="0"/>
          <w:kern w:val="0"/>
          <w:sz w:val="24"/>
          <w:lang w:val="en-US" w:eastAsia="zh-CN"/>
        </w:rPr>
        <w:t>功率，RS485/Modbus等.</w:t>
      </w:r>
    </w:p>
    <w:p>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材料需求</w:t>
      </w:r>
    </w:p>
    <w:tbl>
      <w:tblPr>
        <w:tblStyle w:val="16"/>
        <w:tblW w:w="8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1794"/>
        <w:gridCol w:w="2498"/>
        <w:gridCol w:w="1070"/>
        <w:gridCol w:w="1070"/>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柜号</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规格</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单位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电流表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交流塑壳断路器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HGM1-400L/3300 400A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交流塑壳断路器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HGM1-125L/3300 125A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交流微型断路器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HG45-125/3P C100A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交流微型断路器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HG45-125/3P C63A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TMY 30*8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HG194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交流塑壳断路器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HGM1-400L/3300 400A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交流塑壳断路器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HGM1-125L/3300 125A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交流微型断路器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HG45-125/3P C100A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交流微型断路器</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HG45-125/3P C63A</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杭梅电气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铜排</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TMY 30*8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壳体</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电箱改造</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2.2电缆增容：现场采用300*150规格镀锌板桥架，敷设YJV-4*95+1*50 2根合计130米，其中一根65米电缆利旧。</w:t>
      </w:r>
    </w:p>
    <w:p>
      <w:pPr>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材料需求</w:t>
      </w:r>
    </w:p>
    <w:tbl>
      <w:tblPr>
        <w:tblStyle w:val="16"/>
        <w:tblW w:w="8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1794"/>
        <w:gridCol w:w="2498"/>
        <w:gridCol w:w="1070"/>
        <w:gridCol w:w="1070"/>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柜号</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规格</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单位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33"/>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镀锌板桥架</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300*150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YJV-4*95+1*50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2" w:name="OLE_LINK7" w:colFirst="1" w:colLast="4"/>
            <w:r>
              <w:rPr>
                <w:rFonts w:hint="eastAsia" w:ascii="宋体" w:hAnsi="宋体" w:eastAsia="宋体" w:cs="宋体"/>
                <w:i w:val="0"/>
                <w:iCs w:val="0"/>
                <w:color w:val="000000"/>
                <w:kern w:val="0"/>
                <w:sz w:val="22"/>
                <w:szCs w:val="22"/>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辅材</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国优</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桥架施工及电缆敷设</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其中65米利用原有线缆</w:t>
            </w:r>
          </w:p>
        </w:tc>
      </w:tr>
    </w:tbl>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2.3</w:t>
      </w:r>
      <w:r>
        <w:rPr>
          <w:rFonts w:hint="default" w:ascii="宋体" w:hAnsi="宋体" w:cs="宋体"/>
          <w:snapToGrid w:val="0"/>
          <w:kern w:val="0"/>
          <w:sz w:val="24"/>
          <w:lang w:val="en-US" w:eastAsia="zh-CN"/>
        </w:rPr>
        <w:t>拆装要求</w:t>
      </w:r>
      <w:r>
        <w:rPr>
          <w:rFonts w:hint="eastAsia" w:ascii="宋体" w:hAnsi="宋体" w:cs="宋体"/>
          <w:snapToGrid w:val="0"/>
          <w:kern w:val="0"/>
          <w:sz w:val="24"/>
          <w:lang w:val="en-US" w:eastAsia="zh-CN"/>
        </w:rPr>
        <w:t>:拆除原有电柜内旧电气设备，并根据院方要求将设备搬运至指定区域,改造时间由院方确定(分步实施改造，可能夜间施工);项目实施过程中涉及的现场其他技术要求及未尽事项,应结合实际条件根据院方具体需求进行满足。</w:t>
      </w:r>
    </w:p>
    <w:p>
      <w:pPr>
        <w:pStyle w:val="14"/>
        <w:shd w:val="clear" w:color="auto" w:fill="FFFFFF"/>
        <w:spacing w:before="0" w:beforeAutospacing="0" w:after="0" w:afterAutospacing="0"/>
        <w:rPr>
          <w:rFonts w:hint="eastAsia"/>
          <w:b/>
          <w:bCs/>
          <w:snapToGrid w:val="0"/>
        </w:rPr>
      </w:pPr>
    </w:p>
    <w:p>
      <w:pPr>
        <w:pStyle w:val="14"/>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5"/>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5"/>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hint="eastAsia"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邗实宿舍电力改造项目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5"/>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2025年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5"/>
        <w:rPr>
          <w:rFonts w:hint="eastAsia"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hint="eastAsia" w:ascii="宋体" w:hAnsi="宋体"/>
          <w:kern w:val="0"/>
          <w:sz w:val="36"/>
          <w:szCs w:val="36"/>
        </w:rPr>
      </w:pPr>
    </w:p>
    <w:p/>
    <w:p>
      <w:pPr>
        <w:pStyle w:val="13"/>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2"/>
        <w:rPr>
          <w:rFonts w:hint="eastAsia" w:ascii="宋体" w:hAnsi="宋体"/>
        </w:rPr>
      </w:pPr>
    </w:p>
    <w:p>
      <w:pPr>
        <w:rPr>
          <w:rFonts w:hint="eastAsia" w:ascii="宋体" w:hAnsi="宋体"/>
        </w:rPr>
      </w:pPr>
    </w:p>
    <w:p>
      <w:pPr>
        <w:pStyle w:val="2"/>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hint="eastAsia" w:ascii="宋体" w:hAnsi="宋体" w:cs="宋体"/>
          <w:bCs/>
          <w:snapToGrid w:val="0"/>
          <w:kern w:val="0"/>
          <w:sz w:val="24"/>
        </w:rPr>
      </w:pPr>
    </w:p>
    <w:p>
      <w:pPr>
        <w:pStyle w:val="2"/>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3" w:name="_Toc20823315"/>
      <w:bookmarkStart w:id="4" w:name="_Toc513029243"/>
      <w:bookmarkStart w:id="5" w:name="_Toc16938559"/>
    </w:p>
    <w:bookmarkEnd w:id="3"/>
    <w:bookmarkEnd w:id="4"/>
    <w:bookmarkEnd w:id="5"/>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邗实宿舍电力改造项目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rPr>
        <w:t>订单编号：</w:t>
      </w:r>
      <w:r>
        <w:rPr>
          <w:rFonts w:hint="eastAsia" w:hAnsi="宋体" w:cs="宋体"/>
          <w:b/>
          <w:bCs/>
          <w:sz w:val="24"/>
        </w:rPr>
        <w:t>YDFYXJ-</w:t>
      </w:r>
      <w:r>
        <w:rPr>
          <w:rFonts w:hint="eastAsia" w:hAnsi="宋体" w:cs="宋体"/>
          <w:b/>
          <w:bCs/>
          <w:sz w:val="24"/>
          <w:lang w:eastAsia="zh-CN"/>
        </w:rPr>
        <w:t>2025017</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采购方：</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rPr>
        <w:t>供货方：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序号</w:t>
            </w:r>
          </w:p>
        </w:tc>
        <w:tc>
          <w:tcPr>
            <w:tcW w:w="1797"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商品/服务名称</w:t>
            </w:r>
          </w:p>
        </w:tc>
        <w:tc>
          <w:tcPr>
            <w:tcW w:w="1478"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型号及配置</w:t>
            </w:r>
          </w:p>
        </w:tc>
        <w:tc>
          <w:tcPr>
            <w:tcW w:w="72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单位</w:t>
            </w:r>
          </w:p>
        </w:tc>
        <w:tc>
          <w:tcPr>
            <w:tcW w:w="78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数量</w:t>
            </w:r>
          </w:p>
        </w:tc>
        <w:tc>
          <w:tcPr>
            <w:tcW w:w="919"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单价（元）</w:t>
            </w:r>
          </w:p>
        </w:tc>
        <w:tc>
          <w:tcPr>
            <w:tcW w:w="1045"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总价（元）</w:t>
            </w:r>
          </w:p>
        </w:tc>
        <w:tc>
          <w:tcPr>
            <w:tcW w:w="966"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1</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2</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备注：</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1、订单要求：</w:t>
            </w:r>
          </w:p>
          <w:p>
            <w:pPr>
              <w:adjustRightInd w:val="0"/>
              <w:snapToGrid w:val="0"/>
              <w:spacing w:line="340" w:lineRule="exact"/>
              <w:ind w:firstLine="480" w:firstLineChars="200"/>
              <w:contextualSpacing/>
              <w:jc w:val="left"/>
              <w:rPr>
                <w:rFonts w:hint="eastAsia" w:ascii="宋体" w:hAnsi="宋体"/>
                <w:sz w:val="24"/>
              </w:rPr>
            </w:pP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Cs/>
                <w:spacing w:val="20"/>
                <w:sz w:val="24"/>
              </w:rPr>
              <w:t>3、</w:t>
            </w:r>
            <w:r>
              <w:rPr>
                <w:rFonts w:hint="eastAsia" w:hAnsi="宋体"/>
                <w:sz w:val="24"/>
              </w:rPr>
              <w:t>付款方式为按甲方要求完成邗实宿舍电力改造</w:t>
            </w:r>
            <w:bookmarkStart w:id="6" w:name="_GoBack"/>
            <w:bookmarkEnd w:id="6"/>
            <w:r>
              <w:rPr>
                <w:rFonts w:hint="eastAsia" w:hAnsi="宋体"/>
                <w:sz w:val="24"/>
              </w:rPr>
              <w:t>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hint="eastAsia" w:ascii="宋体" w:hAnsi="宋体" w:cs="宋体"/>
                <w:color w:val="000000"/>
                <w:kern w:val="0"/>
                <w:sz w:val="24"/>
              </w:rPr>
            </w:pPr>
            <w:r>
              <w:rPr>
                <w:rFonts w:hint="eastAsia" w:ascii="宋体" w:hAnsi="宋体"/>
                <w:bCs/>
                <w:spacing w:val="20"/>
                <w:sz w:val="24"/>
              </w:rPr>
              <w:t>4、</w:t>
            </w:r>
            <w:r>
              <w:rPr>
                <w:rFonts w:hint="eastAsia" w:hAnsi="宋体"/>
                <w:sz w:val="24"/>
              </w:rPr>
              <w:t>交货时间和地点：供货方在接到采购方通知10个工作日内完成按甲方要求完成</w:t>
            </w:r>
            <w:r>
              <w:rPr>
                <w:rFonts w:hint="eastAsia" w:hAnsi="宋体"/>
                <w:sz w:val="24"/>
                <w:lang w:eastAsia="zh-CN"/>
              </w:rPr>
              <w:t>邗实宿舍电力改造项目</w:t>
            </w:r>
            <w:r>
              <w:rPr>
                <w:rFonts w:hint="eastAsia" w:hAnsi="宋体"/>
                <w:sz w:val="24"/>
              </w:rPr>
              <w:t>交付使用。</w:t>
            </w:r>
          </w:p>
          <w:p>
            <w:pPr>
              <w:adjustRightInd w:val="0"/>
              <w:snapToGrid w:val="0"/>
              <w:spacing w:line="340" w:lineRule="exact"/>
              <w:contextualSpacing/>
              <w:jc w:val="center"/>
              <w:rPr>
                <w:rFonts w:hint="eastAsia" w:ascii="宋体" w:hAnsi="宋体"/>
                <w:sz w:val="24"/>
              </w:rPr>
            </w:pPr>
          </w:p>
        </w:tc>
      </w:tr>
    </w:tbl>
    <w:p>
      <w:pPr>
        <w:adjustRightInd w:val="0"/>
        <w:snapToGrid w:val="0"/>
        <w:spacing w:line="340" w:lineRule="exact"/>
        <w:ind w:firstLine="480" w:firstLineChars="200"/>
        <w:contextualSpacing/>
        <w:jc w:val="left"/>
        <w:rPr>
          <w:rFonts w:hint="eastAsia" w:ascii="宋体" w:hAnsi="宋体"/>
          <w:sz w:val="24"/>
        </w:rPr>
      </w:pPr>
    </w:p>
    <w:p>
      <w:pPr>
        <w:pStyle w:val="15"/>
        <w:ind w:firstLine="0"/>
      </w:pPr>
    </w:p>
    <w:p>
      <w:pPr>
        <w:adjustRightInd w:val="0"/>
        <w:snapToGrid w:val="0"/>
        <w:spacing w:line="440" w:lineRule="exact"/>
        <w:ind w:left="-619" w:leftChars="-295" w:right="-519" w:rightChars="-247"/>
        <w:contextualSpacing/>
        <w:rPr>
          <w:rFonts w:hint="eastAsia" w:ascii="宋体" w:hAnsi="宋体"/>
          <w:kern w:val="20"/>
          <w:sz w:val="24"/>
        </w:rPr>
      </w:pP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kern w:val="20"/>
          <w:sz w:val="24"/>
        </w:rPr>
        <w:t>采购方经办部门（盖章）</w:t>
      </w:r>
      <w:r>
        <w:rPr>
          <w:rFonts w:hint="eastAsia" w:ascii="宋体" w:hAnsi="宋体"/>
          <w:b/>
          <w:kern w:val="20"/>
          <w:sz w:val="24"/>
        </w:rPr>
        <w:t xml:space="preserve">                  </w:t>
      </w:r>
      <w:r>
        <w:rPr>
          <w:rFonts w:hint="eastAsia" w:ascii="宋体" w:hAnsi="宋体"/>
          <w:kern w:val="20"/>
          <w:sz w:val="24"/>
        </w:rPr>
        <w:t>供货方：（盖章）</w:t>
      </w: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rPr>
          <w:rFonts w:hint="eastAsia" w:ascii="宋体" w:hAnsi="宋体"/>
          <w:kern w:val="20"/>
          <w:sz w:val="24"/>
        </w:rPr>
      </w:pPr>
      <w:r>
        <w:rPr>
          <w:rFonts w:hint="eastAsia" w:ascii="宋体" w:hAnsi="宋体"/>
          <w:kern w:val="20"/>
          <w:sz w:val="24"/>
        </w:rPr>
        <w:t>法定代表人：                             法定代表人：</w:t>
      </w:r>
    </w:p>
    <w:p>
      <w:pPr>
        <w:spacing w:line="440" w:lineRule="exact"/>
        <w:ind w:left="-619" w:leftChars="-295" w:right="-519" w:rightChars="-247"/>
        <w:rPr>
          <w:rFonts w:hint="eastAsia" w:ascii="宋体" w:hAnsi="宋体"/>
          <w:kern w:val="20"/>
          <w:sz w:val="24"/>
        </w:rPr>
      </w:pPr>
      <w:r>
        <w:rPr>
          <w:rFonts w:hint="eastAsia" w:ascii="宋体" w:hAnsi="宋体"/>
          <w:kern w:val="20"/>
          <w:sz w:val="24"/>
        </w:rPr>
        <w:t>或授权代表：                             或授权代表：</w:t>
      </w:r>
    </w:p>
    <w:p>
      <w:pPr>
        <w:spacing w:line="440" w:lineRule="exact"/>
        <w:ind w:left="-619" w:leftChars="-295" w:right="-519" w:rightChars="-247"/>
        <w:rPr>
          <w:rFonts w:hint="eastAsia" w:ascii="宋体" w:hAnsi="宋体"/>
          <w:kern w:val="20"/>
          <w:sz w:val="24"/>
        </w:rPr>
      </w:pPr>
    </w:p>
    <w:p>
      <w:pPr>
        <w:spacing w:line="440" w:lineRule="exact"/>
        <w:ind w:left="-619" w:leftChars="-295" w:right="-519" w:rightChars="-247"/>
        <w:rPr>
          <w:rFonts w:hint="eastAsia" w:ascii="宋体" w:hAnsi="宋体" w:cs="宋体"/>
          <w:b/>
          <w:color w:val="000000"/>
          <w:kern w:val="0"/>
          <w:sz w:val="24"/>
        </w:rPr>
      </w:pPr>
      <w:r>
        <w:rPr>
          <w:rFonts w:hint="eastAsia" w:ascii="宋体" w:hAnsi="宋体"/>
          <w:kern w:val="20"/>
          <w:sz w:val="24"/>
        </w:rPr>
        <w:t>日    期：2025 年  月  日                日    期：2025年  月  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23EAE"/>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57D45"/>
    <w:rsid w:val="00D63215"/>
    <w:rsid w:val="00D64723"/>
    <w:rsid w:val="00D72687"/>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7A2191"/>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6F1749F5"/>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EDA4498"/>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字符"/>
    <w:basedOn w:val="18"/>
    <w:link w:val="12"/>
    <w:autoRedefine/>
    <w:semiHidden/>
    <w:qFormat/>
    <w:uiPriority w:val="99"/>
    <w:rPr>
      <w:rFonts w:eastAsia="宋体"/>
      <w:kern w:val="2"/>
      <w:sz w:val="18"/>
      <w:szCs w:val="18"/>
    </w:rPr>
  </w:style>
  <w:style w:type="character" w:customStyle="1" w:styleId="24">
    <w:name w:val="页脚 字符"/>
    <w:basedOn w:val="18"/>
    <w:link w:val="11"/>
    <w:autoRedefine/>
    <w:semiHidden/>
    <w:qFormat/>
    <w:uiPriority w:val="99"/>
    <w:rPr>
      <w:rFonts w:eastAsia="宋体"/>
      <w:kern w:val="2"/>
      <w:sz w:val="18"/>
      <w:szCs w:val="18"/>
    </w:rPr>
  </w:style>
  <w:style w:type="character" w:customStyle="1" w:styleId="25">
    <w:name w:val="批注框文本 字符"/>
    <w:basedOn w:val="18"/>
    <w:link w:val="10"/>
    <w:autoRedefine/>
    <w:semiHidden/>
    <w:qFormat/>
    <w:uiPriority w:val="99"/>
    <w:rPr>
      <w:rFonts w:eastAsia="宋体"/>
      <w:kern w:val="2"/>
      <w:sz w:val="18"/>
      <w:szCs w:val="18"/>
    </w:rPr>
  </w:style>
  <w:style w:type="character" w:customStyle="1" w:styleId="26">
    <w:name w:val="纯文本 字符"/>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字符"/>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字符"/>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4149</Words>
  <Characters>4688</Characters>
  <Lines>36</Lines>
  <Paragraphs>10</Paragraphs>
  <TotalTime>0</TotalTime>
  <ScaleCrop>false</ScaleCrop>
  <LinksUpToDate>false</LinksUpToDate>
  <CharactersWithSpaces>5146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胡永田</cp:lastModifiedBy>
  <cp:lastPrinted>2004-12-31T16:23:00Z</cp:lastPrinted>
  <dcterms:modified xsi:type="dcterms:W3CDTF">2025-06-04T09:49:45Z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C398EC416C5B4A1BA96882AF563DA1E8_13</vt:lpwstr>
  </property>
  <property fmtid="{D5CDD505-2E9C-101B-9397-08002B2CF9AE}" pid="4" name="KSOTemplateDocerSaveRecord">
    <vt:lpwstr>eyJoZGlkIjoiNmE4NWQzNGE2MWVkYWE3NTUwNTg0NTRkZTdkN2JiNTIiLCJ1c2VySWQiOiI1NDg1NjQxNDcifQ==</vt:lpwstr>
  </property>
</Properties>
</file>