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宋体" w:hAnsi="宋体"/>
          <w:b/>
          <w:bCs/>
          <w:sz w:val="36"/>
          <w:lang w:eastAsia="zh-CN"/>
        </w:rPr>
      </w:pPr>
      <w:bookmarkStart w:id="0" w:name="_Toc497145843"/>
      <w:r>
        <w:rPr>
          <w:rFonts w:hint="eastAsia" w:ascii="宋体" w:hAnsi="宋体"/>
          <w:b/>
          <w:bCs/>
          <w:sz w:val="36"/>
          <w:lang w:eastAsia="zh-CN"/>
        </w:rPr>
        <w:t>第二部分评审方法和评审标准</w:t>
      </w:r>
      <w:bookmarkEnd w:id="0"/>
    </w:p>
    <w:p>
      <w:pPr>
        <w:pStyle w:val="7"/>
        <w:ind w:firstLine="422" w:firstLineChars="200"/>
        <w:rPr>
          <w:rFonts w:ascii="宋体" w:hAnsi="宋体"/>
          <w:b/>
          <w:kern w:val="2"/>
          <w:sz w:val="21"/>
          <w:szCs w:val="21"/>
          <w:lang w:eastAsia="zh-CN"/>
        </w:rPr>
      </w:pPr>
      <w:r>
        <w:rPr>
          <w:rFonts w:hint="eastAsia" w:ascii="宋体" w:hAnsi="宋体"/>
          <w:b/>
          <w:kern w:val="2"/>
          <w:sz w:val="21"/>
          <w:szCs w:val="21"/>
          <w:lang w:eastAsia="zh-CN"/>
        </w:rPr>
        <w:t>一、评标方法</w:t>
      </w:r>
    </w:p>
    <w:p>
      <w:pPr>
        <w:spacing w:line="360" w:lineRule="auto"/>
        <w:ind w:firstLine="420" w:firstLineChars="200"/>
        <w:rPr>
          <w:lang w:eastAsia="zh-CN"/>
        </w:rPr>
      </w:pPr>
      <w:r>
        <w:rPr>
          <w:rFonts w:hint="eastAsia" w:ascii="宋体" w:hAnsi="宋体" w:eastAsia="宋体" w:cs="宋体"/>
          <w:lang w:eastAsia="zh-CN"/>
        </w:rPr>
        <w:t>本</w:t>
      </w:r>
      <w:r>
        <w:rPr>
          <w:rFonts w:hint="eastAsia"/>
          <w:lang w:eastAsia="zh-CN"/>
        </w:rPr>
        <w:t>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供应商为排名第一的成交候选人。</w:t>
      </w:r>
    </w:p>
    <w:p>
      <w:pPr>
        <w:spacing w:line="360" w:lineRule="auto"/>
        <w:ind w:firstLine="422" w:firstLineChars="200"/>
        <w:rPr>
          <w:b/>
        </w:rPr>
      </w:pPr>
      <w:r>
        <w:rPr>
          <w:rFonts w:hint="eastAsia" w:eastAsia="宋体"/>
          <w:b/>
          <w:lang w:eastAsia="zh-CN"/>
        </w:rPr>
        <w:t>二、</w:t>
      </w:r>
      <w:r>
        <w:rPr>
          <w:rFonts w:hint="eastAsia"/>
          <w:b/>
        </w:rPr>
        <w:t>评分标准</w:t>
      </w:r>
    </w:p>
    <w:tbl>
      <w:tblPr>
        <w:tblStyle w:val="5"/>
        <w:tblW w:w="97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9"/>
        <w:gridCol w:w="1179"/>
        <w:gridCol w:w="6581"/>
        <w:gridCol w:w="569"/>
        <w:gridCol w:w="8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blHeader/>
          <w:jc w:val="center"/>
        </w:trPr>
        <w:tc>
          <w:tcPr>
            <w:tcW w:w="519" w:type="dxa"/>
            <w:noWrap/>
          </w:tcPr>
          <w:p>
            <w:pPr>
              <w:spacing w:line="288" w:lineRule="auto"/>
              <w:jc w:val="center"/>
              <w:rPr>
                <w:rFonts w:ascii="宋体" w:hAnsi="宋体" w:cs="宋体"/>
                <w:b/>
                <w:bCs/>
                <w:sz w:val="24"/>
                <w:szCs w:val="24"/>
              </w:rPr>
            </w:pPr>
            <w:r>
              <w:rPr>
                <w:rFonts w:hint="eastAsia" w:ascii="宋体" w:hAnsi="宋体" w:eastAsia="宋体" w:cs="宋体"/>
                <w:b/>
                <w:bCs/>
                <w:sz w:val="24"/>
                <w:szCs w:val="24"/>
              </w:rPr>
              <w:t>序</w:t>
            </w:r>
            <w:r>
              <w:rPr>
                <w:rFonts w:hint="eastAsia" w:ascii="宋体" w:hAnsi="宋体" w:cs="宋体"/>
                <w:b/>
                <w:bCs/>
                <w:sz w:val="24"/>
                <w:szCs w:val="24"/>
              </w:rPr>
              <w:t>号</w:t>
            </w:r>
          </w:p>
        </w:tc>
        <w:tc>
          <w:tcPr>
            <w:tcW w:w="1179" w:type="dxa"/>
            <w:noWrap/>
          </w:tcPr>
          <w:p>
            <w:pPr>
              <w:spacing w:line="288" w:lineRule="auto"/>
              <w:jc w:val="center"/>
              <w:rPr>
                <w:rFonts w:ascii="宋体" w:hAnsi="宋体" w:cs="宋体"/>
                <w:b/>
                <w:bCs/>
                <w:sz w:val="24"/>
                <w:szCs w:val="24"/>
              </w:rPr>
            </w:pPr>
            <w:r>
              <w:rPr>
                <w:rFonts w:hint="eastAsia" w:ascii="宋体" w:hAnsi="宋体" w:eastAsia="宋体" w:cs="宋体"/>
                <w:b/>
                <w:bCs/>
                <w:sz w:val="24"/>
                <w:szCs w:val="24"/>
              </w:rPr>
              <w:t>评</w:t>
            </w:r>
            <w:r>
              <w:rPr>
                <w:rFonts w:hint="eastAsia" w:ascii="宋体" w:hAnsi="宋体" w:cs="宋体"/>
                <w:b/>
                <w:bCs/>
                <w:sz w:val="24"/>
                <w:szCs w:val="24"/>
              </w:rPr>
              <w:t>审因素</w:t>
            </w:r>
          </w:p>
        </w:tc>
        <w:tc>
          <w:tcPr>
            <w:tcW w:w="6581" w:type="dxa"/>
            <w:noWrap/>
          </w:tcPr>
          <w:p>
            <w:pPr>
              <w:spacing w:line="288" w:lineRule="auto"/>
              <w:jc w:val="center"/>
              <w:rPr>
                <w:rFonts w:ascii="宋体" w:hAnsi="宋体" w:cs="宋体"/>
                <w:b/>
                <w:bCs/>
                <w:sz w:val="24"/>
                <w:szCs w:val="24"/>
              </w:rPr>
            </w:pPr>
            <w:r>
              <w:rPr>
                <w:rFonts w:hint="eastAsia" w:ascii="宋体" w:hAnsi="宋体" w:eastAsia="宋体" w:cs="宋体"/>
                <w:b/>
                <w:bCs/>
                <w:sz w:val="24"/>
                <w:szCs w:val="24"/>
              </w:rPr>
              <w:t>评</w:t>
            </w:r>
            <w:r>
              <w:rPr>
                <w:rFonts w:hint="eastAsia" w:ascii="宋体" w:hAnsi="宋体" w:cs="宋体"/>
                <w:b/>
                <w:bCs/>
                <w:sz w:val="24"/>
                <w:szCs w:val="24"/>
              </w:rPr>
              <w:t>审细则</w:t>
            </w:r>
          </w:p>
        </w:tc>
        <w:tc>
          <w:tcPr>
            <w:tcW w:w="569" w:type="dxa"/>
            <w:noWrap/>
          </w:tcPr>
          <w:p>
            <w:pPr>
              <w:spacing w:line="288" w:lineRule="auto"/>
              <w:jc w:val="center"/>
              <w:rPr>
                <w:rFonts w:ascii="宋体" w:hAnsi="宋体" w:cs="宋体"/>
                <w:b/>
                <w:bCs/>
                <w:sz w:val="24"/>
                <w:szCs w:val="24"/>
              </w:rPr>
            </w:pPr>
            <w:r>
              <w:rPr>
                <w:rFonts w:hint="eastAsia" w:ascii="宋体" w:hAnsi="宋体" w:eastAsia="宋体" w:cs="宋体"/>
                <w:b/>
                <w:bCs/>
                <w:sz w:val="24"/>
                <w:szCs w:val="24"/>
              </w:rPr>
              <w:t>分</w:t>
            </w:r>
            <w:r>
              <w:rPr>
                <w:rFonts w:hint="eastAsia" w:ascii="宋体" w:hAnsi="宋体" w:cs="宋体"/>
                <w:b/>
                <w:bCs/>
                <w:sz w:val="24"/>
                <w:szCs w:val="24"/>
              </w:rPr>
              <w:t>值</w:t>
            </w:r>
          </w:p>
        </w:tc>
        <w:tc>
          <w:tcPr>
            <w:tcW w:w="881" w:type="dxa"/>
            <w:noWrap/>
          </w:tcPr>
          <w:p>
            <w:pPr>
              <w:spacing w:line="288" w:lineRule="auto"/>
              <w:jc w:val="center"/>
              <w:rPr>
                <w:rFonts w:ascii="宋体" w:hAnsi="宋体" w:cs="宋体"/>
                <w:b/>
                <w:bCs/>
                <w:sz w:val="24"/>
                <w:szCs w:val="24"/>
              </w:rPr>
            </w:pPr>
            <w:r>
              <w:rPr>
                <w:rFonts w:hint="eastAsia" w:ascii="宋体" w:hAnsi="宋体" w:eastAsia="宋体" w:cs="宋体"/>
                <w:b/>
                <w:bCs/>
                <w:sz w:val="24"/>
                <w:szCs w:val="24"/>
              </w:rPr>
              <w:t>类</w:t>
            </w:r>
            <w:r>
              <w:rPr>
                <w:rFonts w:hint="eastAsia" w:ascii="宋体" w:hAnsi="宋体" w:cs="宋体"/>
                <w:b/>
                <w:bCs/>
                <w:sz w:val="24"/>
                <w:szCs w:val="24"/>
              </w:rPr>
              <w:t>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9729" w:type="dxa"/>
            <w:gridSpan w:val="5"/>
            <w:noWrap/>
          </w:tcPr>
          <w:p>
            <w:pPr>
              <w:spacing w:before="122" w:line="288" w:lineRule="auto"/>
              <w:ind w:left="114"/>
              <w:rPr>
                <w:rFonts w:ascii="宋体" w:hAnsi="宋体" w:cs="宋体"/>
                <w:sz w:val="24"/>
                <w:szCs w:val="24"/>
              </w:rPr>
            </w:pPr>
            <w:r>
              <w:rPr>
                <w:rFonts w:hint="eastAsia" w:ascii="宋体" w:hAnsi="宋体" w:cs="宋体"/>
                <w:b/>
                <w:bCs/>
                <w:spacing w:val="-3"/>
                <w:sz w:val="24"/>
                <w:szCs w:val="24"/>
              </w:rPr>
              <w:t>1.价</w:t>
            </w:r>
            <w:r>
              <w:rPr>
                <w:rFonts w:hint="eastAsia" w:ascii="宋体" w:hAnsi="宋体" w:cs="宋体"/>
                <w:b/>
                <w:bCs/>
                <w:spacing w:val="-2"/>
                <w:sz w:val="24"/>
                <w:szCs w:val="24"/>
              </w:rPr>
              <w:t>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jc w:val="center"/>
        </w:trPr>
        <w:tc>
          <w:tcPr>
            <w:tcW w:w="519" w:type="dxa"/>
            <w:noWrap/>
            <w:vAlign w:val="center"/>
          </w:tcPr>
          <w:p>
            <w:pPr>
              <w:spacing w:before="68" w:line="288" w:lineRule="auto"/>
              <w:jc w:val="center"/>
              <w:rPr>
                <w:rFonts w:ascii="宋体" w:hAnsi="宋体" w:cs="宋体"/>
                <w:sz w:val="24"/>
                <w:szCs w:val="24"/>
              </w:rPr>
            </w:pPr>
            <w:r>
              <w:rPr>
                <w:rFonts w:hint="eastAsia" w:ascii="宋体" w:hAnsi="宋体" w:cs="宋体"/>
                <w:spacing w:val="-6"/>
                <w:sz w:val="24"/>
                <w:szCs w:val="24"/>
              </w:rPr>
              <w:t>1</w:t>
            </w:r>
            <w:r>
              <w:rPr>
                <w:rFonts w:hint="eastAsia" w:ascii="宋体" w:hAnsi="宋体" w:cs="宋体"/>
                <w:spacing w:val="-5"/>
                <w:sz w:val="24"/>
                <w:szCs w:val="24"/>
              </w:rPr>
              <w:t>.1</w:t>
            </w:r>
          </w:p>
        </w:tc>
        <w:tc>
          <w:tcPr>
            <w:tcW w:w="1179" w:type="dxa"/>
            <w:noWrap/>
            <w:vAlign w:val="center"/>
          </w:tcPr>
          <w:p>
            <w:pPr>
              <w:spacing w:before="68" w:line="288" w:lineRule="auto"/>
              <w:jc w:val="center"/>
              <w:rPr>
                <w:rFonts w:ascii="宋体" w:hAnsi="宋体" w:cs="宋体"/>
                <w:sz w:val="24"/>
                <w:szCs w:val="24"/>
              </w:rPr>
            </w:pPr>
            <w:r>
              <w:rPr>
                <w:rFonts w:hint="eastAsia" w:ascii="宋体" w:hAnsi="宋体" w:eastAsia="宋体" w:cs="宋体"/>
                <w:spacing w:val="-2"/>
                <w:sz w:val="24"/>
                <w:szCs w:val="24"/>
              </w:rPr>
              <w:t>价</w:t>
            </w:r>
            <w:r>
              <w:rPr>
                <w:rFonts w:hint="eastAsia" w:ascii="宋体" w:hAnsi="宋体" w:cs="宋体"/>
                <w:spacing w:val="-2"/>
                <w:sz w:val="24"/>
                <w:szCs w:val="24"/>
              </w:rPr>
              <w:t>格分</w:t>
            </w:r>
          </w:p>
        </w:tc>
        <w:tc>
          <w:tcPr>
            <w:tcW w:w="6581" w:type="dxa"/>
            <w:noWrap/>
            <w:vAlign w:val="center"/>
          </w:tcPr>
          <w:p>
            <w:pPr>
              <w:rPr>
                <w:lang w:eastAsia="zh-CN"/>
              </w:rPr>
            </w:pPr>
            <w:r>
              <w:rPr>
                <w:rFonts w:hint="eastAsia" w:ascii="宋体" w:hAnsi="宋体" w:eastAsia="宋体" w:cs="宋体"/>
                <w:lang w:eastAsia="zh-CN"/>
              </w:rPr>
              <w:t>以</w:t>
            </w:r>
            <w:r>
              <w:rPr>
                <w:rFonts w:hint="eastAsia"/>
                <w:lang w:eastAsia="zh-CN"/>
              </w:rPr>
              <w:t>满足招标文件要求的最低投标报价为评标基准价，得满分30分，其他投标报价=（基准价/其他投标报价）×30×100%</w:t>
            </w:r>
          </w:p>
        </w:tc>
        <w:tc>
          <w:tcPr>
            <w:tcW w:w="569" w:type="dxa"/>
            <w:noWrap/>
            <w:vAlign w:val="center"/>
          </w:tcPr>
          <w:p>
            <w:pPr>
              <w:spacing w:before="69" w:line="288" w:lineRule="auto"/>
              <w:jc w:val="center"/>
              <w:rPr>
                <w:rFonts w:ascii="宋体" w:hAnsi="宋体" w:cs="宋体"/>
                <w:sz w:val="24"/>
                <w:szCs w:val="24"/>
              </w:rPr>
            </w:pPr>
            <w:r>
              <w:rPr>
                <w:rFonts w:hint="eastAsia" w:ascii="宋体" w:hAnsi="宋体" w:cs="宋体"/>
                <w:sz w:val="24"/>
                <w:szCs w:val="24"/>
              </w:rPr>
              <w:t>30</w:t>
            </w:r>
          </w:p>
        </w:tc>
        <w:tc>
          <w:tcPr>
            <w:tcW w:w="881" w:type="dxa"/>
            <w:noWrap/>
            <w:vAlign w:val="center"/>
          </w:tcPr>
          <w:p>
            <w:pPr>
              <w:spacing w:before="258" w:line="288" w:lineRule="auto"/>
              <w:jc w:val="center"/>
              <w:rPr>
                <w:rFonts w:ascii="宋体" w:hAnsi="宋体" w:cs="宋体"/>
                <w:sz w:val="24"/>
                <w:szCs w:val="24"/>
              </w:rPr>
            </w:pPr>
            <w:r>
              <w:rPr>
                <w:rFonts w:hint="eastAsia" w:ascii="宋体" w:hAnsi="宋体" w:eastAsia="宋体" w:cs="宋体"/>
                <w:sz w:val="24"/>
                <w:szCs w:val="24"/>
              </w:rPr>
              <w:t>价</w:t>
            </w:r>
            <w:r>
              <w:rPr>
                <w:rFonts w:hint="eastAsia" w:ascii="宋体" w:hAnsi="宋体" w:cs="宋体"/>
                <w:sz w:val="24"/>
                <w:szCs w:val="24"/>
              </w:rPr>
              <w:t>格分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9729" w:type="dxa"/>
            <w:gridSpan w:val="5"/>
            <w:noWrap/>
          </w:tcPr>
          <w:p>
            <w:pPr>
              <w:spacing w:before="123" w:line="288" w:lineRule="auto"/>
              <w:ind w:left="114"/>
              <w:rPr>
                <w:rFonts w:ascii="宋体" w:hAnsi="宋体" w:cs="宋体"/>
                <w:sz w:val="24"/>
                <w:szCs w:val="24"/>
              </w:rPr>
            </w:pPr>
            <w:r>
              <w:rPr>
                <w:rFonts w:hint="eastAsia" w:ascii="宋体" w:hAnsi="宋体" w:cs="宋体"/>
                <w:b/>
                <w:bCs/>
                <w:spacing w:val="-3"/>
                <w:sz w:val="24"/>
                <w:szCs w:val="24"/>
              </w:rPr>
              <w:t>2.技术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19" w:type="dxa"/>
            <w:noWrap/>
            <w:vAlign w:val="center"/>
          </w:tcPr>
          <w:p>
            <w:pPr>
              <w:spacing w:before="68" w:line="288" w:lineRule="auto"/>
              <w:jc w:val="center"/>
              <w:rPr>
                <w:rFonts w:ascii="宋体" w:hAnsi="宋体" w:cs="宋体"/>
                <w:spacing w:val="-2"/>
                <w:sz w:val="24"/>
                <w:szCs w:val="24"/>
              </w:rPr>
            </w:pPr>
            <w:r>
              <w:rPr>
                <w:rFonts w:hint="eastAsia" w:ascii="宋体" w:hAnsi="宋体" w:cs="宋体"/>
                <w:spacing w:val="-2"/>
                <w:sz w:val="24"/>
                <w:szCs w:val="24"/>
              </w:rPr>
              <w:t>2.1</w:t>
            </w:r>
          </w:p>
        </w:tc>
        <w:tc>
          <w:tcPr>
            <w:tcW w:w="1179" w:type="dxa"/>
            <w:noWrap/>
            <w:vAlign w:val="center"/>
          </w:tcPr>
          <w:p>
            <w:pPr>
              <w:pBdr>
                <w:top w:val="none" w:color="000000" w:sz="0" w:space="0"/>
                <w:left w:val="none" w:color="000000" w:sz="0" w:space="0"/>
                <w:bottom w:val="none" w:color="000000" w:sz="0" w:space="0"/>
                <w:right w:val="none" w:color="000000" w:sz="0" w:space="0"/>
              </w:pBdr>
              <w:rPr>
                <w:rFonts w:ascii="宋体" w:hAnsi="宋体" w:cs="宋体"/>
                <w:sz w:val="24"/>
              </w:rPr>
            </w:pPr>
            <w:r>
              <w:rPr>
                <w:rFonts w:hint="eastAsia" w:ascii="宋体" w:hAnsi="宋体" w:eastAsia="宋体" w:cs="宋体"/>
                <w:sz w:val="24"/>
              </w:rPr>
              <w:t>产</w:t>
            </w:r>
            <w:r>
              <w:rPr>
                <w:rFonts w:hint="eastAsia" w:ascii="宋体" w:hAnsi="宋体" w:cs="宋体"/>
                <w:sz w:val="24"/>
              </w:rPr>
              <w:t>品其他功能</w:t>
            </w:r>
          </w:p>
          <w:p>
            <w:pPr>
              <w:pBdr>
                <w:top w:val="none" w:color="000000" w:sz="0" w:space="0"/>
                <w:left w:val="none" w:color="000000" w:sz="0" w:space="0"/>
                <w:bottom w:val="none" w:color="000000" w:sz="0" w:space="0"/>
                <w:right w:val="none" w:color="000000" w:sz="0" w:space="0"/>
              </w:pBdr>
              <w:rPr>
                <w:rFonts w:ascii="宋体" w:hAnsi="宋体" w:cs="宋体"/>
                <w:sz w:val="24"/>
              </w:rPr>
            </w:pPr>
          </w:p>
        </w:tc>
        <w:tc>
          <w:tcPr>
            <w:tcW w:w="6581" w:type="dxa"/>
            <w:noWrap/>
            <w:vAlign w:val="center"/>
          </w:tcPr>
          <w:p>
            <w:pPr>
              <w:numPr>
                <w:ilvl w:val="0"/>
                <w:numId w:val="1"/>
              </w:numPr>
              <w:pBdr>
                <w:top w:val="none" w:color="000000" w:sz="0" w:space="0"/>
                <w:left w:val="none" w:color="000000" w:sz="0" w:space="0"/>
                <w:bottom w:val="none" w:color="000000" w:sz="0" w:space="0"/>
                <w:right w:val="none" w:color="000000" w:sz="0" w:space="0"/>
              </w:pBdr>
              <w:rPr>
                <w:rFonts w:ascii="宋体" w:hAnsi="宋体" w:cs="宋体"/>
                <w:sz w:val="24"/>
                <w:lang w:eastAsia="zh-CN"/>
              </w:rPr>
            </w:pPr>
            <w:r>
              <w:rPr>
                <w:rFonts w:ascii="宋体" w:hAnsi="宋体" w:cs="宋体"/>
                <w:sz w:val="24"/>
                <w:lang w:eastAsia="zh-CN"/>
              </w:rPr>
              <w:t>电梯曳引机制动器（原厂原品牌），在正常工作条件下</w:t>
            </w:r>
            <w:r>
              <w:rPr>
                <w:rFonts w:hint="eastAsia" w:ascii="宋体" w:hAnsi="宋体" w:cs="宋体"/>
                <w:sz w:val="24"/>
                <w:lang w:eastAsia="zh-CN"/>
              </w:rPr>
              <w:t>，期间应不发生任何可能产生危险的故障</w:t>
            </w:r>
            <w:r>
              <w:rPr>
                <w:rFonts w:ascii="宋体" w:hAnsi="宋体" w:cs="宋体"/>
                <w:sz w:val="24"/>
                <w:lang w:eastAsia="zh-CN"/>
              </w:rPr>
              <w:t>：</w:t>
            </w:r>
          </w:p>
          <w:p>
            <w:pPr>
              <w:numPr>
                <w:ilvl w:val="0"/>
                <w:numId w:val="2"/>
              </w:numPr>
              <w:pBdr>
                <w:top w:val="none" w:color="000000" w:sz="0" w:space="0"/>
                <w:left w:val="none" w:color="000000" w:sz="0" w:space="0"/>
                <w:bottom w:val="none" w:color="000000" w:sz="0" w:space="0"/>
                <w:right w:val="none" w:color="000000" w:sz="0" w:space="0"/>
              </w:pBdr>
              <w:rPr>
                <w:rFonts w:ascii="宋体" w:hAnsi="宋体" w:cs="宋体"/>
                <w:sz w:val="24"/>
                <w:lang w:eastAsia="zh-CN"/>
              </w:rPr>
            </w:pPr>
            <w:r>
              <w:rPr>
                <w:rFonts w:ascii="宋体" w:hAnsi="宋体" w:cs="宋体"/>
                <w:sz w:val="24"/>
                <w:lang w:eastAsia="zh-CN"/>
              </w:rPr>
              <w:t>正常动作次数1</w:t>
            </w:r>
            <w:r>
              <w:rPr>
                <w:rFonts w:hint="eastAsia" w:ascii="宋体" w:hAnsi="宋体" w:cs="宋体"/>
                <w:sz w:val="24"/>
                <w:lang w:eastAsia="zh-CN"/>
              </w:rPr>
              <w:t>5</w:t>
            </w:r>
            <w:r>
              <w:rPr>
                <w:rFonts w:ascii="宋体" w:hAnsi="宋体" w:cs="宋体"/>
                <w:sz w:val="24"/>
                <w:lang w:eastAsia="zh-CN"/>
              </w:rPr>
              <w:t>00万次得1分</w:t>
            </w:r>
            <w:r>
              <w:rPr>
                <w:rFonts w:hint="eastAsia" w:ascii="宋体" w:hAnsi="宋体" w:cs="宋体"/>
                <w:sz w:val="24"/>
                <w:lang w:eastAsia="zh-CN"/>
              </w:rPr>
              <w:t>；</w:t>
            </w:r>
          </w:p>
          <w:p>
            <w:pPr>
              <w:numPr>
                <w:ilvl w:val="0"/>
                <w:numId w:val="2"/>
              </w:numPr>
              <w:pBdr>
                <w:top w:val="none" w:color="000000" w:sz="0" w:space="0"/>
                <w:left w:val="none" w:color="000000" w:sz="0" w:space="0"/>
                <w:bottom w:val="none" w:color="000000" w:sz="0" w:space="0"/>
                <w:right w:val="none" w:color="000000" w:sz="0" w:space="0"/>
              </w:pBdr>
              <w:rPr>
                <w:rFonts w:ascii="宋体" w:hAnsi="宋体" w:cs="宋体"/>
                <w:sz w:val="24"/>
                <w:lang w:eastAsia="zh-CN"/>
              </w:rPr>
            </w:pPr>
            <w:r>
              <w:rPr>
                <w:rFonts w:ascii="宋体" w:hAnsi="宋体" w:cs="宋体"/>
                <w:sz w:val="24"/>
                <w:lang w:eastAsia="zh-CN"/>
              </w:rPr>
              <w:t>正常动作次数1500（含）-1800万次</w:t>
            </w:r>
            <w:r>
              <w:rPr>
                <w:rFonts w:hint="eastAsia" w:ascii="宋体" w:hAnsi="宋体" w:cs="宋体"/>
                <w:sz w:val="24"/>
                <w:lang w:eastAsia="zh-CN"/>
              </w:rPr>
              <w:t>加1</w:t>
            </w:r>
            <w:r>
              <w:rPr>
                <w:rFonts w:ascii="宋体" w:hAnsi="宋体" w:cs="宋体"/>
                <w:sz w:val="24"/>
                <w:lang w:eastAsia="zh-CN"/>
              </w:rPr>
              <w:t>分</w:t>
            </w:r>
            <w:r>
              <w:rPr>
                <w:rFonts w:hint="eastAsia" w:ascii="宋体" w:hAnsi="宋体" w:cs="宋体"/>
                <w:sz w:val="24"/>
                <w:lang w:eastAsia="zh-CN"/>
              </w:rPr>
              <w:t>（共计2分）</w:t>
            </w:r>
            <w:r>
              <w:rPr>
                <w:rFonts w:ascii="宋体" w:hAnsi="宋体" w:cs="宋体"/>
                <w:sz w:val="24"/>
                <w:lang w:eastAsia="zh-CN"/>
              </w:rPr>
              <w:t>；</w:t>
            </w:r>
            <w:r>
              <w:rPr>
                <w:rFonts w:hint="eastAsia" w:ascii="宋体" w:hAnsi="宋体" w:cs="宋体"/>
                <w:sz w:val="24"/>
                <w:lang w:eastAsia="zh-CN"/>
              </w:rPr>
              <w:t>（3）</w:t>
            </w:r>
            <w:r>
              <w:rPr>
                <w:rFonts w:ascii="宋体" w:hAnsi="宋体" w:cs="宋体"/>
                <w:sz w:val="24"/>
                <w:lang w:eastAsia="zh-CN"/>
              </w:rPr>
              <w:t>正常动作次数</w:t>
            </w:r>
            <w:r>
              <w:rPr>
                <w:rFonts w:ascii="宋体" w:hAnsi="宋体" w:cs="宋体"/>
                <w:color w:val="auto"/>
                <w:sz w:val="24"/>
                <w:lang w:eastAsia="zh-CN"/>
              </w:rPr>
              <w:t>1800（</w:t>
            </w:r>
            <w:r>
              <w:rPr>
                <w:rFonts w:ascii="宋体" w:hAnsi="宋体" w:cs="宋体"/>
                <w:sz w:val="24"/>
                <w:lang w:eastAsia="zh-CN"/>
              </w:rPr>
              <w:t>含）万次以上</w:t>
            </w:r>
            <w:r>
              <w:rPr>
                <w:rFonts w:hint="eastAsia" w:ascii="宋体" w:hAnsi="宋体" w:cs="宋体"/>
                <w:sz w:val="24"/>
                <w:lang w:eastAsia="zh-CN"/>
              </w:rPr>
              <w:t>加3分（共计4</w:t>
            </w:r>
            <w:r>
              <w:rPr>
                <w:rFonts w:ascii="宋体" w:hAnsi="宋体" w:cs="宋体"/>
                <w:sz w:val="24"/>
                <w:lang w:eastAsia="zh-CN"/>
              </w:rPr>
              <w:t>分</w:t>
            </w:r>
            <w:r>
              <w:rPr>
                <w:rFonts w:hint="eastAsia" w:ascii="宋体" w:hAnsi="宋体" w:cs="宋体"/>
                <w:sz w:val="24"/>
                <w:lang w:eastAsia="zh-CN"/>
              </w:rPr>
              <w:t>）</w:t>
            </w:r>
            <w:r>
              <w:rPr>
                <w:rFonts w:ascii="宋体" w:hAnsi="宋体" w:cs="宋体"/>
                <w:sz w:val="24"/>
                <w:lang w:eastAsia="zh-CN"/>
              </w:rPr>
              <w:t>。</w:t>
            </w:r>
          </w:p>
          <w:p>
            <w:pPr>
              <w:pBdr>
                <w:top w:val="none" w:color="000000" w:sz="0" w:space="0"/>
                <w:left w:val="none" w:color="000000" w:sz="0" w:space="0"/>
                <w:bottom w:val="none" w:color="000000" w:sz="0" w:space="0"/>
                <w:right w:val="none" w:color="000000" w:sz="0" w:space="0"/>
              </w:pBdr>
              <w:ind w:firstLine="480" w:firstLineChars="200"/>
              <w:rPr>
                <w:rFonts w:ascii="宋体" w:hAnsi="宋体" w:cs="宋体"/>
                <w:sz w:val="24"/>
                <w:lang w:eastAsia="zh-CN"/>
              </w:rPr>
            </w:pPr>
            <w:r>
              <w:rPr>
                <w:rFonts w:ascii="宋体" w:hAnsi="宋体" w:cs="宋体"/>
                <w:sz w:val="24"/>
                <w:lang w:eastAsia="zh-CN"/>
              </w:rPr>
              <w:t>(提供具有CNAS或CMA标识的评测机构出具的检测报告）</w:t>
            </w:r>
          </w:p>
          <w:p>
            <w:pPr>
              <w:numPr>
                <w:ilvl w:val="0"/>
                <w:numId w:val="1"/>
              </w:numPr>
              <w:pBdr>
                <w:top w:val="none" w:color="000000" w:sz="0" w:space="0"/>
                <w:left w:val="none" w:color="000000" w:sz="0" w:space="0"/>
                <w:bottom w:val="none" w:color="000000" w:sz="0" w:space="0"/>
                <w:right w:val="none" w:color="000000" w:sz="0" w:space="0"/>
              </w:pBdr>
              <w:rPr>
                <w:rFonts w:ascii="宋体" w:hAnsi="宋体" w:cs="宋体"/>
                <w:sz w:val="24"/>
                <w:lang w:eastAsia="zh-CN"/>
              </w:rPr>
            </w:pPr>
            <w:r>
              <w:rPr>
                <w:rFonts w:ascii="宋体" w:hAnsi="宋体" w:cs="宋体"/>
                <w:sz w:val="24"/>
                <w:lang w:eastAsia="zh-CN"/>
              </w:rPr>
              <w:t>电梯门开关（原厂原品牌）在正常工作条件下：</w:t>
            </w:r>
          </w:p>
          <w:p>
            <w:pPr>
              <w:numPr>
                <w:ilvl w:val="0"/>
                <w:numId w:val="3"/>
              </w:numPr>
              <w:pBdr>
                <w:top w:val="none" w:color="000000" w:sz="0" w:space="0"/>
                <w:left w:val="none" w:color="000000" w:sz="0" w:space="0"/>
                <w:bottom w:val="none" w:color="000000" w:sz="0" w:space="0"/>
                <w:right w:val="none" w:color="000000" w:sz="0" w:space="0"/>
              </w:pBdr>
              <w:rPr>
                <w:rFonts w:ascii="宋体" w:hAnsi="宋体" w:cs="宋体"/>
                <w:sz w:val="24"/>
                <w:lang w:eastAsia="zh-CN"/>
              </w:rPr>
            </w:pPr>
            <w:r>
              <w:rPr>
                <w:rFonts w:ascii="宋体" w:hAnsi="宋体" w:cs="宋体"/>
                <w:sz w:val="24"/>
                <w:lang w:eastAsia="zh-CN"/>
              </w:rPr>
              <w:t>能正常运行1000万次得1分</w:t>
            </w:r>
            <w:r>
              <w:rPr>
                <w:rFonts w:hint="eastAsia" w:ascii="宋体" w:hAnsi="宋体" w:cs="宋体"/>
                <w:sz w:val="24"/>
                <w:lang w:eastAsia="zh-CN"/>
              </w:rPr>
              <w:t>；</w:t>
            </w:r>
          </w:p>
          <w:p>
            <w:pPr>
              <w:numPr>
                <w:ilvl w:val="0"/>
                <w:numId w:val="3"/>
              </w:numPr>
              <w:pBdr>
                <w:top w:val="none" w:color="000000" w:sz="0" w:space="0"/>
                <w:left w:val="none" w:color="000000" w:sz="0" w:space="0"/>
                <w:bottom w:val="none" w:color="000000" w:sz="0" w:space="0"/>
                <w:right w:val="none" w:color="000000" w:sz="0" w:space="0"/>
              </w:pBdr>
              <w:rPr>
                <w:rFonts w:ascii="宋体" w:hAnsi="宋体" w:cs="宋体"/>
                <w:sz w:val="24"/>
                <w:highlight w:val="cyan"/>
                <w:lang w:eastAsia="zh-CN"/>
              </w:rPr>
            </w:pPr>
            <w:r>
              <w:rPr>
                <w:rFonts w:ascii="宋体" w:hAnsi="宋体" w:cs="宋体"/>
                <w:sz w:val="24"/>
                <w:lang w:eastAsia="zh-CN"/>
              </w:rPr>
              <w:t>能正常运行1000（含）-1</w:t>
            </w:r>
            <w:r>
              <w:rPr>
                <w:rFonts w:hint="eastAsia" w:ascii="宋体" w:hAnsi="宋体" w:eastAsia="宋体" w:cs="宋体"/>
                <w:sz w:val="24"/>
                <w:lang w:eastAsia="zh-CN"/>
              </w:rPr>
              <w:t>5</w:t>
            </w:r>
            <w:r>
              <w:rPr>
                <w:rFonts w:ascii="宋体" w:hAnsi="宋体" w:cs="宋体"/>
                <w:sz w:val="24"/>
                <w:lang w:eastAsia="zh-CN"/>
              </w:rPr>
              <w:t>00万次</w:t>
            </w:r>
            <w:r>
              <w:rPr>
                <w:rFonts w:hint="eastAsia" w:ascii="宋体" w:hAnsi="宋体" w:cs="宋体"/>
                <w:sz w:val="24"/>
                <w:lang w:eastAsia="zh-CN"/>
              </w:rPr>
              <w:t>加1</w:t>
            </w:r>
            <w:r>
              <w:rPr>
                <w:rFonts w:ascii="宋体" w:hAnsi="宋体" w:cs="宋体"/>
                <w:sz w:val="24"/>
                <w:lang w:eastAsia="zh-CN"/>
              </w:rPr>
              <w:t>分</w:t>
            </w:r>
            <w:r>
              <w:rPr>
                <w:rFonts w:hint="eastAsia" w:ascii="宋体" w:hAnsi="宋体" w:cs="宋体"/>
                <w:sz w:val="24"/>
                <w:lang w:eastAsia="zh-CN"/>
              </w:rPr>
              <w:t>（共计2分）</w:t>
            </w:r>
            <w:r>
              <w:rPr>
                <w:rFonts w:ascii="宋体" w:hAnsi="宋体" w:cs="宋体"/>
                <w:sz w:val="24"/>
                <w:lang w:eastAsia="zh-CN"/>
              </w:rPr>
              <w:t>；</w:t>
            </w:r>
          </w:p>
          <w:p>
            <w:pPr>
              <w:numPr>
                <w:ilvl w:val="0"/>
                <w:numId w:val="3"/>
              </w:numPr>
              <w:pBdr>
                <w:top w:val="none" w:color="000000" w:sz="0" w:space="0"/>
                <w:left w:val="none" w:color="000000" w:sz="0" w:space="0"/>
                <w:bottom w:val="none" w:color="000000" w:sz="0" w:space="0"/>
                <w:right w:val="none" w:color="000000" w:sz="0" w:space="0"/>
              </w:pBdr>
              <w:rPr>
                <w:rFonts w:ascii="宋体" w:hAnsi="宋体" w:cs="宋体"/>
                <w:sz w:val="24"/>
                <w:highlight w:val="cyan"/>
                <w:lang w:eastAsia="zh-CN"/>
              </w:rPr>
            </w:pPr>
            <w:r>
              <w:rPr>
                <w:rFonts w:ascii="宋体" w:hAnsi="宋体" w:cs="宋体"/>
                <w:sz w:val="24"/>
                <w:lang w:eastAsia="zh-CN"/>
              </w:rPr>
              <w:t>能正常运行1</w:t>
            </w:r>
            <w:r>
              <w:rPr>
                <w:rFonts w:hint="eastAsia" w:ascii="宋体" w:hAnsi="宋体" w:cs="宋体" w:eastAsiaTheme="minorEastAsia"/>
                <w:sz w:val="24"/>
                <w:lang w:eastAsia="zh-CN"/>
              </w:rPr>
              <w:t>5</w:t>
            </w:r>
            <w:r>
              <w:rPr>
                <w:rFonts w:ascii="宋体" w:hAnsi="宋体" w:cs="宋体"/>
                <w:sz w:val="24"/>
                <w:lang w:eastAsia="zh-CN"/>
              </w:rPr>
              <w:t>00（含）万次以上</w:t>
            </w:r>
            <w:r>
              <w:rPr>
                <w:rFonts w:hint="eastAsia" w:ascii="宋体" w:hAnsi="宋体" w:cs="宋体"/>
                <w:sz w:val="24"/>
                <w:lang w:eastAsia="zh-CN"/>
              </w:rPr>
              <w:t>加3分（共计4</w:t>
            </w:r>
            <w:r>
              <w:rPr>
                <w:rFonts w:ascii="宋体" w:hAnsi="宋体" w:cs="宋体"/>
                <w:sz w:val="24"/>
                <w:lang w:eastAsia="zh-CN"/>
              </w:rPr>
              <w:t>分</w:t>
            </w:r>
            <w:r>
              <w:rPr>
                <w:rFonts w:hint="eastAsia" w:ascii="宋体" w:hAnsi="宋体" w:cs="宋体"/>
                <w:sz w:val="24"/>
                <w:lang w:eastAsia="zh-CN"/>
              </w:rPr>
              <w:t>）</w:t>
            </w:r>
            <w:r>
              <w:rPr>
                <w:rFonts w:ascii="宋体" w:hAnsi="宋体" w:cs="宋体"/>
                <w:sz w:val="24"/>
                <w:lang w:eastAsia="zh-CN"/>
              </w:rPr>
              <w:t>。</w:t>
            </w:r>
          </w:p>
          <w:p>
            <w:pPr>
              <w:pBdr>
                <w:top w:val="none" w:color="000000" w:sz="0" w:space="0"/>
                <w:left w:val="none" w:color="000000" w:sz="0" w:space="0"/>
                <w:bottom w:val="none" w:color="000000" w:sz="0" w:space="0"/>
                <w:right w:val="none" w:color="000000" w:sz="0" w:space="0"/>
              </w:pBdr>
              <w:ind w:firstLine="480" w:firstLineChars="200"/>
              <w:rPr>
                <w:rFonts w:ascii="宋体" w:hAnsi="宋体" w:cs="宋体"/>
                <w:sz w:val="24"/>
                <w:highlight w:val="cyan"/>
                <w:lang w:eastAsia="zh-CN"/>
              </w:rPr>
            </w:pPr>
            <w:r>
              <w:rPr>
                <w:rFonts w:ascii="宋体" w:hAnsi="宋体" w:cs="宋体"/>
                <w:sz w:val="24"/>
                <w:lang w:eastAsia="zh-CN"/>
              </w:rPr>
              <w:t>(提供具有CNAS或CMA标识的评测机构出具的检测报告）</w:t>
            </w:r>
          </w:p>
          <w:p>
            <w:pPr>
              <w:numPr>
                <w:ilvl w:val="0"/>
                <w:numId w:val="1"/>
              </w:numPr>
              <w:pBdr>
                <w:top w:val="none" w:color="000000" w:sz="0" w:space="0"/>
                <w:left w:val="none" w:color="000000" w:sz="0" w:space="0"/>
                <w:bottom w:val="none" w:color="000000" w:sz="0" w:space="0"/>
                <w:right w:val="none" w:color="000000" w:sz="0" w:space="0"/>
              </w:pBdr>
              <w:rPr>
                <w:rFonts w:ascii="宋体" w:hAnsi="宋体" w:cs="宋体"/>
                <w:sz w:val="24"/>
                <w:lang w:eastAsia="zh-CN"/>
              </w:rPr>
            </w:pPr>
            <w:r>
              <w:rPr>
                <w:rFonts w:hint="eastAsia" w:ascii="宋体" w:hAnsi="宋体" w:cs="宋体"/>
                <w:sz w:val="24"/>
                <w:lang w:eastAsia="zh-CN"/>
              </w:rPr>
              <w:t>所投品牌制造商垂直电梯控制柜按GB/T17626.5-2019的试验要求进行浪涌（冲击）抗扰度试验，针对抗雷击浪涌干扰能力进行测评：</w:t>
            </w:r>
          </w:p>
          <w:p>
            <w:pPr>
              <w:numPr>
                <w:ilvl w:val="0"/>
                <w:numId w:val="4"/>
              </w:numPr>
              <w:pBdr>
                <w:top w:val="none" w:color="000000" w:sz="0" w:space="0"/>
                <w:left w:val="none" w:color="000000" w:sz="0" w:space="0"/>
                <w:bottom w:val="none" w:color="000000" w:sz="0" w:space="0"/>
                <w:right w:val="none" w:color="000000" w:sz="0" w:space="0"/>
              </w:pBdr>
              <w:rPr>
                <w:lang w:eastAsia="zh-CN"/>
              </w:rPr>
            </w:pPr>
            <w:r>
              <w:rPr>
                <w:rFonts w:hint="eastAsia" w:ascii="宋体" w:hAnsi="宋体" w:cs="宋体"/>
                <w:sz w:val="24"/>
                <w:lang w:eastAsia="zh-CN"/>
              </w:rPr>
              <w:t>≥±10KV且＜±15KV的得1分，</w:t>
            </w:r>
          </w:p>
          <w:p>
            <w:pPr>
              <w:pStyle w:val="2"/>
              <w:ind w:left="0" w:leftChars="0" w:firstLine="0" w:firstLineChars="0"/>
              <w:jc w:val="both"/>
              <w:rPr>
                <w:rFonts w:ascii="宋体" w:hAnsi="宋体" w:cs="宋体"/>
                <w:sz w:val="24"/>
                <w:lang w:eastAsia="zh-CN"/>
              </w:rPr>
            </w:pPr>
            <w:r>
              <w:rPr>
                <w:rFonts w:hint="eastAsia" w:ascii="宋体" w:hAnsi="宋体" w:cs="宋体"/>
                <w:sz w:val="24"/>
                <w:lang w:eastAsia="zh-CN"/>
              </w:rPr>
              <w:t>（2）≥±15KV且≤±20KV的加1</w:t>
            </w:r>
            <w:r>
              <w:rPr>
                <w:rFonts w:ascii="宋体" w:hAnsi="宋体" w:cs="宋体"/>
                <w:sz w:val="24"/>
                <w:lang w:eastAsia="zh-CN"/>
              </w:rPr>
              <w:t>分</w:t>
            </w:r>
            <w:r>
              <w:rPr>
                <w:rFonts w:hint="eastAsia" w:ascii="宋体" w:hAnsi="宋体" w:cs="宋体"/>
                <w:sz w:val="24"/>
                <w:lang w:eastAsia="zh-CN"/>
              </w:rPr>
              <w:t>（共计2分）</w:t>
            </w:r>
            <w:r>
              <w:rPr>
                <w:rFonts w:ascii="宋体" w:hAnsi="宋体" w:cs="宋体"/>
                <w:sz w:val="24"/>
                <w:lang w:eastAsia="zh-CN"/>
              </w:rPr>
              <w:t>；</w:t>
            </w:r>
          </w:p>
          <w:p>
            <w:pPr>
              <w:pBdr>
                <w:top w:val="none" w:color="000000" w:sz="0" w:space="0"/>
                <w:left w:val="none" w:color="000000" w:sz="0" w:space="0"/>
                <w:bottom w:val="none" w:color="000000" w:sz="0" w:space="0"/>
                <w:right w:val="none" w:color="000000" w:sz="0" w:space="0"/>
              </w:pBdr>
              <w:rPr>
                <w:rFonts w:ascii="宋体" w:hAnsi="宋体" w:cs="宋体"/>
                <w:sz w:val="24"/>
                <w:highlight w:val="cyan"/>
                <w:lang w:eastAsia="zh-CN"/>
              </w:rPr>
            </w:pPr>
            <w:r>
              <w:rPr>
                <w:rFonts w:hint="eastAsia" w:ascii="宋体" w:hAnsi="宋体" w:cs="宋体"/>
                <w:sz w:val="24"/>
                <w:lang w:eastAsia="zh-CN"/>
              </w:rPr>
              <w:t>（3）＞±20KV的加3分（共计4</w:t>
            </w:r>
            <w:r>
              <w:rPr>
                <w:rFonts w:ascii="宋体" w:hAnsi="宋体" w:cs="宋体"/>
                <w:sz w:val="24"/>
                <w:lang w:eastAsia="zh-CN"/>
              </w:rPr>
              <w:t>分</w:t>
            </w:r>
            <w:r>
              <w:rPr>
                <w:rFonts w:hint="eastAsia" w:ascii="宋体" w:hAnsi="宋体" w:cs="宋体"/>
                <w:sz w:val="24"/>
                <w:lang w:eastAsia="zh-CN"/>
              </w:rPr>
              <w:t>）</w:t>
            </w:r>
            <w:r>
              <w:rPr>
                <w:rFonts w:ascii="宋体" w:hAnsi="宋体" w:cs="宋体"/>
                <w:sz w:val="24"/>
                <w:lang w:eastAsia="zh-CN"/>
              </w:rPr>
              <w:t>。</w:t>
            </w:r>
          </w:p>
          <w:p>
            <w:pPr>
              <w:pBdr>
                <w:top w:val="none" w:color="000000" w:sz="0" w:space="0"/>
                <w:left w:val="none" w:color="000000" w:sz="0" w:space="0"/>
                <w:bottom w:val="none" w:color="000000" w:sz="0" w:space="0"/>
                <w:right w:val="none" w:color="000000" w:sz="0" w:space="0"/>
              </w:pBdr>
              <w:ind w:firstLine="480" w:firstLineChars="200"/>
              <w:rPr>
                <w:rFonts w:ascii="宋体" w:hAnsi="宋体" w:cs="宋体"/>
                <w:sz w:val="24"/>
                <w:lang w:eastAsia="zh-CN"/>
              </w:rPr>
            </w:pPr>
            <w:r>
              <w:rPr>
                <w:rFonts w:hint="eastAsia" w:ascii="宋体" w:hAnsi="宋体" w:cs="宋体"/>
                <w:sz w:val="24"/>
                <w:lang w:eastAsia="zh-CN"/>
              </w:rPr>
              <w:t>（提供型式（委托）试验报告或带CMA标识的检验报告原件扫描件上传至电子投标文件中，否则不予得分。）</w:t>
            </w:r>
          </w:p>
          <w:p>
            <w:pPr>
              <w:numPr>
                <w:ilvl w:val="0"/>
                <w:numId w:val="1"/>
              </w:numPr>
              <w:pBdr>
                <w:top w:val="none" w:color="000000" w:sz="0" w:space="0"/>
                <w:left w:val="none" w:color="000000" w:sz="0" w:space="0"/>
                <w:bottom w:val="none" w:color="000000" w:sz="0" w:space="0"/>
                <w:right w:val="none" w:color="000000" w:sz="0" w:space="0"/>
              </w:pBdr>
              <w:rPr>
                <w:rFonts w:ascii="宋体" w:hAnsi="宋体" w:cs="宋体"/>
                <w:sz w:val="24"/>
                <w:lang w:eastAsia="zh-CN"/>
              </w:rPr>
            </w:pPr>
            <w:r>
              <w:rPr>
                <w:rFonts w:hint="eastAsia" w:ascii="宋体" w:hAnsi="宋体" w:cs="宋体"/>
                <w:sz w:val="24"/>
                <w:lang w:eastAsia="zh-CN"/>
              </w:rPr>
              <w:t>所投品牌制造商垂直电梯曳引机制动器在电梯轿厢静止在层站时，轿厢内加载170%，加载后制动器各部件完好并可保持良好的静态制动性能、曳引轮无转动、曳引机钢丝绳无打滑，轿厢未发生明显位移得0.5分，</w:t>
            </w:r>
          </w:p>
          <w:p>
            <w:pPr>
              <w:numPr>
                <w:ilvl w:val="0"/>
                <w:numId w:val="5"/>
              </w:numPr>
              <w:pBdr>
                <w:top w:val="none" w:color="000000" w:sz="0" w:space="0"/>
                <w:left w:val="none" w:color="000000" w:sz="0" w:space="0"/>
                <w:bottom w:val="none" w:color="000000" w:sz="0" w:space="0"/>
                <w:right w:val="none" w:color="000000" w:sz="0" w:space="0"/>
              </w:pBdr>
              <w:rPr>
                <w:rFonts w:ascii="宋体" w:hAnsi="宋体" w:cs="宋体"/>
                <w:sz w:val="24"/>
                <w:lang w:eastAsia="zh-CN"/>
              </w:rPr>
            </w:pPr>
            <w:r>
              <w:rPr>
                <w:rFonts w:hint="eastAsia" w:ascii="宋体" w:hAnsi="宋体" w:cs="宋体"/>
                <w:sz w:val="24"/>
                <w:lang w:eastAsia="zh-CN"/>
              </w:rPr>
              <w:t>轿厢内加载180%，加载后制动器各部件完好并可保持良好的静态制动性能、曳引轮无转动、曳引机钢丝绳无打滑，轿厢未发生明显位移加0.5分（共计1分）；</w:t>
            </w:r>
          </w:p>
          <w:p>
            <w:pPr>
              <w:numPr>
                <w:ilvl w:val="0"/>
                <w:numId w:val="5"/>
              </w:numPr>
              <w:pBdr>
                <w:top w:val="none" w:color="000000" w:sz="0" w:space="0"/>
                <w:left w:val="none" w:color="000000" w:sz="0" w:space="0"/>
                <w:bottom w:val="none" w:color="000000" w:sz="0" w:space="0"/>
                <w:right w:val="none" w:color="000000" w:sz="0" w:space="0"/>
              </w:pBdr>
              <w:rPr>
                <w:rFonts w:ascii="宋体" w:hAnsi="宋体" w:cs="宋体"/>
                <w:sz w:val="24"/>
                <w:lang w:eastAsia="zh-CN"/>
              </w:rPr>
            </w:pPr>
            <w:r>
              <w:rPr>
                <w:rFonts w:hint="eastAsia" w:ascii="宋体" w:hAnsi="宋体" w:cs="宋体"/>
                <w:sz w:val="24"/>
                <w:lang w:eastAsia="zh-CN"/>
              </w:rPr>
              <w:t>轿厢内加载190%，加载后制动器各部件完好并可保持良好的静态制动性能、曳引轮无转动、曳引机钢丝绳无打滑，轿厢未发生明显位移加1分（共计1.5分）；</w:t>
            </w:r>
          </w:p>
          <w:p>
            <w:pPr>
              <w:numPr>
                <w:ilvl w:val="0"/>
                <w:numId w:val="5"/>
              </w:numPr>
              <w:pBdr>
                <w:top w:val="none" w:color="000000" w:sz="0" w:space="0"/>
                <w:left w:val="none" w:color="000000" w:sz="0" w:space="0"/>
                <w:bottom w:val="none" w:color="000000" w:sz="0" w:space="0"/>
                <w:right w:val="none" w:color="000000" w:sz="0" w:space="0"/>
              </w:pBdr>
              <w:rPr>
                <w:rFonts w:ascii="宋体" w:hAnsi="宋体" w:cs="宋体"/>
                <w:sz w:val="24"/>
                <w:lang w:eastAsia="zh-CN"/>
              </w:rPr>
            </w:pPr>
            <w:r>
              <w:rPr>
                <w:rFonts w:hint="eastAsia" w:ascii="宋体" w:hAnsi="宋体" w:cs="宋体"/>
                <w:sz w:val="24"/>
                <w:lang w:eastAsia="zh-CN"/>
              </w:rPr>
              <w:t>轿厢内加载200%，加载后制动器各部件完好并可保持良好的静态制动性能、曳引轮无转动、曳引机钢丝绳无打滑，轿厢未发生明显位移加1.5分（共计2分）；</w:t>
            </w:r>
          </w:p>
          <w:p>
            <w:pPr>
              <w:numPr>
                <w:ilvl w:val="0"/>
                <w:numId w:val="5"/>
              </w:numPr>
              <w:pBdr>
                <w:top w:val="none" w:color="000000" w:sz="0" w:space="0"/>
                <w:left w:val="none" w:color="000000" w:sz="0" w:space="0"/>
                <w:bottom w:val="none" w:color="000000" w:sz="0" w:space="0"/>
                <w:right w:val="none" w:color="000000" w:sz="0" w:space="0"/>
              </w:pBdr>
              <w:rPr>
                <w:rFonts w:ascii="宋体" w:hAnsi="宋体" w:cs="宋体"/>
                <w:sz w:val="24"/>
                <w:lang w:eastAsia="zh-CN"/>
              </w:rPr>
            </w:pPr>
            <w:r>
              <w:rPr>
                <w:rFonts w:hint="eastAsia" w:ascii="宋体" w:hAnsi="宋体" w:cs="宋体" w:eastAsiaTheme="minorEastAsia"/>
                <w:sz w:val="24"/>
                <w:highlight w:val="yellow"/>
                <w:lang w:eastAsia="zh-CN"/>
              </w:rPr>
              <w:t>达到以上加载量的同时，</w:t>
            </w:r>
            <w:r>
              <w:rPr>
                <w:rFonts w:hint="eastAsia" w:ascii="宋体" w:hAnsi="宋体" w:cs="宋体"/>
                <w:sz w:val="24"/>
                <w:lang w:eastAsia="zh-CN"/>
              </w:rPr>
              <w:t>加载后制动器各部件完好并可保持良好的静态制动性能、曳引轮无转动、曳引机钢丝绳无打滑，轿厢未发生明显位移</w:t>
            </w:r>
          </w:p>
          <w:p>
            <w:pPr>
              <w:numPr>
                <w:ilvl w:val="0"/>
                <w:numId w:val="6"/>
              </w:numPr>
              <w:pBdr>
                <w:top w:val="none" w:color="000000" w:sz="0" w:space="0"/>
                <w:left w:val="none" w:color="000000" w:sz="0" w:space="0"/>
                <w:bottom w:val="none" w:color="000000" w:sz="0" w:space="0"/>
                <w:right w:val="none" w:color="000000" w:sz="0" w:space="0"/>
              </w:pBdr>
              <w:rPr>
                <w:rFonts w:ascii="宋体" w:hAnsi="宋体" w:cs="宋体"/>
                <w:sz w:val="24"/>
                <w:lang w:eastAsia="zh-CN"/>
              </w:rPr>
            </w:pPr>
            <w:r>
              <w:rPr>
                <w:rFonts w:hint="eastAsia" w:ascii="宋体" w:hAnsi="宋体" w:cs="宋体"/>
                <w:sz w:val="24"/>
                <w:lang w:eastAsia="zh-CN"/>
              </w:rPr>
              <w:t>1min＜时间＜10min得</w:t>
            </w:r>
            <w:r>
              <w:rPr>
                <w:rFonts w:hint="eastAsia" w:ascii="宋体" w:hAnsi="宋体" w:cs="宋体" w:eastAsiaTheme="minorEastAsia"/>
                <w:sz w:val="24"/>
                <w:lang w:eastAsia="zh-CN"/>
              </w:rPr>
              <w:t>0.5</w:t>
            </w:r>
            <w:r>
              <w:rPr>
                <w:rFonts w:hint="eastAsia" w:ascii="宋体" w:hAnsi="宋体" w:cs="宋体"/>
                <w:sz w:val="24"/>
                <w:lang w:eastAsia="zh-CN"/>
              </w:rPr>
              <w:t>分；</w:t>
            </w:r>
          </w:p>
          <w:p>
            <w:pPr>
              <w:numPr>
                <w:ilvl w:val="0"/>
                <w:numId w:val="6"/>
              </w:numPr>
              <w:pBdr>
                <w:top w:val="none" w:color="000000" w:sz="0" w:space="0"/>
                <w:left w:val="none" w:color="000000" w:sz="0" w:space="0"/>
                <w:bottom w:val="none" w:color="000000" w:sz="0" w:space="0"/>
                <w:right w:val="none" w:color="000000" w:sz="0" w:space="0"/>
              </w:pBdr>
              <w:rPr>
                <w:rFonts w:ascii="宋体" w:hAnsi="宋体" w:cs="宋体"/>
                <w:sz w:val="24"/>
                <w:lang w:eastAsia="zh-CN"/>
              </w:rPr>
            </w:pPr>
            <w:r>
              <w:rPr>
                <w:rFonts w:hint="eastAsia" w:ascii="宋体" w:hAnsi="宋体" w:cs="宋体"/>
                <w:sz w:val="24"/>
                <w:lang w:eastAsia="zh-CN"/>
              </w:rPr>
              <w:t>保持时间10min≤时间＜20min加0.5分（共计1分）</w:t>
            </w:r>
            <w:r>
              <w:rPr>
                <w:rFonts w:hint="eastAsia" w:ascii="宋体" w:hAnsi="宋体" w:cs="宋体" w:eastAsiaTheme="minorEastAsia"/>
                <w:sz w:val="24"/>
                <w:lang w:eastAsia="zh-CN"/>
              </w:rPr>
              <w:t>；</w:t>
            </w:r>
          </w:p>
          <w:p>
            <w:pPr>
              <w:numPr>
                <w:ilvl w:val="0"/>
                <w:numId w:val="6"/>
              </w:numPr>
              <w:pBdr>
                <w:top w:val="none" w:color="000000" w:sz="0" w:space="0"/>
                <w:left w:val="none" w:color="000000" w:sz="0" w:space="0"/>
                <w:bottom w:val="none" w:color="000000" w:sz="0" w:space="0"/>
                <w:right w:val="none" w:color="000000" w:sz="0" w:space="0"/>
              </w:pBdr>
              <w:rPr>
                <w:rFonts w:ascii="宋体" w:hAnsi="宋体" w:cs="宋体"/>
                <w:sz w:val="24"/>
                <w:lang w:eastAsia="zh-CN"/>
              </w:rPr>
            </w:pPr>
            <w:r>
              <w:rPr>
                <w:rFonts w:hint="eastAsia" w:ascii="宋体" w:hAnsi="宋体" w:cs="宋体"/>
                <w:sz w:val="24"/>
                <w:lang w:eastAsia="zh-CN"/>
              </w:rPr>
              <w:t>时间≥20min加1.5分（共计</w:t>
            </w:r>
            <w:r>
              <w:rPr>
                <w:rFonts w:hint="eastAsia" w:ascii="宋体" w:hAnsi="宋体" w:cs="宋体" w:eastAsiaTheme="minorEastAsia"/>
                <w:sz w:val="24"/>
                <w:lang w:eastAsia="zh-CN"/>
              </w:rPr>
              <w:t>2</w:t>
            </w:r>
            <w:r>
              <w:rPr>
                <w:rFonts w:hint="eastAsia" w:ascii="宋体" w:hAnsi="宋体" w:cs="宋体"/>
                <w:sz w:val="24"/>
                <w:lang w:eastAsia="zh-CN"/>
              </w:rPr>
              <w:t>分）。</w:t>
            </w:r>
          </w:p>
          <w:p>
            <w:pPr>
              <w:pBdr>
                <w:top w:val="none" w:color="000000" w:sz="0" w:space="0"/>
                <w:left w:val="none" w:color="000000" w:sz="0" w:space="0"/>
                <w:bottom w:val="none" w:color="000000" w:sz="0" w:space="0"/>
                <w:right w:val="none" w:color="000000" w:sz="0" w:space="0"/>
              </w:pBdr>
              <w:ind w:firstLine="240" w:firstLineChars="100"/>
              <w:rPr>
                <w:rFonts w:ascii="宋体" w:hAnsi="宋体" w:cs="宋体"/>
                <w:sz w:val="24"/>
                <w:lang w:eastAsia="zh-CN"/>
              </w:rPr>
            </w:pPr>
            <w:r>
              <w:rPr>
                <w:rFonts w:hint="eastAsia" w:ascii="宋体" w:hAnsi="宋体" w:cs="宋体"/>
                <w:sz w:val="24"/>
                <w:lang w:eastAsia="zh-CN"/>
              </w:rPr>
              <w:t>（提供型式（委托）试验报告或带</w:t>
            </w:r>
            <w:r>
              <w:rPr>
                <w:rFonts w:ascii="宋体" w:hAnsi="宋体" w:cs="宋体"/>
                <w:sz w:val="24"/>
                <w:lang w:eastAsia="zh-CN"/>
              </w:rPr>
              <w:t>CMA</w:t>
            </w:r>
            <w:r>
              <w:rPr>
                <w:rFonts w:hint="eastAsia" w:ascii="宋体" w:hAnsi="宋体" w:cs="宋体"/>
                <w:sz w:val="24"/>
                <w:lang w:eastAsia="zh-CN"/>
              </w:rPr>
              <w:t>标识的检验报告原件加盖投标人公章，否则不予得分）</w:t>
            </w:r>
          </w:p>
          <w:p>
            <w:pPr>
              <w:pBdr>
                <w:top w:val="none" w:color="000000" w:sz="0" w:space="0"/>
                <w:left w:val="none" w:color="000000" w:sz="0" w:space="0"/>
                <w:bottom w:val="none" w:color="000000" w:sz="0" w:space="0"/>
                <w:right w:val="none" w:color="000000" w:sz="0" w:space="0"/>
              </w:pBdr>
              <w:rPr>
                <w:rFonts w:ascii="宋体" w:hAnsi="宋体" w:cs="宋体"/>
                <w:sz w:val="24"/>
                <w:lang w:eastAsia="zh-CN"/>
              </w:rPr>
            </w:pPr>
            <w:r>
              <w:rPr>
                <w:rFonts w:hint="eastAsia" w:ascii="宋体" w:hAnsi="宋体" w:cs="宋体"/>
                <w:sz w:val="24"/>
                <w:lang w:eastAsia="zh-CN"/>
              </w:rPr>
              <w:t>5.所投电梯的光幕为原厂原品牌且1、光幕光束≥194束，2、探测距离0-3000mm及以上，</w:t>
            </w:r>
            <w:r>
              <w:rPr>
                <w:rFonts w:hint="eastAsia" w:ascii="宋体" w:hAnsi="宋体" w:cs="宋体" w:eastAsiaTheme="minorEastAsia"/>
                <w:sz w:val="24"/>
                <w:lang w:eastAsia="zh-CN"/>
              </w:rPr>
              <w:t>3、</w:t>
            </w:r>
            <w:r>
              <w:rPr>
                <w:rFonts w:hint="eastAsia" w:ascii="宋体" w:hAnsi="宋体" w:cs="宋体"/>
                <w:sz w:val="24"/>
                <w:lang w:eastAsia="zh-CN"/>
              </w:rPr>
              <w:t>防护等级达IP65，</w:t>
            </w:r>
            <w:r>
              <w:rPr>
                <w:rFonts w:hint="eastAsia" w:ascii="宋体" w:hAnsi="宋体" w:cs="宋体" w:eastAsiaTheme="minorEastAsia"/>
                <w:sz w:val="24"/>
                <w:lang w:eastAsia="zh-CN"/>
              </w:rPr>
              <w:t>4</w:t>
            </w:r>
            <w:r>
              <w:rPr>
                <w:rFonts w:hint="eastAsia" w:ascii="宋体" w:hAnsi="宋体" w:cs="宋体"/>
                <w:sz w:val="24"/>
                <w:lang w:eastAsia="zh-CN"/>
              </w:rPr>
              <w:t>、发射接收管数不小于40对，全部满足得4分，满足2项得2分，其余不得分。</w:t>
            </w:r>
          </w:p>
          <w:p>
            <w:pPr>
              <w:pStyle w:val="2"/>
              <w:ind w:left="0" w:leftChars="0" w:firstLine="0" w:firstLineChars="0"/>
              <w:rPr>
                <w:rFonts w:ascii="宋体" w:hAnsi="宋体" w:cs="宋体"/>
                <w:sz w:val="24"/>
                <w:lang w:eastAsia="zh-CN"/>
              </w:rPr>
            </w:pPr>
            <w:r>
              <w:rPr>
                <w:rFonts w:hint="eastAsia" w:ascii="宋体" w:hAnsi="宋体" w:cs="宋体"/>
                <w:sz w:val="24"/>
                <w:lang w:eastAsia="zh-CN"/>
              </w:rPr>
              <w:t>6.所投品牌制造商垂直电梯控制柜在电源输入电压（380V）波动的情况下能够稳定运行：</w:t>
            </w:r>
          </w:p>
          <w:p>
            <w:pPr>
              <w:pStyle w:val="2"/>
              <w:ind w:left="0" w:leftChars="0" w:firstLine="0" w:firstLineChars="0"/>
              <w:rPr>
                <w:rFonts w:ascii="宋体" w:hAnsi="宋体" w:cs="宋体"/>
                <w:sz w:val="24"/>
                <w:lang w:eastAsia="zh-CN"/>
              </w:rPr>
            </w:pPr>
            <w:r>
              <w:rPr>
                <w:rFonts w:hint="eastAsia" w:ascii="宋体" w:hAnsi="宋体" w:cs="宋体"/>
                <w:sz w:val="24"/>
                <w:lang w:eastAsia="zh-CN"/>
              </w:rPr>
              <w:t>（1）可承受电压波动范围≥±10%且＜±15%的得1分；</w:t>
            </w:r>
          </w:p>
          <w:p>
            <w:pPr>
              <w:pStyle w:val="2"/>
              <w:ind w:left="0" w:leftChars="0" w:firstLine="0" w:firstLineChars="0"/>
              <w:rPr>
                <w:rFonts w:ascii="宋体" w:hAnsi="宋体" w:cs="宋体"/>
                <w:sz w:val="24"/>
                <w:lang w:eastAsia="zh-CN"/>
              </w:rPr>
            </w:pPr>
            <w:r>
              <w:rPr>
                <w:rFonts w:hint="eastAsia" w:ascii="宋体" w:hAnsi="宋体" w:cs="宋体"/>
                <w:sz w:val="24"/>
                <w:lang w:eastAsia="zh-CN"/>
              </w:rPr>
              <w:t>（2）可承受电压波动范围≥±15%且≤±20%的加1</w:t>
            </w:r>
            <w:r>
              <w:rPr>
                <w:rFonts w:ascii="宋体" w:hAnsi="宋体" w:cs="宋体"/>
                <w:sz w:val="24"/>
                <w:lang w:eastAsia="zh-CN"/>
              </w:rPr>
              <w:t>分</w:t>
            </w:r>
            <w:r>
              <w:rPr>
                <w:rFonts w:hint="eastAsia" w:ascii="宋体" w:hAnsi="宋体" w:cs="宋体"/>
                <w:sz w:val="24"/>
                <w:lang w:eastAsia="zh-CN"/>
              </w:rPr>
              <w:t>（共计2分）；</w:t>
            </w:r>
          </w:p>
          <w:p>
            <w:pPr>
              <w:pStyle w:val="2"/>
              <w:ind w:left="0" w:leftChars="0" w:firstLine="0" w:firstLineChars="0"/>
              <w:rPr>
                <w:rFonts w:ascii="宋体" w:hAnsi="宋体" w:cs="宋体"/>
                <w:sz w:val="24"/>
                <w:lang w:eastAsia="zh-CN"/>
              </w:rPr>
            </w:pPr>
            <w:r>
              <w:rPr>
                <w:rFonts w:hint="eastAsia" w:ascii="宋体" w:hAnsi="宋体" w:cs="宋体"/>
                <w:sz w:val="24"/>
                <w:lang w:eastAsia="zh-CN"/>
              </w:rPr>
              <w:t>（3）可承受电压波动范围</w:t>
            </w:r>
            <w:r>
              <w:rPr>
                <w:rFonts w:hint="eastAsia" w:ascii="宋体" w:hAnsi="宋体" w:cs="宋体"/>
                <w:color w:val="000000" w:themeColor="text1"/>
                <w:sz w:val="24"/>
                <w:lang w:eastAsia="zh-CN"/>
                <w14:textFill>
                  <w14:solidFill>
                    <w14:schemeClr w14:val="tx1"/>
                  </w14:solidFill>
                </w14:textFill>
              </w:rPr>
              <w:t>＞±20%</w:t>
            </w:r>
            <w:r>
              <w:rPr>
                <w:rFonts w:hint="eastAsia" w:ascii="宋体" w:hAnsi="宋体" w:cs="宋体"/>
                <w:sz w:val="24"/>
                <w:lang w:eastAsia="zh-CN"/>
              </w:rPr>
              <w:t>的加3分（共计4</w:t>
            </w:r>
            <w:r>
              <w:rPr>
                <w:rFonts w:ascii="宋体" w:hAnsi="宋体" w:cs="宋体"/>
                <w:sz w:val="24"/>
                <w:lang w:eastAsia="zh-CN"/>
              </w:rPr>
              <w:t>分</w:t>
            </w:r>
            <w:r>
              <w:rPr>
                <w:rFonts w:hint="eastAsia" w:ascii="宋体" w:hAnsi="宋体" w:cs="宋体"/>
                <w:sz w:val="24"/>
                <w:lang w:eastAsia="zh-CN"/>
              </w:rPr>
              <w:t>）</w:t>
            </w:r>
            <w:r>
              <w:rPr>
                <w:rFonts w:ascii="宋体" w:hAnsi="宋体" w:cs="宋体"/>
                <w:sz w:val="24"/>
                <w:lang w:eastAsia="zh-CN"/>
              </w:rPr>
              <w:t>。</w:t>
            </w:r>
          </w:p>
          <w:p>
            <w:pPr>
              <w:pBdr>
                <w:top w:val="none" w:color="000000" w:sz="0" w:space="0"/>
                <w:left w:val="none" w:color="000000" w:sz="0" w:space="0"/>
                <w:bottom w:val="none" w:color="000000" w:sz="0" w:space="0"/>
                <w:right w:val="none" w:color="000000" w:sz="0" w:space="0"/>
              </w:pBdr>
              <w:rPr>
                <w:rFonts w:ascii="宋体" w:hAnsi="宋体" w:cs="宋体"/>
                <w:sz w:val="24"/>
                <w:lang w:eastAsia="zh-CN"/>
              </w:rPr>
            </w:pPr>
            <w:r>
              <w:rPr>
                <w:rFonts w:hint="eastAsia" w:ascii="宋体" w:hAnsi="宋体" w:eastAsia="宋体" w:cs="宋体"/>
                <w:sz w:val="24"/>
                <w:lang w:eastAsia="zh-CN"/>
              </w:rPr>
              <w:t>（</w:t>
            </w:r>
            <w:r>
              <w:rPr>
                <w:rFonts w:hint="eastAsia" w:ascii="宋体" w:hAnsi="宋体" w:cs="宋体"/>
                <w:sz w:val="24"/>
                <w:lang w:eastAsia="zh-CN"/>
              </w:rPr>
              <w:t>以上技术参数或要求，投标文件中提供投标型号电梯具有CMA或CNAS标识的第三方检测机构出具的检测报告加盖投标人公章，未提供者或提供无效者不得分）</w:t>
            </w:r>
          </w:p>
        </w:tc>
        <w:tc>
          <w:tcPr>
            <w:tcW w:w="569" w:type="dxa"/>
            <w:noWrap/>
            <w:vAlign w:val="center"/>
          </w:tcPr>
          <w:p>
            <w:pPr>
              <w:spacing w:before="68" w:line="288" w:lineRule="auto"/>
              <w:jc w:val="center"/>
              <w:rPr>
                <w:rFonts w:ascii="宋体" w:hAnsi="宋体" w:cs="宋体"/>
                <w:sz w:val="24"/>
                <w:szCs w:val="24"/>
              </w:rPr>
            </w:pPr>
            <w:r>
              <w:rPr>
                <w:rFonts w:hint="eastAsia" w:ascii="宋体" w:hAnsi="宋体" w:cs="宋体"/>
                <w:sz w:val="24"/>
                <w:szCs w:val="24"/>
              </w:rPr>
              <w:t>24</w:t>
            </w:r>
          </w:p>
        </w:tc>
        <w:tc>
          <w:tcPr>
            <w:tcW w:w="881" w:type="dxa"/>
            <w:noWrap/>
            <w:vAlign w:val="center"/>
          </w:tcPr>
          <w:p>
            <w:pPr>
              <w:spacing w:before="68" w:line="288" w:lineRule="auto"/>
              <w:jc w:val="center"/>
              <w:rPr>
                <w:rFonts w:ascii="宋体" w:hAnsi="宋体" w:cs="宋体"/>
                <w:sz w:val="24"/>
                <w:szCs w:val="24"/>
              </w:rPr>
            </w:pPr>
            <w:r>
              <w:rPr>
                <w:rFonts w:hint="eastAsia" w:ascii="宋体" w:hAnsi="宋体" w:eastAsia="宋体" w:cs="宋体"/>
                <w:spacing w:val="-6"/>
                <w:sz w:val="24"/>
                <w:szCs w:val="24"/>
              </w:rPr>
              <w:t>客</w:t>
            </w:r>
            <w:r>
              <w:rPr>
                <w:rFonts w:hint="eastAsia" w:ascii="宋体" w:hAnsi="宋体" w:cs="宋体"/>
                <w:spacing w:val="-4"/>
                <w:sz w:val="24"/>
                <w:szCs w:val="24"/>
              </w:rPr>
              <w:t>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jc w:val="center"/>
        </w:trPr>
        <w:tc>
          <w:tcPr>
            <w:tcW w:w="9729" w:type="dxa"/>
            <w:gridSpan w:val="5"/>
            <w:noWrap/>
            <w:vAlign w:val="center"/>
          </w:tcPr>
          <w:p>
            <w:pPr>
              <w:spacing w:before="68" w:line="288" w:lineRule="auto"/>
              <w:rPr>
                <w:rFonts w:ascii="宋体" w:hAnsi="宋体" w:cs="宋体"/>
                <w:sz w:val="24"/>
                <w:szCs w:val="24"/>
              </w:rPr>
            </w:pPr>
            <w:r>
              <w:rPr>
                <w:rFonts w:hint="eastAsia" w:ascii="宋体" w:hAnsi="宋体" w:cs="宋体"/>
                <w:b/>
                <w:bCs/>
                <w:spacing w:val="-3"/>
                <w:sz w:val="24"/>
                <w:szCs w:val="24"/>
              </w:rPr>
              <w:t>3.服务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3" w:hRule="atLeast"/>
          <w:jc w:val="center"/>
        </w:trPr>
        <w:tc>
          <w:tcPr>
            <w:tcW w:w="519" w:type="dxa"/>
            <w:noWrap/>
            <w:vAlign w:val="center"/>
          </w:tcPr>
          <w:p>
            <w:pPr>
              <w:spacing w:before="68" w:line="288" w:lineRule="auto"/>
              <w:jc w:val="center"/>
              <w:rPr>
                <w:rFonts w:ascii="宋体" w:hAnsi="宋体" w:cs="宋体"/>
                <w:spacing w:val="-2"/>
                <w:sz w:val="24"/>
                <w:szCs w:val="24"/>
              </w:rPr>
            </w:pPr>
            <w:r>
              <w:rPr>
                <w:rFonts w:hint="eastAsia" w:ascii="宋体" w:hAnsi="宋体" w:cs="宋体"/>
                <w:spacing w:val="-2"/>
                <w:sz w:val="24"/>
                <w:szCs w:val="24"/>
              </w:rPr>
              <w:t>3.1</w:t>
            </w:r>
          </w:p>
        </w:tc>
        <w:tc>
          <w:tcPr>
            <w:tcW w:w="1179" w:type="dxa"/>
            <w:noWrap/>
            <w:vAlign w:val="center"/>
          </w:tcPr>
          <w:p>
            <w:pPr>
              <w:spacing w:before="68" w:line="288" w:lineRule="auto"/>
              <w:jc w:val="center"/>
              <w:rPr>
                <w:rFonts w:ascii="宋体" w:hAnsi="宋体" w:cs="宋体"/>
                <w:spacing w:val="-2"/>
                <w:sz w:val="24"/>
                <w:szCs w:val="24"/>
              </w:rPr>
            </w:pPr>
            <w:r>
              <w:rPr>
                <w:rFonts w:hint="eastAsia" w:ascii="宋体" w:hAnsi="宋体" w:eastAsia="宋体" w:cs="宋体"/>
                <w:spacing w:val="-2"/>
                <w:sz w:val="24"/>
                <w:szCs w:val="24"/>
              </w:rPr>
              <w:t>实</w:t>
            </w:r>
            <w:r>
              <w:rPr>
                <w:rFonts w:hint="eastAsia" w:ascii="宋体" w:hAnsi="宋体" w:cs="宋体"/>
                <w:spacing w:val="-2"/>
                <w:sz w:val="24"/>
                <w:szCs w:val="24"/>
              </w:rPr>
              <w:t>施方案</w:t>
            </w:r>
          </w:p>
        </w:tc>
        <w:tc>
          <w:tcPr>
            <w:tcW w:w="6581" w:type="dxa"/>
            <w:noWrap/>
            <w:vAlign w:val="center"/>
          </w:tcPr>
          <w:p>
            <w:pPr>
              <w:spacing w:line="288" w:lineRule="auto"/>
              <w:rPr>
                <w:rFonts w:ascii="宋体" w:hAnsi="宋体" w:cs="宋体"/>
                <w:sz w:val="24"/>
                <w:szCs w:val="24"/>
                <w:lang w:eastAsia="zh-CN"/>
              </w:rPr>
            </w:pPr>
            <w:r>
              <w:rPr>
                <w:rFonts w:hint="eastAsia" w:ascii="宋体" w:hAnsi="宋体" w:eastAsia="宋体" w:cs="宋体"/>
                <w:sz w:val="24"/>
                <w:szCs w:val="24"/>
                <w:lang w:eastAsia="zh-CN"/>
              </w:rPr>
              <w:t>评</w:t>
            </w:r>
            <w:r>
              <w:rPr>
                <w:rFonts w:hint="eastAsia" w:ascii="宋体" w:hAnsi="宋体" w:cs="宋体"/>
                <w:sz w:val="24"/>
                <w:szCs w:val="24"/>
                <w:lang w:eastAsia="zh-CN"/>
              </w:rPr>
              <w:t>委根据投标人提供的实施方案(包括本项目人员配置，进度安排、组织架构，进度控制、风险控制管理、质量保障措施、安全管理措施、文档管理措施、质保维保方案等)进行评分：</w:t>
            </w:r>
          </w:p>
          <w:p>
            <w:pPr>
              <w:spacing w:line="288" w:lineRule="auto"/>
              <w:rPr>
                <w:rFonts w:ascii="宋体" w:hAnsi="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eastAsia="zh-CN"/>
              </w:rPr>
              <w:t>1）方案科学、合理、操作性强的，得10分； </w:t>
            </w:r>
            <w:r>
              <w:rPr>
                <w:rFonts w:hint="eastAsia" w:ascii="宋体" w:hAnsi="宋体" w:cs="宋体"/>
                <w:sz w:val="24"/>
                <w:szCs w:val="24"/>
                <w:lang w:eastAsia="zh-CN"/>
              </w:rPr>
              <w:br w:type="textWrapping" w:clear="all"/>
            </w:r>
            <w:r>
              <w:rPr>
                <w:rFonts w:hint="eastAsia" w:ascii="宋体" w:hAnsi="宋体" w:cs="宋体"/>
                <w:sz w:val="24"/>
                <w:szCs w:val="24"/>
                <w:lang w:eastAsia="zh-CN"/>
              </w:rPr>
              <w:t>（2）方案较科学、较合理、操作性较强的，得6分；</w:t>
            </w:r>
          </w:p>
          <w:p>
            <w:pPr>
              <w:spacing w:line="288" w:lineRule="auto"/>
              <w:rPr>
                <w:rFonts w:ascii="宋体" w:hAnsi="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eastAsia="zh-CN"/>
              </w:rPr>
              <w:t>3）方案基本科学、基本合理、具备一定的可操作性，得3分； </w:t>
            </w:r>
            <w:r>
              <w:rPr>
                <w:rFonts w:hint="eastAsia" w:ascii="宋体" w:hAnsi="宋体" w:cs="宋体"/>
                <w:sz w:val="24"/>
                <w:szCs w:val="24"/>
                <w:lang w:eastAsia="zh-CN"/>
              </w:rPr>
              <w:br w:type="textWrapping" w:clear="all"/>
            </w:r>
            <w:r>
              <w:rPr>
                <w:rFonts w:hint="eastAsia" w:ascii="宋体" w:hAnsi="宋体" w:cs="宋体"/>
                <w:sz w:val="24"/>
                <w:szCs w:val="24"/>
                <w:lang w:eastAsia="zh-CN"/>
              </w:rPr>
              <w:t>（4）方案不合理、不具可操作性或未提供的不得分。</w:t>
            </w:r>
          </w:p>
        </w:tc>
        <w:tc>
          <w:tcPr>
            <w:tcW w:w="569" w:type="dxa"/>
            <w:noWrap/>
            <w:vAlign w:val="center"/>
          </w:tcPr>
          <w:p>
            <w:pPr>
              <w:spacing w:before="68" w:line="288" w:lineRule="auto"/>
              <w:jc w:val="center"/>
              <w:rPr>
                <w:rFonts w:ascii="宋体" w:hAnsi="宋体" w:cs="宋体"/>
                <w:sz w:val="24"/>
                <w:szCs w:val="24"/>
              </w:rPr>
            </w:pPr>
            <w:r>
              <w:rPr>
                <w:rFonts w:hint="eastAsia" w:ascii="宋体" w:hAnsi="宋体" w:cs="宋体"/>
                <w:sz w:val="24"/>
                <w:szCs w:val="24"/>
              </w:rPr>
              <w:t>10</w:t>
            </w:r>
          </w:p>
        </w:tc>
        <w:tc>
          <w:tcPr>
            <w:tcW w:w="881" w:type="dxa"/>
            <w:noWrap/>
            <w:vAlign w:val="center"/>
          </w:tcPr>
          <w:p>
            <w:pPr>
              <w:spacing w:before="68" w:line="288" w:lineRule="auto"/>
              <w:jc w:val="center"/>
              <w:rPr>
                <w:rFonts w:ascii="宋体" w:hAnsi="宋体" w:cs="宋体"/>
                <w:spacing w:val="-6"/>
                <w:sz w:val="24"/>
                <w:szCs w:val="24"/>
              </w:rPr>
            </w:pPr>
            <w:r>
              <w:rPr>
                <w:rFonts w:hint="eastAsia" w:ascii="宋体" w:hAnsi="宋体" w:eastAsia="宋体" w:cs="宋体"/>
                <w:spacing w:val="-6"/>
                <w:sz w:val="24"/>
                <w:szCs w:val="24"/>
              </w:rPr>
              <w:t>主</w:t>
            </w:r>
            <w:r>
              <w:rPr>
                <w:rFonts w:hint="eastAsia" w:ascii="宋体" w:hAnsi="宋体" w:cs="宋体"/>
                <w:spacing w:val="-6"/>
                <w:sz w:val="24"/>
                <w:szCs w:val="24"/>
              </w:rPr>
              <w:t>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15" w:hRule="atLeast"/>
          <w:jc w:val="center"/>
        </w:trPr>
        <w:tc>
          <w:tcPr>
            <w:tcW w:w="519" w:type="dxa"/>
            <w:noWrap/>
            <w:vAlign w:val="center"/>
          </w:tcPr>
          <w:p>
            <w:pPr>
              <w:spacing w:before="68" w:line="288" w:lineRule="auto"/>
              <w:jc w:val="center"/>
              <w:rPr>
                <w:rFonts w:ascii="宋体" w:hAnsi="宋体" w:cs="宋体"/>
                <w:spacing w:val="-2"/>
                <w:sz w:val="24"/>
                <w:szCs w:val="24"/>
              </w:rPr>
            </w:pPr>
            <w:r>
              <w:rPr>
                <w:rFonts w:hint="eastAsia" w:ascii="宋体" w:hAnsi="宋体" w:cs="宋体"/>
                <w:spacing w:val="-2"/>
                <w:sz w:val="24"/>
                <w:szCs w:val="24"/>
              </w:rPr>
              <w:t>3.2</w:t>
            </w:r>
          </w:p>
        </w:tc>
        <w:tc>
          <w:tcPr>
            <w:tcW w:w="1179" w:type="dxa"/>
            <w:noWrap/>
            <w:vAlign w:val="center"/>
          </w:tcPr>
          <w:p>
            <w:pPr>
              <w:spacing w:before="68" w:line="288" w:lineRule="auto"/>
              <w:jc w:val="center"/>
              <w:rPr>
                <w:rFonts w:ascii="宋体" w:hAnsi="宋体" w:cs="宋体"/>
                <w:spacing w:val="-2"/>
                <w:sz w:val="24"/>
                <w:szCs w:val="24"/>
                <w:lang w:eastAsia="zh-CN"/>
              </w:rPr>
            </w:pPr>
            <w:r>
              <w:rPr>
                <w:rFonts w:hint="eastAsia" w:ascii="宋体" w:hAnsi="宋体" w:eastAsia="宋体" w:cs="宋体"/>
                <w:spacing w:val="-2"/>
                <w:sz w:val="24"/>
                <w:szCs w:val="24"/>
                <w:lang w:eastAsia="zh-CN"/>
              </w:rPr>
              <w:t>电</w:t>
            </w:r>
            <w:r>
              <w:rPr>
                <w:rFonts w:hint="eastAsia" w:ascii="宋体" w:hAnsi="宋体" w:cs="宋体"/>
                <w:spacing w:val="-2"/>
                <w:sz w:val="24"/>
                <w:szCs w:val="24"/>
                <w:lang w:eastAsia="zh-CN"/>
              </w:rPr>
              <w:t>梯拆除安装技术方案</w:t>
            </w:r>
          </w:p>
        </w:tc>
        <w:tc>
          <w:tcPr>
            <w:tcW w:w="6581" w:type="dxa"/>
            <w:noWrap/>
            <w:vAlign w:val="center"/>
          </w:tcPr>
          <w:p>
            <w:pPr>
              <w:spacing w:line="288" w:lineRule="auto"/>
              <w:rPr>
                <w:rFonts w:ascii="宋体" w:hAnsi="宋体" w:cs="宋体"/>
                <w:sz w:val="24"/>
                <w:szCs w:val="24"/>
                <w:lang w:eastAsia="zh-CN"/>
              </w:rPr>
            </w:pPr>
            <w:r>
              <w:rPr>
                <w:rFonts w:hint="eastAsia" w:ascii="宋体" w:hAnsi="宋体" w:eastAsia="宋体" w:cs="宋体"/>
                <w:sz w:val="24"/>
                <w:szCs w:val="24"/>
                <w:lang w:eastAsia="zh-CN"/>
              </w:rPr>
              <w:t>评</w:t>
            </w:r>
            <w:r>
              <w:rPr>
                <w:rFonts w:hint="eastAsia" w:ascii="宋体" w:hAnsi="宋体" w:cs="宋体"/>
                <w:sz w:val="24"/>
                <w:szCs w:val="24"/>
                <w:lang w:eastAsia="zh-CN"/>
              </w:rPr>
              <w:t>委根据投标人提供的电梯安装技术方案(包含总体思路、安装方案、关键施工技术等内容)综合评分：</w:t>
            </w:r>
          </w:p>
          <w:p>
            <w:pPr>
              <w:spacing w:line="288" w:lineRule="auto"/>
              <w:rPr>
                <w:rFonts w:ascii="宋体" w:hAnsi="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eastAsia="zh-CN"/>
              </w:rPr>
              <w:t>1）方案具有针对性，科学合理，切实可行的，得10分；</w:t>
            </w:r>
          </w:p>
          <w:p>
            <w:pPr>
              <w:spacing w:line="288" w:lineRule="auto"/>
              <w:rPr>
                <w:rFonts w:ascii="宋体" w:hAnsi="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eastAsia="zh-CN"/>
              </w:rPr>
              <w:t>2）方案有针对性较强，较科学合理，较切实可行的，得6分；</w:t>
            </w:r>
          </w:p>
          <w:p>
            <w:pPr>
              <w:spacing w:line="288" w:lineRule="auto"/>
              <w:rPr>
                <w:rFonts w:ascii="宋体" w:hAnsi="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eastAsia="zh-CN"/>
              </w:rPr>
              <w:t>3）方案具有一定的针对性、基本科学合理、基本可行的，得3分；</w:t>
            </w:r>
          </w:p>
          <w:p>
            <w:pPr>
              <w:spacing w:line="288" w:lineRule="auto"/>
              <w:rPr>
                <w:rFonts w:ascii="宋体" w:hAnsi="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eastAsia="zh-CN"/>
              </w:rPr>
              <w:t>4）方案不合理、不具针对性、可行性或未提供的不得分。</w:t>
            </w:r>
          </w:p>
        </w:tc>
        <w:tc>
          <w:tcPr>
            <w:tcW w:w="569" w:type="dxa"/>
            <w:noWrap/>
            <w:vAlign w:val="center"/>
          </w:tcPr>
          <w:p>
            <w:pPr>
              <w:spacing w:before="68" w:line="288" w:lineRule="auto"/>
              <w:jc w:val="center"/>
              <w:rPr>
                <w:rFonts w:ascii="宋体" w:hAnsi="宋体" w:cs="宋体"/>
                <w:sz w:val="24"/>
                <w:szCs w:val="24"/>
              </w:rPr>
            </w:pPr>
            <w:r>
              <w:rPr>
                <w:rFonts w:hint="eastAsia" w:ascii="宋体" w:hAnsi="宋体" w:cs="宋体"/>
                <w:sz w:val="24"/>
                <w:szCs w:val="24"/>
              </w:rPr>
              <w:t>10</w:t>
            </w:r>
          </w:p>
        </w:tc>
        <w:tc>
          <w:tcPr>
            <w:tcW w:w="881" w:type="dxa"/>
            <w:noWrap/>
            <w:vAlign w:val="center"/>
          </w:tcPr>
          <w:p>
            <w:pPr>
              <w:spacing w:before="68" w:line="288" w:lineRule="auto"/>
              <w:jc w:val="center"/>
              <w:rPr>
                <w:rFonts w:ascii="宋体" w:hAnsi="宋体" w:cs="宋体"/>
                <w:spacing w:val="-6"/>
                <w:sz w:val="24"/>
                <w:szCs w:val="24"/>
              </w:rPr>
            </w:pPr>
            <w:r>
              <w:rPr>
                <w:rFonts w:hint="eastAsia" w:ascii="宋体" w:hAnsi="宋体" w:eastAsia="宋体" w:cs="宋体"/>
                <w:spacing w:val="-6"/>
                <w:sz w:val="24"/>
                <w:szCs w:val="24"/>
              </w:rPr>
              <w:t>主</w:t>
            </w:r>
            <w:r>
              <w:rPr>
                <w:rFonts w:hint="eastAsia" w:ascii="宋体" w:hAnsi="宋体" w:cs="宋体"/>
                <w:spacing w:val="-6"/>
                <w:sz w:val="24"/>
                <w:szCs w:val="24"/>
              </w:rPr>
              <w:t>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jc w:val="center"/>
        </w:trPr>
        <w:tc>
          <w:tcPr>
            <w:tcW w:w="9729" w:type="dxa"/>
            <w:gridSpan w:val="5"/>
            <w:noWrap/>
            <w:vAlign w:val="center"/>
          </w:tcPr>
          <w:p>
            <w:pPr>
              <w:spacing w:line="288" w:lineRule="auto"/>
              <w:rPr>
                <w:rFonts w:ascii="宋体" w:hAnsi="宋体" w:cs="宋体"/>
                <w:sz w:val="24"/>
                <w:szCs w:val="24"/>
              </w:rPr>
            </w:pPr>
            <w:r>
              <w:rPr>
                <w:rFonts w:hint="eastAsia" w:ascii="宋体" w:hAnsi="宋体" w:cs="宋体"/>
                <w:b/>
                <w:bCs/>
                <w:spacing w:val="-3"/>
                <w:sz w:val="24"/>
                <w:szCs w:val="24"/>
              </w:rPr>
              <w:t>4.业绩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jc w:val="center"/>
        </w:trPr>
        <w:tc>
          <w:tcPr>
            <w:tcW w:w="519" w:type="dxa"/>
            <w:noWrap/>
            <w:vAlign w:val="center"/>
          </w:tcPr>
          <w:p>
            <w:pPr>
              <w:spacing w:before="68" w:line="288" w:lineRule="auto"/>
              <w:jc w:val="center"/>
              <w:rPr>
                <w:rFonts w:ascii="宋体" w:hAnsi="宋体" w:cs="宋体"/>
                <w:spacing w:val="-2"/>
                <w:sz w:val="24"/>
                <w:szCs w:val="24"/>
              </w:rPr>
            </w:pPr>
            <w:r>
              <w:rPr>
                <w:rFonts w:hint="eastAsia" w:ascii="宋体" w:hAnsi="宋体" w:cs="宋体"/>
                <w:spacing w:val="-2"/>
                <w:sz w:val="24"/>
                <w:szCs w:val="24"/>
              </w:rPr>
              <w:t>4.1</w:t>
            </w:r>
          </w:p>
        </w:tc>
        <w:tc>
          <w:tcPr>
            <w:tcW w:w="1179" w:type="dxa"/>
            <w:noWrap/>
            <w:vAlign w:val="center"/>
          </w:tcPr>
          <w:p>
            <w:pPr>
              <w:spacing w:before="69" w:line="288" w:lineRule="auto"/>
              <w:jc w:val="center"/>
              <w:rPr>
                <w:rFonts w:ascii="宋体" w:hAnsi="宋体" w:cs="宋体"/>
                <w:spacing w:val="-2"/>
                <w:sz w:val="24"/>
                <w:szCs w:val="24"/>
              </w:rPr>
            </w:pPr>
            <w:r>
              <w:rPr>
                <w:rFonts w:hint="eastAsia" w:ascii="宋体" w:hAnsi="宋体" w:eastAsia="宋体" w:cs="宋体"/>
                <w:spacing w:val="-1"/>
                <w:sz w:val="24"/>
                <w:szCs w:val="24"/>
              </w:rPr>
              <w:t>投</w:t>
            </w:r>
            <w:r>
              <w:rPr>
                <w:rFonts w:hint="eastAsia" w:ascii="宋体" w:hAnsi="宋体" w:cs="宋体"/>
                <w:spacing w:val="-1"/>
                <w:sz w:val="24"/>
                <w:szCs w:val="24"/>
              </w:rPr>
              <w:t>标人业绩</w:t>
            </w:r>
          </w:p>
        </w:tc>
        <w:tc>
          <w:tcPr>
            <w:tcW w:w="6581" w:type="dxa"/>
            <w:noWrap/>
            <w:vAlign w:val="center"/>
          </w:tcPr>
          <w:p>
            <w:pPr>
              <w:spacing w:line="288" w:lineRule="auto"/>
              <w:rPr>
                <w:rFonts w:ascii="宋体" w:hAnsi="宋体" w:cs="宋体"/>
                <w:sz w:val="24"/>
                <w:szCs w:val="24"/>
                <w:lang w:eastAsia="zh-CN"/>
              </w:rPr>
            </w:pPr>
            <w:r>
              <w:rPr>
                <w:rFonts w:hint="eastAsia" w:ascii="宋体" w:hAnsi="宋体" w:eastAsia="宋体" w:cs="宋体"/>
                <w:sz w:val="24"/>
                <w:szCs w:val="24"/>
                <w:lang w:eastAsia="zh-CN"/>
              </w:rPr>
              <w:t>投</w:t>
            </w:r>
            <w:r>
              <w:rPr>
                <w:rFonts w:hint="eastAsia" w:ascii="宋体" w:hAnsi="宋体" w:cs="宋体"/>
                <w:sz w:val="24"/>
                <w:szCs w:val="24"/>
                <w:lang w:eastAsia="zh-CN"/>
              </w:rPr>
              <w:t>标人或所投品牌制造商自2022年1月1日（含）以来（时间以竣工验收时间为准）类似电梯项目的业绩，每提供1个得1分，最多得6分。</w:t>
            </w:r>
          </w:p>
          <w:p>
            <w:pPr>
              <w:spacing w:line="288" w:lineRule="auto"/>
              <w:rPr>
                <w:rFonts w:ascii="宋体" w:hAnsi="宋体" w:cs="宋体"/>
                <w:sz w:val="24"/>
                <w:szCs w:val="24"/>
                <w:lang w:eastAsia="zh-CN" w:bidi="zh-CN"/>
              </w:rPr>
            </w:pPr>
            <w:r>
              <w:rPr>
                <w:rFonts w:hint="eastAsia" w:ascii="宋体" w:hAnsi="宋体" w:eastAsia="宋体" w:cs="宋体"/>
                <w:sz w:val="24"/>
                <w:szCs w:val="24"/>
                <w:lang w:eastAsia="zh-CN"/>
              </w:rPr>
              <w:t>以</w:t>
            </w:r>
            <w:r>
              <w:rPr>
                <w:rFonts w:hint="eastAsia" w:ascii="宋体" w:hAnsi="宋体" w:cs="宋体"/>
                <w:sz w:val="24"/>
                <w:szCs w:val="24"/>
                <w:lang w:eastAsia="zh-CN"/>
              </w:rPr>
              <w:t>上业绩证明材料包含：提供合同复印件加盖</w:t>
            </w:r>
            <w:r>
              <w:rPr>
                <w:rFonts w:hint="eastAsia" w:ascii="宋体" w:hAnsi="宋体" w:eastAsia="宋体" w:cs="宋体"/>
                <w:sz w:val="24"/>
                <w:szCs w:val="24"/>
                <w:lang w:eastAsia="zh-CN"/>
              </w:rPr>
              <w:t>投标人</w:t>
            </w:r>
            <w:r>
              <w:rPr>
                <w:rFonts w:hint="eastAsia" w:ascii="宋体" w:hAnsi="宋体" w:cs="宋体"/>
                <w:sz w:val="24"/>
                <w:szCs w:val="24"/>
                <w:lang w:eastAsia="zh-CN"/>
              </w:rPr>
              <w:t>公章，以合同签订日期为准，同一业主单位不重复计分。需提供合同首页、合同金额所在页、签字盖章页等复印件及合同金额30%以上的服务发票或者收款证明加盖投标人公章，未提供或者提供不全不得分。提供的业绩证明材料必须反映出相关数据和内容。</w:t>
            </w:r>
          </w:p>
        </w:tc>
        <w:tc>
          <w:tcPr>
            <w:tcW w:w="569" w:type="dxa"/>
            <w:noWrap/>
            <w:vAlign w:val="center"/>
          </w:tcPr>
          <w:p>
            <w:pPr>
              <w:jc w:val="center"/>
              <w:rPr>
                <w:rFonts w:ascii="宋体" w:hAnsi="宋体" w:cs="宋体"/>
                <w:sz w:val="24"/>
                <w:szCs w:val="24"/>
              </w:rPr>
            </w:pPr>
            <w:r>
              <w:rPr>
                <w:rFonts w:hint="eastAsia" w:ascii="宋体" w:hAnsi="宋体" w:cs="宋体"/>
                <w:sz w:val="24"/>
                <w:szCs w:val="24"/>
              </w:rPr>
              <w:t>6</w:t>
            </w:r>
          </w:p>
        </w:tc>
        <w:tc>
          <w:tcPr>
            <w:tcW w:w="881" w:type="dxa"/>
            <w:noWrap/>
            <w:vAlign w:val="center"/>
          </w:tcPr>
          <w:p>
            <w:pPr>
              <w:spacing w:before="68" w:line="288" w:lineRule="auto"/>
              <w:jc w:val="center"/>
              <w:rPr>
                <w:rFonts w:ascii="宋体" w:hAnsi="宋体" w:cs="宋体"/>
                <w:sz w:val="24"/>
                <w:szCs w:val="24"/>
              </w:rPr>
            </w:pPr>
            <w:r>
              <w:rPr>
                <w:rFonts w:hint="eastAsia" w:ascii="宋体" w:hAnsi="宋体" w:eastAsia="宋体" w:cs="宋体"/>
                <w:spacing w:val="-6"/>
                <w:sz w:val="24"/>
                <w:szCs w:val="24"/>
              </w:rPr>
              <w:t>客</w:t>
            </w:r>
            <w:r>
              <w:rPr>
                <w:rFonts w:hint="eastAsia" w:ascii="宋体" w:hAnsi="宋体" w:cs="宋体"/>
                <w:spacing w:val="-4"/>
                <w:sz w:val="24"/>
                <w:szCs w:val="24"/>
              </w:rPr>
              <w:t>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jc w:val="center"/>
        </w:trPr>
        <w:tc>
          <w:tcPr>
            <w:tcW w:w="9729" w:type="dxa"/>
            <w:gridSpan w:val="5"/>
            <w:noWrap/>
          </w:tcPr>
          <w:p>
            <w:pPr>
              <w:spacing w:before="123" w:line="288" w:lineRule="auto"/>
              <w:rPr>
                <w:rFonts w:ascii="宋体" w:hAnsi="宋体" w:cs="宋体"/>
                <w:sz w:val="24"/>
                <w:szCs w:val="24"/>
              </w:rPr>
            </w:pPr>
            <w:r>
              <w:rPr>
                <w:rFonts w:hint="eastAsia" w:ascii="宋体" w:hAnsi="宋体" w:cs="宋体"/>
                <w:b/>
                <w:bCs/>
                <w:spacing w:val="-3"/>
                <w:sz w:val="24"/>
                <w:szCs w:val="24"/>
              </w:rPr>
              <w:t>5.履约能力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jc w:val="center"/>
        </w:trPr>
        <w:tc>
          <w:tcPr>
            <w:tcW w:w="519" w:type="dxa"/>
            <w:noWrap/>
            <w:vAlign w:val="center"/>
          </w:tcPr>
          <w:p>
            <w:pPr>
              <w:spacing w:before="68" w:line="288" w:lineRule="auto"/>
              <w:jc w:val="center"/>
              <w:rPr>
                <w:rFonts w:ascii="宋体" w:hAnsi="宋体" w:cs="宋体"/>
                <w:spacing w:val="-2"/>
                <w:sz w:val="24"/>
                <w:szCs w:val="24"/>
              </w:rPr>
            </w:pPr>
            <w:r>
              <w:rPr>
                <w:rFonts w:hint="eastAsia" w:ascii="宋体" w:hAnsi="宋体" w:cs="宋体"/>
                <w:spacing w:val="-2"/>
                <w:sz w:val="24"/>
                <w:szCs w:val="24"/>
              </w:rPr>
              <w:t>5.1</w:t>
            </w:r>
          </w:p>
        </w:tc>
        <w:tc>
          <w:tcPr>
            <w:tcW w:w="1179" w:type="dxa"/>
            <w:noWrap/>
            <w:vAlign w:val="center"/>
          </w:tcPr>
          <w:p>
            <w:pPr>
              <w:spacing w:before="69" w:line="288" w:lineRule="auto"/>
              <w:jc w:val="center"/>
              <w:rPr>
                <w:rFonts w:ascii="宋体" w:hAnsi="宋体" w:cs="宋体"/>
                <w:spacing w:val="-1"/>
                <w:sz w:val="24"/>
                <w:szCs w:val="24"/>
              </w:rPr>
            </w:pPr>
            <w:r>
              <w:rPr>
                <w:rFonts w:hint="eastAsia" w:ascii="宋体" w:hAnsi="宋体" w:eastAsia="宋体" w:cs="宋体"/>
                <w:spacing w:val="-1"/>
                <w:sz w:val="24"/>
                <w:szCs w:val="24"/>
              </w:rPr>
              <w:t>履</w:t>
            </w:r>
            <w:r>
              <w:rPr>
                <w:rFonts w:hint="eastAsia" w:ascii="宋体" w:hAnsi="宋体" w:cs="宋体"/>
                <w:spacing w:val="-1"/>
                <w:sz w:val="24"/>
                <w:szCs w:val="24"/>
              </w:rPr>
              <w:t>约能力</w:t>
            </w:r>
          </w:p>
        </w:tc>
        <w:tc>
          <w:tcPr>
            <w:tcW w:w="6581" w:type="dxa"/>
            <w:noWrap/>
            <w:vAlign w:val="center"/>
          </w:tcPr>
          <w:p>
            <w:pPr>
              <w:spacing w:line="288" w:lineRule="auto"/>
              <w:rPr>
                <w:rFonts w:ascii="宋体" w:hAnsi="宋体" w:cs="宋体"/>
                <w:sz w:val="24"/>
                <w:szCs w:val="24"/>
                <w:lang w:eastAsia="zh-CN"/>
              </w:rPr>
            </w:pPr>
            <w:r>
              <w:rPr>
                <w:rFonts w:hint="eastAsia" w:ascii="宋体" w:hAnsi="宋体" w:cs="宋体"/>
                <w:sz w:val="24"/>
                <w:szCs w:val="24"/>
                <w:lang w:eastAsia="zh-CN"/>
              </w:rPr>
              <w:t>1.投标品牌制造商自</w:t>
            </w:r>
            <w:r>
              <w:rPr>
                <w:rFonts w:hint="eastAsia" w:ascii="宋体" w:hAnsi="宋体" w:cs="宋体" w:eastAsiaTheme="minorEastAsia"/>
                <w:sz w:val="24"/>
                <w:szCs w:val="24"/>
                <w:highlight w:val="yellow"/>
                <w:lang w:eastAsia="zh-CN"/>
              </w:rPr>
              <w:t>20</w:t>
            </w:r>
            <w:r>
              <w:rPr>
                <w:rFonts w:hint="eastAsia" w:ascii="宋体" w:hAnsi="宋体" w:cs="宋体"/>
                <w:sz w:val="24"/>
                <w:szCs w:val="24"/>
                <w:highlight w:val="yellow"/>
                <w:lang w:eastAsia="zh-CN"/>
              </w:rPr>
              <w:t>2</w:t>
            </w:r>
            <w:r>
              <w:rPr>
                <w:rFonts w:hint="eastAsia" w:ascii="宋体" w:hAnsi="宋体" w:cs="宋体" w:eastAsiaTheme="minorEastAsia"/>
                <w:sz w:val="24"/>
                <w:szCs w:val="24"/>
                <w:highlight w:val="yellow"/>
                <w:lang w:eastAsia="zh-CN"/>
              </w:rPr>
              <w:t>2</w:t>
            </w:r>
            <w:r>
              <w:rPr>
                <w:rFonts w:hint="eastAsia" w:ascii="宋体" w:hAnsi="宋体" w:cs="宋体"/>
                <w:sz w:val="24"/>
                <w:szCs w:val="24"/>
                <w:highlight w:val="yellow"/>
                <w:lang w:eastAsia="zh-CN"/>
              </w:rPr>
              <w:t>年度</w:t>
            </w:r>
            <w:r>
              <w:rPr>
                <w:rFonts w:hint="eastAsia" w:ascii="宋体" w:hAnsi="宋体" w:cs="宋体"/>
                <w:sz w:val="24"/>
                <w:szCs w:val="24"/>
                <w:lang w:eastAsia="zh-CN"/>
              </w:rPr>
              <w:t>以来获得政府部门颁发的，有关电梯质量方面奖项：国家级奖项有1个得2分，省级奖项有1个得1分，市级奖项有1个得0.5分，本项最多得6分。（提供相关证书）</w:t>
            </w:r>
          </w:p>
          <w:p>
            <w:pPr>
              <w:rPr>
                <w:rFonts w:ascii="宋体" w:hAnsi="宋体" w:cs="宋体"/>
                <w:sz w:val="24"/>
                <w:szCs w:val="24"/>
                <w:lang w:eastAsia="zh-CN"/>
              </w:rPr>
            </w:pPr>
            <w:r>
              <w:rPr>
                <w:rFonts w:hint="eastAsia" w:ascii="宋体" w:hAnsi="宋体" w:cs="宋体"/>
                <w:sz w:val="24"/>
                <w:szCs w:val="24"/>
                <w:lang w:eastAsia="zh-CN"/>
              </w:rPr>
              <w:t>2.投标人所投品牌电梯制造商具备已投入使用的试验塔高度：高度≥230 米的计2分；200 米≤高度＜230 米的计1分；其余不得分；</w:t>
            </w:r>
          </w:p>
          <w:p>
            <w:pPr>
              <w:pStyle w:val="2"/>
              <w:ind w:left="0" w:leftChars="0" w:firstLine="0" w:firstLineChars="0"/>
              <w:rPr>
                <w:rFonts w:eastAsiaTheme="minorEastAsia"/>
                <w:lang w:eastAsia="zh-CN"/>
              </w:rPr>
            </w:pPr>
            <w:r>
              <w:rPr>
                <w:rFonts w:hint="eastAsia" w:ascii="宋体" w:hAnsi="宋体" w:cs="宋体"/>
                <w:sz w:val="24"/>
                <w:szCs w:val="24"/>
                <w:lang w:eastAsia="zh-CN"/>
              </w:rPr>
              <w:t>3. 所投品牌电梯制造商具有国家认定企业技术中心的得</w:t>
            </w:r>
            <w:r>
              <w:rPr>
                <w:rFonts w:hint="eastAsia" w:ascii="宋体" w:hAnsi="宋体" w:cs="宋体" w:eastAsiaTheme="minorEastAsia"/>
                <w:sz w:val="24"/>
                <w:szCs w:val="24"/>
                <w:lang w:eastAsia="zh-CN"/>
              </w:rPr>
              <w:t>2</w:t>
            </w:r>
            <w:r>
              <w:rPr>
                <w:rFonts w:hint="eastAsia" w:ascii="宋体" w:hAnsi="宋体" w:cs="宋体"/>
                <w:sz w:val="24"/>
                <w:szCs w:val="24"/>
                <w:lang w:eastAsia="zh-CN"/>
              </w:rPr>
              <w:t>分；省级认定企业技术中心的得1分，没有不得分。（证明文件原件扫描件上传至电子投标文件中，否则不得分。）</w:t>
            </w:r>
          </w:p>
          <w:p>
            <w:pPr>
              <w:rPr>
                <w:rFonts w:ascii="宋体" w:hAnsi="宋体" w:cs="宋体"/>
                <w:sz w:val="24"/>
                <w:szCs w:val="24"/>
                <w:lang w:eastAsia="zh-CN"/>
              </w:rPr>
            </w:pPr>
            <w:r>
              <w:rPr>
                <w:rFonts w:hint="eastAsia" w:ascii="宋体" w:hAnsi="宋体" w:eastAsia="宋体" w:cs="宋体"/>
                <w:sz w:val="24"/>
                <w:szCs w:val="24"/>
                <w:lang w:eastAsia="zh-CN"/>
              </w:rPr>
              <w:t>须</w:t>
            </w:r>
            <w:r>
              <w:rPr>
                <w:rFonts w:ascii="宋体" w:hAnsi="宋体" w:cs="宋体"/>
                <w:sz w:val="24"/>
                <w:szCs w:val="24"/>
                <w:lang w:eastAsia="zh-CN"/>
              </w:rPr>
              <w:t>提供政府部门许可的建设工程规划许可证复印件、实景照片、以及竣工验收报告的证明文件并加盖投标人公章</w:t>
            </w:r>
          </w:p>
        </w:tc>
        <w:tc>
          <w:tcPr>
            <w:tcW w:w="569" w:type="dxa"/>
            <w:noWrap/>
            <w:vAlign w:val="center"/>
          </w:tcPr>
          <w:p>
            <w:pPr>
              <w:spacing w:before="68" w:line="288" w:lineRule="auto"/>
              <w:jc w:val="center"/>
              <w:rPr>
                <w:rFonts w:ascii="宋体" w:hAnsi="宋体" w:cs="宋体" w:eastAsiaTheme="minorEastAsia"/>
                <w:sz w:val="24"/>
                <w:szCs w:val="24"/>
                <w:lang w:eastAsia="zh-CN"/>
              </w:rPr>
            </w:pPr>
            <w:r>
              <w:rPr>
                <w:rFonts w:hint="eastAsia" w:ascii="宋体" w:hAnsi="宋体" w:cs="宋体" w:eastAsiaTheme="minorEastAsia"/>
                <w:sz w:val="24"/>
                <w:szCs w:val="24"/>
                <w:lang w:eastAsia="zh-CN"/>
              </w:rPr>
              <w:t>10</w:t>
            </w:r>
          </w:p>
        </w:tc>
        <w:tc>
          <w:tcPr>
            <w:tcW w:w="881" w:type="dxa"/>
            <w:noWrap/>
            <w:vAlign w:val="center"/>
          </w:tcPr>
          <w:p>
            <w:pPr>
              <w:spacing w:before="68" w:line="288" w:lineRule="auto"/>
              <w:jc w:val="center"/>
              <w:rPr>
                <w:rFonts w:ascii="宋体" w:hAnsi="宋体" w:cs="宋体"/>
                <w:sz w:val="24"/>
                <w:szCs w:val="24"/>
              </w:rPr>
            </w:pPr>
            <w:r>
              <w:rPr>
                <w:rFonts w:hint="eastAsia" w:ascii="宋体" w:hAnsi="宋体" w:eastAsia="宋体" w:cs="宋体"/>
                <w:spacing w:val="-6"/>
                <w:sz w:val="24"/>
                <w:szCs w:val="24"/>
              </w:rPr>
              <w:t>客</w:t>
            </w:r>
            <w:r>
              <w:rPr>
                <w:rFonts w:hint="eastAsia" w:ascii="宋体" w:hAnsi="宋体" w:cs="宋体"/>
                <w:spacing w:val="-4"/>
                <w:sz w:val="24"/>
                <w:szCs w:val="24"/>
              </w:rPr>
              <w:t>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jc w:val="center"/>
        </w:trPr>
        <w:tc>
          <w:tcPr>
            <w:tcW w:w="519" w:type="dxa"/>
            <w:noWrap/>
            <w:vAlign w:val="center"/>
          </w:tcPr>
          <w:p>
            <w:pPr>
              <w:spacing w:before="68" w:line="288" w:lineRule="auto"/>
              <w:jc w:val="center"/>
              <w:rPr>
                <w:rFonts w:ascii="宋体" w:hAnsi="宋体" w:cs="宋体"/>
                <w:spacing w:val="-2"/>
                <w:sz w:val="24"/>
                <w:szCs w:val="24"/>
              </w:rPr>
            </w:pPr>
            <w:r>
              <w:rPr>
                <w:rFonts w:hint="eastAsia" w:ascii="宋体" w:hAnsi="宋体" w:cs="宋体"/>
                <w:spacing w:val="-2"/>
                <w:sz w:val="24"/>
                <w:szCs w:val="24"/>
              </w:rPr>
              <w:t>5.2</w:t>
            </w:r>
          </w:p>
        </w:tc>
        <w:tc>
          <w:tcPr>
            <w:tcW w:w="1179" w:type="dxa"/>
            <w:noWrap/>
            <w:vAlign w:val="center"/>
          </w:tcPr>
          <w:p>
            <w:pPr>
              <w:spacing w:before="69" w:line="288" w:lineRule="auto"/>
              <w:jc w:val="center"/>
              <w:rPr>
                <w:rFonts w:ascii="宋体" w:hAnsi="宋体" w:cs="宋体"/>
                <w:spacing w:val="-1"/>
                <w:sz w:val="24"/>
                <w:szCs w:val="24"/>
              </w:rPr>
            </w:pPr>
            <w:r>
              <w:rPr>
                <w:rFonts w:hint="eastAsia" w:ascii="宋体" w:hAnsi="宋体" w:eastAsia="宋体" w:cs="宋体"/>
                <w:spacing w:val="-1"/>
                <w:sz w:val="24"/>
                <w:szCs w:val="24"/>
              </w:rPr>
              <w:t>售</w:t>
            </w:r>
            <w:r>
              <w:rPr>
                <w:rFonts w:hint="eastAsia" w:ascii="宋体" w:hAnsi="宋体" w:cs="宋体"/>
                <w:spacing w:val="-1"/>
                <w:sz w:val="24"/>
                <w:szCs w:val="24"/>
              </w:rPr>
              <w:t>后服务</w:t>
            </w:r>
          </w:p>
        </w:tc>
        <w:tc>
          <w:tcPr>
            <w:tcW w:w="6581" w:type="dxa"/>
            <w:noWrap/>
            <w:vAlign w:val="center"/>
          </w:tcPr>
          <w:p>
            <w:pPr>
              <w:rPr>
                <w:rFonts w:ascii="宋体" w:hAnsi="宋体" w:cs="宋体"/>
                <w:lang w:eastAsia="zh-CN"/>
              </w:rPr>
            </w:pPr>
            <w:r>
              <w:rPr>
                <w:rFonts w:hint="eastAsia" w:ascii="宋体" w:hAnsi="宋体" w:cs="宋体"/>
                <w:sz w:val="24"/>
                <w:szCs w:val="24"/>
                <w:lang w:eastAsia="zh-CN"/>
              </w:rPr>
              <w:t>1.投标人承诺由所投品牌制造商或其分支机构提供5年原厂维保，质保期内必须有专业的技术人员能够24小时提供应急保障服务（提供电梯厂家承诺书原件，格式自拟，原厂维保的人员必须具备制造商或其分支机构为其缴纳的社保），免费质保期5年（含所有部件正常损坏免费更换及免费上门维保服务），本项最高得3分。（提供承诺书，格式自拟）原厂服务的，需提供电梯厂家售后服务承诺书原件（格式自拟）及厂家或其直属分支机构及任意一张扬州地区范围有效期内的特种设备使用标志(绿标），否则不得分</w:t>
            </w:r>
          </w:p>
          <w:p>
            <w:pPr>
              <w:pStyle w:val="4"/>
              <w:spacing w:line="240" w:lineRule="auto"/>
              <w:ind w:left="0" w:leftChars="0" w:firstLine="0" w:firstLineChars="0"/>
              <w:rPr>
                <w:lang w:eastAsia="zh-CN"/>
              </w:rPr>
            </w:pPr>
            <w:r>
              <w:rPr>
                <w:rFonts w:hint="eastAsia" w:ascii="宋体" w:hAnsi="宋体" w:cs="宋体"/>
                <w:lang w:eastAsia="zh-CN"/>
              </w:rPr>
              <w:t>2.提供厂家购买的《公众责任险》保单扫描件盖投标人公章，本项2分。</w:t>
            </w:r>
          </w:p>
        </w:tc>
        <w:tc>
          <w:tcPr>
            <w:tcW w:w="569" w:type="dxa"/>
            <w:noWrap/>
            <w:vAlign w:val="center"/>
          </w:tcPr>
          <w:p>
            <w:pPr>
              <w:spacing w:before="68" w:line="288" w:lineRule="auto"/>
              <w:jc w:val="center"/>
              <w:rPr>
                <w:rFonts w:ascii="宋体" w:hAnsi="宋体" w:cs="宋体"/>
                <w:sz w:val="24"/>
                <w:szCs w:val="24"/>
              </w:rPr>
            </w:pPr>
            <w:r>
              <w:rPr>
                <w:rFonts w:hint="eastAsia" w:ascii="宋体" w:hAnsi="宋体" w:cs="宋体"/>
                <w:sz w:val="24"/>
                <w:szCs w:val="24"/>
              </w:rPr>
              <w:t>5</w:t>
            </w:r>
          </w:p>
        </w:tc>
        <w:tc>
          <w:tcPr>
            <w:tcW w:w="881" w:type="dxa"/>
            <w:noWrap/>
            <w:vAlign w:val="center"/>
          </w:tcPr>
          <w:p>
            <w:pPr>
              <w:spacing w:before="68" w:line="288" w:lineRule="auto"/>
              <w:jc w:val="center"/>
              <w:rPr>
                <w:rFonts w:ascii="宋体" w:hAnsi="宋体" w:cs="宋体"/>
                <w:spacing w:val="-6"/>
                <w:sz w:val="24"/>
                <w:szCs w:val="24"/>
              </w:rPr>
            </w:pPr>
            <w:r>
              <w:rPr>
                <w:rFonts w:hint="eastAsia" w:ascii="宋体" w:hAnsi="宋体" w:eastAsia="宋体" w:cs="宋体"/>
                <w:spacing w:val="-6"/>
                <w:sz w:val="24"/>
                <w:szCs w:val="24"/>
              </w:rPr>
              <w:t>客</w:t>
            </w:r>
            <w:r>
              <w:rPr>
                <w:rFonts w:hint="eastAsia" w:ascii="宋体" w:hAnsi="宋体" w:cs="宋体"/>
                <w:spacing w:val="-6"/>
                <w:sz w:val="24"/>
                <w:szCs w:val="24"/>
              </w:rPr>
              <w:t>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jc w:val="center"/>
        </w:trPr>
        <w:tc>
          <w:tcPr>
            <w:tcW w:w="9729" w:type="dxa"/>
            <w:gridSpan w:val="5"/>
            <w:noWrap/>
            <w:vAlign w:val="center"/>
          </w:tcPr>
          <w:p>
            <w:pPr>
              <w:spacing w:before="68"/>
              <w:rPr>
                <w:rFonts w:ascii="宋体" w:hAnsi="宋体" w:cs="宋体"/>
                <w:spacing w:val="-6"/>
                <w:sz w:val="24"/>
                <w:szCs w:val="24"/>
              </w:rPr>
            </w:pPr>
            <w:r>
              <w:rPr>
                <w:rFonts w:hint="eastAsia" w:ascii="宋体" w:hAnsi="宋体" w:cs="宋体" w:eastAsiaTheme="minorEastAsia"/>
                <w:b/>
                <w:bCs/>
                <w:spacing w:val="-6"/>
                <w:sz w:val="24"/>
                <w:szCs w:val="24"/>
                <w:lang w:eastAsia="zh-CN"/>
              </w:rPr>
              <w:t>6</w:t>
            </w:r>
            <w:r>
              <w:rPr>
                <w:rFonts w:hint="eastAsia" w:ascii="宋体" w:hAnsi="宋体" w:cs="宋体"/>
                <w:b/>
                <w:bCs/>
                <w:spacing w:val="-6"/>
                <w:sz w:val="24"/>
                <w:szCs w:val="24"/>
              </w:rPr>
              <w:t>.医院梯控系统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jc w:val="center"/>
        </w:trPr>
        <w:tc>
          <w:tcPr>
            <w:tcW w:w="519" w:type="dxa"/>
            <w:noWrap/>
            <w:vAlign w:val="center"/>
          </w:tcPr>
          <w:p>
            <w:pPr>
              <w:spacing w:before="68"/>
              <w:jc w:val="center"/>
              <w:rPr>
                <w:rFonts w:ascii="宋体" w:hAnsi="宋体" w:cs="宋体"/>
                <w:spacing w:val="-2"/>
                <w:sz w:val="24"/>
                <w:szCs w:val="24"/>
              </w:rPr>
            </w:pPr>
            <w:r>
              <w:rPr>
                <w:rFonts w:hint="eastAsia" w:ascii="宋体" w:hAnsi="宋体" w:cs="宋体" w:eastAsiaTheme="minorEastAsia"/>
                <w:spacing w:val="-2"/>
                <w:sz w:val="24"/>
                <w:szCs w:val="24"/>
                <w:lang w:eastAsia="zh-CN"/>
              </w:rPr>
              <w:t>6</w:t>
            </w:r>
            <w:r>
              <w:rPr>
                <w:rFonts w:hint="eastAsia" w:ascii="宋体" w:hAnsi="宋体" w:cs="宋体"/>
                <w:spacing w:val="-2"/>
                <w:sz w:val="24"/>
                <w:szCs w:val="24"/>
              </w:rPr>
              <w:t>.1</w:t>
            </w:r>
          </w:p>
        </w:tc>
        <w:tc>
          <w:tcPr>
            <w:tcW w:w="1179" w:type="dxa"/>
            <w:noWrap/>
            <w:vAlign w:val="center"/>
          </w:tcPr>
          <w:p>
            <w:pPr>
              <w:spacing w:before="69"/>
              <w:jc w:val="center"/>
              <w:rPr>
                <w:rFonts w:ascii="宋体" w:hAnsi="宋体" w:cs="宋体"/>
                <w:spacing w:val="-1"/>
                <w:sz w:val="24"/>
                <w:szCs w:val="24"/>
              </w:rPr>
            </w:pPr>
            <w:r>
              <w:rPr>
                <w:rFonts w:hint="eastAsia" w:ascii="宋体" w:hAnsi="宋体" w:eastAsia="宋体" w:cs="宋体"/>
                <w:spacing w:val="-1"/>
                <w:sz w:val="24"/>
                <w:szCs w:val="24"/>
              </w:rPr>
              <w:t>智</w:t>
            </w:r>
            <w:r>
              <w:rPr>
                <w:rFonts w:hint="eastAsia" w:ascii="宋体" w:hAnsi="宋体" w:cs="宋体"/>
                <w:spacing w:val="-1"/>
                <w:sz w:val="24"/>
                <w:szCs w:val="24"/>
              </w:rPr>
              <w:t>慧管理</w:t>
            </w:r>
          </w:p>
        </w:tc>
        <w:tc>
          <w:tcPr>
            <w:tcW w:w="6581" w:type="dxa"/>
            <w:noWrap/>
            <w:vAlign w:val="center"/>
          </w:tcPr>
          <w:p>
            <w:pPr>
              <w:spacing w:line="288" w:lineRule="auto"/>
              <w:rPr>
                <w:rFonts w:ascii="宋体" w:hAnsi="宋体" w:cs="宋体"/>
                <w:sz w:val="24"/>
                <w:szCs w:val="24"/>
                <w:lang w:eastAsia="zh-CN"/>
              </w:rPr>
            </w:pPr>
            <w:r>
              <w:rPr>
                <w:rFonts w:hint="eastAsia" w:ascii="宋体" w:hAnsi="宋体" w:eastAsia="宋体" w:cs="宋体"/>
                <w:sz w:val="24"/>
                <w:szCs w:val="24"/>
                <w:lang w:eastAsia="zh-CN"/>
              </w:rPr>
              <w:t>投</w:t>
            </w:r>
            <w:r>
              <w:rPr>
                <w:rFonts w:hint="eastAsia" w:ascii="宋体" w:hAnsi="宋体" w:cs="宋体"/>
                <w:sz w:val="24"/>
                <w:szCs w:val="24"/>
                <w:lang w:eastAsia="zh-CN"/>
              </w:rPr>
              <w:t>标品牌制造商电梯功能设置具备高度智能化、场景化的综合管理体系，通过融合多模态身份验证、动态权限分配、应急响应机制及数据分析能力，优化医疗流程与患者体验，同时能实现电脑、手机、平板等多终端电梯智慧管理，同时电梯物联网获得信息系统安全高等级保护认证,根据医院梯控系统描述先进性、安全性及与本项目匹配度综合评分。</w:t>
            </w:r>
          </w:p>
          <w:p>
            <w:pPr>
              <w:spacing w:line="288" w:lineRule="auto"/>
              <w:rPr>
                <w:rFonts w:ascii="宋体" w:hAnsi="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eastAsia="zh-CN"/>
              </w:rPr>
              <w:t>1）方案具有针对性，科学合理，切实可行的，得5分；</w:t>
            </w:r>
          </w:p>
          <w:p>
            <w:pPr>
              <w:spacing w:line="288" w:lineRule="auto"/>
              <w:rPr>
                <w:rFonts w:ascii="宋体" w:hAnsi="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eastAsia="zh-CN"/>
              </w:rPr>
              <w:t>2）方案有针对性较强，较科学合理，较切实可行的，得3分；</w:t>
            </w:r>
          </w:p>
          <w:p>
            <w:pPr>
              <w:spacing w:line="288" w:lineRule="auto"/>
              <w:rPr>
                <w:rFonts w:ascii="宋体" w:hAnsi="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eastAsia="zh-CN"/>
              </w:rPr>
              <w:t>3）方案具有一定的针对性、基本科学合理、基本可行的，得2分；</w:t>
            </w:r>
          </w:p>
          <w:p>
            <w:pPr>
              <w:pStyle w:val="4"/>
              <w:ind w:left="0" w:leftChars="0" w:firstLine="0" w:firstLineChars="0"/>
              <w:rPr>
                <w:lang w:eastAsia="zh-CN"/>
              </w:rPr>
            </w:pPr>
            <w:r>
              <w:rPr>
                <w:rFonts w:hint="eastAsia" w:ascii="宋体" w:hAnsi="宋体" w:eastAsia="宋体" w:cs="宋体"/>
                <w:lang w:eastAsia="zh-CN"/>
              </w:rPr>
              <w:t>（</w:t>
            </w:r>
            <w:r>
              <w:rPr>
                <w:rFonts w:hint="eastAsia" w:ascii="宋体" w:hAnsi="宋体" w:cs="宋体"/>
                <w:lang w:eastAsia="zh-CN"/>
              </w:rPr>
              <w:t>4）方案不合理、不具针对性、可行性或未提供的不得分。</w:t>
            </w:r>
          </w:p>
        </w:tc>
        <w:tc>
          <w:tcPr>
            <w:tcW w:w="569" w:type="dxa"/>
            <w:noWrap/>
            <w:vAlign w:val="center"/>
          </w:tcPr>
          <w:p>
            <w:pPr>
              <w:jc w:val="center"/>
              <w:rPr>
                <w:rFonts w:ascii="宋体" w:hAnsi="宋体" w:cs="宋体"/>
                <w:sz w:val="24"/>
                <w:szCs w:val="24"/>
              </w:rPr>
            </w:pPr>
            <w:r>
              <w:rPr>
                <w:rFonts w:hint="eastAsia" w:ascii="宋体" w:hAnsi="宋体" w:cs="宋体"/>
                <w:sz w:val="24"/>
                <w:szCs w:val="24"/>
              </w:rPr>
              <w:t>5</w:t>
            </w:r>
          </w:p>
        </w:tc>
        <w:tc>
          <w:tcPr>
            <w:tcW w:w="881" w:type="dxa"/>
            <w:noWrap/>
            <w:vAlign w:val="center"/>
          </w:tcPr>
          <w:p>
            <w:pPr>
              <w:spacing w:before="68"/>
              <w:jc w:val="center"/>
              <w:rPr>
                <w:rFonts w:ascii="宋体" w:hAnsi="宋体" w:cs="宋体"/>
                <w:spacing w:val="-6"/>
                <w:sz w:val="24"/>
                <w:szCs w:val="24"/>
              </w:rPr>
            </w:pPr>
            <w:r>
              <w:rPr>
                <w:rFonts w:hint="eastAsia" w:ascii="宋体" w:hAnsi="宋体" w:eastAsia="宋体" w:cs="宋体"/>
                <w:spacing w:val="-6"/>
                <w:sz w:val="24"/>
                <w:szCs w:val="24"/>
              </w:rPr>
              <w:t>主</w:t>
            </w:r>
            <w:r>
              <w:rPr>
                <w:rFonts w:hint="eastAsia" w:ascii="宋体" w:hAnsi="宋体" w:cs="宋体"/>
                <w:spacing w:val="-6"/>
                <w:sz w:val="24"/>
                <w:szCs w:val="24"/>
              </w:rPr>
              <w:t>观分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jc w:val="center"/>
        </w:trPr>
        <w:tc>
          <w:tcPr>
            <w:tcW w:w="519" w:type="dxa"/>
            <w:noWrap/>
            <w:vAlign w:val="center"/>
          </w:tcPr>
          <w:p>
            <w:pPr>
              <w:spacing w:line="288" w:lineRule="auto"/>
              <w:jc w:val="center"/>
              <w:rPr>
                <w:rFonts w:ascii="宋体" w:hAnsi="宋体" w:cs="宋体"/>
                <w:color w:val="FF0000"/>
                <w:sz w:val="24"/>
                <w:szCs w:val="24"/>
              </w:rPr>
            </w:pPr>
            <w:r>
              <w:rPr>
                <w:rFonts w:hint="eastAsia" w:ascii="宋体" w:hAnsi="宋体" w:eastAsia="宋体" w:cs="宋体"/>
                <w:spacing w:val="-3"/>
                <w:sz w:val="24"/>
                <w:szCs w:val="24"/>
              </w:rPr>
              <w:t>合</w:t>
            </w:r>
            <w:r>
              <w:rPr>
                <w:rFonts w:hint="eastAsia" w:ascii="宋体" w:hAnsi="宋体" w:cs="宋体"/>
                <w:spacing w:val="-2"/>
                <w:sz w:val="24"/>
                <w:szCs w:val="24"/>
              </w:rPr>
              <w:t>计</w:t>
            </w:r>
          </w:p>
        </w:tc>
        <w:tc>
          <w:tcPr>
            <w:tcW w:w="7760" w:type="dxa"/>
            <w:gridSpan w:val="2"/>
            <w:noWrap/>
            <w:vAlign w:val="center"/>
          </w:tcPr>
          <w:p>
            <w:pPr>
              <w:spacing w:before="123" w:line="288" w:lineRule="auto"/>
              <w:ind w:left="172"/>
              <w:jc w:val="center"/>
              <w:rPr>
                <w:rFonts w:ascii="宋体" w:hAnsi="宋体" w:cs="宋体"/>
                <w:color w:val="FF0000"/>
                <w:spacing w:val="-2"/>
                <w:sz w:val="24"/>
                <w:szCs w:val="24"/>
              </w:rPr>
            </w:pPr>
          </w:p>
        </w:tc>
        <w:tc>
          <w:tcPr>
            <w:tcW w:w="1450" w:type="dxa"/>
            <w:gridSpan w:val="2"/>
            <w:noWrap/>
            <w:vAlign w:val="center"/>
          </w:tcPr>
          <w:p>
            <w:pPr>
              <w:spacing w:line="288" w:lineRule="auto"/>
              <w:jc w:val="center"/>
              <w:rPr>
                <w:rFonts w:ascii="宋体" w:hAnsi="宋体" w:cs="宋体"/>
                <w:sz w:val="24"/>
                <w:szCs w:val="24"/>
              </w:rPr>
            </w:pPr>
            <w:r>
              <w:rPr>
                <w:rFonts w:hint="eastAsia" w:ascii="宋体" w:hAnsi="宋体" w:cs="宋体"/>
                <w:spacing w:val="-11"/>
                <w:sz w:val="24"/>
                <w:szCs w:val="24"/>
              </w:rPr>
              <w:t>100分</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271D96"/>
    <w:multiLevelType w:val="singleLevel"/>
    <w:tmpl w:val="D1271D96"/>
    <w:lvl w:ilvl="0" w:tentative="0">
      <w:start w:val="1"/>
      <w:numFmt w:val="decimal"/>
      <w:suff w:val="nothing"/>
      <w:lvlText w:val="（%1）"/>
      <w:lvlJc w:val="left"/>
      <w:rPr>
        <w:rFonts w:hint="default"/>
        <w:color w:val="0000FF"/>
      </w:rPr>
    </w:lvl>
  </w:abstractNum>
  <w:abstractNum w:abstractNumId="1">
    <w:nsid w:val="EABE9AED"/>
    <w:multiLevelType w:val="singleLevel"/>
    <w:tmpl w:val="EABE9AED"/>
    <w:lvl w:ilvl="0" w:tentative="0">
      <w:start w:val="1"/>
      <w:numFmt w:val="decimal"/>
      <w:suff w:val="nothing"/>
      <w:lvlText w:val="（%1）"/>
      <w:lvlJc w:val="left"/>
    </w:lvl>
  </w:abstractNum>
  <w:abstractNum w:abstractNumId="2">
    <w:nsid w:val="0DE49EEB"/>
    <w:multiLevelType w:val="singleLevel"/>
    <w:tmpl w:val="0DE49EEB"/>
    <w:lvl w:ilvl="0" w:tentative="0">
      <w:start w:val="1"/>
      <w:numFmt w:val="decimal"/>
      <w:suff w:val="nothing"/>
      <w:lvlText w:val="（%1）"/>
      <w:lvlJc w:val="left"/>
    </w:lvl>
  </w:abstractNum>
  <w:abstractNum w:abstractNumId="3">
    <w:nsid w:val="3670BF65"/>
    <w:multiLevelType w:val="singleLevel"/>
    <w:tmpl w:val="3670BF65"/>
    <w:lvl w:ilvl="0" w:tentative="0">
      <w:start w:val="1"/>
      <w:numFmt w:val="decimal"/>
      <w:suff w:val="nothing"/>
      <w:lvlText w:val="%1）"/>
      <w:lvlJc w:val="left"/>
    </w:lvl>
  </w:abstractNum>
  <w:abstractNum w:abstractNumId="4">
    <w:nsid w:val="5B22F625"/>
    <w:multiLevelType w:val="singleLevel"/>
    <w:tmpl w:val="5B22F625"/>
    <w:lvl w:ilvl="0" w:tentative="0">
      <w:start w:val="1"/>
      <w:numFmt w:val="decimal"/>
      <w:suff w:val="nothing"/>
      <w:lvlText w:val="（%1）"/>
      <w:lvlJc w:val="left"/>
    </w:lvl>
  </w:abstractNum>
  <w:abstractNum w:abstractNumId="5">
    <w:nsid w:val="66008499"/>
    <w:multiLevelType w:val="singleLevel"/>
    <w:tmpl w:val="66008499"/>
    <w:lvl w:ilvl="0" w:tentative="0">
      <w:start w:val="1"/>
      <w:numFmt w:val="decimal"/>
      <w:lvlText w:val="%1."/>
      <w:lvlJc w:val="left"/>
      <w:pPr>
        <w:tabs>
          <w:tab w:val="left" w:pos="312"/>
        </w:tabs>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5C88076B"/>
    <w:rsid w:val="2D4936B5"/>
    <w:rsid w:val="5C88076B"/>
    <w:rsid w:val="626A30C4"/>
    <w:rsid w:val="63D52754"/>
    <w:rsid w:val="654B7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Calibri" w:hAnsi="Calibri"/>
    </w:rPr>
  </w:style>
  <w:style w:type="paragraph" w:styleId="3">
    <w:name w:val="Body Text Indent"/>
    <w:basedOn w:val="1"/>
    <w:qFormat/>
    <w:uiPriority w:val="0"/>
    <w:pPr>
      <w:spacing w:after="120"/>
      <w:ind w:left="420" w:leftChars="200"/>
    </w:pPr>
  </w:style>
  <w:style w:type="paragraph" w:styleId="4">
    <w:name w:val="table of authorities"/>
    <w:basedOn w:val="1"/>
    <w:next w:val="1"/>
    <w:qFormat/>
    <w:uiPriority w:val="99"/>
    <w:pPr>
      <w:spacing w:line="360" w:lineRule="auto"/>
      <w:ind w:left="420" w:leftChars="200" w:firstLine="200" w:firstLineChars="200"/>
    </w:pPr>
    <w:rPr>
      <w:sz w:val="24"/>
      <w:szCs w:val="24"/>
    </w:rPr>
  </w:style>
  <w:style w:type="paragraph" w:customStyle="1" w:styleId="7">
    <w:name w:val="普通正文"/>
    <w:basedOn w:val="1"/>
    <w:autoRedefine/>
    <w:qFormat/>
    <w:uiPriority w:val="0"/>
    <w:pPr>
      <w:spacing w:before="120" w:after="120" w:line="360" w:lineRule="auto"/>
      <w:ind w:firstLine="480"/>
    </w:pPr>
    <w:rPr>
      <w:rFonts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2025-06-20T00:20:00Z</dcterms:created>
  <dc:creator>胡永田</dc:creator>
  <cp:lastModifiedBy>胡永田</cp:lastModifiedBy>
  <dcterms:modified xsi:type="dcterms:W3CDTF">2025-06-20T00:21:06Z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D3B1614803614D87829D67257FB27408_11</vt:lpwstr>
  </property>
</Properties>
</file>