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B7609">
      <w:pPr>
        <w:adjustRightInd w:val="0"/>
        <w:snapToGrid w:val="0"/>
        <w:spacing w:line="560" w:lineRule="exact"/>
        <w:jc w:val="center"/>
        <w:rPr>
          <w:rFonts w:ascii="宋体" w:hAnsi="宋体" w:cs="仿宋"/>
          <w:spacing w:val="28"/>
          <w:sz w:val="44"/>
          <w:szCs w:val="44"/>
        </w:rPr>
      </w:pPr>
    </w:p>
    <w:p w14:paraId="75C991B8">
      <w:pPr>
        <w:jc w:val="center"/>
        <w:rPr>
          <w:rFonts w:ascii="宋体" w:hAnsi="宋体" w:cs="宋体"/>
          <w:b/>
          <w:bCs/>
          <w:sz w:val="48"/>
          <w:szCs w:val="48"/>
        </w:rPr>
      </w:pPr>
      <w:r>
        <w:rPr>
          <w:rFonts w:hint="eastAsia" w:ascii="宋体" w:hAnsi="宋体" w:cs="宋体"/>
          <w:b/>
          <w:bCs/>
          <w:sz w:val="48"/>
          <w:szCs w:val="48"/>
        </w:rPr>
        <w:t>扬州大学附属医院科教综合楼东侧院墙拆除与重建项目院内公开谈判文件</w:t>
      </w:r>
    </w:p>
    <w:p w14:paraId="4F3B52E6">
      <w:pPr>
        <w:adjustRightInd w:val="0"/>
        <w:snapToGrid w:val="0"/>
        <w:spacing w:line="560" w:lineRule="exact"/>
        <w:jc w:val="center"/>
        <w:rPr>
          <w:rFonts w:ascii="宋体" w:hAnsi="宋体" w:cs="仿宋"/>
          <w:spacing w:val="28"/>
          <w:sz w:val="44"/>
          <w:szCs w:val="44"/>
        </w:rPr>
      </w:pPr>
    </w:p>
    <w:p w14:paraId="2014657E">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cstate="print"/>
                    <a:stretch>
                      <a:fillRect/>
                    </a:stretch>
                  </pic:blipFill>
                  <pic:spPr>
                    <a:xfrm>
                      <a:off x="0" y="0"/>
                      <a:ext cx="5480685" cy="4157345"/>
                    </a:xfrm>
                    <a:prstGeom prst="rect">
                      <a:avLst/>
                    </a:prstGeom>
                    <a:noFill/>
                    <a:ln>
                      <a:noFill/>
                    </a:ln>
                  </pic:spPr>
                </pic:pic>
              </a:graphicData>
            </a:graphic>
          </wp:inline>
        </w:drawing>
      </w:r>
    </w:p>
    <w:p w14:paraId="7A442D15">
      <w:pPr>
        <w:spacing w:line="360" w:lineRule="auto"/>
        <w:ind w:firstLine="848" w:firstLineChars="265"/>
        <w:jc w:val="center"/>
        <w:rPr>
          <w:rFonts w:ascii="宋体" w:hAnsi="宋体" w:cs="宋体"/>
          <w:sz w:val="32"/>
          <w:szCs w:val="32"/>
        </w:rPr>
      </w:pPr>
    </w:p>
    <w:p w14:paraId="0909FB63">
      <w:pPr>
        <w:spacing w:line="360" w:lineRule="auto"/>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6CC730B5">
      <w:pPr>
        <w:spacing w:line="360" w:lineRule="auto"/>
        <w:ind w:firstLine="848" w:firstLineChars="265"/>
        <w:jc w:val="center"/>
        <w:rPr>
          <w:rFonts w:ascii="宋体" w:hAnsi="宋体" w:cs="宋体"/>
          <w:sz w:val="32"/>
          <w:szCs w:val="32"/>
        </w:rPr>
      </w:pPr>
    </w:p>
    <w:p w14:paraId="5601E02E">
      <w:pPr>
        <w:spacing w:line="360" w:lineRule="auto"/>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2025年7月</w:t>
      </w:r>
      <w:bookmarkEnd w:id="0"/>
    </w:p>
    <w:p w14:paraId="6DBB6E5E">
      <w:pPr>
        <w:jc w:val="center"/>
        <w:rPr>
          <w:rFonts w:ascii="宋体" w:hAnsi="宋体"/>
          <w:b/>
          <w:bCs/>
          <w:sz w:val="48"/>
          <w:szCs w:val="48"/>
        </w:rPr>
      </w:pPr>
    </w:p>
    <w:p w14:paraId="34D243DF">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FE1234E">
      <w:pPr>
        <w:pStyle w:val="20"/>
        <w:ind w:firstLine="630" w:firstLineChars="300"/>
      </w:pPr>
    </w:p>
    <w:p w14:paraId="4DDAF06F">
      <w:pPr>
        <w:pStyle w:val="20"/>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523502E4">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2483FAC">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4</w:t>
      </w:r>
    </w:p>
    <w:p w14:paraId="51D75B43">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7</w:t>
      </w:r>
    </w:p>
    <w:p w14:paraId="28501131">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12</w:t>
      </w:r>
    </w:p>
    <w:p w14:paraId="6A5FA04A">
      <w:pPr>
        <w:spacing w:line="360" w:lineRule="auto"/>
        <w:contextualSpacing/>
        <w:jc w:val="center"/>
        <w:rPr>
          <w:rFonts w:ascii="宋体" w:hAnsi="宋体"/>
          <w:bCs/>
          <w:sz w:val="24"/>
        </w:rPr>
      </w:pPr>
    </w:p>
    <w:p w14:paraId="044304FE">
      <w:pPr>
        <w:rPr>
          <w:rFonts w:ascii="宋体" w:hAnsi="宋体"/>
          <w:sz w:val="30"/>
          <w:szCs w:val="30"/>
        </w:rPr>
      </w:pPr>
    </w:p>
    <w:p w14:paraId="19FA6B46">
      <w:pPr>
        <w:spacing w:line="360" w:lineRule="auto"/>
        <w:jc w:val="center"/>
      </w:pPr>
      <w:bookmarkStart w:id="1" w:name="_Toc39744251"/>
    </w:p>
    <w:p w14:paraId="2D73F4C9">
      <w:pPr>
        <w:spacing w:line="360" w:lineRule="auto"/>
        <w:jc w:val="center"/>
      </w:pPr>
    </w:p>
    <w:p w14:paraId="5332E5CF">
      <w:pPr>
        <w:spacing w:line="360" w:lineRule="auto"/>
        <w:jc w:val="center"/>
      </w:pPr>
    </w:p>
    <w:p w14:paraId="416E9134">
      <w:pPr>
        <w:spacing w:line="360" w:lineRule="auto"/>
        <w:jc w:val="center"/>
      </w:pPr>
    </w:p>
    <w:p w14:paraId="021720AB">
      <w:pPr>
        <w:spacing w:line="360" w:lineRule="auto"/>
        <w:jc w:val="center"/>
      </w:pPr>
    </w:p>
    <w:p w14:paraId="21BDDD36">
      <w:pPr>
        <w:spacing w:line="360" w:lineRule="auto"/>
        <w:jc w:val="center"/>
      </w:pPr>
    </w:p>
    <w:p w14:paraId="5A8884A1">
      <w:pPr>
        <w:spacing w:line="360" w:lineRule="auto"/>
        <w:jc w:val="center"/>
      </w:pPr>
    </w:p>
    <w:p w14:paraId="0467FCC3">
      <w:pPr>
        <w:spacing w:line="360" w:lineRule="auto"/>
        <w:jc w:val="center"/>
      </w:pPr>
    </w:p>
    <w:p w14:paraId="4139E5D0">
      <w:pPr>
        <w:spacing w:line="360" w:lineRule="auto"/>
        <w:jc w:val="center"/>
      </w:pPr>
    </w:p>
    <w:p w14:paraId="1AEA2B3E">
      <w:pPr>
        <w:spacing w:line="360" w:lineRule="auto"/>
        <w:jc w:val="center"/>
      </w:pPr>
    </w:p>
    <w:p w14:paraId="652FAF3F">
      <w:pPr>
        <w:spacing w:line="360" w:lineRule="auto"/>
        <w:jc w:val="center"/>
      </w:pPr>
    </w:p>
    <w:p w14:paraId="0479C222">
      <w:pPr>
        <w:spacing w:line="360" w:lineRule="auto"/>
        <w:jc w:val="center"/>
      </w:pPr>
    </w:p>
    <w:p w14:paraId="770A7020">
      <w:pPr>
        <w:spacing w:line="360" w:lineRule="auto"/>
        <w:jc w:val="center"/>
      </w:pPr>
    </w:p>
    <w:p w14:paraId="395CF643">
      <w:pPr>
        <w:spacing w:line="360" w:lineRule="auto"/>
        <w:jc w:val="center"/>
      </w:pPr>
    </w:p>
    <w:p w14:paraId="36CCD398">
      <w:pPr>
        <w:spacing w:line="360" w:lineRule="auto"/>
        <w:jc w:val="center"/>
      </w:pPr>
    </w:p>
    <w:p w14:paraId="0BEBC182">
      <w:pPr>
        <w:spacing w:line="360" w:lineRule="auto"/>
        <w:jc w:val="center"/>
      </w:pPr>
    </w:p>
    <w:p w14:paraId="632798AD">
      <w:pPr>
        <w:spacing w:line="360" w:lineRule="auto"/>
        <w:jc w:val="center"/>
      </w:pPr>
    </w:p>
    <w:p w14:paraId="0939CD76">
      <w:pPr>
        <w:spacing w:line="360" w:lineRule="auto"/>
        <w:jc w:val="center"/>
      </w:pPr>
    </w:p>
    <w:p w14:paraId="732E03C6">
      <w:pPr>
        <w:rPr>
          <w:rFonts w:ascii="宋体" w:hAnsi="宋体" w:cs="宋体"/>
          <w:b/>
          <w:sz w:val="28"/>
          <w:szCs w:val="20"/>
        </w:rPr>
      </w:pPr>
      <w:r>
        <w:rPr>
          <w:rFonts w:ascii="宋体" w:hAnsi="宋体" w:cs="宋体"/>
          <w:b/>
          <w:sz w:val="28"/>
          <w:szCs w:val="20"/>
        </w:rPr>
        <w:br w:type="page"/>
      </w:r>
    </w:p>
    <w:p w14:paraId="13AA00C7">
      <w:pPr>
        <w:pStyle w:val="17"/>
      </w:pPr>
    </w:p>
    <w:p w14:paraId="19F13B89">
      <w:pPr>
        <w:jc w:val="center"/>
        <w:rPr>
          <w:b/>
          <w:sz w:val="32"/>
          <w:szCs w:val="32"/>
        </w:rPr>
      </w:pPr>
      <w:r>
        <w:rPr>
          <w:rFonts w:hint="eastAsia"/>
          <w:b/>
          <w:sz w:val="32"/>
          <w:szCs w:val="32"/>
        </w:rPr>
        <w:t>一、</w:t>
      </w:r>
      <w:bookmarkEnd w:id="1"/>
      <w:r>
        <w:rPr>
          <w:rFonts w:hint="eastAsia"/>
          <w:b/>
          <w:sz w:val="32"/>
          <w:szCs w:val="32"/>
        </w:rPr>
        <w:t>谈判邀请</w:t>
      </w:r>
    </w:p>
    <w:tbl>
      <w:tblPr>
        <w:tblStyle w:val="26"/>
        <w:tblW w:w="4997"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172"/>
        <w:gridCol w:w="864"/>
        <w:gridCol w:w="604"/>
        <w:gridCol w:w="235"/>
        <w:gridCol w:w="3163"/>
      </w:tblGrid>
      <w:tr w14:paraId="10BB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718071B6">
            <w:pPr>
              <w:jc w:val="center"/>
              <w:rPr>
                <w:rFonts w:ascii="宋体" w:hAnsi="宋体"/>
                <w:szCs w:val="21"/>
              </w:rPr>
            </w:pPr>
            <w:r>
              <w:rPr>
                <w:rFonts w:hint="eastAsia" w:ascii="宋体" w:hAnsi="宋体"/>
                <w:szCs w:val="21"/>
              </w:rPr>
              <w:t>项目名称</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39444EC7">
            <w:pPr>
              <w:jc w:val="center"/>
              <w:rPr>
                <w:rFonts w:ascii="宋体" w:hAnsi="宋体"/>
                <w:szCs w:val="21"/>
              </w:rPr>
            </w:pPr>
            <w:r>
              <w:rPr>
                <w:rFonts w:hint="eastAsia" w:ascii="宋体" w:hAnsi="宋体"/>
                <w:szCs w:val="21"/>
              </w:rPr>
              <w:t>扬州大学附属医院科教综合楼东侧院墙拆除与重建项目</w:t>
            </w:r>
          </w:p>
        </w:tc>
      </w:tr>
      <w:tr w14:paraId="5224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2C1CC4F6">
            <w:pPr>
              <w:jc w:val="center"/>
              <w:rPr>
                <w:rFonts w:ascii="宋体" w:hAnsi="宋体"/>
                <w:szCs w:val="21"/>
              </w:rPr>
            </w:pPr>
            <w:r>
              <w:rPr>
                <w:rFonts w:hint="eastAsia" w:ascii="宋体" w:hAnsi="宋体"/>
                <w:szCs w:val="21"/>
              </w:rPr>
              <w:t>服务地点</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24D9C71D">
            <w:pPr>
              <w:rPr>
                <w:rFonts w:ascii="宋体" w:hAnsi="宋体"/>
                <w:b/>
                <w:szCs w:val="21"/>
              </w:rPr>
            </w:pPr>
            <w:r>
              <w:rPr>
                <w:rFonts w:hint="eastAsia" w:ascii="宋体" w:hAnsi="宋体"/>
                <w:bCs/>
                <w:szCs w:val="21"/>
              </w:rPr>
              <w:t>扬州大学附属医院</w:t>
            </w:r>
          </w:p>
        </w:tc>
      </w:tr>
      <w:tr w14:paraId="2510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1" w:type="pct"/>
            <w:tcBorders>
              <w:top w:val="single" w:color="auto" w:sz="4" w:space="0"/>
              <w:left w:val="single" w:color="auto" w:sz="4" w:space="0"/>
              <w:bottom w:val="single" w:color="auto" w:sz="4" w:space="0"/>
              <w:right w:val="single" w:color="auto" w:sz="4" w:space="0"/>
            </w:tcBorders>
            <w:vAlign w:val="center"/>
          </w:tcPr>
          <w:p w14:paraId="30B97F9F">
            <w:pPr>
              <w:jc w:val="center"/>
              <w:rPr>
                <w:rFonts w:ascii="宋体" w:hAnsi="宋体"/>
                <w:szCs w:val="21"/>
              </w:rPr>
            </w:pPr>
            <w:r>
              <w:rPr>
                <w:rFonts w:hint="eastAsia" w:ascii="宋体" w:hAnsi="宋体"/>
                <w:szCs w:val="21"/>
              </w:rPr>
              <w:t>承包方式</w:t>
            </w:r>
          </w:p>
        </w:tc>
        <w:tc>
          <w:tcPr>
            <w:tcW w:w="1274" w:type="pct"/>
            <w:tcBorders>
              <w:top w:val="single" w:color="auto" w:sz="4" w:space="0"/>
              <w:left w:val="single" w:color="auto" w:sz="4" w:space="0"/>
              <w:bottom w:val="single" w:color="auto" w:sz="4" w:space="0"/>
              <w:right w:val="single" w:color="auto" w:sz="4" w:space="0"/>
            </w:tcBorders>
            <w:vAlign w:val="center"/>
          </w:tcPr>
          <w:p w14:paraId="6D896168">
            <w:pPr>
              <w:spacing w:line="320" w:lineRule="exact"/>
              <w:rPr>
                <w:rFonts w:ascii="宋体" w:hAnsi="宋体"/>
                <w:szCs w:val="21"/>
              </w:rPr>
            </w:pPr>
            <w:r>
              <w:rPr>
                <w:rFonts w:hint="eastAsia" w:ascii="宋体" w:hAnsi="宋体"/>
                <w:szCs w:val="21"/>
              </w:rPr>
              <w:t>/</w:t>
            </w:r>
          </w:p>
        </w:tc>
        <w:tc>
          <w:tcPr>
            <w:tcW w:w="861" w:type="pct"/>
            <w:gridSpan w:val="2"/>
            <w:tcBorders>
              <w:top w:val="single" w:color="auto" w:sz="4" w:space="0"/>
              <w:left w:val="single" w:color="auto" w:sz="4" w:space="0"/>
              <w:bottom w:val="single" w:color="auto" w:sz="4" w:space="0"/>
              <w:right w:val="single" w:color="auto" w:sz="4" w:space="0"/>
            </w:tcBorders>
            <w:vAlign w:val="center"/>
          </w:tcPr>
          <w:p w14:paraId="422A2906">
            <w:pPr>
              <w:jc w:val="center"/>
              <w:rPr>
                <w:rFonts w:ascii="宋体" w:hAnsi="宋体"/>
                <w:szCs w:val="21"/>
              </w:rPr>
            </w:pPr>
            <w:r>
              <w:rPr>
                <w:rFonts w:hint="eastAsia" w:ascii="宋体" w:hAnsi="宋体"/>
                <w:szCs w:val="21"/>
              </w:rPr>
              <w:t>质量标准</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45C4402A">
            <w:pPr>
              <w:jc w:val="center"/>
              <w:rPr>
                <w:rFonts w:ascii="宋体" w:hAnsi="宋体"/>
                <w:szCs w:val="21"/>
              </w:rPr>
            </w:pPr>
            <w:r>
              <w:rPr>
                <w:rFonts w:hint="eastAsia" w:ascii="宋体" w:hAnsi="宋体"/>
                <w:szCs w:val="21"/>
              </w:rPr>
              <w:t>合 格</w:t>
            </w:r>
          </w:p>
        </w:tc>
      </w:tr>
      <w:tr w14:paraId="102E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71" w:type="pct"/>
            <w:tcBorders>
              <w:top w:val="single" w:color="auto" w:sz="4" w:space="0"/>
              <w:left w:val="single" w:color="auto" w:sz="4" w:space="0"/>
              <w:bottom w:val="single" w:color="auto" w:sz="4" w:space="0"/>
              <w:right w:val="single" w:color="auto" w:sz="4" w:space="0"/>
            </w:tcBorders>
            <w:vAlign w:val="center"/>
          </w:tcPr>
          <w:p w14:paraId="330199A7">
            <w:pPr>
              <w:jc w:val="center"/>
              <w:rPr>
                <w:rFonts w:ascii="宋体" w:hAnsi="宋体"/>
                <w:szCs w:val="21"/>
              </w:rPr>
            </w:pPr>
            <w:r>
              <w:rPr>
                <w:rFonts w:hint="eastAsia" w:ascii="宋体" w:hAnsi="宋体"/>
                <w:szCs w:val="21"/>
              </w:rPr>
              <w:t>预算价</w:t>
            </w:r>
          </w:p>
        </w:tc>
        <w:tc>
          <w:tcPr>
            <w:tcW w:w="1274" w:type="pct"/>
            <w:tcBorders>
              <w:top w:val="single" w:color="auto" w:sz="4" w:space="0"/>
              <w:left w:val="single" w:color="auto" w:sz="4" w:space="0"/>
              <w:bottom w:val="single" w:color="auto" w:sz="4" w:space="0"/>
              <w:right w:val="single" w:color="auto" w:sz="4" w:space="0"/>
            </w:tcBorders>
            <w:vAlign w:val="center"/>
          </w:tcPr>
          <w:p w14:paraId="0638725D">
            <w:pPr>
              <w:spacing w:line="320" w:lineRule="exact"/>
              <w:rPr>
                <w:rFonts w:hint="default" w:ascii="宋体" w:hAnsi="宋体" w:eastAsia="宋体"/>
                <w:szCs w:val="21"/>
                <w:lang w:val="en-US" w:eastAsia="zh-CN"/>
              </w:rPr>
            </w:pPr>
            <w:r>
              <w:rPr>
                <w:rFonts w:hint="eastAsia" w:ascii="宋体" w:hAnsi="宋体"/>
                <w:szCs w:val="21"/>
              </w:rPr>
              <w:t>8.07259万</w:t>
            </w:r>
            <w:r>
              <w:rPr>
                <w:rFonts w:hint="eastAsia" w:ascii="宋体" w:hAnsi="宋体"/>
                <w:szCs w:val="21"/>
                <w:lang w:eastAsia="zh-CN"/>
              </w:rPr>
              <w:t>（</w:t>
            </w:r>
            <w:r>
              <w:rPr>
                <w:rFonts w:hint="eastAsia" w:ascii="宋体" w:hAnsi="宋体"/>
                <w:szCs w:val="21"/>
                <w:lang w:val="en-US" w:eastAsia="zh-CN"/>
              </w:rPr>
              <w:t>含暂列金0.62万）</w:t>
            </w:r>
          </w:p>
        </w:tc>
        <w:tc>
          <w:tcPr>
            <w:tcW w:w="861" w:type="pct"/>
            <w:gridSpan w:val="2"/>
            <w:tcBorders>
              <w:top w:val="single" w:color="auto" w:sz="4" w:space="0"/>
              <w:left w:val="single" w:color="auto" w:sz="4" w:space="0"/>
              <w:right w:val="single" w:color="auto" w:sz="4" w:space="0"/>
            </w:tcBorders>
            <w:vAlign w:val="center"/>
          </w:tcPr>
          <w:p w14:paraId="0B940ED8">
            <w:pPr>
              <w:jc w:val="center"/>
              <w:rPr>
                <w:rFonts w:ascii="宋体" w:hAnsi="宋体"/>
                <w:szCs w:val="21"/>
              </w:rPr>
            </w:pPr>
            <w:r>
              <w:rPr>
                <w:rFonts w:hint="eastAsia" w:ascii="宋体" w:hAnsi="宋体"/>
                <w:szCs w:val="21"/>
              </w:rPr>
              <w:t>标书工本费</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32D81F23">
            <w:pPr>
              <w:jc w:val="center"/>
              <w:rPr>
                <w:rFonts w:ascii="宋体" w:hAnsi="宋体"/>
                <w:szCs w:val="21"/>
              </w:rPr>
            </w:pPr>
            <w:r>
              <w:rPr>
                <w:rFonts w:hint="eastAsia" w:ascii="宋体" w:hAnsi="宋体"/>
                <w:szCs w:val="21"/>
              </w:rPr>
              <w:t>/</w:t>
            </w:r>
          </w:p>
        </w:tc>
      </w:tr>
      <w:tr w14:paraId="1FA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5652C4C1">
            <w:pPr>
              <w:jc w:val="center"/>
              <w:rPr>
                <w:rFonts w:ascii="宋体" w:hAnsi="宋体"/>
                <w:szCs w:val="21"/>
              </w:rPr>
            </w:pPr>
            <w:r>
              <w:rPr>
                <w:rFonts w:hint="eastAsia"/>
                <w:szCs w:val="21"/>
              </w:rPr>
              <w:t>投标文件要求</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21696FDF">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17E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71" w:type="pct"/>
            <w:tcBorders>
              <w:top w:val="single" w:color="auto" w:sz="4" w:space="0"/>
              <w:left w:val="single" w:color="auto" w:sz="4" w:space="0"/>
              <w:bottom w:val="single" w:color="auto" w:sz="4" w:space="0"/>
              <w:right w:val="single" w:color="auto" w:sz="4" w:space="0"/>
            </w:tcBorders>
            <w:vAlign w:val="center"/>
          </w:tcPr>
          <w:p w14:paraId="46A65C53">
            <w:pPr>
              <w:jc w:val="center"/>
              <w:rPr>
                <w:rFonts w:ascii="宋体" w:hAnsi="宋体"/>
                <w:szCs w:val="21"/>
              </w:rPr>
            </w:pPr>
            <w:r>
              <w:rPr>
                <w:rFonts w:hint="eastAsia" w:ascii="宋体" w:hAnsi="宋体"/>
                <w:szCs w:val="21"/>
              </w:rPr>
              <w:t>建设周期</w:t>
            </w:r>
          </w:p>
        </w:tc>
        <w:tc>
          <w:tcPr>
            <w:tcW w:w="1274" w:type="pct"/>
            <w:tcBorders>
              <w:top w:val="single" w:color="auto" w:sz="4" w:space="0"/>
              <w:left w:val="single" w:color="auto" w:sz="4" w:space="0"/>
              <w:bottom w:val="single" w:color="auto" w:sz="4" w:space="0"/>
              <w:right w:val="single" w:color="auto" w:sz="4" w:space="0"/>
            </w:tcBorders>
            <w:vAlign w:val="center"/>
          </w:tcPr>
          <w:p w14:paraId="525E07A7">
            <w:pPr>
              <w:spacing w:line="320" w:lineRule="exact"/>
              <w:jc w:val="center"/>
              <w:rPr>
                <w:rFonts w:ascii="宋体" w:hAnsi="宋体"/>
                <w:szCs w:val="21"/>
              </w:rPr>
            </w:pPr>
            <w:r>
              <w:rPr>
                <w:rFonts w:hint="eastAsia" w:ascii="宋体" w:hAnsi="宋体"/>
                <w:szCs w:val="21"/>
              </w:rPr>
              <w:t>20个日历天</w:t>
            </w:r>
          </w:p>
        </w:tc>
        <w:tc>
          <w:tcPr>
            <w:tcW w:w="861" w:type="pct"/>
            <w:gridSpan w:val="2"/>
            <w:tcBorders>
              <w:top w:val="single" w:color="auto" w:sz="4" w:space="0"/>
              <w:left w:val="single" w:color="auto" w:sz="4" w:space="0"/>
              <w:right w:val="single" w:color="auto" w:sz="4" w:space="0"/>
            </w:tcBorders>
            <w:vAlign w:val="center"/>
          </w:tcPr>
          <w:p w14:paraId="106B305D">
            <w:pPr>
              <w:jc w:val="center"/>
              <w:rPr>
                <w:rFonts w:ascii="宋体" w:hAnsi="宋体"/>
                <w:szCs w:val="21"/>
              </w:rPr>
            </w:pPr>
            <w:r>
              <w:rPr>
                <w:rFonts w:hint="eastAsia" w:ascii="宋体" w:hAnsi="宋体"/>
                <w:szCs w:val="21"/>
                <w:lang w:val="en-US" w:eastAsia="zh-CN"/>
              </w:rPr>
              <w:t>履约保证金及</w:t>
            </w:r>
            <w:r>
              <w:rPr>
                <w:rFonts w:hint="eastAsia" w:ascii="宋体" w:hAnsi="宋体"/>
                <w:szCs w:val="21"/>
              </w:rPr>
              <w:t>付款方式</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6B99AF86">
            <w:pPr>
              <w:jc w:val="left"/>
              <w:rPr>
                <w:rFonts w:ascii="宋体" w:hAnsi="宋体"/>
                <w:szCs w:val="21"/>
              </w:rPr>
            </w:pPr>
            <w:r>
              <w:rPr>
                <w:rFonts w:hint="eastAsia" w:ascii="宋体" w:hAnsi="宋体" w:cs="宋体"/>
                <w:kern w:val="0"/>
                <w:sz w:val="21"/>
                <w:szCs w:val="21"/>
                <w:lang w:val="en-US" w:eastAsia="zh-CN" w:bidi="ar-SA"/>
              </w:rPr>
              <w:t>合同签订前需缴纳10%的履约保证金，质保期结束后无息退还。合同额在</w:t>
            </w:r>
            <w:r>
              <w:rPr>
                <w:rFonts w:hint="eastAsia" w:ascii="宋体" w:hAnsi="宋体" w:eastAsia="宋体" w:cs="宋体"/>
                <w:kern w:val="0"/>
                <w:sz w:val="21"/>
                <w:szCs w:val="21"/>
                <w:lang w:val="en-US" w:eastAsia="zh-CN" w:bidi="ar-SA"/>
              </w:rPr>
              <w:t>施工结束验收合格后一次性付清。</w:t>
            </w:r>
          </w:p>
        </w:tc>
      </w:tr>
      <w:tr w14:paraId="190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1" w:type="pct"/>
            <w:tcBorders>
              <w:top w:val="single" w:color="auto" w:sz="4" w:space="0"/>
              <w:left w:val="single" w:color="auto" w:sz="4" w:space="0"/>
              <w:bottom w:val="single" w:color="auto" w:sz="4" w:space="0"/>
              <w:right w:val="single" w:color="auto" w:sz="4" w:space="0"/>
            </w:tcBorders>
            <w:vAlign w:val="center"/>
          </w:tcPr>
          <w:p w14:paraId="00FC8494">
            <w:pPr>
              <w:spacing w:line="360" w:lineRule="auto"/>
              <w:jc w:val="center"/>
              <w:rPr>
                <w:rFonts w:ascii="宋体" w:hAnsi="宋体"/>
                <w:szCs w:val="21"/>
              </w:rPr>
            </w:pPr>
            <w:r>
              <w:rPr>
                <w:rFonts w:hint="eastAsia" w:ascii="宋体" w:hAnsi="宋体"/>
                <w:szCs w:val="21"/>
              </w:rPr>
              <w:t>报名截止时间</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4C038539">
            <w:pPr>
              <w:spacing w:line="360" w:lineRule="auto"/>
              <w:rPr>
                <w:rFonts w:ascii="宋体" w:hAnsi="宋体"/>
                <w:szCs w:val="21"/>
                <w:highlight w:val="yellow"/>
              </w:rPr>
            </w:pPr>
            <w:r>
              <w:rPr>
                <w:rFonts w:hint="eastAsia" w:ascii="宋体" w:hAnsi="宋体"/>
                <w:szCs w:val="21"/>
              </w:rPr>
              <w:t>2025年7月1</w:t>
            </w:r>
            <w:r>
              <w:rPr>
                <w:rFonts w:hint="eastAsia" w:ascii="宋体" w:hAnsi="宋体"/>
                <w:szCs w:val="21"/>
                <w:lang w:val="en-US" w:eastAsia="zh-CN"/>
              </w:rPr>
              <w:t>3</w:t>
            </w:r>
            <w:r>
              <w:rPr>
                <w:rFonts w:hint="eastAsia" w:ascii="宋体" w:hAnsi="宋体"/>
                <w:szCs w:val="21"/>
              </w:rPr>
              <w:t>日18：00</w:t>
            </w:r>
            <w:bookmarkStart w:id="12" w:name="_GoBack"/>
            <w:bookmarkEnd w:id="12"/>
          </w:p>
        </w:tc>
      </w:tr>
      <w:tr w14:paraId="5B5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71" w:type="pct"/>
            <w:tcBorders>
              <w:top w:val="single" w:color="auto" w:sz="4" w:space="0"/>
              <w:left w:val="single" w:color="auto" w:sz="4" w:space="0"/>
              <w:bottom w:val="single" w:color="auto" w:sz="4" w:space="0"/>
              <w:right w:val="single" w:color="auto" w:sz="4" w:space="0"/>
            </w:tcBorders>
            <w:vAlign w:val="center"/>
          </w:tcPr>
          <w:p w14:paraId="0FE6C3BA">
            <w:pPr>
              <w:spacing w:line="360" w:lineRule="auto"/>
              <w:jc w:val="center"/>
              <w:rPr>
                <w:rFonts w:ascii="宋体" w:hAnsi="宋体"/>
                <w:szCs w:val="21"/>
              </w:rPr>
            </w:pPr>
            <w:r>
              <w:rPr>
                <w:rFonts w:hint="eastAsia" w:ascii="宋体" w:hAnsi="宋体"/>
                <w:szCs w:val="21"/>
              </w:rPr>
              <w:t>文件递交地址</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66F1E154">
            <w:pPr>
              <w:spacing w:line="360" w:lineRule="auto"/>
              <w:rPr>
                <w:rFonts w:ascii="宋体" w:hAnsi="宋体"/>
                <w:szCs w:val="21"/>
              </w:rPr>
            </w:pPr>
            <w:r>
              <w:rPr>
                <w:rFonts w:hint="eastAsia" w:ascii="宋体" w:hAnsi="宋体"/>
                <w:szCs w:val="21"/>
              </w:rPr>
              <w:t>扬大附院西区行政楼</w:t>
            </w:r>
            <w:r>
              <w:rPr>
                <w:rFonts w:hint="eastAsia" w:ascii="宋体" w:hAnsi="宋体"/>
                <w:szCs w:val="21"/>
                <w:lang w:val="en-US" w:eastAsia="zh-CN"/>
              </w:rPr>
              <w:t>2</w:t>
            </w:r>
            <w:r>
              <w:rPr>
                <w:rFonts w:hint="eastAsia" w:ascii="宋体" w:hAnsi="宋体"/>
                <w:szCs w:val="21"/>
              </w:rPr>
              <w:t>07会议室  2025.7.1</w:t>
            </w:r>
            <w:r>
              <w:rPr>
                <w:rFonts w:hint="eastAsia" w:ascii="宋体" w:hAnsi="宋体"/>
                <w:szCs w:val="21"/>
                <w:lang w:val="en-US" w:eastAsia="zh-CN"/>
              </w:rPr>
              <w:t>4</w:t>
            </w:r>
            <w:r>
              <w:rPr>
                <w:rFonts w:hint="eastAsia" w:ascii="宋体" w:hAnsi="宋体"/>
                <w:szCs w:val="21"/>
              </w:rPr>
              <w:t xml:space="preserve"> 8：30-9：00</w:t>
            </w:r>
          </w:p>
        </w:tc>
      </w:tr>
      <w:tr w14:paraId="5A06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68BC4DCF">
            <w:pPr>
              <w:spacing w:line="360" w:lineRule="auto"/>
              <w:jc w:val="center"/>
              <w:rPr>
                <w:rFonts w:ascii="宋体" w:hAnsi="宋体" w:eastAsia="微软雅黑"/>
                <w:color w:val="FF0000"/>
                <w:szCs w:val="21"/>
              </w:rPr>
            </w:pPr>
            <w:r>
              <w:rPr>
                <w:rFonts w:hint="eastAsia" w:ascii="宋体" w:hAnsi="宋体"/>
                <w:color w:val="FF0000"/>
                <w:szCs w:val="21"/>
              </w:rPr>
              <w:t>招标时间</w:t>
            </w:r>
          </w:p>
        </w:tc>
        <w:tc>
          <w:tcPr>
            <w:tcW w:w="1781" w:type="pct"/>
            <w:gridSpan w:val="2"/>
            <w:tcBorders>
              <w:top w:val="single" w:color="auto" w:sz="4" w:space="0"/>
              <w:left w:val="single" w:color="auto" w:sz="4" w:space="0"/>
              <w:bottom w:val="single" w:color="auto" w:sz="4" w:space="0"/>
              <w:right w:val="single" w:color="auto" w:sz="4" w:space="0"/>
            </w:tcBorders>
            <w:vAlign w:val="center"/>
          </w:tcPr>
          <w:p w14:paraId="75629D3B">
            <w:pPr>
              <w:spacing w:line="360" w:lineRule="auto"/>
              <w:jc w:val="center"/>
              <w:rPr>
                <w:rFonts w:ascii="宋体" w:hAnsi="宋体"/>
                <w:color w:val="FF0000"/>
                <w:szCs w:val="21"/>
              </w:rPr>
            </w:pPr>
            <w:r>
              <w:rPr>
                <w:rFonts w:hint="eastAsia" w:ascii="宋体" w:hAnsi="宋体"/>
                <w:color w:val="FF0000"/>
                <w:szCs w:val="21"/>
              </w:rPr>
              <w:t>2025年7月1</w:t>
            </w:r>
            <w:r>
              <w:rPr>
                <w:rFonts w:hint="eastAsia" w:ascii="宋体" w:hAnsi="宋体"/>
                <w:color w:val="FF0000"/>
                <w:szCs w:val="21"/>
                <w:lang w:val="en-US" w:eastAsia="zh-CN"/>
              </w:rPr>
              <w:t>4</w:t>
            </w:r>
            <w:r>
              <w:rPr>
                <w:rFonts w:hint="eastAsia" w:ascii="宋体" w:hAnsi="宋体"/>
                <w:color w:val="FF0000"/>
                <w:szCs w:val="21"/>
              </w:rPr>
              <w:t>日9：00</w:t>
            </w: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3A3AA3A9">
            <w:pPr>
              <w:spacing w:line="360" w:lineRule="auto"/>
              <w:jc w:val="center"/>
              <w:rPr>
                <w:rFonts w:ascii="宋体" w:hAnsi="宋体"/>
                <w:color w:val="FF0000"/>
                <w:szCs w:val="21"/>
              </w:rPr>
            </w:pPr>
            <w:r>
              <w:rPr>
                <w:rFonts w:hint="eastAsia" w:ascii="宋体" w:hAnsi="宋体"/>
                <w:color w:val="FF0000"/>
                <w:szCs w:val="21"/>
              </w:rPr>
              <w:t>地点</w:t>
            </w:r>
          </w:p>
        </w:tc>
        <w:tc>
          <w:tcPr>
            <w:tcW w:w="1854" w:type="pct"/>
            <w:tcBorders>
              <w:top w:val="single" w:color="auto" w:sz="4" w:space="0"/>
              <w:left w:val="single" w:color="auto" w:sz="4" w:space="0"/>
              <w:bottom w:val="single" w:color="auto" w:sz="4" w:space="0"/>
              <w:right w:val="single" w:color="auto" w:sz="4" w:space="0"/>
            </w:tcBorders>
            <w:vAlign w:val="center"/>
          </w:tcPr>
          <w:p w14:paraId="4A897074">
            <w:pPr>
              <w:spacing w:line="360" w:lineRule="auto"/>
              <w:jc w:val="center"/>
              <w:rPr>
                <w:rFonts w:asciiTheme="minorEastAsia" w:hAnsiTheme="minorEastAsia" w:eastAsiaTheme="minorEastAsia"/>
                <w:color w:val="FF0000"/>
                <w:szCs w:val="21"/>
              </w:rPr>
            </w:pPr>
            <w:r>
              <w:rPr>
                <w:rFonts w:hint="eastAsia" w:ascii="宋体" w:hAnsi="宋体"/>
                <w:b/>
                <w:color w:val="FF0000"/>
                <w:szCs w:val="21"/>
              </w:rPr>
              <w:t>扬大附院西区行政楼</w:t>
            </w:r>
            <w:r>
              <w:rPr>
                <w:rFonts w:hint="eastAsia" w:ascii="宋体" w:hAnsi="宋体"/>
                <w:b/>
                <w:color w:val="FF0000"/>
                <w:szCs w:val="21"/>
                <w:lang w:val="en-US" w:eastAsia="zh-CN"/>
              </w:rPr>
              <w:t>2</w:t>
            </w:r>
            <w:r>
              <w:rPr>
                <w:rFonts w:hint="eastAsia" w:ascii="宋体" w:hAnsi="宋体"/>
                <w:b/>
                <w:color w:val="FF0000"/>
                <w:szCs w:val="21"/>
              </w:rPr>
              <w:t>07会议室</w:t>
            </w:r>
          </w:p>
        </w:tc>
      </w:tr>
      <w:tr w14:paraId="655C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3677FCC6">
            <w:pPr>
              <w:spacing w:line="360" w:lineRule="auto"/>
              <w:jc w:val="center"/>
              <w:rPr>
                <w:rFonts w:ascii="宋体" w:hAnsi="宋体"/>
                <w:szCs w:val="21"/>
              </w:rPr>
            </w:pPr>
            <w:r>
              <w:rPr>
                <w:rFonts w:hint="eastAsia" w:ascii="宋体" w:hAnsi="宋体"/>
                <w:szCs w:val="21"/>
              </w:rPr>
              <w:t>联系方式</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04F01C1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6BEB325D">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5FA1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509ACD38">
            <w:pPr>
              <w:spacing w:line="360" w:lineRule="auto"/>
              <w:jc w:val="center"/>
              <w:rPr>
                <w:rFonts w:ascii="宋体" w:hAnsi="宋体"/>
                <w:szCs w:val="21"/>
              </w:rPr>
            </w:pPr>
            <w:r>
              <w:rPr>
                <w:rFonts w:hint="eastAsia" w:ascii="宋体" w:hAnsi="宋体"/>
                <w:szCs w:val="21"/>
              </w:rPr>
              <w:t>备注</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1CEBB8C2">
            <w:pPr>
              <w:spacing w:line="360" w:lineRule="auto"/>
              <w:ind w:firstLine="422" w:firstLineChars="200"/>
              <w:jc w:val="left"/>
              <w:rPr>
                <w:rFonts w:ascii="宋体" w:hAnsi="宋体" w:cs="宋体"/>
                <w:b/>
                <w:bCs/>
                <w:szCs w:val="21"/>
              </w:rPr>
            </w:pPr>
            <w:r>
              <w:rPr>
                <w:rFonts w:hint="eastAsia" w:ascii="宋体" w:hAnsi="宋体" w:cs="宋体"/>
                <w:b/>
                <w:bCs/>
                <w:szCs w:val="21"/>
              </w:rPr>
              <w:t>本项目不接受分包及转包；</w:t>
            </w:r>
          </w:p>
          <w:p w14:paraId="365BE965">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未提供格式的投标人自拟。报名成功后，通过电子邮件发送CAD图纸。</w:t>
            </w:r>
          </w:p>
        </w:tc>
      </w:tr>
    </w:tbl>
    <w:p w14:paraId="38BCA8D6">
      <w:pPr>
        <w:rPr>
          <w:rFonts w:hint="default" w:eastAsia="宋体"/>
          <w:b/>
          <w:sz w:val="32"/>
          <w:szCs w:val="32"/>
          <w:lang w:val="en-US" w:eastAsia="zh-CN"/>
        </w:rPr>
      </w:pPr>
      <w:bookmarkStart w:id="2" w:name="_Toc39744253"/>
      <w:r>
        <w:rPr>
          <w:rFonts w:hint="eastAsia"/>
          <w:b/>
          <w:sz w:val="32"/>
          <w:szCs w:val="32"/>
        </w:rPr>
        <w:t>现场勘察时间：</w:t>
      </w:r>
      <w:r>
        <w:rPr>
          <w:rFonts w:hint="eastAsia"/>
          <w:b/>
          <w:sz w:val="32"/>
          <w:szCs w:val="32"/>
          <w:lang w:val="en-US" w:eastAsia="zh-CN"/>
        </w:rPr>
        <w:t>2025.7.10  9：00   西区行政楼217</w:t>
      </w:r>
    </w:p>
    <w:p w14:paraId="7D837B93">
      <w:pPr>
        <w:rPr>
          <w:rFonts w:hint="default" w:eastAsia="宋体"/>
          <w:b/>
          <w:sz w:val="32"/>
          <w:szCs w:val="32"/>
          <w:lang w:val="en-US" w:eastAsia="zh-CN"/>
        </w:rPr>
      </w:pPr>
      <w:r>
        <w:rPr>
          <w:rFonts w:hint="eastAsia"/>
          <w:b/>
          <w:sz w:val="32"/>
          <w:szCs w:val="32"/>
        </w:rPr>
        <w:t>联系人：</w:t>
      </w:r>
      <w:r>
        <w:rPr>
          <w:rFonts w:hint="eastAsia"/>
          <w:b/>
          <w:sz w:val="32"/>
          <w:szCs w:val="32"/>
          <w:lang w:val="en-US" w:eastAsia="zh-CN"/>
        </w:rPr>
        <w:t>张超  19975005115</w:t>
      </w:r>
    </w:p>
    <w:p w14:paraId="577C7717">
      <w:pPr>
        <w:ind w:firstLine="4176" w:firstLineChars="1300"/>
        <w:rPr>
          <w:b/>
          <w:sz w:val="32"/>
          <w:szCs w:val="32"/>
        </w:rPr>
      </w:pPr>
    </w:p>
    <w:p w14:paraId="4F45355E">
      <w:pPr>
        <w:ind w:firstLine="4176" w:firstLineChars="1300"/>
        <w:rPr>
          <w:b/>
          <w:sz w:val="32"/>
          <w:szCs w:val="32"/>
        </w:rPr>
      </w:pPr>
    </w:p>
    <w:p w14:paraId="5DB7A328">
      <w:pPr>
        <w:ind w:firstLine="4176" w:firstLineChars="1300"/>
        <w:rPr>
          <w:b/>
          <w:sz w:val="32"/>
          <w:szCs w:val="32"/>
        </w:rPr>
      </w:pPr>
    </w:p>
    <w:p w14:paraId="2D836F7B">
      <w:pPr>
        <w:ind w:firstLine="4176" w:firstLineChars="1300"/>
        <w:rPr>
          <w:b/>
          <w:sz w:val="32"/>
          <w:szCs w:val="32"/>
        </w:rPr>
      </w:pPr>
    </w:p>
    <w:p w14:paraId="6EEA34A4">
      <w:r>
        <w:br w:type="page"/>
      </w:r>
    </w:p>
    <w:p w14:paraId="6D215EC8"/>
    <w:p w14:paraId="22C1D9C8">
      <w:pPr>
        <w:jc w:val="center"/>
        <w:rPr>
          <w:b/>
          <w:sz w:val="32"/>
          <w:szCs w:val="32"/>
        </w:rPr>
      </w:pPr>
      <w:r>
        <w:rPr>
          <w:rFonts w:hint="eastAsia"/>
          <w:b/>
          <w:sz w:val="32"/>
          <w:szCs w:val="32"/>
        </w:rPr>
        <w:t>二、项目需求</w:t>
      </w:r>
    </w:p>
    <w:p w14:paraId="4E328756">
      <w:pPr>
        <w:spacing w:line="440" w:lineRule="exact"/>
        <w:ind w:right="124" w:rightChars="59"/>
        <w:contextualSpacing/>
        <w:rPr>
          <w:bCs/>
          <w:sz w:val="24"/>
        </w:rPr>
      </w:pPr>
      <w:r>
        <w:rPr>
          <w:rFonts w:hint="eastAsia"/>
          <w:bCs/>
          <w:sz w:val="24"/>
        </w:rPr>
        <w:t>一、项目内容</w:t>
      </w:r>
    </w:p>
    <w:p w14:paraId="4C340473">
      <w:pPr>
        <w:adjustRightInd w:val="0"/>
        <w:spacing w:line="560" w:lineRule="exact"/>
        <w:ind w:firstLine="480" w:firstLineChars="200"/>
        <w:contextualSpacing/>
        <w:rPr>
          <w:b/>
          <w:bCs/>
          <w:sz w:val="24"/>
        </w:rPr>
      </w:pPr>
      <w:r>
        <w:rPr>
          <w:rFonts w:hint="eastAsia"/>
          <w:sz w:val="24"/>
        </w:rPr>
        <w:t>扬州大学附属医院西区医院对医院南侧临时围挡进行拆除重建，</w:t>
      </w:r>
      <w:r>
        <w:rPr>
          <w:rFonts w:hint="eastAsia" w:cs="宋体"/>
          <w:color w:val="000000"/>
          <w:sz w:val="24"/>
        </w:rPr>
        <w:t>并在气动物流管道北侧加砌挡土墙</w:t>
      </w:r>
      <w:r>
        <w:rPr>
          <w:rFonts w:hint="eastAsia"/>
          <w:sz w:val="24"/>
        </w:rPr>
        <w:t>。本次项目包括按照设计要求、国家最新规范标准，进行施工安装及配套服务。</w:t>
      </w:r>
      <w:r>
        <w:rPr>
          <w:rFonts w:hint="eastAsia"/>
          <w:b/>
          <w:bCs/>
          <w:sz w:val="24"/>
        </w:rPr>
        <w:t>本项目为交钥匙工程，本次采购包含但不仅限于原临时围挡拆除、成品围栏安装新建、墙体砌筑等。</w:t>
      </w:r>
    </w:p>
    <w:p w14:paraId="06C805A3">
      <w:pPr>
        <w:adjustRightInd w:val="0"/>
        <w:spacing w:line="560" w:lineRule="exact"/>
        <w:ind w:firstLine="480" w:firstLineChars="200"/>
        <w:contextualSpacing/>
        <w:rPr>
          <w:sz w:val="24"/>
        </w:rPr>
      </w:pPr>
      <w:r>
        <w:rPr>
          <w:sz w:val="24"/>
        </w:rPr>
        <w:drawing>
          <wp:anchor distT="0" distB="0" distL="114300" distR="114300" simplePos="0" relativeHeight="251659264" behindDoc="1" locked="0" layoutInCell="1" allowOverlap="1">
            <wp:simplePos x="0" y="0"/>
            <wp:positionH relativeFrom="column">
              <wp:posOffset>-40005</wp:posOffset>
            </wp:positionH>
            <wp:positionV relativeFrom="paragraph">
              <wp:posOffset>120015</wp:posOffset>
            </wp:positionV>
            <wp:extent cx="5276850" cy="4160520"/>
            <wp:effectExtent l="19050" t="0" r="0" b="0"/>
            <wp:wrapNone/>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noChangeArrowheads="1"/>
                    </pic:cNvPicPr>
                  </pic:nvPicPr>
                  <pic:blipFill>
                    <a:blip r:embed="rId7" cstate="print"/>
                    <a:srcRect/>
                    <a:stretch>
                      <a:fillRect/>
                    </a:stretch>
                  </pic:blipFill>
                  <pic:spPr>
                    <a:xfrm>
                      <a:off x="0" y="0"/>
                      <a:ext cx="5276850" cy="4160520"/>
                    </a:xfrm>
                    <a:prstGeom prst="rect">
                      <a:avLst/>
                    </a:prstGeom>
                    <a:noFill/>
                    <a:ln w="9525">
                      <a:noFill/>
                      <a:miter lim="800000"/>
                      <a:headEnd/>
                      <a:tailEnd/>
                    </a:ln>
                  </pic:spPr>
                </pic:pic>
              </a:graphicData>
            </a:graphic>
          </wp:anchor>
        </w:drawing>
      </w:r>
    </w:p>
    <w:p w14:paraId="6651F41D">
      <w:pPr>
        <w:spacing w:line="440" w:lineRule="exact"/>
        <w:ind w:right="124" w:rightChars="59"/>
        <w:contextualSpacing/>
        <w:rPr>
          <w:bCs/>
          <w:sz w:val="24"/>
        </w:rPr>
      </w:pPr>
    </w:p>
    <w:p w14:paraId="3E8932BD">
      <w:pPr>
        <w:spacing w:line="440" w:lineRule="exact"/>
        <w:ind w:right="124" w:rightChars="59"/>
        <w:contextualSpacing/>
        <w:rPr>
          <w:bCs/>
          <w:sz w:val="24"/>
        </w:rPr>
      </w:pPr>
    </w:p>
    <w:p w14:paraId="76E90DC3">
      <w:pPr>
        <w:spacing w:line="440" w:lineRule="exact"/>
        <w:ind w:right="124" w:rightChars="59"/>
        <w:contextualSpacing/>
        <w:rPr>
          <w:bCs/>
          <w:sz w:val="24"/>
        </w:rPr>
      </w:pPr>
    </w:p>
    <w:p w14:paraId="65DFE32D">
      <w:pPr>
        <w:spacing w:line="440" w:lineRule="exact"/>
        <w:ind w:right="124" w:rightChars="59"/>
        <w:contextualSpacing/>
        <w:rPr>
          <w:bCs/>
          <w:sz w:val="24"/>
        </w:rPr>
      </w:pPr>
    </w:p>
    <w:p w14:paraId="2E12D6E5">
      <w:pPr>
        <w:spacing w:line="440" w:lineRule="exact"/>
        <w:ind w:right="124" w:rightChars="59"/>
        <w:contextualSpacing/>
        <w:rPr>
          <w:bCs/>
          <w:sz w:val="24"/>
        </w:rPr>
      </w:pPr>
    </w:p>
    <w:p w14:paraId="1AD66292">
      <w:pPr>
        <w:spacing w:line="440" w:lineRule="exact"/>
        <w:ind w:right="124" w:rightChars="59"/>
        <w:contextualSpacing/>
        <w:rPr>
          <w:bCs/>
          <w:sz w:val="24"/>
        </w:rPr>
      </w:pPr>
    </w:p>
    <w:p w14:paraId="4B8600C8">
      <w:pPr>
        <w:spacing w:line="440" w:lineRule="exact"/>
        <w:ind w:right="124" w:rightChars="59"/>
        <w:contextualSpacing/>
        <w:rPr>
          <w:bCs/>
          <w:sz w:val="24"/>
        </w:rPr>
      </w:pPr>
    </w:p>
    <w:p w14:paraId="36CB25E7">
      <w:pPr>
        <w:spacing w:line="440" w:lineRule="exact"/>
        <w:ind w:right="124" w:rightChars="59"/>
        <w:contextualSpacing/>
        <w:rPr>
          <w:bCs/>
          <w:sz w:val="24"/>
        </w:rPr>
      </w:pPr>
    </w:p>
    <w:p w14:paraId="2F3F56C7">
      <w:pPr>
        <w:spacing w:line="440" w:lineRule="exact"/>
        <w:ind w:right="124" w:rightChars="59"/>
        <w:contextualSpacing/>
        <w:rPr>
          <w:bCs/>
          <w:sz w:val="24"/>
        </w:rPr>
      </w:pPr>
    </w:p>
    <w:p w14:paraId="7AB27941">
      <w:pPr>
        <w:spacing w:line="440" w:lineRule="exact"/>
        <w:ind w:right="124" w:rightChars="59"/>
        <w:contextualSpacing/>
        <w:rPr>
          <w:bCs/>
          <w:sz w:val="24"/>
        </w:rPr>
      </w:pPr>
    </w:p>
    <w:p w14:paraId="3FB2320C">
      <w:pPr>
        <w:spacing w:line="440" w:lineRule="exact"/>
        <w:ind w:right="124" w:rightChars="59"/>
        <w:contextualSpacing/>
        <w:rPr>
          <w:bCs/>
          <w:sz w:val="24"/>
        </w:rPr>
      </w:pPr>
    </w:p>
    <w:p w14:paraId="6322E372">
      <w:pPr>
        <w:spacing w:line="440" w:lineRule="exact"/>
        <w:ind w:right="124" w:rightChars="59"/>
        <w:contextualSpacing/>
        <w:rPr>
          <w:bCs/>
          <w:sz w:val="24"/>
        </w:rPr>
      </w:pPr>
    </w:p>
    <w:p w14:paraId="1173C0D5">
      <w:pPr>
        <w:spacing w:line="440" w:lineRule="exact"/>
        <w:ind w:right="124" w:rightChars="59"/>
        <w:contextualSpacing/>
        <w:rPr>
          <w:bCs/>
          <w:sz w:val="24"/>
        </w:rPr>
      </w:pPr>
    </w:p>
    <w:p w14:paraId="00698E55">
      <w:pPr>
        <w:spacing w:line="440" w:lineRule="exact"/>
        <w:ind w:right="124" w:rightChars="59"/>
        <w:contextualSpacing/>
        <w:rPr>
          <w:bCs/>
          <w:sz w:val="24"/>
        </w:rPr>
      </w:pPr>
    </w:p>
    <w:p w14:paraId="3E9181EB">
      <w:pPr>
        <w:spacing w:line="440" w:lineRule="exact"/>
        <w:ind w:right="124" w:rightChars="59"/>
        <w:contextualSpacing/>
        <w:rPr>
          <w:bCs/>
          <w:sz w:val="24"/>
        </w:rPr>
      </w:pPr>
      <w:r>
        <w:rPr>
          <w:rFonts w:hint="eastAsia"/>
          <w:bCs/>
          <w:sz w:val="24"/>
        </w:rPr>
        <w:t>二、设计和施工遵循的技术标准、规范要求</w:t>
      </w:r>
    </w:p>
    <w:p w14:paraId="799E3315">
      <w:pPr>
        <w:spacing w:line="56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1、设计、制作依据</w:t>
      </w:r>
    </w:p>
    <w:p w14:paraId="658FDC1B">
      <w:pPr>
        <w:adjustRightInd w:val="0"/>
        <w:spacing w:line="560" w:lineRule="exact"/>
        <w:ind w:firstLine="480" w:firstLineChars="200"/>
        <w:contextualSpacing/>
        <w:rPr>
          <w:rFonts w:cs="宋体"/>
          <w:b/>
          <w:bCs/>
          <w:color w:val="000000"/>
          <w:sz w:val="24"/>
        </w:rPr>
      </w:pPr>
      <w:r>
        <w:rPr>
          <w:rFonts w:cs="宋体"/>
          <w:color w:val="000000"/>
          <w:sz w:val="24"/>
        </w:rPr>
        <w:t>《砌体结构通用规范》 (GB</w:t>
      </w:r>
      <w:r>
        <w:rPr>
          <w:rFonts w:hint="eastAsia" w:cs="宋体"/>
          <w:color w:val="000000"/>
          <w:sz w:val="24"/>
        </w:rPr>
        <w:t>55007-2021</w:t>
      </w:r>
      <w:r>
        <w:rPr>
          <w:rFonts w:cs="宋体"/>
          <w:color w:val="000000"/>
          <w:sz w:val="24"/>
        </w:rPr>
        <w:t>)</w:t>
      </w:r>
    </w:p>
    <w:p w14:paraId="72387A6F">
      <w:pPr>
        <w:adjustRightInd w:val="0"/>
        <w:spacing w:line="560" w:lineRule="exact"/>
        <w:ind w:firstLine="480" w:firstLineChars="200"/>
        <w:contextualSpacing/>
        <w:rPr>
          <w:rFonts w:cs="宋体"/>
          <w:color w:val="000000"/>
          <w:sz w:val="24"/>
        </w:rPr>
      </w:pPr>
      <w:r>
        <w:rPr>
          <w:rFonts w:cs="宋体"/>
          <w:color w:val="000000"/>
          <w:sz w:val="24"/>
        </w:rPr>
        <w:t>《砌体结构设计规范》 (GB</w:t>
      </w:r>
      <w:r>
        <w:rPr>
          <w:rFonts w:hint="eastAsia" w:cs="宋体"/>
          <w:color w:val="000000"/>
          <w:sz w:val="24"/>
        </w:rPr>
        <w:t>50003-2011</w:t>
      </w:r>
      <w:r>
        <w:rPr>
          <w:rFonts w:cs="宋体"/>
          <w:color w:val="000000"/>
          <w:sz w:val="24"/>
        </w:rPr>
        <w:t>)</w:t>
      </w:r>
    </w:p>
    <w:p w14:paraId="1F2629A5">
      <w:pPr>
        <w:adjustRightInd w:val="0"/>
        <w:spacing w:line="560" w:lineRule="exact"/>
        <w:ind w:firstLine="480" w:firstLineChars="200"/>
        <w:contextualSpacing/>
        <w:rPr>
          <w:rFonts w:cs="宋体"/>
          <w:color w:val="000000"/>
          <w:sz w:val="24"/>
        </w:rPr>
      </w:pPr>
      <w:r>
        <w:rPr>
          <w:rFonts w:cs="宋体"/>
          <w:color w:val="000000"/>
          <w:sz w:val="24"/>
        </w:rPr>
        <w:t>《砌体结构工程施工规范》 (GB</w:t>
      </w:r>
      <w:r>
        <w:rPr>
          <w:rFonts w:hint="eastAsia" w:cs="宋体"/>
          <w:color w:val="000000"/>
          <w:sz w:val="24"/>
        </w:rPr>
        <w:t>50924-2014</w:t>
      </w:r>
      <w:r>
        <w:rPr>
          <w:rFonts w:cs="宋体"/>
          <w:color w:val="000000"/>
          <w:sz w:val="24"/>
        </w:rPr>
        <w:t>)</w:t>
      </w:r>
    </w:p>
    <w:p w14:paraId="1248B48A">
      <w:pPr>
        <w:adjustRightInd w:val="0"/>
        <w:spacing w:line="560" w:lineRule="exact"/>
        <w:ind w:firstLine="480" w:firstLineChars="200"/>
        <w:contextualSpacing/>
        <w:rPr>
          <w:rFonts w:cs="宋体"/>
          <w:color w:val="000000"/>
          <w:sz w:val="24"/>
        </w:rPr>
      </w:pPr>
      <w:r>
        <w:rPr>
          <w:rFonts w:cs="宋体"/>
          <w:color w:val="000000"/>
          <w:sz w:val="24"/>
        </w:rPr>
        <w:t>《砌体结构工程施工质量验收规范》 (GB</w:t>
      </w:r>
      <w:r>
        <w:rPr>
          <w:rFonts w:hint="eastAsia" w:cs="宋体"/>
          <w:color w:val="000000"/>
          <w:sz w:val="24"/>
        </w:rPr>
        <w:t>50203-2011)</w:t>
      </w:r>
    </w:p>
    <w:p w14:paraId="520CDE80">
      <w:pPr>
        <w:adjustRightInd w:val="0"/>
        <w:spacing w:line="560" w:lineRule="exact"/>
        <w:ind w:firstLine="480" w:firstLineChars="200"/>
        <w:contextualSpacing/>
        <w:rPr>
          <w:rFonts w:cs="宋体"/>
          <w:color w:val="000000"/>
          <w:sz w:val="24"/>
        </w:rPr>
      </w:pPr>
      <w:r>
        <w:rPr>
          <w:rFonts w:cs="宋体"/>
          <w:color w:val="000000"/>
          <w:sz w:val="24"/>
        </w:rPr>
        <w:t>《混凝土结构工程施工规范》 (GB</w:t>
      </w:r>
      <w:r>
        <w:rPr>
          <w:rFonts w:hint="eastAsia" w:cs="宋体"/>
          <w:color w:val="000000"/>
          <w:sz w:val="24"/>
        </w:rPr>
        <w:t>50666-2011)</w:t>
      </w:r>
    </w:p>
    <w:p w14:paraId="75305661">
      <w:pPr>
        <w:adjustRightInd w:val="0"/>
        <w:spacing w:line="560" w:lineRule="exact"/>
        <w:ind w:firstLine="480" w:firstLineChars="200"/>
        <w:contextualSpacing/>
        <w:rPr>
          <w:rFonts w:cs="宋体"/>
          <w:color w:val="000000"/>
          <w:sz w:val="24"/>
        </w:rPr>
      </w:pPr>
      <w:r>
        <w:rPr>
          <w:rFonts w:cs="宋体"/>
          <w:color w:val="000000"/>
          <w:sz w:val="24"/>
        </w:rPr>
        <w:t>《混凝土结构工程施工质量验收规范》 (GB</w:t>
      </w:r>
      <w:r>
        <w:rPr>
          <w:rFonts w:hint="eastAsia" w:cs="宋体"/>
          <w:color w:val="000000"/>
          <w:sz w:val="24"/>
        </w:rPr>
        <w:t>50204</w:t>
      </w:r>
      <w:r>
        <w:rPr>
          <w:rFonts w:cs="宋体"/>
          <w:color w:val="000000"/>
          <w:sz w:val="24"/>
        </w:rPr>
        <w:t>)</w:t>
      </w:r>
    </w:p>
    <w:p w14:paraId="306A843A">
      <w:pPr>
        <w:adjustRightInd w:val="0"/>
        <w:spacing w:line="560" w:lineRule="exact"/>
        <w:ind w:firstLine="480" w:firstLineChars="200"/>
        <w:contextualSpacing/>
        <w:rPr>
          <w:rFonts w:cs="宋体"/>
          <w:color w:val="000000"/>
          <w:sz w:val="24"/>
        </w:rPr>
      </w:pPr>
      <w:r>
        <w:rPr>
          <w:rFonts w:cs="宋体"/>
          <w:color w:val="000000"/>
          <w:sz w:val="24"/>
        </w:rPr>
        <w:t>《建筑护栏技术标准》 (</w:t>
      </w:r>
      <w:r>
        <w:rPr>
          <w:rFonts w:hint="eastAsia" w:cs="宋体"/>
          <w:color w:val="000000"/>
          <w:sz w:val="24"/>
        </w:rPr>
        <w:t>DBJ50/T-123-2020</w:t>
      </w:r>
      <w:r>
        <w:rPr>
          <w:rFonts w:cs="宋体"/>
          <w:color w:val="000000"/>
          <w:sz w:val="24"/>
        </w:rPr>
        <w:t>)</w:t>
      </w:r>
    </w:p>
    <w:p w14:paraId="6029AC7B">
      <w:pPr>
        <w:adjustRightInd w:val="0"/>
        <w:spacing w:line="560" w:lineRule="exact"/>
        <w:ind w:firstLine="480" w:firstLineChars="200"/>
        <w:contextualSpacing/>
        <w:rPr>
          <w:rFonts w:cs="宋体"/>
          <w:color w:val="000000"/>
          <w:sz w:val="24"/>
        </w:rPr>
      </w:pPr>
      <w:r>
        <w:rPr>
          <w:rFonts w:cs="宋体"/>
          <w:color w:val="000000"/>
          <w:sz w:val="24"/>
        </w:rPr>
        <w:t>《</w:t>
      </w:r>
      <w:r>
        <w:rPr>
          <w:rFonts w:hint="eastAsia" w:cs="宋体"/>
          <w:color w:val="000000"/>
          <w:sz w:val="24"/>
        </w:rPr>
        <w:t>民用建筑设计统一标准</w:t>
      </w:r>
      <w:r>
        <w:rPr>
          <w:rFonts w:cs="宋体"/>
          <w:color w:val="000000"/>
          <w:sz w:val="24"/>
        </w:rPr>
        <w:t>》 (</w:t>
      </w:r>
      <w:r>
        <w:rPr>
          <w:rFonts w:hint="eastAsia" w:cs="宋体"/>
          <w:color w:val="000000"/>
          <w:sz w:val="24"/>
        </w:rPr>
        <w:t>GB50352-2019</w:t>
      </w:r>
      <w:r>
        <w:rPr>
          <w:rFonts w:cs="宋体"/>
          <w:color w:val="000000"/>
          <w:sz w:val="24"/>
        </w:rPr>
        <w:t>)</w:t>
      </w:r>
    </w:p>
    <w:p w14:paraId="1CAA66AB">
      <w:pPr>
        <w:pStyle w:val="8"/>
        <w:adjustRightInd w:val="0"/>
        <w:spacing w:line="560" w:lineRule="exact"/>
        <w:ind w:firstLine="480" w:firstLineChars="200"/>
        <w:contextualSpacing/>
        <w:jc w:val="both"/>
        <w:rPr>
          <w:rFonts w:ascii="宋体" w:hAnsi="宋体" w:eastAsia="宋体"/>
          <w:bCs/>
          <w:sz w:val="24"/>
          <w:szCs w:val="24"/>
        </w:rPr>
      </w:pPr>
      <w:r>
        <w:rPr>
          <w:rFonts w:hint="eastAsia" w:ascii="宋体" w:hAnsi="宋体" w:eastAsia="宋体"/>
          <w:bCs/>
          <w:sz w:val="24"/>
          <w:szCs w:val="24"/>
        </w:rPr>
        <w:t>本工程包括但不限于</w:t>
      </w:r>
      <w:r>
        <w:rPr>
          <w:rFonts w:ascii="宋体" w:hAnsi="宋体" w:eastAsia="宋体"/>
          <w:bCs/>
          <w:sz w:val="24"/>
          <w:szCs w:val="24"/>
        </w:rPr>
        <w:t>其它与本工程相关的技术规范。如果国家有新的行业标准公布，则按新标准执行。</w:t>
      </w:r>
    </w:p>
    <w:p w14:paraId="1CEFCFDD">
      <w:pPr>
        <w:spacing w:line="56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2、相关要求</w:t>
      </w:r>
    </w:p>
    <w:p w14:paraId="10D02F03">
      <w:pPr>
        <w:spacing w:line="560" w:lineRule="exact"/>
        <w:ind w:firstLine="480" w:firstLineChars="200"/>
        <w:contextualSpacing/>
        <w:rPr>
          <w:sz w:val="24"/>
        </w:rPr>
      </w:pPr>
      <w:r>
        <w:rPr>
          <w:rFonts w:hint="eastAsia"/>
          <w:sz w:val="24"/>
        </w:rPr>
        <w:t>2.1乙方在施工时要确保安全生产、文明施工、疫情防控，杜绝各类不良事件的发生，因不规范施工管理造成的后果，一切责任由乙方承担。</w:t>
      </w:r>
    </w:p>
    <w:p w14:paraId="1682E090">
      <w:pPr>
        <w:spacing w:line="560" w:lineRule="exact"/>
        <w:ind w:firstLine="482" w:firstLineChars="200"/>
        <w:contextualSpacing/>
        <w:rPr>
          <w:b/>
          <w:bCs/>
          <w:sz w:val="24"/>
        </w:rPr>
      </w:pPr>
      <w:r>
        <w:rPr>
          <w:rFonts w:hint="eastAsia"/>
          <w:b/>
          <w:bCs/>
          <w:sz w:val="24"/>
        </w:rPr>
        <w:t>2.2因施工的特殊性，施工要严格控噪音防止干扰住院病人，施工期间严格按照监理管理要求同科教综合楼施工单位进行配合作业。</w:t>
      </w:r>
    </w:p>
    <w:p w14:paraId="6D07755D">
      <w:pPr>
        <w:spacing w:line="560" w:lineRule="exact"/>
        <w:ind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3、施工要求</w:t>
      </w:r>
    </w:p>
    <w:p w14:paraId="568CBE79">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鉴于本工程项目与医院科教综合楼气动物流工程存在交叉施工情况，项目实施前及过程中，施工单位须与科教综合楼施工方保持密切沟通协作，尤其需重点确认尺寸信息（因现场实际情况，图纸尺寸可能动态调整）及施工计划安排。若因沟通不到位导致返工，相关责任由本项目施工单位承担。</w:t>
      </w:r>
    </w:p>
    <w:p w14:paraId="023846D1">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3.2施工过程中，严禁擅自砍伐绿化植物或切断树根；必要时需采取立模保护措施。确需对院内绿化进行处理的，必须提前向建设单位报备并获批准。</w:t>
      </w:r>
    </w:p>
    <w:p w14:paraId="62862DE3">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3.3施工期间，若相关尺寸需调整，施工单位应及时报备建设单位，最终以实际确认的尺寸为准。</w:t>
      </w:r>
    </w:p>
    <w:p w14:paraId="29B0022E">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3.4施工所用各类材料，须提前送样至建设单位，经确认同意后方可投入使用。</w:t>
      </w:r>
    </w:p>
    <w:p w14:paraId="25D515AC">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3.5项目施工全过程须严格遵守各项规范要求。</w:t>
      </w:r>
    </w:p>
    <w:p w14:paraId="7A2CC99A">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3.6 挡土墙的材料及做法需根据现场情况进行深化，施工前需与建设单位确定。</w:t>
      </w:r>
    </w:p>
    <w:p w14:paraId="1CDBAC7A">
      <w:pPr>
        <w:spacing w:line="560" w:lineRule="exact"/>
        <w:ind w:firstLine="480" w:firstLineChars="200"/>
        <w:rPr>
          <w:rFonts w:ascii="宋体" w:hAnsi="宋体"/>
          <w:sz w:val="24"/>
        </w:rPr>
      </w:pPr>
      <w:r>
        <w:rPr>
          <w:rFonts w:hint="eastAsia" w:asciiTheme="minorEastAsia" w:hAnsiTheme="minorEastAsia" w:eastAsiaTheme="minorEastAsia"/>
          <w:sz w:val="24"/>
        </w:rPr>
        <w:t xml:space="preserve"> 4、</w:t>
      </w:r>
      <w:r>
        <w:rPr>
          <w:rFonts w:hint="eastAsia" w:ascii="宋体" w:hAnsi="宋体"/>
          <w:sz w:val="24"/>
        </w:rPr>
        <w:t xml:space="preserve"> 围栏技术要求</w:t>
      </w:r>
    </w:p>
    <w:p w14:paraId="3867B194">
      <w:pPr>
        <w:widowControl/>
        <w:spacing w:line="560" w:lineRule="exact"/>
        <w:ind w:firstLine="480" w:firstLineChars="200"/>
        <w:jc w:val="left"/>
        <w:rPr>
          <w:rFonts w:ascii="宋体" w:hAnsi="宋体"/>
          <w:sz w:val="24"/>
        </w:rPr>
      </w:pPr>
      <w:r>
        <w:rPr>
          <w:rFonts w:hint="eastAsia" w:ascii="宋体" w:hAnsi="宋体" w:cs="宋体"/>
          <w:sz w:val="24"/>
        </w:rPr>
        <w:t>加工工艺：制作前要求各单位平整，并去除毛刺锈迹，焊接部位要求焊缝过渡圆滑，无夹渣，虚焊，气孔等缺陷，构件焊毕修整后，整体曲翘不得大于8mm，护栏片焊接完毕后，进行</w:t>
      </w:r>
      <w:r>
        <w:rPr>
          <w:rFonts w:hint="eastAsia" w:ascii="宋体" w:hAnsi="宋体" w:cs="宋体"/>
          <w:sz w:val="24"/>
          <w:lang w:val="zh-CN"/>
        </w:rPr>
        <w:t>纯聚脂灰色粉末喷涂工艺</w:t>
      </w:r>
      <w:r>
        <w:rPr>
          <w:rFonts w:hint="eastAsia" w:ascii="宋体" w:hAnsi="宋体" w:cs="宋体"/>
          <w:color w:val="000000"/>
          <w:sz w:val="24"/>
        </w:rPr>
        <w:t>(喷涂层达到90微米)</w:t>
      </w:r>
      <w:r>
        <w:rPr>
          <w:rFonts w:hint="eastAsia" w:ascii="宋体" w:hAnsi="宋体" w:cs="宋体"/>
          <w:sz w:val="24"/>
          <w:lang w:val="zh-CN"/>
        </w:rPr>
        <w:t>;产品表面喷涂层应均匀，色泽统一，表面光滑、平整。无疤斑、无滴流、无明显凹凸、无熔渣；不得有剥落、气泡、裂纹、擦伤等表面缺陷；型材端部应打磨、去毛刺。保质期内护栏整体不得因技术质量出现锈迹、裂痕、脱漆（机械清洗车自动清洗不掉漆）和明显褪色。</w:t>
      </w:r>
    </w:p>
    <w:p w14:paraId="39A2882F">
      <w:pPr>
        <w:widowControl/>
        <w:spacing w:line="560" w:lineRule="exact"/>
        <w:ind w:firstLine="480" w:firstLineChars="200"/>
        <w:jc w:val="left"/>
        <w:rPr>
          <w:rFonts w:ascii="宋体" w:hAnsi="宋体" w:cs="宋体"/>
          <w:sz w:val="24"/>
          <w:lang w:val="zh-CN"/>
        </w:rPr>
      </w:pPr>
      <w:r>
        <w:rPr>
          <w:rFonts w:hint="eastAsia" w:ascii="宋体" w:hAnsi="宋体"/>
          <w:sz w:val="24"/>
        </w:rPr>
        <w:t>4.1 护栏整体：每片长3米、中间14条栅片、间隔均等。</w:t>
      </w:r>
    </w:p>
    <w:p w14:paraId="61DBD615">
      <w:pPr>
        <w:spacing w:line="560" w:lineRule="exact"/>
        <w:ind w:left="360" w:hanging="360" w:hangingChars="150"/>
        <w:rPr>
          <w:rFonts w:ascii="宋体" w:hAnsi="宋体"/>
        </w:rPr>
      </w:pPr>
      <w:r>
        <w:rPr>
          <w:rFonts w:hint="eastAsia" w:ascii="宋体" w:hAnsi="宋体"/>
          <w:sz w:val="24"/>
        </w:rPr>
        <w:t xml:space="preserve">    4.2 护栏立柱：</w:t>
      </w:r>
      <w:r>
        <w:rPr>
          <w:rFonts w:hint="eastAsia" w:ascii="宋体" w:hAnsi="宋体"/>
        </w:rPr>
        <w:t>立柱采用100*100*2.0mm镀锌方管，立柱垂直高度为1950mm，立柱预埋进基础200mm处，焊接200*100*5mm底板，底板上开有四个椭圆孔位，方便后期安装膨胀螺丝的固定。</w:t>
      </w:r>
    </w:p>
    <w:p w14:paraId="041C28F6">
      <w:pPr>
        <w:spacing w:line="560" w:lineRule="exact"/>
        <w:ind w:firstLine="200"/>
        <w:rPr>
          <w:rFonts w:ascii="宋体" w:hAnsi="宋体"/>
          <w:sz w:val="24"/>
        </w:rPr>
      </w:pPr>
      <w:r>
        <w:rPr>
          <w:rFonts w:hint="eastAsia" w:ascii="宋体" w:hAnsi="宋体"/>
          <w:sz w:val="24"/>
        </w:rPr>
        <w:t xml:space="preserve">  4.3边柱帽：采用金属冲压件二次冲压成型，帽顶与帽裙冲压结合后四角必须点焊后喷漆，帽裙口径为104X104mm。达到美观牢固，整体光滑，不得有机械冲压凹点。固定帽盖螺丝为304不锈钢螺丝。</w:t>
      </w:r>
    </w:p>
    <w:p w14:paraId="5F74E400">
      <w:pPr>
        <w:spacing w:line="560" w:lineRule="exact"/>
        <w:ind w:firstLine="480" w:firstLineChars="200"/>
        <w:rPr>
          <w:rFonts w:ascii="宋体" w:hAnsi="宋体"/>
          <w:sz w:val="24"/>
        </w:rPr>
      </w:pPr>
      <w:r>
        <w:rPr>
          <w:rFonts w:hint="eastAsia" w:ascii="宋体" w:hAnsi="宋体"/>
          <w:sz w:val="24"/>
        </w:rPr>
        <w:t>4.4栅片：使用56*30*1.0mm梅花管状栅片，垂直不变形。护栏栅片双面弧型突出。栅片焊接时，采用与横杆55*30*1.2椭圆管冲孔穿插焊接，接口焊接必须双面满焊。不得有间隙孔，不得使用其它物充填孔。</w:t>
      </w:r>
    </w:p>
    <w:p w14:paraId="57EC74F1">
      <w:pPr>
        <w:spacing w:line="560" w:lineRule="exact"/>
        <w:ind w:left="360" w:hanging="360" w:hangingChars="150"/>
        <w:rPr>
          <w:rFonts w:ascii="宋体" w:hAnsi="宋体"/>
          <w:sz w:val="24"/>
        </w:rPr>
      </w:pPr>
      <w:r>
        <w:rPr>
          <w:rFonts w:hint="eastAsia" w:ascii="宋体" w:hAnsi="宋体"/>
          <w:sz w:val="24"/>
        </w:rPr>
        <w:t xml:space="preserve">    4.5护栏各尺寸以所附的各尺寸图为准。</w:t>
      </w:r>
    </w:p>
    <w:p w14:paraId="04E9FD2C">
      <w:pPr>
        <w:spacing w:line="560" w:lineRule="exact"/>
        <w:ind w:firstLine="480" w:firstLineChars="200"/>
        <w:rPr>
          <w:rFonts w:ascii="宋体" w:hAnsi="宋体"/>
          <w:sz w:val="24"/>
        </w:rPr>
      </w:pPr>
      <w:r>
        <w:rPr>
          <w:rFonts w:hint="eastAsia" w:ascii="宋体" w:hAnsi="宋体"/>
          <w:sz w:val="24"/>
        </w:rPr>
        <w:t>4.6 围栏应为成品围栏（包含表面喷涂）</w:t>
      </w:r>
    </w:p>
    <w:p w14:paraId="713D2D98">
      <w:pPr>
        <w:spacing w:line="560" w:lineRule="exact"/>
        <w:ind w:firstLine="480" w:firstLineChars="200"/>
        <w:rPr>
          <w:rFonts w:ascii="宋体" w:hAnsi="宋体"/>
          <w:sz w:val="24"/>
        </w:rPr>
      </w:pPr>
      <w:r>
        <w:rPr>
          <w:rFonts w:hint="eastAsia" w:ascii="宋体" w:hAnsi="宋体"/>
          <w:sz w:val="24"/>
        </w:rPr>
        <w:t>5、分项报价</w:t>
      </w:r>
    </w:p>
    <w:p w14:paraId="30F4256C">
      <w:pPr>
        <w:spacing w:line="560" w:lineRule="exact"/>
        <w:ind w:firstLine="480" w:firstLineChars="200"/>
        <w:rPr>
          <w:rFonts w:ascii="宋体" w:hAnsi="宋体"/>
          <w:sz w:val="24"/>
        </w:rPr>
      </w:pPr>
      <w:r>
        <w:rPr>
          <w:rFonts w:hint="eastAsia" w:ascii="宋体" w:hAnsi="宋体"/>
          <w:sz w:val="24"/>
        </w:rPr>
        <w:t>供应商在报价时应按《建设工程工程量清单计价规范》（GB50500-2013）和竞争性</w:t>
      </w:r>
      <w:r>
        <w:rPr>
          <w:rFonts w:hint="eastAsia" w:ascii="宋体" w:hAnsi="宋体"/>
          <w:sz w:val="24"/>
          <w:lang w:eastAsia="zh-CN"/>
        </w:rPr>
        <w:t>谈判</w:t>
      </w:r>
      <w:r>
        <w:rPr>
          <w:rFonts w:hint="eastAsia" w:ascii="宋体" w:hAnsi="宋体"/>
          <w:sz w:val="24"/>
        </w:rPr>
        <w:t>文件规定的格式报价。分项报价表按照附件提供的工程量清单的格式进行填报，分别填报单价和合价，要求填报完整，漏报项视为价格已分摊到其他清单项中。</w:t>
      </w:r>
    </w:p>
    <w:p w14:paraId="67166AA3">
      <w:pPr>
        <w:spacing w:line="560" w:lineRule="exact"/>
        <w:ind w:firstLine="480" w:firstLineChars="200"/>
        <w:rPr>
          <w:rFonts w:ascii="宋体" w:hAnsi="宋体"/>
          <w:sz w:val="24"/>
        </w:rPr>
      </w:pPr>
      <w:r>
        <w:rPr>
          <w:rFonts w:hint="eastAsia" w:ascii="宋体" w:hAnsi="宋体"/>
          <w:sz w:val="24"/>
        </w:rPr>
        <w:t>特别说明：本工程供应商需提供完整响应文件的纸质版（PDF格式）。未提供或者提供内容不全的，将视为未响应采购文件要求，作为无效响应处理。</w:t>
      </w:r>
    </w:p>
    <w:p w14:paraId="2808C90B">
      <w:pPr>
        <w:spacing w:line="560" w:lineRule="exact"/>
        <w:ind w:right="124" w:rightChars="59" w:firstLine="480" w:firstLineChars="200"/>
        <w:contextualSpacing/>
        <w:rPr>
          <w:sz w:val="24"/>
        </w:rPr>
      </w:pPr>
      <w:r>
        <w:rPr>
          <w:rFonts w:hint="eastAsia"/>
          <w:sz w:val="24"/>
        </w:rPr>
        <w:t>6.履约保证金</w:t>
      </w:r>
    </w:p>
    <w:p w14:paraId="65E4AAA4">
      <w:pPr>
        <w:spacing w:line="560" w:lineRule="exact"/>
        <w:ind w:firstLine="480" w:firstLineChars="200"/>
        <w:contextualSpacing/>
        <w:rPr>
          <w:sz w:val="24"/>
        </w:rPr>
      </w:pPr>
      <w:bookmarkStart w:id="3" w:name="_Toc497145843"/>
      <w:r>
        <w:rPr>
          <w:rFonts w:hint="eastAsia"/>
          <w:sz w:val="24"/>
        </w:rPr>
        <w:t>6.1中标人在收到中标通知书后，须在签订合同前应向甲方缴纳合同金额10%的履约保证金。</w:t>
      </w:r>
    </w:p>
    <w:p w14:paraId="6C9354B9">
      <w:pPr>
        <w:spacing w:line="560" w:lineRule="exact"/>
        <w:ind w:firstLine="480" w:firstLineChars="200"/>
        <w:contextualSpacing/>
        <w:rPr>
          <w:sz w:val="24"/>
        </w:rPr>
      </w:pPr>
      <w:r>
        <w:rPr>
          <w:rFonts w:hint="eastAsia"/>
          <w:sz w:val="24"/>
        </w:rPr>
        <w:t>6.2履约保证金用以约束投标人在合同履行中的行为，弥补合同执行中由于自身行为可能给采购人带来的各种损失。如果中标投标人不同意按照规定去做，采购人有权取消本次采购中标决定。</w:t>
      </w:r>
    </w:p>
    <w:p w14:paraId="4AC7AB29">
      <w:pPr>
        <w:spacing w:line="560" w:lineRule="exact"/>
        <w:ind w:firstLine="480" w:firstLineChars="200"/>
        <w:contextualSpacing/>
        <w:rPr>
          <w:rFonts w:hint="eastAsia"/>
          <w:sz w:val="24"/>
        </w:rPr>
      </w:pPr>
      <w:r>
        <w:rPr>
          <w:rFonts w:hint="eastAsia"/>
          <w:sz w:val="24"/>
        </w:rPr>
        <w:t>6.3履约保证金的退还：质保期结束后且无遗留问题退还履约保证金。</w:t>
      </w:r>
    </w:p>
    <w:p w14:paraId="17C4504B">
      <w:pPr>
        <w:spacing w:line="440" w:lineRule="exact"/>
        <w:ind w:right="124" w:rightChars="59"/>
        <w:contextualSpacing/>
        <w:rPr>
          <w:b/>
          <w:sz w:val="28"/>
          <w:szCs w:val="28"/>
        </w:rPr>
      </w:pPr>
      <w:r>
        <w:rPr>
          <w:rFonts w:hint="eastAsia"/>
          <w:b/>
          <w:sz w:val="28"/>
          <w:szCs w:val="28"/>
        </w:rPr>
        <w:t>项目清单</w:t>
      </w:r>
    </w:p>
    <w:tbl>
      <w:tblPr>
        <w:tblStyle w:val="26"/>
        <w:tblW w:w="0" w:type="auto"/>
        <w:tblInd w:w="93" w:type="dxa"/>
        <w:tblLayout w:type="autofit"/>
        <w:tblCellMar>
          <w:top w:w="0" w:type="dxa"/>
          <w:left w:w="108" w:type="dxa"/>
          <w:bottom w:w="0" w:type="dxa"/>
          <w:right w:w="108" w:type="dxa"/>
        </w:tblCellMar>
      </w:tblPr>
      <w:tblGrid>
        <w:gridCol w:w="533"/>
        <w:gridCol w:w="855"/>
        <w:gridCol w:w="4439"/>
        <w:gridCol w:w="533"/>
        <w:gridCol w:w="795"/>
        <w:gridCol w:w="747"/>
        <w:gridCol w:w="533"/>
      </w:tblGrid>
      <w:tr w14:paraId="6036E4C1">
        <w:tblPrEx>
          <w:tblCellMar>
            <w:top w:w="0" w:type="dxa"/>
            <w:left w:w="108" w:type="dxa"/>
            <w:bottom w:w="0" w:type="dxa"/>
            <w:right w:w="108" w:type="dxa"/>
          </w:tblCellMar>
        </w:tblPrEx>
        <w:trPr>
          <w:trHeight w:val="8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0B0973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05F7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D24E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C497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计量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F2C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0949F">
            <w:pPr>
              <w:jc w:val="center"/>
              <w:rPr>
                <w:rFonts w:ascii="宋体" w:hAnsi="宋体" w:cs="宋体"/>
                <w:color w:val="000000"/>
                <w:szCs w:val="21"/>
              </w:rPr>
            </w:pPr>
            <w:r>
              <w:rPr>
                <w:rFonts w:hint="eastAsia" w:ascii="宋体" w:hAnsi="宋体" w:cs="宋体"/>
                <w:color w:val="000000"/>
                <w:szCs w:val="21"/>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88343">
            <w:pPr>
              <w:jc w:val="center"/>
              <w:rPr>
                <w:rFonts w:ascii="宋体" w:hAnsi="宋体" w:cs="宋体"/>
                <w:color w:val="000000"/>
                <w:szCs w:val="21"/>
              </w:rPr>
            </w:pPr>
            <w:r>
              <w:rPr>
                <w:rFonts w:hint="eastAsia" w:ascii="宋体" w:hAnsi="宋体" w:cs="宋体"/>
                <w:color w:val="000000"/>
                <w:szCs w:val="21"/>
              </w:rPr>
              <w:t>合计</w:t>
            </w:r>
          </w:p>
        </w:tc>
      </w:tr>
      <w:tr w14:paraId="7DC20B84">
        <w:tblPrEx>
          <w:tblCellMar>
            <w:top w:w="0" w:type="dxa"/>
            <w:left w:w="108" w:type="dxa"/>
            <w:bottom w:w="0" w:type="dxa"/>
            <w:right w:w="108" w:type="dxa"/>
          </w:tblCellMar>
        </w:tblPrEx>
        <w:trPr>
          <w:trHeight w:val="853"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1BDB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C1C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钢护栏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6D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1、钢材品种、规格：镀锌钢管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2、备注：包含柱帽、立柱、横杆、竖杆以及运输费和焊接、打磨抛光的全部施工内容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04A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56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BA81B">
            <w:pPr>
              <w:jc w:val="center"/>
              <w:rPr>
                <w:rFonts w:ascii="宋体" w:hAnsi="宋体"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0924">
            <w:pPr>
              <w:jc w:val="center"/>
              <w:rPr>
                <w:rFonts w:ascii="宋体" w:hAnsi="宋体" w:cs="宋体"/>
                <w:color w:val="000000"/>
                <w:szCs w:val="21"/>
              </w:rPr>
            </w:pPr>
          </w:p>
        </w:tc>
      </w:tr>
      <w:tr w14:paraId="4D5C637A">
        <w:tblPrEx>
          <w:tblCellMar>
            <w:top w:w="0" w:type="dxa"/>
            <w:left w:w="108" w:type="dxa"/>
            <w:bottom w:w="0" w:type="dxa"/>
            <w:right w:w="108" w:type="dxa"/>
          </w:tblCellMar>
        </w:tblPrEx>
        <w:trPr>
          <w:trHeight w:val="83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F3EB1B">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E1DC">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BFDF">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84B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C14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73C4">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D058">
            <w:pPr>
              <w:jc w:val="center"/>
              <w:rPr>
                <w:rFonts w:ascii="宋体" w:hAnsi="宋体" w:cs="宋体"/>
                <w:color w:val="000000"/>
                <w:szCs w:val="21"/>
              </w:rPr>
            </w:pPr>
          </w:p>
        </w:tc>
      </w:tr>
      <w:tr w14:paraId="52FBF6F6">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62593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6A3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金属面油漆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775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1、构件名称：护栏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2、油漆品种、刷漆遍数：超耐候性优质纯聚酯粉末静电喷涂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A0B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F36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C407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7442">
            <w:pPr>
              <w:jc w:val="center"/>
              <w:rPr>
                <w:rFonts w:ascii="宋体" w:hAnsi="宋体" w:cs="宋体"/>
                <w:color w:val="000000"/>
                <w:szCs w:val="21"/>
              </w:rPr>
            </w:pPr>
          </w:p>
        </w:tc>
      </w:tr>
      <w:tr w14:paraId="53148022">
        <w:tblPrEx>
          <w:tblCellMar>
            <w:top w:w="0" w:type="dxa"/>
            <w:left w:w="108" w:type="dxa"/>
            <w:bottom w:w="0" w:type="dxa"/>
            <w:right w:w="108" w:type="dxa"/>
          </w:tblCellMar>
        </w:tblPrEx>
        <w:trPr>
          <w:trHeight w:val="97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F761C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FF52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零星钢构件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9DE9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1、构件名称：底板+4φ14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2、钢材品种、规格：镀锌钢板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489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1E10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A548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9B21">
            <w:pPr>
              <w:jc w:val="center"/>
              <w:rPr>
                <w:rFonts w:ascii="宋体" w:hAnsi="宋体" w:cs="宋体"/>
                <w:color w:val="000000"/>
                <w:szCs w:val="21"/>
              </w:rPr>
            </w:pPr>
          </w:p>
        </w:tc>
      </w:tr>
      <w:tr w14:paraId="6738F9D0">
        <w:tblPrEx>
          <w:tblCellMar>
            <w:top w:w="0" w:type="dxa"/>
            <w:left w:w="108" w:type="dxa"/>
            <w:bottom w:w="0" w:type="dxa"/>
            <w:right w:w="108" w:type="dxa"/>
          </w:tblCellMar>
        </w:tblPrEx>
        <w:trPr>
          <w:trHeight w:val="3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4B01481">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DF1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挡土墙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361EC">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8C23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EB45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58087">
            <w:pPr>
              <w:jc w:val="center"/>
              <w:rPr>
                <w:rFonts w:ascii="宋体" w:hAnsi="宋体" w:cs="宋体"/>
                <w:color w:val="000000"/>
                <w:szCs w:val="21"/>
              </w:rPr>
            </w:pPr>
          </w:p>
        </w:tc>
      </w:tr>
      <w:tr w14:paraId="65CC7FEA">
        <w:tblPrEx>
          <w:tblCellMar>
            <w:top w:w="0" w:type="dxa"/>
            <w:left w:w="108" w:type="dxa"/>
            <w:bottom w:w="0" w:type="dxa"/>
            <w:right w:w="108" w:type="dxa"/>
          </w:tblCellMar>
        </w:tblPrEx>
        <w:trPr>
          <w:trHeight w:val="97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FC5EC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8F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BC0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1、混凝土种类：商品砼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A29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CD9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8A4B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C5312">
            <w:pPr>
              <w:jc w:val="center"/>
              <w:rPr>
                <w:rFonts w:ascii="宋体" w:hAnsi="宋体" w:cs="宋体"/>
                <w:color w:val="000000"/>
                <w:szCs w:val="21"/>
              </w:rPr>
            </w:pPr>
          </w:p>
        </w:tc>
      </w:tr>
      <w:tr w14:paraId="06ECF493">
        <w:tblPrEx>
          <w:tblCellMar>
            <w:top w:w="0" w:type="dxa"/>
            <w:left w:w="108" w:type="dxa"/>
            <w:bottom w:w="0" w:type="dxa"/>
            <w:right w:w="108" w:type="dxa"/>
          </w:tblCellMar>
        </w:tblPrEx>
        <w:trPr>
          <w:trHeight w:val="122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4AD61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B3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砖基础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0AC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1、砖品种、规格、强度等级：MU15混凝土砖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2、基础类型：条形基础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6A5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DA6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9F11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1C089">
            <w:pPr>
              <w:jc w:val="center"/>
              <w:rPr>
                <w:rFonts w:ascii="宋体" w:hAnsi="宋体" w:cs="宋体"/>
                <w:color w:val="000000"/>
                <w:szCs w:val="21"/>
              </w:rPr>
            </w:pPr>
          </w:p>
        </w:tc>
      </w:tr>
      <w:tr w14:paraId="6710296B">
        <w:tblPrEx>
          <w:tblCellMar>
            <w:top w:w="0" w:type="dxa"/>
            <w:left w:w="108" w:type="dxa"/>
            <w:bottom w:w="0" w:type="dxa"/>
            <w:right w:w="108" w:type="dxa"/>
          </w:tblCellMar>
        </w:tblPrEx>
        <w:trPr>
          <w:trHeight w:val="122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F9B37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58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实心砖墙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3B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1、砖品种、规格、强度等级：MU15混凝土砖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2、墙体类型：挡土墙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F67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3DC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1D189">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6C7EB">
            <w:pPr>
              <w:jc w:val="center"/>
              <w:rPr>
                <w:rFonts w:ascii="宋体" w:hAnsi="宋体" w:cs="宋体"/>
                <w:color w:val="000000"/>
                <w:szCs w:val="21"/>
              </w:rPr>
            </w:pPr>
          </w:p>
        </w:tc>
      </w:tr>
      <w:tr w14:paraId="756D37BB">
        <w:tblPrEx>
          <w:tblCellMar>
            <w:top w:w="0" w:type="dxa"/>
            <w:left w:w="108" w:type="dxa"/>
            <w:bottom w:w="0" w:type="dxa"/>
            <w:right w:w="108" w:type="dxa"/>
          </w:tblCellMar>
        </w:tblPrEx>
        <w:trPr>
          <w:trHeight w:val="1074"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F7637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A4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抹灰面油漆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F69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1、刷聚合物水泥砂浆一道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2、5厚聚合物防水砂浆打底扫毛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3、刷素水泥浆一道（内掺建筑胶）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4、12厚聚合物防水砂浆找平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5、涂料饰面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51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4C5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A666">
            <w:pPr>
              <w:jc w:val="center"/>
              <w:rPr>
                <w:rFonts w:ascii="宋体" w:hAnsi="宋体"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BCF5D">
            <w:pPr>
              <w:jc w:val="center"/>
              <w:rPr>
                <w:rFonts w:ascii="宋体" w:hAnsi="宋体" w:cs="宋体"/>
                <w:color w:val="000000"/>
                <w:szCs w:val="21"/>
              </w:rPr>
            </w:pPr>
          </w:p>
        </w:tc>
      </w:tr>
      <w:tr w14:paraId="26038906">
        <w:tblPrEx>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AA4613">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AD00">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90B1">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725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3705">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A901">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0F7A">
            <w:pPr>
              <w:jc w:val="center"/>
              <w:rPr>
                <w:rFonts w:ascii="宋体" w:hAnsi="宋体" w:cs="宋体"/>
                <w:color w:val="000000"/>
                <w:szCs w:val="21"/>
              </w:rPr>
            </w:pPr>
          </w:p>
        </w:tc>
      </w:tr>
      <w:tr w14:paraId="52B6569E">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E858E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7B1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36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1、混凝土种类：商品砼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BB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C2C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E7487">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AE4AF">
            <w:pPr>
              <w:jc w:val="center"/>
              <w:rPr>
                <w:rFonts w:ascii="宋体" w:hAnsi="宋体" w:cs="宋体"/>
                <w:color w:val="000000"/>
                <w:szCs w:val="21"/>
              </w:rPr>
            </w:pPr>
          </w:p>
        </w:tc>
      </w:tr>
      <w:tr w14:paraId="642E1CCB">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CDE115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1A0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暂列金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DBE9C">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1A8F6">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46AF3">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72A1">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61CC">
            <w:pPr>
              <w:jc w:val="center"/>
              <w:rPr>
                <w:rFonts w:ascii="宋体" w:hAnsi="宋体" w:cs="宋体"/>
                <w:color w:val="000000"/>
                <w:szCs w:val="21"/>
              </w:rPr>
            </w:pPr>
          </w:p>
        </w:tc>
      </w:tr>
      <w:tr w14:paraId="5235F57D">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AAF1C8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3EF4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77900">
            <w:pPr>
              <w:jc w:val="center"/>
              <w:rPr>
                <w:rFonts w:ascii="宋体" w:hAnsi="宋体" w:cs="宋体"/>
                <w:color w:val="000000"/>
                <w:szCs w:val="21"/>
              </w:rPr>
            </w:pPr>
          </w:p>
        </w:tc>
      </w:tr>
    </w:tbl>
    <w:p w14:paraId="166AEE99">
      <w:pPr>
        <w:rPr>
          <w:rFonts w:ascii="宋体" w:hAnsi="宋体"/>
          <w:bCs/>
          <w:sz w:val="30"/>
          <w:szCs w:val="30"/>
        </w:rPr>
      </w:pPr>
      <w:r>
        <w:rPr>
          <w:rFonts w:hint="eastAsia" w:ascii="宋体" w:hAnsi="宋体"/>
          <w:bCs/>
          <w:sz w:val="30"/>
          <w:szCs w:val="30"/>
        </w:rPr>
        <w:t>报价包含人工费、设备机具使用费、税费、措施费、辅材费等。为完成该项目所需的所有费用皆包含在内，不再为额外项目付费。</w:t>
      </w:r>
    </w:p>
    <w:p w14:paraId="772F95CC">
      <w:pPr>
        <w:rPr>
          <w:rFonts w:ascii="宋体" w:hAnsi="宋体"/>
          <w:b/>
          <w:bCs/>
          <w:sz w:val="36"/>
        </w:rPr>
      </w:pPr>
      <w:r>
        <w:rPr>
          <w:rFonts w:hint="eastAsia" w:ascii="宋体" w:hAnsi="宋体"/>
          <w:b/>
          <w:bCs/>
          <w:sz w:val="36"/>
        </w:rPr>
        <w:br w:type="page"/>
      </w:r>
    </w:p>
    <w:p w14:paraId="4C0B494E">
      <w:pPr>
        <w:jc w:val="center"/>
        <w:rPr>
          <w:b/>
          <w:sz w:val="32"/>
          <w:szCs w:val="32"/>
        </w:rPr>
      </w:pPr>
      <w:r>
        <w:rPr>
          <w:rFonts w:hint="eastAsia"/>
          <w:b/>
          <w:sz w:val="32"/>
          <w:szCs w:val="32"/>
        </w:rPr>
        <w:t>三 评审方法</w:t>
      </w:r>
      <w:bookmarkEnd w:id="3"/>
    </w:p>
    <w:p w14:paraId="47DEC89F">
      <w:pPr>
        <w:pStyle w:val="63"/>
        <w:ind w:firstLine="482" w:firstLineChars="200"/>
        <w:rPr>
          <w:rFonts w:ascii="宋体" w:hAnsi="宋体"/>
          <w:b/>
          <w:kern w:val="2"/>
        </w:rPr>
      </w:pPr>
      <w:r>
        <w:rPr>
          <w:rFonts w:hint="eastAsia" w:ascii="宋体" w:hAnsi="宋体"/>
          <w:b/>
          <w:kern w:val="2"/>
        </w:rPr>
        <w:t>一、评审方法</w:t>
      </w:r>
    </w:p>
    <w:p w14:paraId="00FAF6AC">
      <w:pPr>
        <w:spacing w:line="360" w:lineRule="auto"/>
        <w:ind w:firstLine="480" w:firstLineChars="200"/>
        <w:rPr>
          <w:sz w:val="24"/>
        </w:rPr>
      </w:pPr>
      <w:r>
        <w:rPr>
          <w:rFonts w:hint="eastAsia"/>
          <w:sz w:val="24"/>
        </w:rPr>
        <w:t>本项目采用综合评分法，评委会将对确定为实质性响应</w:t>
      </w:r>
      <w:r>
        <w:rPr>
          <w:rFonts w:hint="eastAsia"/>
          <w:sz w:val="24"/>
          <w:lang w:eastAsia="zh-CN"/>
        </w:rPr>
        <w:t>谈判</w:t>
      </w:r>
      <w:r>
        <w:rPr>
          <w:rFonts w:hint="eastAsia"/>
          <w:sz w:val="24"/>
        </w:rPr>
        <w:t>文件要求的响应文件进行评价和比较。评审结果按评审后得分由高到低顺序排列。得分相同的，按最终报价单价由高到低顺序排列，得分且最终报价相同的并列。响应文件满足</w:t>
      </w:r>
      <w:r>
        <w:rPr>
          <w:rFonts w:hint="eastAsia"/>
          <w:sz w:val="24"/>
          <w:lang w:eastAsia="zh-CN"/>
        </w:rPr>
        <w:t>谈判</w:t>
      </w:r>
      <w:r>
        <w:rPr>
          <w:rFonts w:hint="eastAsia"/>
          <w:sz w:val="24"/>
        </w:rPr>
        <w:t>文件全部实质性要求，且按照评审因素的量化指标评审得分最高的供应商为排名第一的成交候选人。</w:t>
      </w:r>
    </w:p>
    <w:p w14:paraId="2CD8D719">
      <w:pPr>
        <w:numPr>
          <w:ilvl w:val="0"/>
          <w:numId w:val="2"/>
        </w:numPr>
        <w:spacing w:line="360" w:lineRule="auto"/>
        <w:ind w:firstLine="482" w:firstLineChars="200"/>
        <w:rPr>
          <w:rFonts w:ascii="宋体" w:hAnsi="宋体"/>
          <w:b/>
          <w:sz w:val="24"/>
        </w:rPr>
      </w:pPr>
      <w:bookmarkStart w:id="4" w:name="_Toc449017024"/>
      <w:bookmarkStart w:id="5" w:name="_Toc449016388"/>
      <w:r>
        <w:rPr>
          <w:rFonts w:hint="eastAsia" w:ascii="宋体" w:hAnsi="宋体"/>
          <w:b/>
          <w:sz w:val="24"/>
        </w:rPr>
        <w:t>落实政府采购政策</w:t>
      </w:r>
      <w:r>
        <w:rPr>
          <w:rFonts w:ascii="宋体" w:hAnsi="宋体"/>
          <w:b/>
          <w:sz w:val="24"/>
        </w:rPr>
        <w:t>及政府采购不诚信记录扣分评审</w:t>
      </w:r>
      <w:bookmarkEnd w:id="4"/>
      <w:bookmarkEnd w:id="5"/>
    </w:p>
    <w:p w14:paraId="522E3534">
      <w:pPr>
        <w:numPr>
          <w:ilvl w:val="0"/>
          <w:numId w:val="3"/>
        </w:numPr>
        <w:spacing w:line="360" w:lineRule="auto"/>
        <w:ind w:firstLine="482" w:firstLineChars="200"/>
        <w:rPr>
          <w:rFonts w:ascii="宋体" w:hAnsi="宋体"/>
          <w:b/>
          <w:sz w:val="24"/>
        </w:rPr>
      </w:pPr>
      <w:r>
        <w:rPr>
          <w:rFonts w:hint="eastAsia"/>
          <w:b/>
          <w:sz w:val="24"/>
        </w:rPr>
        <w:t>评分标准</w:t>
      </w:r>
    </w:p>
    <w:tbl>
      <w:tblPr>
        <w:tblStyle w:val="26"/>
        <w:tblW w:w="51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1"/>
        <w:gridCol w:w="1356"/>
        <w:gridCol w:w="6085"/>
      </w:tblGrid>
      <w:tr w14:paraId="1925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blHeader/>
          <w:jc w:val="center"/>
        </w:trPr>
        <w:tc>
          <w:tcPr>
            <w:tcW w:w="1321" w:type="dxa"/>
            <w:vAlign w:val="center"/>
          </w:tcPr>
          <w:p w14:paraId="65EAB03D">
            <w:pPr>
              <w:jc w:val="center"/>
              <w:rPr>
                <w:rFonts w:ascii="宋体" w:hAnsi="宋体" w:cs="宋体"/>
                <w:b/>
                <w:bCs/>
                <w:color w:val="000000"/>
                <w:szCs w:val="21"/>
              </w:rPr>
            </w:pPr>
            <w:r>
              <w:rPr>
                <w:rFonts w:hint="eastAsia" w:ascii="宋体" w:hAnsi="宋体" w:cs="宋体"/>
                <w:b/>
                <w:bCs/>
                <w:color w:val="000000"/>
                <w:szCs w:val="21"/>
              </w:rPr>
              <w:t>评分标准</w:t>
            </w:r>
          </w:p>
        </w:tc>
        <w:tc>
          <w:tcPr>
            <w:tcW w:w="7441" w:type="dxa"/>
            <w:gridSpan w:val="2"/>
            <w:vAlign w:val="center"/>
          </w:tcPr>
          <w:p w14:paraId="66A9A111">
            <w:pPr>
              <w:jc w:val="center"/>
              <w:rPr>
                <w:rFonts w:ascii="宋体" w:hAnsi="宋体" w:cs="宋体"/>
                <w:b/>
                <w:bCs/>
                <w:color w:val="000000"/>
                <w:szCs w:val="21"/>
              </w:rPr>
            </w:pPr>
            <w:r>
              <w:rPr>
                <w:rFonts w:hint="eastAsia" w:ascii="宋体" w:hAnsi="宋体" w:cs="宋体"/>
                <w:b/>
                <w:bCs/>
                <w:color w:val="000000"/>
                <w:szCs w:val="21"/>
              </w:rPr>
              <w:t>评分细则</w:t>
            </w:r>
          </w:p>
        </w:tc>
      </w:tr>
      <w:tr w14:paraId="0CB4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4C678EA1">
            <w:pPr>
              <w:jc w:val="center"/>
              <w:rPr>
                <w:rFonts w:ascii="宋体" w:hAnsi="宋体" w:cs="宋体"/>
                <w:color w:val="000000"/>
                <w:szCs w:val="21"/>
              </w:rPr>
            </w:pPr>
            <w:r>
              <w:rPr>
                <w:rFonts w:hint="eastAsia" w:ascii="宋体" w:hAnsi="宋体" w:cs="宋体"/>
                <w:color w:val="000000"/>
                <w:szCs w:val="21"/>
              </w:rPr>
              <w:t>价格分</w:t>
            </w:r>
          </w:p>
          <w:p w14:paraId="7EEB595E">
            <w:pPr>
              <w:jc w:val="center"/>
              <w:rPr>
                <w:rFonts w:ascii="宋体" w:hAnsi="宋体" w:cs="宋体"/>
                <w:color w:val="000000"/>
                <w:szCs w:val="21"/>
              </w:rPr>
            </w:pPr>
            <w:r>
              <w:rPr>
                <w:rFonts w:hint="eastAsia" w:ascii="宋体" w:hAnsi="宋体" w:cs="宋体"/>
                <w:color w:val="000000"/>
                <w:szCs w:val="21"/>
              </w:rPr>
              <w:t>（30分）</w:t>
            </w:r>
          </w:p>
        </w:tc>
        <w:tc>
          <w:tcPr>
            <w:tcW w:w="7441" w:type="dxa"/>
            <w:gridSpan w:val="2"/>
            <w:vAlign w:val="center"/>
          </w:tcPr>
          <w:p w14:paraId="761A1284">
            <w:pPr>
              <w:rPr>
                <w:rFonts w:ascii="宋体" w:hAnsi="宋体" w:cs="宋体"/>
                <w:color w:val="000000"/>
                <w:szCs w:val="21"/>
              </w:rPr>
            </w:pPr>
            <w:r>
              <w:rPr>
                <w:rFonts w:hint="eastAsia" w:ascii="宋体" w:hAnsi="宋体" w:cs="宋体"/>
                <w:color w:val="000000"/>
                <w:szCs w:val="21"/>
              </w:rPr>
              <w:t>以满足</w:t>
            </w:r>
            <w:r>
              <w:rPr>
                <w:rFonts w:hint="eastAsia" w:ascii="宋体" w:hAnsi="宋体" w:cs="宋体"/>
                <w:color w:val="000000"/>
                <w:szCs w:val="21"/>
                <w:lang w:eastAsia="zh-CN"/>
              </w:rPr>
              <w:t>谈判</w:t>
            </w:r>
            <w:r>
              <w:rPr>
                <w:rFonts w:hint="eastAsia" w:ascii="宋体" w:hAnsi="宋体" w:cs="宋体"/>
                <w:color w:val="000000"/>
                <w:szCs w:val="21"/>
              </w:rPr>
              <w:t>文件要求且最终报价最低的供应商的价格为基准价，其价格分得满分30分。其他供应商价格得分统一按下列公式计算：报价得分=（基准价/其他最后报价）×30×100%（保留两位有效小数）</w:t>
            </w:r>
          </w:p>
          <w:p w14:paraId="43D42080">
            <w:pPr>
              <w:rPr>
                <w:rFonts w:ascii="宋体" w:hAnsi="宋体" w:cs="宋体"/>
                <w:color w:val="000000"/>
                <w:szCs w:val="21"/>
              </w:rPr>
            </w:pPr>
            <w:r>
              <w:rPr>
                <w:rFonts w:hint="eastAsia" w:ascii="宋体" w:hAnsi="宋体" w:cs="宋体"/>
                <w:b/>
                <w:bCs/>
                <w:color w:val="000000"/>
                <w:szCs w:val="21"/>
              </w:rPr>
              <w:t>注：</w:t>
            </w:r>
            <w:r>
              <w:rPr>
                <w:rFonts w:hint="eastAsia" w:ascii="宋体" w:hAnsi="宋体" w:cs="宋体"/>
                <w:b/>
                <w:bCs/>
                <w:color w:val="000000"/>
                <w:szCs w:val="21"/>
                <w:lang w:eastAsia="zh-CN"/>
              </w:rPr>
              <w:t>谈判</w:t>
            </w:r>
            <w:r>
              <w:rPr>
                <w:rFonts w:hint="eastAsia" w:ascii="宋体" w:hAnsi="宋体" w:cs="宋体"/>
                <w:b/>
                <w:bCs/>
                <w:color w:val="000000"/>
                <w:szCs w:val="21"/>
              </w:rPr>
              <w:t>小组认为供应商的报价明显低于其他通过符合性审查供应商的报价，有可能影响工程质量或者不能诚信履约的，且供应商不能在评审合理的时间内证明其报价合理性的，</w:t>
            </w:r>
            <w:r>
              <w:rPr>
                <w:rFonts w:hint="eastAsia" w:ascii="宋体" w:hAnsi="宋体" w:cs="宋体"/>
                <w:b/>
                <w:bCs/>
                <w:color w:val="000000"/>
                <w:szCs w:val="21"/>
                <w:lang w:eastAsia="zh-CN"/>
              </w:rPr>
              <w:t>谈判</w:t>
            </w:r>
            <w:r>
              <w:rPr>
                <w:rFonts w:hint="eastAsia" w:ascii="宋体" w:hAnsi="宋体" w:cs="宋体"/>
                <w:b/>
                <w:bCs/>
                <w:color w:val="000000"/>
                <w:szCs w:val="21"/>
              </w:rPr>
              <w:t>小组有权将其作为无效响应处理。</w:t>
            </w:r>
          </w:p>
        </w:tc>
      </w:tr>
      <w:tr w14:paraId="054D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vAlign w:val="center"/>
          </w:tcPr>
          <w:p w14:paraId="642C5E35">
            <w:pPr>
              <w:jc w:val="center"/>
              <w:rPr>
                <w:rFonts w:ascii="宋体" w:hAnsi="宋体" w:cs="宋体"/>
                <w:color w:val="000000"/>
                <w:szCs w:val="21"/>
              </w:rPr>
            </w:pPr>
            <w:r>
              <w:rPr>
                <w:rFonts w:hint="eastAsia" w:ascii="宋体" w:hAnsi="宋体" w:cs="宋体"/>
                <w:color w:val="000000"/>
                <w:szCs w:val="21"/>
              </w:rPr>
              <w:t>项目实施方案</w:t>
            </w:r>
          </w:p>
          <w:p w14:paraId="780C65FA">
            <w:pPr>
              <w:jc w:val="center"/>
              <w:rPr>
                <w:rFonts w:ascii="宋体" w:hAnsi="宋体" w:cs="宋体"/>
                <w:color w:val="000000"/>
                <w:szCs w:val="21"/>
              </w:rPr>
            </w:pPr>
            <w:r>
              <w:rPr>
                <w:rFonts w:hint="eastAsia" w:ascii="宋体" w:hAnsi="宋体" w:cs="宋体"/>
                <w:color w:val="000000"/>
                <w:szCs w:val="21"/>
              </w:rPr>
              <w:t>（55分）</w:t>
            </w:r>
          </w:p>
        </w:tc>
        <w:tc>
          <w:tcPr>
            <w:tcW w:w="1356" w:type="dxa"/>
            <w:vAlign w:val="center"/>
          </w:tcPr>
          <w:p w14:paraId="06929C57">
            <w:pPr>
              <w:jc w:val="center"/>
              <w:rPr>
                <w:rFonts w:ascii="宋体" w:hAnsi="宋体" w:cs="宋体"/>
                <w:color w:val="000000"/>
                <w:spacing w:val="-6"/>
                <w:szCs w:val="21"/>
              </w:rPr>
            </w:pPr>
            <w:r>
              <w:rPr>
                <w:rFonts w:hint="eastAsia" w:ascii="宋体" w:hAnsi="宋体" w:cs="宋体"/>
                <w:color w:val="000000"/>
                <w:spacing w:val="-6"/>
                <w:szCs w:val="21"/>
              </w:rPr>
              <w:t>施工总体部署</w:t>
            </w:r>
          </w:p>
          <w:p w14:paraId="28CC356A">
            <w:pPr>
              <w:jc w:val="center"/>
              <w:rPr>
                <w:rFonts w:ascii="宋体" w:hAnsi="宋体" w:cs="宋体"/>
                <w:color w:val="000000"/>
                <w:szCs w:val="21"/>
              </w:rPr>
            </w:pPr>
            <w:r>
              <w:rPr>
                <w:rFonts w:hint="eastAsia" w:ascii="宋体" w:hAnsi="宋体" w:cs="宋体"/>
                <w:color w:val="000000"/>
                <w:szCs w:val="21"/>
              </w:rPr>
              <w:t>（9分）</w:t>
            </w:r>
          </w:p>
        </w:tc>
        <w:tc>
          <w:tcPr>
            <w:tcW w:w="6085" w:type="dxa"/>
            <w:vAlign w:val="center"/>
          </w:tcPr>
          <w:p w14:paraId="59526E5E">
            <w:pPr>
              <w:rPr>
                <w:rFonts w:ascii="宋体" w:hAnsi="宋体" w:cs="宋体"/>
                <w:color w:val="000000"/>
                <w:szCs w:val="21"/>
              </w:rPr>
            </w:pPr>
            <w:r>
              <w:rPr>
                <w:rFonts w:hint="eastAsia" w:ascii="宋体" w:hAnsi="宋体" w:cs="宋体"/>
                <w:color w:val="000000"/>
                <w:szCs w:val="21"/>
              </w:rPr>
              <w:t>工程概述、总体安排、施工部署及施工段划分科学、严密、合理，有针对医院特殊场所施工和减少影响医院业务开展详细措施，描述详细具体的，得9分；</w:t>
            </w:r>
          </w:p>
          <w:p w14:paraId="6E1DAB46">
            <w:pPr>
              <w:rPr>
                <w:rFonts w:ascii="宋体" w:hAnsi="宋体" w:cs="宋体"/>
                <w:color w:val="000000"/>
                <w:szCs w:val="21"/>
              </w:rPr>
            </w:pPr>
            <w:r>
              <w:rPr>
                <w:rFonts w:hint="eastAsia" w:ascii="宋体" w:hAnsi="宋体" w:cs="宋体"/>
                <w:color w:val="000000"/>
                <w:szCs w:val="21"/>
              </w:rPr>
              <w:t>工程概述、总体安排、施工部署及施工段划分基本科学、严密、合理，考虑医院特殊场所安拆和医院临床业务开展特殊性，但措施不够具体详实的，得6分；</w:t>
            </w:r>
          </w:p>
          <w:p w14:paraId="3035714E">
            <w:pPr>
              <w:rPr>
                <w:rFonts w:ascii="宋体" w:hAnsi="宋体" w:cs="宋体"/>
                <w:color w:val="000000"/>
                <w:szCs w:val="21"/>
              </w:rPr>
            </w:pPr>
            <w:r>
              <w:rPr>
                <w:rFonts w:hint="eastAsia" w:ascii="宋体" w:hAnsi="宋体" w:cs="宋体"/>
                <w:color w:val="000000"/>
                <w:szCs w:val="21"/>
              </w:rPr>
              <w:t>工程概述、总体安排、施工部署及施工段划分一般，未考虑医院特殊场所安拆和医院临床业务开展特殊性的，得4分；</w:t>
            </w:r>
          </w:p>
          <w:p w14:paraId="2B8332AE">
            <w:pPr>
              <w:rPr>
                <w:rFonts w:ascii="宋体" w:hAnsi="宋体" w:cs="宋体"/>
                <w:color w:val="000000"/>
                <w:szCs w:val="21"/>
              </w:rPr>
            </w:pPr>
            <w:r>
              <w:rPr>
                <w:rFonts w:hint="eastAsia" w:ascii="宋体" w:hAnsi="宋体" w:cs="宋体"/>
                <w:color w:val="000000"/>
                <w:szCs w:val="21"/>
              </w:rPr>
              <w:t>工程概述、总体安排、施工部署及施工段划分存在不合理、描述欠缺、存在一定的实施难度的，得2分；</w:t>
            </w:r>
          </w:p>
          <w:p w14:paraId="295F85DA">
            <w:pPr>
              <w:rPr>
                <w:rFonts w:ascii="宋体" w:hAnsi="宋体" w:cs="宋体"/>
                <w:color w:val="000000"/>
                <w:szCs w:val="21"/>
              </w:rPr>
            </w:pPr>
            <w:r>
              <w:rPr>
                <w:rFonts w:hint="eastAsia" w:ascii="宋体" w:hAnsi="宋体" w:cs="宋体"/>
                <w:color w:val="000000"/>
                <w:szCs w:val="21"/>
              </w:rPr>
              <w:t>工程概述、总体安排、施工部署及施工段划分严重不合理或未提供不得分。</w:t>
            </w:r>
          </w:p>
        </w:tc>
      </w:tr>
      <w:tr w14:paraId="13B8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53E034B">
            <w:pPr>
              <w:jc w:val="center"/>
              <w:rPr>
                <w:rFonts w:ascii="宋体" w:hAnsi="宋体" w:cs="宋体"/>
                <w:color w:val="000000"/>
                <w:szCs w:val="21"/>
              </w:rPr>
            </w:pPr>
          </w:p>
        </w:tc>
        <w:tc>
          <w:tcPr>
            <w:tcW w:w="1356" w:type="dxa"/>
            <w:vAlign w:val="center"/>
          </w:tcPr>
          <w:p w14:paraId="0FFCA946">
            <w:pPr>
              <w:jc w:val="center"/>
              <w:rPr>
                <w:rFonts w:ascii="宋体" w:hAnsi="宋体" w:cs="宋体"/>
                <w:color w:val="000000"/>
                <w:szCs w:val="21"/>
              </w:rPr>
            </w:pPr>
            <w:r>
              <w:rPr>
                <w:rFonts w:hint="eastAsia" w:ascii="宋体" w:hAnsi="宋体" w:cs="宋体"/>
                <w:color w:val="000000"/>
                <w:szCs w:val="21"/>
              </w:rPr>
              <w:t>关键施工技术、工艺及工程项目实施的重点、难点和解决方案</w:t>
            </w:r>
          </w:p>
          <w:p w14:paraId="58537F71">
            <w:pPr>
              <w:jc w:val="center"/>
              <w:rPr>
                <w:rFonts w:ascii="宋体" w:hAnsi="宋体" w:cs="宋体"/>
                <w:color w:val="000000"/>
                <w:szCs w:val="21"/>
              </w:rPr>
            </w:pPr>
            <w:r>
              <w:rPr>
                <w:rFonts w:hint="eastAsia" w:ascii="宋体" w:hAnsi="宋体" w:cs="宋体"/>
                <w:color w:val="000000"/>
                <w:szCs w:val="21"/>
              </w:rPr>
              <w:t>（9分）</w:t>
            </w:r>
          </w:p>
        </w:tc>
        <w:tc>
          <w:tcPr>
            <w:tcW w:w="6085" w:type="dxa"/>
            <w:vAlign w:val="center"/>
          </w:tcPr>
          <w:p w14:paraId="17D46F86">
            <w:pPr>
              <w:rPr>
                <w:rFonts w:ascii="宋体" w:hAnsi="宋体" w:cs="宋体"/>
                <w:color w:val="000000"/>
                <w:szCs w:val="21"/>
              </w:rPr>
            </w:pPr>
            <w:r>
              <w:rPr>
                <w:rFonts w:hint="eastAsia" w:ascii="宋体" w:hAnsi="宋体" w:cs="宋体"/>
                <w:color w:val="000000"/>
                <w:szCs w:val="21"/>
              </w:rPr>
              <w:t>主要分部、分项施工方案科学、严密、合理，有针对特殊区域的施工方案，并充分减少对临床业务开展影响，且切实可行，描述详细的得9分；</w:t>
            </w:r>
          </w:p>
          <w:p w14:paraId="226F06E1">
            <w:pPr>
              <w:rPr>
                <w:rFonts w:ascii="宋体" w:hAnsi="宋体" w:cs="宋体"/>
                <w:color w:val="000000"/>
                <w:szCs w:val="21"/>
              </w:rPr>
            </w:pPr>
            <w:r>
              <w:rPr>
                <w:rFonts w:hint="eastAsia" w:ascii="宋体" w:hAnsi="宋体" w:cs="宋体"/>
                <w:color w:val="000000"/>
                <w:szCs w:val="21"/>
              </w:rPr>
              <w:t>主要分部、分项施工方案较科学、严密、合理，有针对特殊区域的施工方案，但存在一定施工难度，描述详细得6分；</w:t>
            </w:r>
          </w:p>
          <w:p w14:paraId="5B11754F">
            <w:pPr>
              <w:rPr>
                <w:rFonts w:ascii="宋体" w:hAnsi="宋体" w:cs="宋体"/>
                <w:color w:val="000000"/>
                <w:szCs w:val="21"/>
              </w:rPr>
            </w:pPr>
            <w:r>
              <w:rPr>
                <w:rFonts w:hint="eastAsia" w:ascii="宋体" w:hAnsi="宋体" w:cs="宋体"/>
                <w:color w:val="000000"/>
                <w:szCs w:val="21"/>
              </w:rPr>
              <w:t>主要分部、分项施工方案基本合理、描述一般、存在可操作性，有针对特殊区域单独的施工方案，描述详细得4分；</w:t>
            </w:r>
          </w:p>
          <w:p w14:paraId="17C2C9A9">
            <w:pPr>
              <w:rPr>
                <w:rFonts w:ascii="宋体" w:hAnsi="宋体" w:cs="宋体"/>
                <w:color w:val="000000"/>
                <w:szCs w:val="21"/>
              </w:rPr>
            </w:pPr>
            <w:r>
              <w:rPr>
                <w:rFonts w:hint="eastAsia" w:ascii="宋体" w:hAnsi="宋体" w:cs="宋体"/>
                <w:color w:val="000000"/>
                <w:szCs w:val="21"/>
              </w:rPr>
              <w:t>主要分部、分项施工方案具有不合理项、描述略欠缺、存在一定的实施难度得2分；</w:t>
            </w:r>
          </w:p>
          <w:p w14:paraId="0F501A54">
            <w:pPr>
              <w:rPr>
                <w:rFonts w:ascii="宋体" w:hAnsi="宋体" w:cs="宋体"/>
                <w:color w:val="000000"/>
                <w:szCs w:val="21"/>
              </w:rPr>
            </w:pPr>
            <w:r>
              <w:rPr>
                <w:rFonts w:hint="eastAsia" w:ascii="宋体" w:hAnsi="宋体" w:cs="宋体"/>
                <w:color w:val="000000"/>
                <w:szCs w:val="21"/>
              </w:rPr>
              <w:t>方案存在严重不合理或未提供不得分。</w:t>
            </w:r>
          </w:p>
        </w:tc>
      </w:tr>
      <w:tr w14:paraId="2144C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16077BE9">
            <w:pPr>
              <w:jc w:val="center"/>
              <w:rPr>
                <w:rFonts w:ascii="宋体" w:hAnsi="宋体" w:cs="宋体"/>
                <w:color w:val="000000"/>
                <w:szCs w:val="21"/>
              </w:rPr>
            </w:pPr>
          </w:p>
        </w:tc>
        <w:tc>
          <w:tcPr>
            <w:tcW w:w="1356" w:type="dxa"/>
            <w:vAlign w:val="center"/>
          </w:tcPr>
          <w:p w14:paraId="6A6718A7">
            <w:pPr>
              <w:jc w:val="center"/>
              <w:rPr>
                <w:rFonts w:ascii="宋体" w:hAnsi="宋体" w:cs="宋体"/>
                <w:color w:val="000000"/>
                <w:szCs w:val="21"/>
              </w:rPr>
            </w:pPr>
          </w:p>
          <w:p w14:paraId="67A8159C">
            <w:pPr>
              <w:jc w:val="center"/>
              <w:rPr>
                <w:rFonts w:ascii="宋体" w:hAnsi="宋体" w:cs="宋体"/>
                <w:color w:val="000000"/>
                <w:szCs w:val="21"/>
              </w:rPr>
            </w:pPr>
            <w:r>
              <w:rPr>
                <w:rFonts w:hint="eastAsia" w:ascii="宋体" w:hAnsi="宋体" w:cs="宋体"/>
                <w:color w:val="000000"/>
                <w:szCs w:val="21"/>
              </w:rPr>
              <w:t>安全文明</w:t>
            </w:r>
          </w:p>
          <w:p w14:paraId="1CE64257">
            <w:pPr>
              <w:jc w:val="center"/>
              <w:rPr>
                <w:rFonts w:ascii="宋体" w:hAnsi="宋体" w:cs="宋体"/>
                <w:color w:val="000000"/>
                <w:szCs w:val="21"/>
              </w:rPr>
            </w:pPr>
            <w:r>
              <w:rPr>
                <w:rFonts w:hint="eastAsia" w:ascii="宋体" w:hAnsi="宋体" w:cs="宋体"/>
                <w:color w:val="000000"/>
                <w:szCs w:val="21"/>
              </w:rPr>
              <w:t>施工</w:t>
            </w:r>
          </w:p>
          <w:p w14:paraId="09EEF2DC">
            <w:pPr>
              <w:jc w:val="center"/>
              <w:rPr>
                <w:rFonts w:ascii="宋体" w:hAnsi="宋体" w:cs="宋体"/>
                <w:color w:val="000000"/>
                <w:szCs w:val="21"/>
              </w:rPr>
            </w:pPr>
            <w:r>
              <w:rPr>
                <w:rFonts w:hint="eastAsia" w:ascii="宋体" w:hAnsi="宋体" w:cs="宋体"/>
                <w:color w:val="000000"/>
                <w:szCs w:val="21"/>
              </w:rPr>
              <w:t>（8分）</w:t>
            </w:r>
          </w:p>
        </w:tc>
        <w:tc>
          <w:tcPr>
            <w:tcW w:w="6085" w:type="dxa"/>
            <w:vAlign w:val="center"/>
          </w:tcPr>
          <w:p w14:paraId="14D0CBE6">
            <w:pPr>
              <w:rPr>
                <w:rFonts w:ascii="宋体" w:hAnsi="宋体" w:cs="宋体"/>
                <w:color w:val="000000"/>
                <w:spacing w:val="-6"/>
                <w:szCs w:val="21"/>
              </w:rPr>
            </w:pPr>
            <w:r>
              <w:rPr>
                <w:rFonts w:hint="eastAsia" w:ascii="宋体" w:hAnsi="宋体" w:cs="宋体"/>
                <w:color w:val="000000"/>
                <w:spacing w:val="-6"/>
                <w:szCs w:val="21"/>
              </w:rPr>
              <w:t>安全文明施工措施科学、严密、合理，有针对医院特殊场所施工降噪、减少气味、确保施工措施切实有效可行，描述详细且具有针对性的，得8分；</w:t>
            </w:r>
          </w:p>
          <w:p w14:paraId="45C13CFF">
            <w:pPr>
              <w:rPr>
                <w:rFonts w:ascii="宋体" w:hAnsi="宋体" w:cs="宋体"/>
                <w:color w:val="000000"/>
                <w:spacing w:val="-6"/>
                <w:szCs w:val="21"/>
              </w:rPr>
            </w:pPr>
            <w:r>
              <w:rPr>
                <w:rFonts w:hint="eastAsia" w:ascii="宋体" w:hAnsi="宋体" w:cs="宋体"/>
                <w:color w:val="000000"/>
                <w:spacing w:val="-6"/>
                <w:szCs w:val="21"/>
              </w:rPr>
              <w:t>安全文明施工措施科学、严密、合理，有针对医院特殊场所施工降噪、减少气味、施工安全的措施具备一定可行性，得6分；</w:t>
            </w:r>
          </w:p>
          <w:p w14:paraId="66A905CF">
            <w:pPr>
              <w:rPr>
                <w:rFonts w:ascii="宋体" w:hAnsi="宋体" w:cs="宋体"/>
                <w:color w:val="000000"/>
                <w:spacing w:val="-6"/>
                <w:szCs w:val="21"/>
              </w:rPr>
            </w:pPr>
            <w:r>
              <w:rPr>
                <w:rFonts w:hint="eastAsia" w:ascii="宋体" w:hAnsi="宋体" w:cs="宋体"/>
                <w:color w:val="000000"/>
                <w:spacing w:val="-6"/>
                <w:szCs w:val="21"/>
              </w:rPr>
              <w:t>安全文明施工措施基本合理、描述较详细、存在可操作性，有针对医院特殊场所施工降噪、减少气味、确保施工安全的基本措施，得4分；</w:t>
            </w:r>
          </w:p>
          <w:p w14:paraId="11C526F3">
            <w:pPr>
              <w:rPr>
                <w:rFonts w:ascii="宋体" w:hAnsi="宋体" w:cs="宋体"/>
                <w:color w:val="000000"/>
                <w:spacing w:val="-6"/>
                <w:szCs w:val="21"/>
              </w:rPr>
            </w:pPr>
            <w:r>
              <w:rPr>
                <w:rFonts w:hint="eastAsia" w:ascii="宋体" w:hAnsi="宋体" w:cs="宋体"/>
                <w:color w:val="000000"/>
                <w:spacing w:val="-6"/>
                <w:szCs w:val="21"/>
              </w:rPr>
              <w:t>安全文明施工措施基本合理、描述欠缺、可操作性一般，针对医院特殊场所施工降噪、减少气味得措施内容简单，确保施工安全的基本措施欠缺，得2分；</w:t>
            </w:r>
          </w:p>
          <w:p w14:paraId="291573B2">
            <w:pPr>
              <w:rPr>
                <w:rFonts w:ascii="宋体" w:hAnsi="宋体" w:cs="宋体"/>
                <w:color w:val="000000"/>
                <w:szCs w:val="21"/>
              </w:rPr>
            </w:pPr>
            <w:r>
              <w:rPr>
                <w:rFonts w:hint="eastAsia" w:ascii="宋体" w:hAnsi="宋体" w:cs="宋体"/>
                <w:color w:val="000000"/>
                <w:spacing w:val="-6"/>
                <w:szCs w:val="21"/>
              </w:rPr>
              <w:t>安全文明施工措施具有部分不合理项、描述一般、存在一定的实施难度</w:t>
            </w:r>
            <w:r>
              <w:rPr>
                <w:rFonts w:hint="eastAsia" w:ascii="宋体" w:hAnsi="宋体" w:cs="宋体"/>
                <w:color w:val="000000"/>
                <w:szCs w:val="21"/>
              </w:rPr>
              <w:t>或</w:t>
            </w:r>
            <w:r>
              <w:rPr>
                <w:rFonts w:hint="eastAsia" w:ascii="宋体" w:hAnsi="宋体" w:cs="宋体"/>
                <w:color w:val="000000"/>
                <w:spacing w:val="-6"/>
                <w:szCs w:val="21"/>
              </w:rPr>
              <w:t>未提供不得分。</w:t>
            </w:r>
          </w:p>
        </w:tc>
      </w:tr>
      <w:tr w14:paraId="0737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E698AF2">
            <w:pPr>
              <w:jc w:val="center"/>
              <w:rPr>
                <w:rFonts w:ascii="宋体" w:hAnsi="宋体" w:cs="宋体"/>
                <w:color w:val="000000"/>
                <w:szCs w:val="21"/>
              </w:rPr>
            </w:pPr>
          </w:p>
        </w:tc>
        <w:tc>
          <w:tcPr>
            <w:tcW w:w="1356" w:type="dxa"/>
            <w:vAlign w:val="center"/>
          </w:tcPr>
          <w:p w14:paraId="5CAB6FF8">
            <w:pPr>
              <w:jc w:val="center"/>
              <w:rPr>
                <w:rFonts w:ascii="宋体" w:hAnsi="宋体" w:cs="宋体"/>
                <w:color w:val="000000"/>
                <w:szCs w:val="21"/>
              </w:rPr>
            </w:pPr>
            <w:r>
              <w:rPr>
                <w:rFonts w:hint="eastAsia" w:ascii="宋体" w:hAnsi="宋体" w:cs="宋体"/>
                <w:color w:val="000000"/>
                <w:spacing w:val="-6"/>
                <w:szCs w:val="21"/>
              </w:rPr>
              <w:t>应急处理措施</w:t>
            </w:r>
            <w:r>
              <w:rPr>
                <w:rFonts w:hint="eastAsia" w:ascii="宋体" w:hAnsi="宋体" w:cs="宋体"/>
                <w:color w:val="000000"/>
                <w:szCs w:val="21"/>
              </w:rPr>
              <w:t>（6分）</w:t>
            </w:r>
          </w:p>
        </w:tc>
        <w:tc>
          <w:tcPr>
            <w:tcW w:w="6085" w:type="dxa"/>
            <w:vAlign w:val="center"/>
          </w:tcPr>
          <w:p w14:paraId="54739594">
            <w:pPr>
              <w:rPr>
                <w:rFonts w:ascii="宋体" w:hAnsi="宋体" w:cs="宋体"/>
                <w:color w:val="000000"/>
                <w:szCs w:val="21"/>
              </w:rPr>
            </w:pPr>
            <w:r>
              <w:rPr>
                <w:rFonts w:hint="eastAsia" w:ascii="宋体" w:hAnsi="宋体" w:cs="宋体"/>
                <w:color w:val="000000"/>
                <w:szCs w:val="21"/>
              </w:rPr>
              <w:t>针对本项目供应商提供的在医院内施工期间突发事件防范应急措施科学、严密、合理，描述详细且具有针对性的得6分；</w:t>
            </w:r>
          </w:p>
          <w:p w14:paraId="0925548A">
            <w:pPr>
              <w:rPr>
                <w:rFonts w:ascii="宋体" w:hAnsi="宋体" w:cs="宋体"/>
                <w:color w:val="000000"/>
                <w:szCs w:val="21"/>
              </w:rPr>
            </w:pPr>
            <w:r>
              <w:rPr>
                <w:rFonts w:hint="eastAsia" w:ascii="宋体" w:hAnsi="宋体" w:cs="宋体"/>
                <w:color w:val="000000"/>
                <w:szCs w:val="21"/>
              </w:rPr>
              <w:t>措施基本合理、描述一般、存在可操作性得4分；</w:t>
            </w:r>
          </w:p>
          <w:p w14:paraId="3AC9A275">
            <w:pPr>
              <w:rPr>
                <w:rFonts w:ascii="宋体" w:hAnsi="宋体" w:cs="宋体"/>
                <w:color w:val="000000"/>
                <w:szCs w:val="21"/>
              </w:rPr>
            </w:pPr>
            <w:r>
              <w:rPr>
                <w:rFonts w:hint="eastAsia" w:ascii="宋体" w:hAnsi="宋体" w:cs="宋体"/>
                <w:color w:val="000000"/>
                <w:szCs w:val="21"/>
              </w:rPr>
              <w:t>措施具有明显不合理项、描述欠缺、存在实施难度得2分；</w:t>
            </w:r>
          </w:p>
          <w:p w14:paraId="5DA01045">
            <w:pPr>
              <w:rPr>
                <w:rFonts w:ascii="宋体" w:hAnsi="宋体" w:cs="宋体"/>
                <w:color w:val="000000"/>
                <w:spacing w:val="-6"/>
                <w:szCs w:val="21"/>
              </w:rPr>
            </w:pPr>
            <w:r>
              <w:rPr>
                <w:rFonts w:hint="eastAsia" w:ascii="宋体" w:hAnsi="宋体" w:cs="宋体"/>
                <w:color w:val="000000"/>
                <w:szCs w:val="21"/>
              </w:rPr>
              <w:t>未提供不得分。</w:t>
            </w:r>
          </w:p>
        </w:tc>
      </w:tr>
      <w:tr w14:paraId="4F29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045341E4">
            <w:pPr>
              <w:jc w:val="center"/>
              <w:rPr>
                <w:rFonts w:ascii="宋体" w:hAnsi="宋体" w:cs="宋体"/>
                <w:color w:val="000000"/>
                <w:szCs w:val="21"/>
              </w:rPr>
            </w:pPr>
          </w:p>
        </w:tc>
        <w:tc>
          <w:tcPr>
            <w:tcW w:w="1356" w:type="dxa"/>
            <w:vAlign w:val="center"/>
          </w:tcPr>
          <w:p w14:paraId="7AEEFCC9">
            <w:pPr>
              <w:jc w:val="center"/>
              <w:rPr>
                <w:rFonts w:ascii="宋体" w:hAnsi="宋体" w:cs="宋体"/>
                <w:color w:val="000000"/>
                <w:szCs w:val="21"/>
              </w:rPr>
            </w:pPr>
            <w:r>
              <w:rPr>
                <w:rFonts w:hint="eastAsia" w:ascii="宋体" w:hAnsi="宋体" w:cs="宋体"/>
                <w:color w:val="000000"/>
                <w:szCs w:val="21"/>
              </w:rPr>
              <w:t>施工现场平面布置和临时设施</w:t>
            </w:r>
          </w:p>
          <w:p w14:paraId="69CE20E8">
            <w:pPr>
              <w:jc w:val="center"/>
              <w:rPr>
                <w:rFonts w:ascii="宋体" w:hAnsi="宋体" w:cs="宋体"/>
                <w:color w:val="000000"/>
                <w:szCs w:val="21"/>
              </w:rPr>
            </w:pPr>
            <w:r>
              <w:rPr>
                <w:rFonts w:hint="eastAsia" w:ascii="宋体" w:hAnsi="宋体" w:cs="宋体"/>
                <w:color w:val="000000"/>
                <w:szCs w:val="21"/>
              </w:rPr>
              <w:t>（5分）</w:t>
            </w:r>
          </w:p>
        </w:tc>
        <w:tc>
          <w:tcPr>
            <w:tcW w:w="6085" w:type="dxa"/>
            <w:vAlign w:val="center"/>
          </w:tcPr>
          <w:p w14:paraId="5F06F12A">
            <w:pPr>
              <w:rPr>
                <w:rFonts w:ascii="宋体" w:hAnsi="宋体" w:cs="宋体"/>
                <w:color w:val="000000"/>
                <w:szCs w:val="21"/>
              </w:rPr>
            </w:pPr>
            <w:r>
              <w:rPr>
                <w:rFonts w:hint="eastAsia" w:ascii="宋体" w:hAnsi="宋体" w:cs="宋体"/>
                <w:color w:val="000000"/>
                <w:szCs w:val="21"/>
              </w:rPr>
              <w:t>施工现场平面布置和临时设施科学、严密、合理，描述详细且具有针对性的得5分；</w:t>
            </w:r>
          </w:p>
          <w:p w14:paraId="3740CAEF">
            <w:pPr>
              <w:rPr>
                <w:rFonts w:ascii="宋体" w:hAnsi="宋体" w:cs="宋体"/>
                <w:color w:val="000000"/>
                <w:szCs w:val="21"/>
              </w:rPr>
            </w:pPr>
            <w:r>
              <w:rPr>
                <w:rFonts w:hint="eastAsia" w:ascii="宋体" w:hAnsi="宋体" w:cs="宋体"/>
                <w:color w:val="000000"/>
                <w:szCs w:val="21"/>
              </w:rPr>
              <w:t>施工现场平面布置和临时设施较合理、严密、描述较为详细，针对性欠缺的得3分；</w:t>
            </w:r>
          </w:p>
          <w:p w14:paraId="56F15B3B">
            <w:pPr>
              <w:rPr>
                <w:rFonts w:ascii="宋体" w:hAnsi="宋体" w:cs="宋体"/>
                <w:color w:val="000000"/>
                <w:szCs w:val="21"/>
              </w:rPr>
            </w:pPr>
            <w:r>
              <w:rPr>
                <w:rFonts w:hint="eastAsia" w:ascii="宋体" w:hAnsi="宋体" w:cs="宋体"/>
                <w:color w:val="000000"/>
                <w:szCs w:val="21"/>
              </w:rPr>
              <w:t>施工现场平面布置和临时设施具有不合理项、描述欠缺、存在一定的实施难度得1分；</w:t>
            </w:r>
          </w:p>
          <w:p w14:paraId="311CACA9">
            <w:pPr>
              <w:rPr>
                <w:rFonts w:ascii="宋体" w:hAnsi="宋体" w:cs="宋体"/>
                <w:color w:val="000000"/>
                <w:spacing w:val="-6"/>
                <w:szCs w:val="21"/>
              </w:rPr>
            </w:pPr>
            <w:r>
              <w:rPr>
                <w:rFonts w:hint="eastAsia" w:ascii="宋体" w:hAnsi="宋体" w:cs="宋体"/>
                <w:color w:val="000000"/>
                <w:szCs w:val="21"/>
              </w:rPr>
              <w:t>施工现场平面布置和临时设施严重不符合实际或未提供不得分。</w:t>
            </w:r>
          </w:p>
        </w:tc>
      </w:tr>
      <w:tr w14:paraId="46BF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846AB78">
            <w:pPr>
              <w:jc w:val="center"/>
              <w:rPr>
                <w:rFonts w:ascii="宋体" w:hAnsi="宋体" w:cs="宋体"/>
                <w:color w:val="000000"/>
                <w:szCs w:val="21"/>
              </w:rPr>
            </w:pPr>
          </w:p>
        </w:tc>
        <w:tc>
          <w:tcPr>
            <w:tcW w:w="1356" w:type="dxa"/>
            <w:vAlign w:val="center"/>
          </w:tcPr>
          <w:p w14:paraId="399BF488">
            <w:pPr>
              <w:jc w:val="center"/>
              <w:rPr>
                <w:rFonts w:ascii="宋体" w:hAnsi="宋体" w:cs="宋体"/>
                <w:color w:val="000000"/>
                <w:szCs w:val="21"/>
              </w:rPr>
            </w:pPr>
            <w:r>
              <w:rPr>
                <w:rFonts w:hint="eastAsia" w:ascii="宋体" w:hAnsi="宋体" w:cs="宋体"/>
                <w:color w:val="000000"/>
                <w:szCs w:val="21"/>
              </w:rPr>
              <w:t>劳动力、机械设备和材料投入计划（5分）</w:t>
            </w:r>
          </w:p>
        </w:tc>
        <w:tc>
          <w:tcPr>
            <w:tcW w:w="6085" w:type="dxa"/>
            <w:vAlign w:val="center"/>
          </w:tcPr>
          <w:p w14:paraId="10527FE0">
            <w:pPr>
              <w:rPr>
                <w:rFonts w:ascii="宋体" w:hAnsi="宋体" w:cs="宋体"/>
                <w:color w:val="000000"/>
                <w:spacing w:val="-6"/>
                <w:szCs w:val="21"/>
              </w:rPr>
            </w:pPr>
            <w:r>
              <w:rPr>
                <w:rFonts w:hint="eastAsia" w:ascii="宋体" w:hAnsi="宋体" w:cs="宋体"/>
                <w:color w:val="000000"/>
                <w:spacing w:val="-6"/>
                <w:szCs w:val="21"/>
              </w:rPr>
              <w:t>投入本项目的劳动力、机械设备和材料投入计划科学、严密、合理，人员管理制度完备、设备使用方案详细且具有针对性；材料配备合理、考虑周全的得5分；</w:t>
            </w:r>
          </w:p>
          <w:p w14:paraId="4244F544">
            <w:pPr>
              <w:rPr>
                <w:rFonts w:ascii="宋体" w:hAnsi="宋体" w:cs="宋体"/>
                <w:color w:val="000000"/>
                <w:spacing w:val="-6"/>
                <w:szCs w:val="21"/>
              </w:rPr>
            </w:pPr>
            <w:r>
              <w:rPr>
                <w:rFonts w:hint="eastAsia" w:ascii="宋体" w:hAnsi="宋体" w:cs="宋体"/>
                <w:color w:val="000000"/>
                <w:szCs w:val="21"/>
              </w:rPr>
              <w:t>投入本项目的劳动力、机械设备和材料较合理、严密、人员管理制度较为完备，设备使用方案较为详细，材料配备欠缺的得3分；</w:t>
            </w:r>
          </w:p>
          <w:p w14:paraId="729FFFF6">
            <w:pPr>
              <w:rPr>
                <w:rFonts w:ascii="宋体" w:hAnsi="宋体" w:cs="宋体"/>
                <w:color w:val="000000"/>
                <w:spacing w:val="-6"/>
                <w:szCs w:val="21"/>
              </w:rPr>
            </w:pPr>
            <w:r>
              <w:rPr>
                <w:rFonts w:hint="eastAsia" w:ascii="宋体" w:hAnsi="宋体" w:cs="宋体"/>
                <w:color w:val="000000"/>
                <w:spacing w:val="-6"/>
                <w:szCs w:val="21"/>
              </w:rPr>
              <w:t>投入机械设备、材料基本符合项目实际、人员管理制度一般、使用方案一般得1分；未提供不得分。</w:t>
            </w:r>
          </w:p>
        </w:tc>
      </w:tr>
      <w:tr w14:paraId="3AD3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12533981">
            <w:pPr>
              <w:jc w:val="center"/>
              <w:rPr>
                <w:rFonts w:ascii="宋体" w:hAnsi="宋体" w:cs="宋体"/>
                <w:color w:val="000000"/>
                <w:szCs w:val="21"/>
              </w:rPr>
            </w:pPr>
          </w:p>
        </w:tc>
        <w:tc>
          <w:tcPr>
            <w:tcW w:w="1356" w:type="dxa"/>
            <w:vAlign w:val="center"/>
          </w:tcPr>
          <w:p w14:paraId="35B43D19">
            <w:pPr>
              <w:jc w:val="center"/>
              <w:rPr>
                <w:rFonts w:ascii="宋体" w:hAnsi="宋体" w:cs="宋体"/>
                <w:color w:val="000000"/>
              </w:rPr>
            </w:pPr>
            <w:r>
              <w:rPr>
                <w:rFonts w:hint="eastAsia" w:ascii="宋体" w:hAnsi="宋体" w:cs="宋体"/>
                <w:color w:val="000000"/>
                <w:spacing w:val="-6"/>
                <w:szCs w:val="21"/>
              </w:rPr>
              <w:t>施工总进度计划（5分）</w:t>
            </w:r>
          </w:p>
        </w:tc>
        <w:tc>
          <w:tcPr>
            <w:tcW w:w="6085" w:type="dxa"/>
          </w:tcPr>
          <w:p w14:paraId="0356C870">
            <w:pPr>
              <w:rPr>
                <w:rFonts w:ascii="宋体" w:hAnsi="宋体" w:cs="宋体"/>
                <w:color w:val="000000"/>
                <w:szCs w:val="21"/>
              </w:rPr>
            </w:pPr>
            <w:r>
              <w:rPr>
                <w:rFonts w:hint="eastAsia" w:ascii="宋体" w:hAnsi="宋体" w:cs="宋体"/>
                <w:color w:val="000000"/>
                <w:szCs w:val="21"/>
              </w:rPr>
              <w:t>本工程施工进度计划的描述，以及为完成该计划所定措施，且提供施工总进度计划表，施工总进度计划科学、严密、合理，描述详细且具有针对性的得5分；</w:t>
            </w:r>
          </w:p>
          <w:p w14:paraId="57D8E4E6">
            <w:pPr>
              <w:rPr>
                <w:rFonts w:ascii="宋体" w:hAnsi="宋体" w:cs="宋体"/>
                <w:color w:val="000000"/>
                <w:spacing w:val="-6"/>
                <w:szCs w:val="21"/>
              </w:rPr>
            </w:pPr>
            <w:r>
              <w:rPr>
                <w:rFonts w:hint="eastAsia" w:ascii="宋体" w:hAnsi="宋体" w:cs="宋体"/>
                <w:color w:val="000000"/>
                <w:spacing w:val="-6"/>
                <w:szCs w:val="21"/>
              </w:rPr>
              <w:t>施工总进度计划较合理、严密、描述较为详细，不存在实施难度，且</w:t>
            </w:r>
            <w:r>
              <w:rPr>
                <w:rFonts w:hint="eastAsia" w:ascii="宋体" w:hAnsi="宋体" w:cs="宋体"/>
                <w:color w:val="000000"/>
                <w:szCs w:val="21"/>
              </w:rPr>
              <w:t>提供施工总进度计划表</w:t>
            </w:r>
            <w:r>
              <w:rPr>
                <w:rFonts w:hint="eastAsia" w:ascii="宋体" w:hAnsi="宋体" w:cs="宋体"/>
                <w:color w:val="000000"/>
                <w:spacing w:val="-6"/>
                <w:szCs w:val="21"/>
              </w:rPr>
              <w:t>的得3分；</w:t>
            </w:r>
          </w:p>
          <w:p w14:paraId="095520C0">
            <w:pPr>
              <w:rPr>
                <w:rFonts w:ascii="宋体" w:hAnsi="宋体" w:cs="宋体"/>
                <w:color w:val="000000"/>
                <w:spacing w:val="-6"/>
                <w:szCs w:val="21"/>
              </w:rPr>
            </w:pPr>
            <w:r>
              <w:rPr>
                <w:rFonts w:hint="eastAsia" w:ascii="宋体" w:hAnsi="宋体" w:cs="宋体"/>
                <w:color w:val="000000"/>
                <w:spacing w:val="-6"/>
                <w:szCs w:val="21"/>
              </w:rPr>
              <w:t>施工总进度计划具有不合理项、描述略欠缺、存在一定的实施难度，且</w:t>
            </w:r>
            <w:r>
              <w:rPr>
                <w:rFonts w:hint="eastAsia" w:ascii="宋体" w:hAnsi="宋体" w:cs="宋体"/>
                <w:color w:val="000000"/>
                <w:szCs w:val="21"/>
              </w:rPr>
              <w:t>提供施工总进度计划表</w:t>
            </w:r>
            <w:r>
              <w:rPr>
                <w:rFonts w:hint="eastAsia" w:ascii="宋体" w:hAnsi="宋体" w:cs="宋体"/>
                <w:color w:val="000000"/>
                <w:spacing w:val="-6"/>
                <w:szCs w:val="21"/>
              </w:rPr>
              <w:t>得1分；</w:t>
            </w:r>
          </w:p>
          <w:p w14:paraId="1E3FEA25">
            <w:pPr>
              <w:rPr>
                <w:rFonts w:ascii="宋体" w:hAnsi="宋体" w:cs="宋体"/>
                <w:color w:val="000000"/>
              </w:rPr>
            </w:pPr>
            <w:r>
              <w:rPr>
                <w:rFonts w:hint="eastAsia" w:ascii="宋体" w:hAnsi="宋体" w:cs="宋体"/>
                <w:color w:val="000000"/>
                <w:szCs w:val="21"/>
              </w:rPr>
              <w:t>未提供及未提供施工总进度计划表都不得分。</w:t>
            </w:r>
          </w:p>
        </w:tc>
      </w:tr>
      <w:tr w14:paraId="5A42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206C7BC2">
            <w:pPr>
              <w:jc w:val="center"/>
              <w:rPr>
                <w:rFonts w:ascii="宋体" w:hAnsi="宋体" w:cs="宋体"/>
                <w:color w:val="000000"/>
                <w:szCs w:val="21"/>
              </w:rPr>
            </w:pPr>
          </w:p>
        </w:tc>
        <w:tc>
          <w:tcPr>
            <w:tcW w:w="1356" w:type="dxa"/>
            <w:vAlign w:val="center"/>
          </w:tcPr>
          <w:p w14:paraId="28CEF0B0">
            <w:pPr>
              <w:jc w:val="center"/>
              <w:rPr>
                <w:rFonts w:ascii="宋体" w:hAnsi="宋体" w:cs="宋体"/>
                <w:color w:val="000000"/>
                <w:szCs w:val="21"/>
              </w:rPr>
            </w:pPr>
            <w:r>
              <w:rPr>
                <w:rFonts w:hint="eastAsia" w:ascii="宋体" w:hAnsi="宋体" w:cs="宋体"/>
                <w:color w:val="000000"/>
                <w:szCs w:val="21"/>
              </w:rPr>
              <w:t>满足验收合格的保证措施</w:t>
            </w:r>
          </w:p>
          <w:p w14:paraId="4A3DF3A1">
            <w:pPr>
              <w:jc w:val="center"/>
              <w:rPr>
                <w:rFonts w:ascii="宋体" w:hAnsi="宋体" w:cs="宋体"/>
                <w:color w:val="000000"/>
                <w:szCs w:val="21"/>
              </w:rPr>
            </w:pPr>
            <w:r>
              <w:rPr>
                <w:rFonts w:hint="eastAsia" w:ascii="宋体" w:hAnsi="宋体" w:cs="宋体"/>
                <w:color w:val="000000"/>
                <w:szCs w:val="21"/>
              </w:rPr>
              <w:t>（8分）</w:t>
            </w:r>
          </w:p>
        </w:tc>
        <w:tc>
          <w:tcPr>
            <w:tcW w:w="6085" w:type="dxa"/>
            <w:vAlign w:val="center"/>
          </w:tcPr>
          <w:p w14:paraId="16229382">
            <w:pPr>
              <w:rPr>
                <w:rFonts w:ascii="宋体" w:hAnsi="宋体" w:cs="宋体"/>
                <w:color w:val="000000"/>
                <w:szCs w:val="21"/>
              </w:rPr>
            </w:pPr>
            <w:r>
              <w:rPr>
                <w:rFonts w:hint="eastAsia" w:ascii="宋体" w:hAnsi="宋体" w:cs="宋体"/>
                <w:color w:val="000000"/>
                <w:szCs w:val="21"/>
              </w:rPr>
              <w:t>针对本项目实施后能达到验收标准的有效保证措施科学、严密、合理，描述详细且具有针对性的得8分；</w:t>
            </w:r>
          </w:p>
          <w:p w14:paraId="5CE84FE0">
            <w:pPr>
              <w:rPr>
                <w:rFonts w:ascii="宋体" w:hAnsi="宋体" w:cs="宋体"/>
                <w:color w:val="000000"/>
                <w:szCs w:val="21"/>
              </w:rPr>
            </w:pPr>
            <w:r>
              <w:rPr>
                <w:rFonts w:hint="eastAsia" w:ascii="宋体" w:hAnsi="宋体" w:cs="宋体"/>
                <w:color w:val="000000"/>
                <w:szCs w:val="21"/>
              </w:rPr>
              <w:t>针对本项目实施后能达到验收标准的有效保证措施较合理、严密、描述较为详细，不存在实施难度的得6分；</w:t>
            </w:r>
          </w:p>
          <w:p w14:paraId="1F4246E4">
            <w:pPr>
              <w:rPr>
                <w:rFonts w:ascii="宋体" w:hAnsi="宋体" w:cs="宋体"/>
                <w:color w:val="000000"/>
                <w:szCs w:val="21"/>
              </w:rPr>
            </w:pPr>
            <w:r>
              <w:rPr>
                <w:rFonts w:hint="eastAsia" w:ascii="宋体" w:hAnsi="宋体" w:cs="宋体"/>
                <w:color w:val="000000"/>
                <w:szCs w:val="21"/>
              </w:rPr>
              <w:t>针对本项目实施后能达到验收标准的有效保证措施具有不合理项、描述略欠缺、存在一定的实施难度得4分；</w:t>
            </w:r>
          </w:p>
          <w:p w14:paraId="36477622">
            <w:pPr>
              <w:rPr>
                <w:rFonts w:ascii="宋体" w:hAnsi="宋体" w:cs="宋体"/>
                <w:color w:val="000000"/>
                <w:szCs w:val="21"/>
              </w:rPr>
            </w:pPr>
            <w:r>
              <w:rPr>
                <w:rFonts w:hint="eastAsia" w:ascii="宋体" w:hAnsi="宋体" w:cs="宋体"/>
                <w:color w:val="000000"/>
                <w:szCs w:val="21"/>
              </w:rPr>
              <w:t>针对本项目实施后能达到验收标准的有效保证措施具有明显不合理项、描述欠缺、存在实施难度得2分；未提供不得分。</w:t>
            </w:r>
          </w:p>
        </w:tc>
      </w:tr>
      <w:tr w14:paraId="6E7F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5F6E32FC">
            <w:pPr>
              <w:jc w:val="center"/>
              <w:rPr>
                <w:rFonts w:ascii="宋体" w:hAnsi="宋体" w:cs="宋体"/>
                <w:color w:val="000000"/>
                <w:szCs w:val="21"/>
              </w:rPr>
            </w:pPr>
            <w:r>
              <w:rPr>
                <w:rFonts w:hint="eastAsia" w:ascii="宋体" w:hAnsi="宋体" w:cs="宋体"/>
                <w:color w:val="000000"/>
                <w:szCs w:val="21"/>
              </w:rPr>
              <w:t>业绩</w:t>
            </w:r>
          </w:p>
          <w:p w14:paraId="6970D2D6">
            <w:pPr>
              <w:jc w:val="center"/>
              <w:rPr>
                <w:rFonts w:ascii="宋体" w:hAnsi="宋体" w:cs="宋体"/>
                <w:color w:val="000000"/>
                <w:szCs w:val="21"/>
              </w:rPr>
            </w:pPr>
            <w:r>
              <w:rPr>
                <w:rFonts w:hint="eastAsia" w:ascii="宋体" w:hAnsi="宋体" w:cs="宋体"/>
                <w:color w:val="000000"/>
                <w:szCs w:val="21"/>
              </w:rPr>
              <w:t>（12分）</w:t>
            </w:r>
          </w:p>
        </w:tc>
        <w:tc>
          <w:tcPr>
            <w:tcW w:w="7441" w:type="dxa"/>
            <w:gridSpan w:val="2"/>
            <w:vAlign w:val="center"/>
          </w:tcPr>
          <w:p w14:paraId="1D6619F0">
            <w:pPr>
              <w:rPr>
                <w:rFonts w:ascii="宋体" w:hAnsi="宋体" w:cs="宋体"/>
                <w:color w:val="000000" w:themeColor="text1"/>
                <w:szCs w:val="21"/>
                <w:lang w:val="zh-CN"/>
              </w:rPr>
            </w:pPr>
            <w:r>
              <w:rPr>
                <w:rFonts w:hint="eastAsia" w:ascii="宋体" w:hAnsi="宋体" w:cs="宋体"/>
                <w:color w:val="000000"/>
                <w:szCs w:val="21"/>
              </w:rPr>
              <w:t>1、</w:t>
            </w:r>
            <w:r>
              <w:rPr>
                <w:rFonts w:hint="eastAsia" w:ascii="宋体" w:hAnsi="宋体" w:cs="宋体"/>
                <w:color w:val="000000"/>
                <w:szCs w:val="21"/>
                <w:lang w:val="zh-CN"/>
              </w:rPr>
              <w:t>自</w:t>
            </w:r>
            <w:r>
              <w:rPr>
                <w:rFonts w:hint="eastAsia" w:ascii="宋体" w:hAnsi="宋体" w:cs="宋体"/>
                <w:color w:val="000000"/>
                <w:szCs w:val="21"/>
              </w:rPr>
              <w:t>2022</w:t>
            </w:r>
            <w:r>
              <w:rPr>
                <w:rFonts w:hint="eastAsia" w:ascii="宋体" w:hAnsi="宋体" w:cs="宋体"/>
                <w:color w:val="000000"/>
                <w:szCs w:val="21"/>
                <w:lang w:val="zh-CN"/>
              </w:rPr>
              <w:t>年1月1日</w:t>
            </w:r>
            <w:r>
              <w:rPr>
                <w:rFonts w:hint="eastAsia" w:ascii="宋体" w:hAnsi="宋体" w:cs="宋体"/>
                <w:color w:val="000000"/>
                <w:szCs w:val="21"/>
              </w:rPr>
              <w:t>至今</w:t>
            </w:r>
            <w:r>
              <w:rPr>
                <w:rFonts w:hint="eastAsia" w:ascii="宋体" w:hAnsi="宋体" w:cs="宋体"/>
                <w:b/>
                <w:bCs/>
                <w:color w:val="000000"/>
                <w:szCs w:val="21"/>
                <w:lang w:val="zh-CN"/>
              </w:rPr>
              <w:t>（</w:t>
            </w:r>
            <w:r>
              <w:rPr>
                <w:rFonts w:hint="eastAsia" w:ascii="宋体" w:hAnsi="宋体" w:cs="宋体"/>
                <w:b/>
                <w:bCs/>
                <w:color w:val="000000"/>
                <w:szCs w:val="21"/>
              </w:rPr>
              <w:t>以竣工验收证明材料日期为准</w:t>
            </w:r>
            <w:r>
              <w:rPr>
                <w:rFonts w:hint="eastAsia" w:ascii="宋体" w:hAnsi="宋体" w:cs="宋体"/>
                <w:b/>
                <w:bCs/>
                <w:color w:val="000000"/>
                <w:szCs w:val="21"/>
                <w:lang w:val="zh-CN"/>
              </w:rPr>
              <w:t>），</w:t>
            </w:r>
            <w:r>
              <w:rPr>
                <w:rFonts w:hint="eastAsia" w:ascii="宋体" w:hAnsi="宋体" w:cs="宋体"/>
                <w:color w:val="000000"/>
                <w:szCs w:val="21"/>
              </w:rPr>
              <w:t>供应商</w:t>
            </w:r>
            <w:r>
              <w:rPr>
                <w:rFonts w:hint="eastAsia" w:ascii="宋体" w:hAnsi="宋体" w:cs="宋体"/>
                <w:color w:val="000000"/>
                <w:szCs w:val="21"/>
                <w:lang w:val="zh-CN"/>
              </w:rPr>
              <w:t>承担过</w:t>
            </w:r>
            <w:r>
              <w:rPr>
                <w:rFonts w:hint="eastAsia" w:ascii="宋体" w:hAnsi="宋体" w:cs="宋体"/>
                <w:color w:val="000000"/>
                <w:szCs w:val="21"/>
              </w:rPr>
              <w:t>与本项目需求</w:t>
            </w:r>
            <w:r>
              <w:rPr>
                <w:rFonts w:hint="eastAsia" w:ascii="宋体" w:hAnsi="宋体" w:cs="宋体"/>
                <w:color w:val="000000" w:themeColor="text1"/>
                <w:szCs w:val="21"/>
              </w:rPr>
              <w:t>（围墙修缮或新建）类似的工程</w:t>
            </w:r>
            <w:r>
              <w:rPr>
                <w:rFonts w:hint="eastAsia" w:ascii="宋体" w:hAnsi="宋体" w:cs="宋体"/>
                <w:color w:val="000000" w:themeColor="text1"/>
                <w:szCs w:val="21"/>
                <w:lang w:val="zh-CN"/>
              </w:rPr>
              <w:t>业绩，</w:t>
            </w:r>
            <w:r>
              <w:rPr>
                <w:rFonts w:hint="eastAsia" w:ascii="宋体" w:hAnsi="宋体" w:cs="宋体"/>
                <w:color w:val="000000" w:themeColor="text1"/>
                <w:szCs w:val="21"/>
              </w:rPr>
              <w:t>每提供</w:t>
            </w:r>
            <w:r>
              <w:rPr>
                <w:rFonts w:hint="eastAsia" w:ascii="宋体" w:hAnsi="宋体" w:cs="宋体"/>
                <w:color w:val="000000" w:themeColor="text1"/>
                <w:szCs w:val="21"/>
                <w:lang w:val="zh-CN"/>
              </w:rPr>
              <w:t>一个得</w:t>
            </w:r>
            <w:r>
              <w:rPr>
                <w:rFonts w:hint="eastAsia" w:ascii="宋体" w:hAnsi="宋体" w:cs="宋体"/>
                <w:color w:val="000000" w:themeColor="text1"/>
                <w:szCs w:val="21"/>
              </w:rPr>
              <w:t>3</w:t>
            </w:r>
            <w:r>
              <w:rPr>
                <w:rFonts w:hint="eastAsia" w:ascii="宋体" w:hAnsi="宋体" w:cs="宋体"/>
                <w:color w:val="000000" w:themeColor="text1"/>
                <w:szCs w:val="21"/>
                <w:lang w:val="zh-CN"/>
              </w:rPr>
              <w:t>分，</w:t>
            </w:r>
            <w:r>
              <w:rPr>
                <w:rFonts w:hint="eastAsia" w:ascii="宋体" w:hAnsi="宋体" w:cs="宋体"/>
                <w:color w:val="000000" w:themeColor="text1"/>
                <w:szCs w:val="21"/>
              </w:rPr>
              <w:t>满分12分</w:t>
            </w:r>
            <w:r>
              <w:rPr>
                <w:rFonts w:hint="eastAsia" w:ascii="宋体" w:hAnsi="宋体" w:cs="宋体"/>
                <w:color w:val="000000" w:themeColor="text1"/>
                <w:szCs w:val="21"/>
                <w:lang w:val="zh-CN"/>
              </w:rPr>
              <w:t>。</w:t>
            </w:r>
          </w:p>
          <w:p w14:paraId="548187AA">
            <w:pPr>
              <w:rPr>
                <w:rFonts w:ascii="宋体" w:hAnsi="宋体" w:cs="宋体"/>
                <w:b/>
                <w:bCs/>
                <w:color w:val="000000"/>
                <w:szCs w:val="21"/>
              </w:rPr>
            </w:pPr>
            <w:r>
              <w:rPr>
                <w:rFonts w:hint="eastAsia" w:ascii="宋体" w:hAnsi="宋体" w:cs="宋体"/>
                <w:b/>
                <w:bCs/>
                <w:color w:val="000000"/>
                <w:szCs w:val="21"/>
              </w:rPr>
              <w:t>注：以上业绩均须提供中标（成交、直接发包）通知书、合同、竣工验收报告，原件复印件加盖投标人公章，未按要求提供、提供不全或提供证明材料不清晰无法辨认的不得分。</w:t>
            </w:r>
          </w:p>
        </w:tc>
      </w:tr>
      <w:tr w14:paraId="56E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75D5A8CB">
            <w:pPr>
              <w:jc w:val="center"/>
              <w:rPr>
                <w:rFonts w:ascii="宋体" w:hAnsi="宋体" w:cs="宋体"/>
                <w:color w:val="000000"/>
                <w:szCs w:val="21"/>
              </w:rPr>
            </w:pPr>
            <w:r>
              <w:rPr>
                <w:rFonts w:hint="eastAsia" w:ascii="宋体" w:hAnsi="宋体" w:cs="宋体"/>
                <w:color w:val="000000"/>
                <w:szCs w:val="21"/>
              </w:rPr>
              <w:t>质保期内的增值服务</w:t>
            </w:r>
          </w:p>
          <w:p w14:paraId="6DD9EA5E">
            <w:pPr>
              <w:jc w:val="center"/>
              <w:rPr>
                <w:rFonts w:ascii="宋体" w:hAnsi="宋体" w:cs="宋体"/>
                <w:color w:val="000000"/>
                <w:szCs w:val="21"/>
              </w:rPr>
            </w:pPr>
            <w:r>
              <w:rPr>
                <w:rFonts w:hint="eastAsia" w:ascii="宋体" w:hAnsi="宋体" w:cs="宋体"/>
                <w:color w:val="000000"/>
                <w:szCs w:val="21"/>
              </w:rPr>
              <w:t>（3分）</w:t>
            </w:r>
          </w:p>
        </w:tc>
        <w:tc>
          <w:tcPr>
            <w:tcW w:w="7441" w:type="dxa"/>
            <w:gridSpan w:val="2"/>
            <w:vAlign w:val="center"/>
          </w:tcPr>
          <w:p w14:paraId="05C431E0">
            <w:pPr>
              <w:rPr>
                <w:rFonts w:ascii="宋体" w:hAnsi="宋体" w:cs="宋体"/>
                <w:color w:val="000000"/>
                <w:szCs w:val="21"/>
              </w:rPr>
            </w:pPr>
            <w:r>
              <w:rPr>
                <w:rFonts w:hint="eastAsia" w:ascii="宋体" w:hAnsi="宋体" w:cs="宋体"/>
                <w:color w:val="000000"/>
                <w:szCs w:val="21"/>
              </w:rPr>
              <w:t>增值服务方案</w:t>
            </w:r>
            <w:r>
              <w:rPr>
                <w:rFonts w:ascii="宋体" w:hAnsi="宋体" w:cs="宋体"/>
                <w:color w:val="000000"/>
                <w:szCs w:val="21"/>
              </w:rPr>
              <w:t>科学严密、合理，描述详细且具有针对性的得3分；</w:t>
            </w:r>
          </w:p>
          <w:p w14:paraId="1DE50FD9">
            <w:pPr>
              <w:rPr>
                <w:rFonts w:ascii="宋体" w:hAnsi="宋体" w:cs="宋体"/>
                <w:color w:val="000000"/>
                <w:szCs w:val="21"/>
              </w:rPr>
            </w:pPr>
            <w:r>
              <w:rPr>
                <w:rFonts w:hint="eastAsia" w:ascii="宋体" w:hAnsi="宋体" w:cs="宋体"/>
                <w:color w:val="000000"/>
                <w:szCs w:val="21"/>
              </w:rPr>
              <w:t>增值服务方案</w:t>
            </w:r>
            <w:r>
              <w:rPr>
                <w:rFonts w:ascii="宋体" w:hAnsi="宋体" w:cs="宋体"/>
                <w:color w:val="000000"/>
                <w:szCs w:val="21"/>
              </w:rPr>
              <w:t>较合理、严密、描述较为详细，针对性欠缺的得2分；</w:t>
            </w:r>
          </w:p>
          <w:p w14:paraId="47BCD1FA">
            <w:pPr>
              <w:rPr>
                <w:rFonts w:ascii="宋体" w:hAnsi="宋体" w:cs="宋体"/>
                <w:b/>
                <w:bCs/>
                <w:color w:val="000000"/>
                <w:szCs w:val="21"/>
              </w:rPr>
            </w:pPr>
            <w:r>
              <w:rPr>
                <w:rFonts w:hint="eastAsia" w:ascii="宋体" w:hAnsi="宋体" w:cs="宋体"/>
                <w:color w:val="000000"/>
                <w:szCs w:val="21"/>
              </w:rPr>
              <w:t>增值服务方案</w:t>
            </w:r>
            <w:r>
              <w:rPr>
                <w:rFonts w:ascii="宋体" w:hAnsi="宋体" w:cs="宋体"/>
                <w:color w:val="000000"/>
                <w:szCs w:val="21"/>
              </w:rPr>
              <w:t>具有不合理项、描述欠缺、存在一定的实施难度得1分</w:t>
            </w:r>
            <w:r>
              <w:rPr>
                <w:rFonts w:hint="eastAsia" w:ascii="宋体" w:hAnsi="宋体" w:cs="宋体"/>
                <w:color w:val="000000"/>
                <w:szCs w:val="21"/>
              </w:rPr>
              <w:t>；未提供不得分。</w:t>
            </w:r>
          </w:p>
        </w:tc>
      </w:tr>
    </w:tbl>
    <w:p w14:paraId="67FF2620">
      <w:pPr>
        <w:rPr>
          <w:color w:val="000000" w:themeColor="text1"/>
        </w:rPr>
      </w:pPr>
      <w:r>
        <w:rPr>
          <w:rFonts w:hint="eastAsia"/>
          <w:color w:val="000000" w:themeColor="text1"/>
        </w:rPr>
        <w:t>技术标控制在100页以内。</w:t>
      </w:r>
    </w:p>
    <w:p w14:paraId="034EAEAB">
      <w:pPr>
        <w:jc w:val="center"/>
        <w:rPr>
          <w:b/>
          <w:sz w:val="32"/>
          <w:szCs w:val="32"/>
        </w:rPr>
      </w:pPr>
    </w:p>
    <w:p w14:paraId="49E4CD25">
      <w:pPr>
        <w:rPr>
          <w:b/>
          <w:sz w:val="32"/>
          <w:szCs w:val="32"/>
        </w:rPr>
      </w:pPr>
      <w:r>
        <w:rPr>
          <w:rFonts w:hint="eastAsia"/>
          <w:b/>
          <w:sz w:val="32"/>
          <w:szCs w:val="32"/>
        </w:rPr>
        <w:br w:type="page"/>
      </w:r>
    </w:p>
    <w:p w14:paraId="1FCCA23B">
      <w:pPr>
        <w:jc w:val="center"/>
        <w:rPr>
          <w:b/>
          <w:sz w:val="32"/>
          <w:szCs w:val="32"/>
        </w:rPr>
      </w:pPr>
      <w:r>
        <w:rPr>
          <w:rFonts w:hint="eastAsia"/>
          <w:b/>
          <w:sz w:val="32"/>
          <w:szCs w:val="32"/>
        </w:rPr>
        <w:t>四、投标人须知</w:t>
      </w:r>
      <w:bookmarkEnd w:id="2"/>
    </w:p>
    <w:p w14:paraId="136619D7">
      <w:pPr>
        <w:ind w:firstLine="562" w:firstLineChars="200"/>
        <w:rPr>
          <w:b/>
          <w:sz w:val="28"/>
          <w:szCs w:val="28"/>
        </w:rPr>
      </w:pPr>
      <w:r>
        <w:rPr>
          <w:rFonts w:hint="eastAsia"/>
          <w:b/>
          <w:sz w:val="28"/>
          <w:szCs w:val="28"/>
        </w:rPr>
        <w:t>（一）编制要求</w:t>
      </w:r>
    </w:p>
    <w:p w14:paraId="35B7C8C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322A7C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0214690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1B40490C">
      <w:pPr>
        <w:ind w:firstLine="562" w:firstLineChars="200"/>
        <w:rPr>
          <w:b/>
          <w:sz w:val="28"/>
          <w:szCs w:val="28"/>
        </w:rPr>
      </w:pPr>
      <w:bookmarkStart w:id="6" w:name="_Toc39744254"/>
      <w:r>
        <w:rPr>
          <w:rFonts w:hint="eastAsia"/>
          <w:b/>
          <w:sz w:val="28"/>
          <w:szCs w:val="28"/>
        </w:rPr>
        <w:t>（二）资格审查要求</w:t>
      </w:r>
      <w:bookmarkEnd w:id="6"/>
    </w:p>
    <w:p w14:paraId="336A7314">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color w:val="FF0000"/>
          <w:szCs w:val="21"/>
        </w:rPr>
        <w:t>2025年7月</w:t>
      </w:r>
      <w:r>
        <w:rPr>
          <w:rFonts w:hint="eastAsia" w:ascii="宋体" w:hAnsi="宋体"/>
          <w:b/>
          <w:color w:val="FF0000"/>
          <w:szCs w:val="21"/>
          <w:lang w:val="en-US" w:eastAsia="zh-CN"/>
        </w:rPr>
        <w:t>13</w:t>
      </w:r>
      <w:r>
        <w:rPr>
          <w:rFonts w:hint="eastAsia" w:ascii="宋体" w:hAnsi="宋体"/>
          <w:b/>
          <w:color w:val="FF0000"/>
          <w:szCs w:val="21"/>
        </w:rPr>
        <w:t>日18：00</w:t>
      </w:r>
      <w:r>
        <w:rPr>
          <w:rFonts w:hint="eastAsia" w:ascii="宋体" w:hAnsi="宋体"/>
          <w:b/>
          <w:szCs w:val="21"/>
        </w:rPr>
        <w:t>前须向招标人提供法人授权委托书、供应商参加招标确认函、营业执照复印件扫描件发送电子邮箱50891671@qq.com，该授权委托代理为项目指定联系人。</w:t>
      </w:r>
    </w:p>
    <w:p w14:paraId="3535125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226F63DF">
      <w:pPr>
        <w:adjustRightInd w:val="0"/>
        <w:spacing w:line="440" w:lineRule="exact"/>
        <w:ind w:left="496" w:leftChars="236" w:right="248" w:rightChars="118" w:firstLine="369" w:firstLineChars="176"/>
        <w:contextualSpacing/>
      </w:pPr>
      <w:r>
        <w:t>证明投标人合格和资格的文件</w:t>
      </w:r>
      <w:r>
        <w:rPr>
          <w:rFonts w:hint="eastAsia"/>
        </w:rPr>
        <w:t>：</w:t>
      </w:r>
      <w:r>
        <w:t>投标人应提交证明其有资格参加投标和中标后有能力履行合同的文件，并作为其投标文件的一部分。</w:t>
      </w:r>
    </w:p>
    <w:p w14:paraId="4570E81D">
      <w:pPr>
        <w:snapToGrid w:val="0"/>
        <w:spacing w:line="440" w:lineRule="exact"/>
        <w:ind w:firstLine="723" w:firstLineChars="300"/>
        <w:rPr>
          <w:rStyle w:val="62"/>
          <w:rFonts w:ascii="宋体" w:hAnsi="宋体" w:cs="宋体"/>
          <w:b/>
          <w:bCs/>
          <w:sz w:val="24"/>
        </w:rPr>
      </w:pPr>
      <w:r>
        <w:rPr>
          <w:rStyle w:val="62"/>
          <w:rFonts w:ascii="宋体" w:hAnsi="宋体"/>
          <w:b/>
          <w:sz w:val="24"/>
        </w:rPr>
        <w:t>1．</w:t>
      </w:r>
      <w:r>
        <w:rPr>
          <w:rStyle w:val="62"/>
          <w:rFonts w:ascii="宋体" w:hAnsi="宋体" w:cs="宋体"/>
          <w:b/>
          <w:bCs/>
          <w:sz w:val="24"/>
        </w:rPr>
        <w:t>符合本次采购法律法规规定的条件目录</w:t>
      </w:r>
    </w:p>
    <w:p w14:paraId="38974A40">
      <w:pPr>
        <w:adjustRightInd w:val="0"/>
        <w:spacing w:line="440" w:lineRule="exact"/>
        <w:ind w:left="496" w:leftChars="236" w:right="248" w:rightChars="118" w:firstLine="369" w:firstLineChars="176"/>
        <w:contextualSpacing/>
        <w:rPr>
          <w:u w:val="single"/>
        </w:rPr>
      </w:pPr>
      <w:r>
        <w:rPr>
          <w:u w:val="single"/>
        </w:rPr>
        <w:t>1.1</w:t>
      </w:r>
      <w:r>
        <w:rPr>
          <w:rFonts w:hint="eastAsia" w:ascii="宋体" w:hAnsi="宋体" w:cs="宋体"/>
          <w:u w:val="single"/>
        </w:rPr>
        <w:t>★</w:t>
      </w:r>
      <w:r>
        <w:rPr>
          <w:u w:val="single"/>
        </w:rPr>
        <w:t>投标函(原件)；</w:t>
      </w:r>
    </w:p>
    <w:p w14:paraId="4F7598E9">
      <w:pPr>
        <w:adjustRightInd w:val="0"/>
        <w:spacing w:line="440" w:lineRule="exact"/>
        <w:ind w:left="496" w:leftChars="236" w:right="248" w:rightChars="118" w:firstLine="369" w:firstLineChars="176"/>
        <w:contextualSpacing/>
        <w:rPr>
          <w:u w:val="single"/>
        </w:rPr>
      </w:pPr>
      <w:r>
        <w:rPr>
          <w:u w:val="single"/>
        </w:rPr>
        <w:t>1.2</w:t>
      </w:r>
      <w:r>
        <w:rPr>
          <w:rFonts w:hint="eastAsia" w:ascii="宋体" w:hAnsi="宋体" w:cs="宋体"/>
          <w:u w:val="single"/>
        </w:rPr>
        <w:t>★</w:t>
      </w:r>
      <w:r>
        <w:rPr>
          <w:u w:val="single"/>
        </w:rPr>
        <w:t>资格声明(原件)；</w:t>
      </w:r>
    </w:p>
    <w:p w14:paraId="4954028B">
      <w:pPr>
        <w:adjustRightInd w:val="0"/>
        <w:spacing w:line="440" w:lineRule="exact"/>
        <w:ind w:left="496" w:leftChars="236" w:right="248" w:rightChars="118" w:firstLine="369" w:firstLineChars="176"/>
        <w:contextualSpacing/>
        <w:rPr>
          <w:u w:val="single"/>
        </w:rPr>
      </w:pPr>
      <w:r>
        <w:rPr>
          <w:u w:val="single"/>
        </w:rPr>
        <w:t>1.3</w:t>
      </w:r>
      <w:r>
        <w:rPr>
          <w:rFonts w:hint="eastAsia" w:ascii="宋体" w:hAnsi="宋体" w:cs="宋体"/>
          <w:u w:val="single"/>
        </w:rPr>
        <w:t>★</w:t>
      </w:r>
      <w:r>
        <w:rPr>
          <w:u w:val="single"/>
        </w:rPr>
        <w:t>若法定代表人参加投标的，须提供本人身份证复印件(原件备查)；若授权代表参加的，须提供《法人授权书》原件和授权代表身份证复印件（原件备查）；</w:t>
      </w:r>
    </w:p>
    <w:p w14:paraId="65B1B228">
      <w:pPr>
        <w:adjustRightInd w:val="0"/>
        <w:spacing w:line="440" w:lineRule="exact"/>
        <w:ind w:left="496" w:leftChars="236" w:right="248" w:rightChars="118" w:firstLine="369" w:firstLineChars="176"/>
        <w:contextualSpacing/>
        <w:rPr>
          <w:u w:val="single"/>
        </w:rPr>
      </w:pPr>
      <w:r>
        <w:rPr>
          <w:u w:val="single"/>
        </w:rPr>
        <w:t>1.4</w:t>
      </w:r>
      <w:r>
        <w:rPr>
          <w:rFonts w:hint="eastAsia" w:ascii="宋体" w:hAnsi="宋体" w:cs="宋体"/>
          <w:u w:val="single"/>
        </w:rPr>
        <w:t>★</w:t>
      </w:r>
      <w:r>
        <w:rPr>
          <w:u w:val="single"/>
        </w:rPr>
        <w:t>营业执照副本(复印件加盖供应商公章)；</w:t>
      </w:r>
    </w:p>
    <w:p w14:paraId="31E93391">
      <w:pPr>
        <w:adjustRightInd w:val="0"/>
        <w:spacing w:line="440" w:lineRule="exact"/>
        <w:ind w:left="496" w:leftChars="236" w:right="248" w:rightChars="118" w:firstLine="369" w:firstLineChars="176"/>
        <w:contextualSpacing/>
        <w:rPr>
          <w:u w:val="single"/>
        </w:rPr>
      </w:pPr>
      <w:r>
        <w:rPr>
          <w:u w:val="single"/>
        </w:rPr>
        <w:t>1.5</w:t>
      </w:r>
      <w:r>
        <w:rPr>
          <w:rFonts w:hint="eastAsia" w:ascii="宋体" w:hAnsi="宋体" w:cs="宋体"/>
          <w:u w:val="single"/>
        </w:rPr>
        <w:t>★</w:t>
      </w:r>
      <w:r>
        <w:rPr>
          <w:u w:val="single"/>
        </w:rPr>
        <w:t>依法缴纳职工社会保障资金的证明材料(复印件加盖供应商公章)(税务、银行或社会保险基金管理部门出具的</w:t>
      </w:r>
      <w:r>
        <w:rPr>
          <w:rFonts w:hint="eastAsia"/>
          <w:u w:val="single"/>
        </w:rPr>
        <w:t>近</w:t>
      </w:r>
      <w:r>
        <w:rPr>
          <w:u w:val="single"/>
        </w:rPr>
        <w:t>三个月内任意一份缴纳职工社会保障资金的缴款凭证或缴款证明)；</w:t>
      </w:r>
    </w:p>
    <w:p w14:paraId="10563694">
      <w:pPr>
        <w:adjustRightInd w:val="0"/>
        <w:spacing w:line="440" w:lineRule="exact"/>
        <w:ind w:left="496" w:leftChars="236" w:right="248" w:rightChars="118" w:firstLine="369" w:firstLineChars="176"/>
        <w:contextualSpacing/>
        <w:rPr>
          <w:u w:val="single"/>
        </w:rPr>
      </w:pPr>
      <w:r>
        <w:rPr>
          <w:u w:val="single"/>
        </w:rPr>
        <w:t>1.6</w:t>
      </w:r>
      <w:r>
        <w:rPr>
          <w:rFonts w:hint="eastAsia" w:ascii="宋体" w:hAnsi="宋体" w:cs="宋体"/>
          <w:u w:val="single"/>
        </w:rPr>
        <w:t>★</w:t>
      </w:r>
      <w:r>
        <w:rPr>
          <w:u w:val="single"/>
        </w:rPr>
        <w:t>供应商近三个月内任意一份依法纳税的缴款凭证(复印件加盖供应商公章)；</w:t>
      </w:r>
    </w:p>
    <w:p w14:paraId="68CC9BCD">
      <w:pPr>
        <w:adjustRightInd w:val="0"/>
        <w:spacing w:line="440" w:lineRule="exact"/>
        <w:ind w:left="496" w:leftChars="236" w:right="248" w:rightChars="118" w:firstLine="369" w:firstLineChars="176"/>
        <w:contextualSpacing/>
        <w:rPr>
          <w:u w:val="single"/>
        </w:rPr>
      </w:pPr>
      <w:r>
        <w:rPr>
          <w:u w:val="single"/>
        </w:rPr>
        <w:t>1.7</w:t>
      </w:r>
      <w:r>
        <w:rPr>
          <w:rFonts w:hint="eastAsia" w:ascii="宋体" w:hAnsi="宋体" w:cs="宋体"/>
          <w:u w:val="single"/>
        </w:rPr>
        <w:t>★</w:t>
      </w:r>
      <w:r>
        <w:rPr>
          <w:u w:val="single"/>
        </w:rPr>
        <w:t>与第1.6条相对应的纳税申报表或经会计师事务所审计的</w:t>
      </w:r>
      <w:r>
        <w:rPr>
          <w:rFonts w:hint="eastAsia"/>
          <w:u w:val="single"/>
        </w:rPr>
        <w:t>上一</w:t>
      </w:r>
      <w:r>
        <w:rPr>
          <w:u w:val="single"/>
        </w:rPr>
        <w:t>年度财务报告(复印件加盖供应商公章)；</w:t>
      </w:r>
    </w:p>
    <w:p w14:paraId="646C2F1D">
      <w:pPr>
        <w:adjustRightInd w:val="0"/>
        <w:spacing w:line="440" w:lineRule="exact"/>
        <w:ind w:left="496" w:leftChars="236" w:right="248" w:rightChars="118" w:firstLine="369" w:firstLineChars="176"/>
        <w:contextualSpacing/>
        <w:rPr>
          <w:u w:val="single"/>
        </w:rPr>
      </w:pPr>
      <w:r>
        <w:rPr>
          <w:u w:val="single"/>
        </w:rPr>
        <w:t>1.8</w:t>
      </w:r>
      <w:r>
        <w:rPr>
          <w:rFonts w:hint="eastAsia" w:ascii="宋体" w:hAnsi="宋体" w:cs="宋体"/>
          <w:u w:val="single"/>
        </w:rPr>
        <w:t>★</w:t>
      </w:r>
      <w:r>
        <w:rPr>
          <w:u w:val="single"/>
        </w:rPr>
        <w:t>供应商参加本次政府采购活动前3年内在经营活动中没有重大违法记录、没有被司法部门或行业主管部门处罚的书面声明（原件）。</w:t>
      </w:r>
    </w:p>
    <w:p w14:paraId="4D370664">
      <w:pPr>
        <w:adjustRightInd w:val="0"/>
        <w:spacing w:line="440" w:lineRule="exact"/>
        <w:ind w:left="496" w:leftChars="236" w:right="248" w:rightChars="118" w:firstLine="369" w:firstLineChars="176"/>
        <w:contextualSpacing/>
        <w:rPr>
          <w:rFonts w:hint="default" w:eastAsia="宋体"/>
          <w:u w:val="single"/>
          <w:lang w:val="en-US" w:eastAsia="zh-CN"/>
        </w:rPr>
      </w:pPr>
      <w:r>
        <w:rPr>
          <w:rFonts w:hint="eastAsia"/>
          <w:u w:val="single"/>
          <w:lang w:val="en-US" w:eastAsia="zh-CN"/>
        </w:rPr>
        <w:t>1.9</w:t>
      </w:r>
      <w:r>
        <w:rPr>
          <w:rFonts w:hint="eastAsia" w:ascii="宋体" w:hAnsi="宋体" w:cs="宋体"/>
          <w:u w:val="single"/>
        </w:rPr>
        <w:t>★</w:t>
      </w:r>
      <w:r>
        <w:rPr>
          <w:rFonts w:hint="eastAsia" w:ascii="宋体" w:hAnsi="宋体" w:cs="宋体"/>
          <w:u w:val="single"/>
          <w:lang w:val="en-US" w:eastAsia="zh-CN"/>
        </w:rPr>
        <w:t>供应商需具有建筑施工总承包三级及以上资质；</w:t>
      </w:r>
    </w:p>
    <w:p w14:paraId="6AAAA4D6">
      <w:pPr>
        <w:snapToGrid w:val="0"/>
        <w:spacing w:line="440" w:lineRule="exact"/>
        <w:ind w:firstLine="840" w:firstLineChars="400"/>
        <w:rPr>
          <w:rStyle w:val="79"/>
          <w:rFonts w:ascii="宋体" w:hAnsi="宋体"/>
          <w:szCs w:val="21"/>
        </w:rPr>
      </w:pPr>
      <w:r>
        <w:rPr>
          <w:rStyle w:val="62"/>
          <w:rFonts w:hint="eastAsia" w:ascii="宋体" w:hAnsi="宋体"/>
          <w:szCs w:val="21"/>
          <w:lang w:val="en-US" w:eastAsia="zh-CN"/>
        </w:rPr>
        <w:t>2.0</w:t>
      </w:r>
      <w:r>
        <w:rPr>
          <w:rStyle w:val="62"/>
          <w:rFonts w:ascii="宋体" w:hAnsi="宋体"/>
          <w:szCs w:val="21"/>
        </w:rPr>
        <w:t>投标人认为需要提供的其他商务资料</w:t>
      </w:r>
      <w:r>
        <w:rPr>
          <w:rStyle w:val="79"/>
          <w:rFonts w:ascii="宋体" w:hAnsi="宋体"/>
          <w:szCs w:val="21"/>
        </w:rPr>
        <w:t>。</w:t>
      </w:r>
    </w:p>
    <w:p w14:paraId="3F54598F">
      <w:pPr>
        <w:adjustRightInd w:val="0"/>
        <w:snapToGrid w:val="0"/>
        <w:spacing w:line="440" w:lineRule="exact"/>
        <w:ind w:left="424" w:leftChars="202" w:right="531" w:rightChars="253" w:firstLine="332" w:firstLineChars="118"/>
        <w:contextualSpacing/>
        <w:rPr>
          <w:b/>
          <w:sz w:val="28"/>
          <w:szCs w:val="28"/>
        </w:rPr>
      </w:pPr>
      <w:bookmarkStart w:id="7" w:name="_Toc39744256"/>
      <w:r>
        <w:rPr>
          <w:rFonts w:hint="eastAsia"/>
          <w:b/>
          <w:sz w:val="28"/>
          <w:szCs w:val="28"/>
        </w:rPr>
        <w:t>（三）投标文件要求</w:t>
      </w:r>
      <w:bookmarkEnd w:id="7"/>
    </w:p>
    <w:p w14:paraId="4AB95EB0">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6BB2B68">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F8236F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737A527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21766FD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4E28045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4ACAC42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32F7898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45D28F7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2F7B2891">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2902573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bookmarkStart w:id="8" w:name="_Toc39744257"/>
      <w:r>
        <w:rPr>
          <w:rFonts w:hint="eastAsia" w:ascii="宋体" w:hAnsi="宋体"/>
          <w:snapToGrid w:val="0"/>
          <w:sz w:val="24"/>
        </w:rPr>
        <w:t>1、投标函</w:t>
      </w:r>
    </w:p>
    <w:p w14:paraId="3C5784E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2、投标报价</w:t>
      </w:r>
    </w:p>
    <w:p w14:paraId="6BCB93A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3、分项报价</w:t>
      </w:r>
    </w:p>
    <w:p w14:paraId="1EABD5B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3D94F53B">
      <w:pPr>
        <w:ind w:firstLine="562" w:firstLineChars="200"/>
        <w:rPr>
          <w:b/>
          <w:sz w:val="28"/>
          <w:szCs w:val="28"/>
        </w:rPr>
      </w:pPr>
      <w:r>
        <w:rPr>
          <w:rFonts w:hint="eastAsia"/>
          <w:b/>
          <w:sz w:val="28"/>
          <w:szCs w:val="28"/>
        </w:rPr>
        <w:t>（四）开标、</w:t>
      </w:r>
      <w:bookmarkEnd w:id="8"/>
      <w:r>
        <w:rPr>
          <w:rFonts w:hint="eastAsia"/>
          <w:b/>
          <w:sz w:val="28"/>
          <w:szCs w:val="28"/>
        </w:rPr>
        <w:t>评标</w:t>
      </w:r>
    </w:p>
    <w:p w14:paraId="1EF71D0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35C7E7F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21820C1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w:t>
      </w:r>
      <w:r>
        <w:rPr>
          <w:rFonts w:hint="eastAsia" w:ascii="宋体" w:hAnsi="宋体"/>
          <w:szCs w:val="21"/>
          <w:lang w:eastAsia="zh-CN"/>
        </w:rPr>
        <w:t>谈判</w:t>
      </w:r>
      <w:r>
        <w:rPr>
          <w:rFonts w:hint="eastAsia" w:ascii="宋体" w:hAnsi="宋体"/>
          <w:szCs w:val="21"/>
        </w:rPr>
        <w:t>文件要求的；</w:t>
      </w:r>
    </w:p>
    <w:p w14:paraId="09C02DA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（2）投标函未盖投标人的企业及企业法定代表人印章或签字的，或者企业法定代表人委托代理人没有合法、有效的委托书（原件）及委托代理人印章或签字的；</w:t>
      </w:r>
    </w:p>
    <w:p w14:paraId="632365D7">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54F7BC6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4C22F87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4、严格按照扬州大学附属医院采购管理办法，组成项目评标小组。严格按招标文件，公平、公正、科学、严谨地对投标文件进行综合评定。二次公告，满足两家并形成充分竞争，则正常开标。</w:t>
      </w:r>
    </w:p>
    <w:p w14:paraId="370058A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5、谈判程序：</w:t>
      </w:r>
    </w:p>
    <w:p w14:paraId="4CE4B3C6">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（1）资格审查；（2）投标单位自我介绍及产品介绍；（3）谈判及二次报价。</w:t>
      </w:r>
    </w:p>
    <w:p w14:paraId="1D28F61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65FCEDCC">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综合评分第一名为中标单位。</w:t>
      </w:r>
    </w:p>
    <w:p w14:paraId="5D136A41">
      <w:pPr>
        <w:pStyle w:val="32"/>
      </w:pPr>
      <w:bookmarkStart w:id="9" w:name="_Toc39744258"/>
    </w:p>
    <w:p w14:paraId="5599EBA2">
      <w:r>
        <w:rPr>
          <w:rFonts w:hint="eastAsia"/>
        </w:rPr>
        <w:br w:type="page"/>
      </w:r>
    </w:p>
    <w:p w14:paraId="4CB7514D">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五、投标文件格式及附件要求</w:t>
      </w:r>
      <w:bookmarkEnd w:id="9"/>
    </w:p>
    <w:p w14:paraId="781FAAA4">
      <w:pPr>
        <w:jc w:val="center"/>
        <w:rPr>
          <w:b/>
          <w:sz w:val="36"/>
          <w:szCs w:val="36"/>
        </w:rPr>
      </w:pPr>
    </w:p>
    <w:p w14:paraId="0350C7FF">
      <w:pPr>
        <w:jc w:val="center"/>
        <w:rPr>
          <w:rFonts w:ascii="宋体" w:hAnsi="宋体"/>
          <w:b/>
          <w:sz w:val="36"/>
          <w:szCs w:val="36"/>
          <w:u w:val="single"/>
        </w:rPr>
      </w:pPr>
      <w:r>
        <w:rPr>
          <w:rFonts w:hint="eastAsia"/>
          <w:b/>
          <w:sz w:val="36"/>
          <w:szCs w:val="36"/>
        </w:rPr>
        <w:t>目录</w:t>
      </w:r>
    </w:p>
    <w:p w14:paraId="0BBEED6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00514F8">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46051F0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D2E7DB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4287C1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0D9949F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2502D27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0C1B6DE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51984C7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33651A23">
      <w:pPr>
        <w:adjustRightInd w:val="0"/>
        <w:snapToGrid w:val="0"/>
        <w:spacing w:line="440" w:lineRule="exact"/>
        <w:ind w:left="422" w:leftChars="201" w:right="531" w:rightChars="253" w:firstLine="424" w:firstLineChars="177"/>
        <w:contextualSpacing/>
        <w:rPr>
          <w:rFonts w:ascii="宋体" w:hAnsi="宋体"/>
          <w:szCs w:val="21"/>
        </w:rPr>
      </w:pPr>
      <w:r>
        <w:rPr>
          <w:rFonts w:hint="eastAsia" w:ascii="宋体" w:hAnsi="宋体"/>
          <w:snapToGrid w:val="0"/>
          <w:sz w:val="24"/>
        </w:rPr>
        <w:t>（二）报价文件</w:t>
      </w:r>
    </w:p>
    <w:p w14:paraId="378E00E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156D61B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2、投标报价</w:t>
      </w:r>
    </w:p>
    <w:p w14:paraId="710A12A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3、分项报价</w:t>
      </w:r>
    </w:p>
    <w:p w14:paraId="51D1456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A7145BB">
      <w:pPr>
        <w:pStyle w:val="32"/>
        <w:ind w:firstLine="480" w:firstLineChars="200"/>
      </w:pPr>
      <w:r>
        <w:rPr>
          <w:rFonts w:hint="eastAsia"/>
        </w:rPr>
        <w:t>未提供的格式自拟</w:t>
      </w:r>
    </w:p>
    <w:p w14:paraId="084A4870">
      <w:pPr>
        <w:adjustRightInd w:val="0"/>
        <w:snapToGrid w:val="0"/>
        <w:spacing w:line="440" w:lineRule="exact"/>
        <w:ind w:left="424" w:leftChars="202" w:firstLine="371" w:firstLineChars="177"/>
        <w:contextualSpacing/>
        <w:rPr>
          <w:rFonts w:ascii="宋体" w:hAnsi="宋体"/>
          <w:bCs/>
          <w:szCs w:val="21"/>
        </w:rPr>
      </w:pPr>
    </w:p>
    <w:p w14:paraId="231F2979">
      <w:pPr>
        <w:tabs>
          <w:tab w:val="left" w:pos="1300"/>
          <w:tab w:val="left" w:pos="1600"/>
        </w:tabs>
        <w:spacing w:line="560" w:lineRule="exact"/>
        <w:ind w:firstLine="420" w:firstLineChars="200"/>
        <w:rPr>
          <w:rFonts w:ascii="宋体" w:hAnsi="宋体"/>
          <w:bCs/>
          <w:szCs w:val="21"/>
        </w:rPr>
      </w:pPr>
    </w:p>
    <w:p w14:paraId="72C38A1E">
      <w:pPr>
        <w:tabs>
          <w:tab w:val="left" w:pos="1300"/>
          <w:tab w:val="left" w:pos="1600"/>
        </w:tabs>
        <w:spacing w:line="560" w:lineRule="exact"/>
        <w:ind w:firstLine="420" w:firstLineChars="200"/>
        <w:rPr>
          <w:rFonts w:ascii="宋体" w:hAnsi="宋体"/>
          <w:bCs/>
          <w:szCs w:val="21"/>
        </w:rPr>
      </w:pPr>
    </w:p>
    <w:p w14:paraId="39A6A0D3">
      <w:pPr>
        <w:tabs>
          <w:tab w:val="left" w:pos="1300"/>
          <w:tab w:val="left" w:pos="1600"/>
        </w:tabs>
        <w:spacing w:line="560" w:lineRule="exact"/>
        <w:ind w:firstLine="480" w:firstLineChars="200"/>
        <w:rPr>
          <w:rFonts w:ascii="宋体" w:hAnsi="宋体"/>
          <w:snapToGrid w:val="0"/>
          <w:sz w:val="24"/>
        </w:rPr>
      </w:pPr>
    </w:p>
    <w:p w14:paraId="2736816A">
      <w:pPr>
        <w:pStyle w:val="13"/>
        <w:rPr>
          <w:rFonts w:ascii="黑体" w:hAnsi="Times New Roman" w:eastAsia="黑体"/>
          <w:b/>
          <w:sz w:val="36"/>
        </w:rPr>
      </w:pPr>
    </w:p>
    <w:p w14:paraId="0970D2A9">
      <w:pPr>
        <w:pStyle w:val="13"/>
        <w:rPr>
          <w:rFonts w:ascii="黑体" w:hAnsi="Times New Roman" w:eastAsia="黑体"/>
          <w:b/>
          <w:sz w:val="36"/>
        </w:rPr>
      </w:pPr>
    </w:p>
    <w:p w14:paraId="57880DE8">
      <w:pPr>
        <w:pStyle w:val="13"/>
        <w:rPr>
          <w:rFonts w:ascii="黑体" w:hAnsi="Times New Roman" w:eastAsia="黑体"/>
          <w:b/>
          <w:sz w:val="36"/>
        </w:rPr>
      </w:pPr>
    </w:p>
    <w:p w14:paraId="6BDC9A8B">
      <w:pPr>
        <w:pStyle w:val="13"/>
        <w:rPr>
          <w:rFonts w:ascii="黑体" w:hAnsi="Times New Roman" w:eastAsia="黑体"/>
          <w:b/>
          <w:sz w:val="36"/>
        </w:rPr>
      </w:pPr>
    </w:p>
    <w:p w14:paraId="63F8AC18">
      <w:pPr>
        <w:pStyle w:val="13"/>
        <w:rPr>
          <w:rFonts w:ascii="黑体" w:hAnsi="Times New Roman" w:eastAsia="黑体"/>
          <w:b/>
          <w:sz w:val="36"/>
        </w:rPr>
      </w:pPr>
    </w:p>
    <w:p w14:paraId="11F22E10">
      <w:pPr>
        <w:pStyle w:val="13"/>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59A398E2">
      <w:pPr>
        <w:pStyle w:val="13"/>
        <w:jc w:val="center"/>
        <w:rPr>
          <w:rFonts w:asciiTheme="minorEastAsia" w:hAnsiTheme="minorEastAsia" w:eastAsiaTheme="minorEastAsia"/>
          <w:b/>
          <w:sz w:val="24"/>
          <w:szCs w:val="24"/>
        </w:rPr>
      </w:pPr>
    </w:p>
    <w:p w14:paraId="50192239">
      <w:pPr>
        <w:pStyle w:val="13"/>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的法定代表人，现授权委托我单位的(姓名)为我公司代理人。代理人在项目院内公开谈判签署的一切文件和处理与之有关的一切事务，我均予以承认。</w:t>
      </w:r>
    </w:p>
    <w:p w14:paraId="52BA8757">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79F18A5B">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104FD2AF">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73B14207">
      <w:pPr>
        <w:pStyle w:val="13"/>
        <w:spacing w:line="480" w:lineRule="auto"/>
        <w:rPr>
          <w:rFonts w:asciiTheme="minorEastAsia" w:hAnsiTheme="minorEastAsia" w:eastAsiaTheme="minorEastAsia"/>
          <w:sz w:val="24"/>
          <w:szCs w:val="24"/>
        </w:rPr>
      </w:pPr>
    </w:p>
    <w:p w14:paraId="35C284A9">
      <w:pPr>
        <w:pStyle w:val="13"/>
        <w:spacing w:line="48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5D7E204">
      <w:pPr>
        <w:pStyle w:val="13"/>
        <w:spacing w:line="480" w:lineRule="auto"/>
        <w:ind w:firstLine="420"/>
        <w:rPr>
          <w:rFonts w:asciiTheme="minorEastAsia" w:hAnsiTheme="minorEastAsia" w:eastAsiaTheme="minorEastAsia"/>
          <w:sz w:val="24"/>
          <w:szCs w:val="24"/>
        </w:rPr>
      </w:pPr>
    </w:p>
    <w:p w14:paraId="60E1D5E7">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3463450E">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7970C5EA">
      <w:pPr>
        <w:spacing w:line="400" w:lineRule="exact"/>
        <w:ind w:firstLine="480" w:firstLineChars="200"/>
        <w:rPr>
          <w:rFonts w:ascii="宋体" w:hAnsi="宋体"/>
          <w:sz w:val="24"/>
        </w:rPr>
      </w:pPr>
    </w:p>
    <w:p w14:paraId="5AF4DD81">
      <w:pPr>
        <w:spacing w:line="400" w:lineRule="exact"/>
        <w:rPr>
          <w:rFonts w:ascii="宋体" w:hAnsi="宋体"/>
          <w:sz w:val="28"/>
        </w:rPr>
      </w:pPr>
    </w:p>
    <w:p w14:paraId="19570030">
      <w:pPr>
        <w:spacing w:line="400" w:lineRule="exact"/>
        <w:rPr>
          <w:rFonts w:ascii="宋体" w:hAnsi="宋体"/>
          <w:sz w:val="28"/>
        </w:rPr>
      </w:pPr>
    </w:p>
    <w:p w14:paraId="63F8B7C4">
      <w:pPr>
        <w:spacing w:line="500" w:lineRule="exact"/>
        <w:jc w:val="center"/>
        <w:rPr>
          <w:rFonts w:ascii="黑体" w:eastAsia="黑体"/>
          <w:b/>
          <w:bCs/>
          <w:sz w:val="36"/>
          <w:szCs w:val="36"/>
        </w:rPr>
      </w:pPr>
    </w:p>
    <w:p w14:paraId="310905F5">
      <w:pPr>
        <w:pStyle w:val="13"/>
        <w:jc w:val="center"/>
        <w:rPr>
          <w:rFonts w:ascii="黑体" w:hAnsi="Times New Roman" w:eastAsia="黑体"/>
          <w:b/>
          <w:sz w:val="36"/>
        </w:rPr>
      </w:pPr>
    </w:p>
    <w:p w14:paraId="61E3B8E2">
      <w:pPr>
        <w:pStyle w:val="13"/>
        <w:jc w:val="center"/>
        <w:rPr>
          <w:rFonts w:ascii="黑体" w:hAnsi="Times New Roman" w:eastAsia="黑体"/>
          <w:b/>
          <w:sz w:val="36"/>
        </w:rPr>
      </w:pPr>
    </w:p>
    <w:p w14:paraId="1F8DBACC">
      <w:pPr>
        <w:pStyle w:val="13"/>
        <w:jc w:val="center"/>
        <w:rPr>
          <w:rFonts w:ascii="黑体" w:hAnsi="Times New Roman" w:eastAsia="黑体"/>
          <w:b/>
          <w:sz w:val="36"/>
        </w:rPr>
      </w:pPr>
    </w:p>
    <w:p w14:paraId="23369D35">
      <w:pPr>
        <w:pStyle w:val="13"/>
        <w:rPr>
          <w:rFonts w:ascii="黑体" w:eastAsia="黑体"/>
          <w:b/>
          <w:bCs/>
          <w:sz w:val="36"/>
          <w:szCs w:val="36"/>
        </w:rPr>
      </w:pPr>
    </w:p>
    <w:p w14:paraId="1FB1C6C4">
      <w:pPr>
        <w:pStyle w:val="14"/>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9A75922">
      <w:pPr>
        <w:spacing w:line="540" w:lineRule="exact"/>
      </w:pPr>
    </w:p>
    <w:p w14:paraId="3439B766">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5E5A1226">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项目</w:t>
      </w:r>
      <w:r>
        <w:rPr>
          <w:rFonts w:hint="eastAsia" w:ascii="宋体" w:hAnsi="宋体"/>
          <w:sz w:val="24"/>
        </w:rPr>
        <w:t>的院内公开谈判，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2C4B085C">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764A3243">
      <w:pPr>
        <w:pStyle w:val="14"/>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631D164">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1870CC09">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326F9D6D">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0201B1BA">
      <w:pPr>
        <w:adjustRightInd w:val="0"/>
        <w:snapToGrid w:val="0"/>
        <w:spacing w:line="700" w:lineRule="exact"/>
        <w:ind w:left="424" w:leftChars="202" w:right="531" w:rightChars="253" w:firstLine="424" w:firstLineChars="177"/>
        <w:contextualSpacing/>
        <w:rPr>
          <w:rFonts w:ascii="宋体" w:hAnsi="宋体"/>
          <w:sz w:val="24"/>
        </w:rPr>
      </w:pPr>
    </w:p>
    <w:p w14:paraId="3B29AD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71FF4D1C">
      <w:pPr>
        <w:pStyle w:val="14"/>
        <w:widowControl/>
        <w:spacing w:line="540" w:lineRule="exact"/>
        <w:ind w:left="5250" w:leftChars="0"/>
        <w:jc w:val="center"/>
        <w:rPr>
          <w:rFonts w:hAnsi="宋体"/>
          <w:szCs w:val="32"/>
        </w:rPr>
      </w:pPr>
    </w:p>
    <w:p w14:paraId="41251284">
      <w:pPr>
        <w:pStyle w:val="14"/>
        <w:widowControl/>
        <w:spacing w:line="540" w:lineRule="exact"/>
        <w:ind w:left="5250" w:leftChars="0"/>
        <w:jc w:val="center"/>
        <w:rPr>
          <w:rFonts w:ascii="宋体" w:hAnsi="宋体" w:eastAsia="宋体"/>
          <w:szCs w:val="32"/>
        </w:rPr>
      </w:pPr>
    </w:p>
    <w:p w14:paraId="3D6DB09C">
      <w:pPr>
        <w:pStyle w:val="14"/>
        <w:widowControl/>
        <w:spacing w:line="540" w:lineRule="exact"/>
        <w:ind w:left="5250" w:leftChars="0"/>
        <w:jc w:val="center"/>
        <w:rPr>
          <w:rFonts w:ascii="宋体" w:hAnsi="宋体" w:eastAsia="宋体"/>
          <w:szCs w:val="32"/>
        </w:rPr>
      </w:pPr>
    </w:p>
    <w:p w14:paraId="4A55D8AB">
      <w:pPr>
        <w:pStyle w:val="14"/>
        <w:widowControl/>
        <w:spacing w:line="540" w:lineRule="exact"/>
        <w:ind w:left="5250" w:leftChars="0"/>
        <w:jc w:val="center"/>
        <w:rPr>
          <w:rFonts w:ascii="宋体" w:hAnsi="宋体" w:eastAsia="宋体"/>
          <w:szCs w:val="32"/>
        </w:rPr>
      </w:pPr>
    </w:p>
    <w:p w14:paraId="7133B7BF">
      <w:pPr>
        <w:pStyle w:val="14"/>
        <w:widowControl/>
        <w:spacing w:line="540" w:lineRule="exact"/>
        <w:ind w:left="5250" w:leftChars="0"/>
        <w:jc w:val="center"/>
        <w:rPr>
          <w:rFonts w:ascii="宋体" w:hAnsi="宋体" w:eastAsia="宋体"/>
          <w:szCs w:val="32"/>
        </w:rPr>
      </w:pPr>
    </w:p>
    <w:p w14:paraId="090CA3A5">
      <w:pPr>
        <w:pStyle w:val="14"/>
        <w:widowControl/>
        <w:spacing w:line="540" w:lineRule="exact"/>
        <w:ind w:left="5250" w:leftChars="0"/>
        <w:jc w:val="center"/>
        <w:rPr>
          <w:rFonts w:ascii="宋体" w:hAnsi="宋体" w:eastAsia="宋体"/>
          <w:szCs w:val="32"/>
        </w:rPr>
      </w:pPr>
    </w:p>
    <w:p w14:paraId="5BA654F5">
      <w:pPr>
        <w:rPr>
          <w:rFonts w:ascii="宋体" w:hAnsi="宋体"/>
          <w:szCs w:val="32"/>
        </w:rPr>
      </w:pPr>
      <w:r>
        <w:rPr>
          <w:rFonts w:hint="eastAsia" w:ascii="宋体" w:hAnsi="宋体"/>
          <w:szCs w:val="32"/>
        </w:rPr>
        <w:br w:type="page"/>
      </w:r>
    </w:p>
    <w:p w14:paraId="7AFC0268">
      <w:pPr>
        <w:spacing w:line="360" w:lineRule="auto"/>
        <w:ind w:firstLine="3975" w:firstLineChars="1100"/>
        <w:rPr>
          <w:rFonts w:ascii="宋体" w:hAnsi="宋体"/>
          <w:b/>
          <w:sz w:val="36"/>
          <w:szCs w:val="36"/>
        </w:rPr>
      </w:pPr>
      <w:r>
        <w:rPr>
          <w:rFonts w:hint="eastAsia" w:ascii="宋体" w:hAnsi="宋体"/>
          <w:b/>
          <w:sz w:val="36"/>
          <w:szCs w:val="36"/>
        </w:rPr>
        <w:t>投标函</w:t>
      </w:r>
    </w:p>
    <w:p w14:paraId="3AA5C47E">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A5D92D4">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                            项目的院内公开谈谈判文件，遵照扬州大学附属医院采购管理办法，我单位经研究上述谈判的投标须知、合同条件、技术规范、和其他有关文件后，我方投标报价为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r>
        <w:rPr>
          <w:rFonts w:hint="eastAsia" w:ascii="宋体" w:hAnsi="宋体"/>
          <w:b/>
          <w:sz w:val="24"/>
        </w:rPr>
        <w:t>包含所有相关费用，如开孔等，不得收取其他任何费用。</w:t>
      </w:r>
    </w:p>
    <w:p w14:paraId="7538EA88">
      <w:pPr>
        <w:spacing w:line="360" w:lineRule="auto"/>
        <w:rPr>
          <w:rFonts w:ascii="宋体" w:hAnsi="宋体"/>
          <w:bCs/>
          <w:sz w:val="24"/>
        </w:rPr>
      </w:pPr>
    </w:p>
    <w:p w14:paraId="4F73AD6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0F34D0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5A0E301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20B9B279">
      <w:pPr>
        <w:jc w:val="center"/>
        <w:rPr>
          <w:rFonts w:ascii="宋体" w:hAnsi="宋体"/>
          <w:b/>
          <w:sz w:val="24"/>
        </w:rPr>
      </w:pPr>
      <w:r>
        <w:rPr>
          <w:rFonts w:hint="eastAsia" w:ascii="宋体" w:hAnsi="宋体"/>
          <w:sz w:val="24"/>
        </w:rPr>
        <w:br w:type="page"/>
      </w:r>
    </w:p>
    <w:p w14:paraId="20BA8056">
      <w:pPr>
        <w:spacing w:line="360" w:lineRule="auto"/>
        <w:jc w:val="center"/>
        <w:rPr>
          <w:rFonts w:ascii="宋体" w:hAnsi="宋体"/>
          <w:b/>
          <w:sz w:val="36"/>
          <w:szCs w:val="36"/>
        </w:rPr>
      </w:pPr>
      <w:r>
        <w:rPr>
          <w:rFonts w:hint="eastAsia" w:ascii="宋体" w:hAnsi="宋体"/>
          <w:b/>
          <w:sz w:val="36"/>
          <w:szCs w:val="36"/>
        </w:rPr>
        <w:t>响应报价表</w:t>
      </w:r>
    </w:p>
    <w:p w14:paraId="4670CBCD">
      <w:pPr>
        <w:pStyle w:val="14"/>
        <w:spacing w:line="360" w:lineRule="auto"/>
        <w:ind w:left="0" w:leftChars="0"/>
        <w:rPr>
          <w:rFonts w:ascii="宋体" w:hAnsi="宋体" w:eastAsia="宋体" w:cs="宋体"/>
          <w:b w:val="0"/>
          <w:bCs w:val="0"/>
          <w:sz w:val="24"/>
        </w:rPr>
      </w:pPr>
      <w:r>
        <w:rPr>
          <w:rFonts w:hint="eastAsia" w:ascii="宋体" w:hAnsi="宋体" w:eastAsia="宋体" w:cs="宋体"/>
          <w:b w:val="0"/>
          <w:bCs w:val="0"/>
          <w:sz w:val="24"/>
        </w:rPr>
        <w:t xml:space="preserve">项目名称： </w:t>
      </w:r>
    </w:p>
    <w:p w14:paraId="11DD6B63">
      <w:pPr>
        <w:spacing w:line="360" w:lineRule="auto"/>
        <w:rPr>
          <w:rFonts w:ascii="宋体" w:hAnsi="宋体"/>
          <w:sz w:val="24"/>
        </w:rPr>
      </w:pPr>
    </w:p>
    <w:p w14:paraId="0353DE45">
      <w:pPr>
        <w:spacing w:line="360" w:lineRule="auto"/>
        <w:rPr>
          <w:rFonts w:ascii="宋体" w:hAnsi="宋体"/>
          <w:sz w:val="24"/>
        </w:rPr>
      </w:pPr>
    </w:p>
    <w:tbl>
      <w:tblPr>
        <w:tblStyle w:val="26"/>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6336"/>
      </w:tblGrid>
      <w:tr w14:paraId="494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42D102F8">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4053" w:type="pct"/>
            <w:tcBorders>
              <w:top w:val="single" w:color="auto" w:sz="4" w:space="0"/>
              <w:left w:val="single" w:color="auto" w:sz="4" w:space="0"/>
              <w:bottom w:val="single" w:color="auto" w:sz="4" w:space="0"/>
              <w:right w:val="single" w:color="auto" w:sz="4" w:space="0"/>
            </w:tcBorders>
            <w:vAlign w:val="center"/>
          </w:tcPr>
          <w:p w14:paraId="6A098032">
            <w:pPr>
              <w:adjustRightInd w:val="0"/>
              <w:snapToGrid w:val="0"/>
              <w:spacing w:after="200" w:line="220" w:lineRule="atLeast"/>
              <w:jc w:val="center"/>
              <w:rPr>
                <w:rFonts w:ascii="宋体" w:hAnsi="宋体"/>
                <w:sz w:val="24"/>
              </w:rPr>
            </w:pPr>
            <w:r>
              <w:rPr>
                <w:rFonts w:hint="eastAsia" w:ascii="宋体" w:hAnsi="宋体"/>
                <w:sz w:val="24"/>
              </w:rPr>
              <w:t>第一轮报价</w:t>
            </w:r>
          </w:p>
        </w:tc>
      </w:tr>
      <w:tr w14:paraId="526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4B16EEBB">
            <w:pPr>
              <w:pStyle w:val="8"/>
              <w:adjustRightInd w:val="0"/>
              <w:snapToGrid w:val="0"/>
              <w:spacing w:line="300" w:lineRule="auto"/>
              <w:rPr>
                <w:rFonts w:ascii="宋体" w:hAnsi="宋体" w:eastAsia="宋体" w:cs="宋体"/>
                <w:sz w:val="24"/>
                <w:szCs w:val="24"/>
              </w:rPr>
            </w:pPr>
          </w:p>
        </w:tc>
        <w:tc>
          <w:tcPr>
            <w:tcW w:w="4053" w:type="pct"/>
            <w:tcBorders>
              <w:top w:val="single" w:color="auto" w:sz="4" w:space="0"/>
              <w:left w:val="single" w:color="auto" w:sz="4" w:space="0"/>
              <w:bottom w:val="single" w:color="auto" w:sz="4" w:space="0"/>
              <w:right w:val="single" w:color="auto" w:sz="4" w:space="0"/>
            </w:tcBorders>
            <w:vAlign w:val="center"/>
          </w:tcPr>
          <w:p w14:paraId="18DEDC0C">
            <w:pPr>
              <w:pStyle w:val="8"/>
              <w:adjustRightInd w:val="0"/>
              <w:snapToGrid w:val="0"/>
              <w:spacing w:line="300" w:lineRule="auto"/>
              <w:rPr>
                <w:rFonts w:ascii="宋体" w:hAnsi="宋体" w:eastAsia="宋体" w:cs="宋体"/>
                <w:sz w:val="24"/>
                <w:szCs w:val="24"/>
              </w:rPr>
            </w:pPr>
            <w:r>
              <w:rPr>
                <w:rFonts w:hint="eastAsia" w:ascii="宋体" w:hAnsi="宋体" w:eastAsia="宋体" w:cs="宋体"/>
                <w:sz w:val="24"/>
                <w:szCs w:val="24"/>
              </w:rPr>
              <w:t>大写：</w:t>
            </w:r>
          </w:p>
          <w:p w14:paraId="05E1A4E2">
            <w:pPr>
              <w:pStyle w:val="63"/>
              <w:spacing w:before="0" w:after="0" w:line="500" w:lineRule="exact"/>
              <w:ind w:firstLine="0"/>
              <w:rPr>
                <w:rFonts w:ascii="宋体" w:hAnsi="宋体" w:cs="宋体"/>
              </w:rPr>
            </w:pPr>
            <w:r>
              <w:rPr>
                <w:rFonts w:hint="eastAsia" w:ascii="宋体" w:hAnsi="宋体" w:cs="宋体"/>
              </w:rPr>
              <w:t>小写：                             （人民币）</w:t>
            </w:r>
          </w:p>
        </w:tc>
      </w:tr>
      <w:tr w14:paraId="58D3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1C328E64">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备注</w:t>
            </w:r>
          </w:p>
        </w:tc>
        <w:tc>
          <w:tcPr>
            <w:tcW w:w="4053" w:type="pct"/>
            <w:tcBorders>
              <w:top w:val="single" w:color="auto" w:sz="4" w:space="0"/>
              <w:left w:val="single" w:color="auto" w:sz="4" w:space="0"/>
              <w:bottom w:val="single" w:color="auto" w:sz="4" w:space="0"/>
              <w:right w:val="single" w:color="auto" w:sz="4" w:space="0"/>
            </w:tcBorders>
            <w:vAlign w:val="center"/>
          </w:tcPr>
          <w:p w14:paraId="5F7C5C2D">
            <w:pPr>
              <w:pStyle w:val="8"/>
              <w:adjustRightInd w:val="0"/>
              <w:snapToGrid w:val="0"/>
              <w:spacing w:line="300" w:lineRule="auto"/>
              <w:rPr>
                <w:rFonts w:ascii="宋体" w:hAnsi="宋体" w:cs="宋体"/>
                <w:sz w:val="24"/>
                <w:szCs w:val="24"/>
              </w:rPr>
            </w:pPr>
          </w:p>
        </w:tc>
      </w:tr>
    </w:tbl>
    <w:p w14:paraId="01B72FC3">
      <w:pPr>
        <w:spacing w:line="360" w:lineRule="auto"/>
        <w:rPr>
          <w:rFonts w:ascii="宋体" w:hAnsi="宋体"/>
          <w:sz w:val="24"/>
        </w:rPr>
      </w:pPr>
    </w:p>
    <w:p w14:paraId="43EB0298">
      <w:pPr>
        <w:spacing w:line="360" w:lineRule="auto"/>
        <w:rPr>
          <w:rFonts w:ascii="宋体" w:hAnsi="宋体"/>
          <w:sz w:val="24"/>
        </w:rPr>
      </w:pPr>
    </w:p>
    <w:p w14:paraId="2EFC358A">
      <w:pPr>
        <w:spacing w:line="360" w:lineRule="auto"/>
        <w:rPr>
          <w:rFonts w:ascii="宋体" w:hAnsi="宋体"/>
          <w:sz w:val="24"/>
        </w:rPr>
      </w:pPr>
      <w:r>
        <w:rPr>
          <w:rFonts w:hint="eastAsia" w:ascii="宋体" w:hAnsi="宋体"/>
          <w:sz w:val="24"/>
        </w:rPr>
        <w:t xml:space="preserve">法定代表人或者授权代表（签字或盖章）：                    </w:t>
      </w:r>
    </w:p>
    <w:p w14:paraId="353B6884">
      <w:pPr>
        <w:spacing w:line="360" w:lineRule="auto"/>
        <w:rPr>
          <w:rFonts w:ascii="宋体" w:hAnsi="宋体"/>
          <w:sz w:val="24"/>
          <w:u w:val="single"/>
        </w:rPr>
      </w:pPr>
      <w:r>
        <w:rPr>
          <w:rFonts w:hint="eastAsia" w:ascii="宋体" w:hAnsi="宋体"/>
          <w:sz w:val="24"/>
        </w:rPr>
        <w:t>供应商全称（盖章）：</w:t>
      </w:r>
    </w:p>
    <w:p w14:paraId="7A8EF756">
      <w:pPr>
        <w:spacing w:line="360" w:lineRule="auto"/>
        <w:rPr>
          <w:rFonts w:ascii="宋体" w:hAnsi="宋体"/>
          <w:sz w:val="24"/>
        </w:rPr>
      </w:pPr>
      <w:r>
        <w:rPr>
          <w:rFonts w:hint="eastAsia" w:ascii="宋体" w:hAnsi="宋体"/>
          <w:sz w:val="24"/>
        </w:rPr>
        <w:t xml:space="preserve">                                               日期：    年   月    日</w:t>
      </w:r>
    </w:p>
    <w:p w14:paraId="3F07184D">
      <w:pPr>
        <w:spacing w:line="460" w:lineRule="exact"/>
        <w:rPr>
          <w:rFonts w:ascii="宋体" w:hAnsi="宋体"/>
          <w:bCs/>
          <w:sz w:val="24"/>
        </w:rPr>
      </w:pPr>
    </w:p>
    <w:p w14:paraId="1797488D">
      <w:pPr>
        <w:spacing w:line="460" w:lineRule="exact"/>
        <w:rPr>
          <w:rFonts w:ascii="宋体" w:hAnsi="宋体"/>
          <w:bCs/>
          <w:sz w:val="24"/>
        </w:rPr>
        <w:sectPr>
          <w:footerReference r:id="rId3" w:type="default"/>
          <w:pgSz w:w="11906" w:h="16838"/>
          <w:pgMar w:top="1440" w:right="1797" w:bottom="1440" w:left="1797" w:header="851" w:footer="992" w:gutter="0"/>
          <w:cols w:space="720" w:num="1"/>
          <w:docGrid w:linePitch="312" w:charSpace="0"/>
        </w:sectPr>
      </w:pPr>
    </w:p>
    <w:p w14:paraId="2EF6E670">
      <w:pPr>
        <w:spacing w:line="360" w:lineRule="auto"/>
        <w:jc w:val="center"/>
        <w:rPr>
          <w:rFonts w:ascii="宋体" w:hAnsi="宋体"/>
          <w:b/>
          <w:sz w:val="36"/>
          <w:szCs w:val="36"/>
        </w:rPr>
      </w:pPr>
      <w:r>
        <w:rPr>
          <w:rFonts w:hint="eastAsia" w:ascii="宋体" w:hAnsi="宋体"/>
          <w:b/>
          <w:sz w:val="36"/>
          <w:szCs w:val="36"/>
        </w:rPr>
        <w:t>分项报价表</w:t>
      </w:r>
    </w:p>
    <w:p w14:paraId="455111F0">
      <w:pPr>
        <w:pStyle w:val="6"/>
        <w:spacing w:line="360" w:lineRule="auto"/>
        <w:rPr>
          <w:rFonts w:ascii="宋体" w:hAnsi="宋体"/>
        </w:rPr>
      </w:pPr>
      <w:r>
        <w:rPr>
          <w:rFonts w:hint="eastAsia" w:ascii="宋体" w:hAnsi="宋体"/>
        </w:rPr>
        <w:t xml:space="preserve">供应商全称（加盖公章）： </w:t>
      </w:r>
    </w:p>
    <w:p w14:paraId="2BE13DAD">
      <w:pPr>
        <w:pStyle w:val="6"/>
        <w:spacing w:line="360" w:lineRule="auto"/>
        <w:rPr>
          <w:rFonts w:ascii="宋体" w:hAnsi="宋体"/>
        </w:rPr>
      </w:pPr>
    </w:p>
    <w:p w14:paraId="23829D5E">
      <w:pPr>
        <w:pStyle w:val="6"/>
        <w:spacing w:line="360" w:lineRule="auto"/>
        <w:rPr>
          <w:rFonts w:ascii="宋体" w:hAnsi="宋体"/>
        </w:rPr>
      </w:pPr>
    </w:p>
    <w:p w14:paraId="1E25F9DB">
      <w:pPr>
        <w:pStyle w:val="6"/>
        <w:spacing w:line="360" w:lineRule="auto"/>
        <w:rPr>
          <w:rFonts w:ascii="宋体" w:hAnsi="宋体"/>
        </w:rPr>
      </w:pPr>
    </w:p>
    <w:p w14:paraId="26BA68A9">
      <w:pPr>
        <w:pStyle w:val="6"/>
        <w:spacing w:line="360" w:lineRule="auto"/>
        <w:rPr>
          <w:rFonts w:ascii="宋体" w:hAnsi="宋体"/>
        </w:rPr>
      </w:pPr>
    </w:p>
    <w:p w14:paraId="2253A06E">
      <w:pPr>
        <w:pStyle w:val="6"/>
        <w:spacing w:line="360" w:lineRule="auto"/>
        <w:rPr>
          <w:rFonts w:ascii="宋体" w:hAnsi="宋体"/>
        </w:rPr>
      </w:pPr>
    </w:p>
    <w:p w14:paraId="33BF8278">
      <w:pPr>
        <w:pStyle w:val="6"/>
        <w:spacing w:line="360" w:lineRule="auto"/>
        <w:rPr>
          <w:rFonts w:ascii="宋体" w:hAnsi="宋体"/>
        </w:rPr>
      </w:pPr>
    </w:p>
    <w:p w14:paraId="50A919C1">
      <w:pPr>
        <w:pStyle w:val="6"/>
        <w:spacing w:line="360" w:lineRule="auto"/>
        <w:rPr>
          <w:rFonts w:ascii="宋体" w:hAnsi="宋体"/>
        </w:rPr>
      </w:pPr>
    </w:p>
    <w:p w14:paraId="68EA6442">
      <w:pPr>
        <w:pStyle w:val="6"/>
        <w:spacing w:line="360" w:lineRule="auto"/>
        <w:rPr>
          <w:rFonts w:ascii="宋体" w:hAnsi="宋体"/>
        </w:rPr>
      </w:pPr>
    </w:p>
    <w:p w14:paraId="034D0DBE">
      <w:pPr>
        <w:pStyle w:val="6"/>
        <w:spacing w:line="360" w:lineRule="auto"/>
        <w:rPr>
          <w:rFonts w:ascii="宋体" w:hAnsi="宋体"/>
        </w:rPr>
      </w:pPr>
    </w:p>
    <w:p w14:paraId="14D1D973">
      <w:pPr>
        <w:pStyle w:val="6"/>
        <w:spacing w:line="360" w:lineRule="auto"/>
        <w:rPr>
          <w:rFonts w:ascii="宋体" w:hAnsi="宋体"/>
        </w:rPr>
      </w:pPr>
    </w:p>
    <w:p w14:paraId="1030B12D">
      <w:pPr>
        <w:pStyle w:val="6"/>
        <w:spacing w:line="360" w:lineRule="auto"/>
        <w:rPr>
          <w:rFonts w:ascii="宋体" w:hAnsi="宋体"/>
        </w:rPr>
      </w:pPr>
    </w:p>
    <w:p w14:paraId="66B0717A">
      <w:pPr>
        <w:pStyle w:val="6"/>
        <w:spacing w:line="360" w:lineRule="auto"/>
        <w:rPr>
          <w:rFonts w:ascii="宋体" w:hAnsi="宋体"/>
        </w:rPr>
      </w:pPr>
      <w:r>
        <w:rPr>
          <w:rFonts w:hint="eastAsia" w:ascii="宋体" w:hAnsi="宋体"/>
        </w:rPr>
        <w:t xml:space="preserve">           </w:t>
      </w:r>
    </w:p>
    <w:p w14:paraId="27918211">
      <w:pPr>
        <w:spacing w:line="360" w:lineRule="auto"/>
        <w:rPr>
          <w:rFonts w:ascii="宋体" w:hAnsi="宋体"/>
          <w:sz w:val="24"/>
        </w:rPr>
      </w:pPr>
      <w:r>
        <w:rPr>
          <w:rFonts w:hint="eastAsia" w:ascii="宋体" w:hAnsi="宋体"/>
          <w:sz w:val="24"/>
        </w:rPr>
        <w:t>法定代表人或授权代表（签字或盖章）</w:t>
      </w:r>
    </w:p>
    <w:p w14:paraId="6650FAC6">
      <w:pPr>
        <w:spacing w:line="360" w:lineRule="auto"/>
        <w:rPr>
          <w:rFonts w:ascii="宋体" w:hAnsi="宋体"/>
          <w:sz w:val="24"/>
        </w:rPr>
      </w:pPr>
    </w:p>
    <w:p w14:paraId="69BBE93B">
      <w:pPr>
        <w:jc w:val="center"/>
        <w:rPr>
          <w:rFonts w:ascii="宋体" w:hAnsi="宋体"/>
          <w:sz w:val="24"/>
        </w:rPr>
      </w:pPr>
      <w:r>
        <w:rPr>
          <w:rFonts w:hint="eastAsia" w:ascii="宋体" w:hAnsi="宋体"/>
          <w:sz w:val="24"/>
        </w:rPr>
        <w:t xml:space="preserve">           年    月    日</w:t>
      </w:r>
    </w:p>
    <w:p w14:paraId="3C500D5B">
      <w:pPr>
        <w:rPr>
          <w:rFonts w:ascii="宋体" w:hAnsi="宋体"/>
          <w:szCs w:val="21"/>
        </w:rPr>
      </w:pPr>
      <w:r>
        <w:rPr>
          <w:rFonts w:hint="eastAsia" w:ascii="宋体" w:hAnsi="宋体"/>
          <w:szCs w:val="21"/>
        </w:rPr>
        <w:br w:type="page"/>
      </w:r>
    </w:p>
    <w:p w14:paraId="3189DE6B">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62F33055">
      <w:pPr>
        <w:rPr>
          <w:rFonts w:ascii="楷体_GB2312" w:eastAsia="楷体_GB2312"/>
        </w:rPr>
      </w:pPr>
    </w:p>
    <w:p w14:paraId="32A05384">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扬州大学附属医院科教综合楼东侧院墙拆除与重建项目院内公开谈判是实行公开、公平、公正的阳光工程，给予了每个供应商平等竞争的机会。作为参与此次谈判活动的承包商,我公司现郑重作出以下承诺：</w:t>
      </w:r>
    </w:p>
    <w:p w14:paraId="68EE407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49654CA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68660E3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40C283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19AF09B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3BD0A861">
      <w:pPr>
        <w:pStyle w:val="15"/>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6FD366B7">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6D6B842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C0A145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3FB1C4B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58D5AE0A">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3B801AC4">
      <w:pPr>
        <w:jc w:val="center"/>
        <w:rPr>
          <w:rFonts w:ascii="宋体" w:hAnsi="宋体"/>
          <w:b/>
          <w:sz w:val="24"/>
        </w:rPr>
      </w:pPr>
    </w:p>
    <w:p w14:paraId="08E04FF3">
      <w:pPr>
        <w:rPr>
          <w:sz w:val="24"/>
        </w:rPr>
      </w:pPr>
      <w:r>
        <w:rPr>
          <w:sz w:val="24"/>
        </w:rPr>
        <w:br w:type="page"/>
      </w:r>
    </w:p>
    <w:p w14:paraId="0B1CF196">
      <w:pPr>
        <w:pStyle w:val="2"/>
      </w:pPr>
      <w:bookmarkStart w:id="10" w:name="_Toc12436"/>
      <w:bookmarkStart w:id="11" w:name="_Toc497145841"/>
      <w:r>
        <w:rPr>
          <w:rFonts w:hint="eastAsia"/>
        </w:rPr>
        <w:t>合同条款及格式</w:t>
      </w:r>
      <w:bookmarkEnd w:id="10"/>
      <w:bookmarkEnd w:id="11"/>
    </w:p>
    <w:p w14:paraId="3E2EECE1">
      <w:pPr>
        <w:pStyle w:val="59"/>
        <w:jc w:val="center"/>
        <w:rPr>
          <w:rFonts w:ascii="宋体" w:hAnsi="宋体" w:cs="宋体"/>
          <w:b/>
          <w:kern w:val="2"/>
          <w:sz w:val="72"/>
          <w:szCs w:val="52"/>
        </w:rPr>
      </w:pPr>
    </w:p>
    <w:p w14:paraId="3C1CC856">
      <w:pPr>
        <w:pStyle w:val="59"/>
        <w:jc w:val="center"/>
        <w:rPr>
          <w:rFonts w:ascii="宋体" w:hAnsi="宋体" w:cs="宋体"/>
          <w:b/>
          <w:kern w:val="2"/>
          <w:sz w:val="52"/>
          <w:szCs w:val="52"/>
        </w:rPr>
      </w:pPr>
      <w:r>
        <w:rPr>
          <w:rFonts w:hint="eastAsia" w:ascii="宋体" w:hAnsi="宋体" w:cs="宋体"/>
          <w:b/>
          <w:kern w:val="2"/>
          <w:sz w:val="72"/>
          <w:szCs w:val="52"/>
        </w:rPr>
        <w:t>建设工程施工合同</w:t>
      </w:r>
    </w:p>
    <w:p w14:paraId="4FA98664">
      <w:pPr>
        <w:pStyle w:val="59"/>
        <w:rPr>
          <w:rFonts w:ascii="宋体" w:hAnsi="宋体" w:cs="宋体"/>
          <w:b/>
          <w:kern w:val="2"/>
          <w:sz w:val="52"/>
          <w:szCs w:val="52"/>
        </w:rPr>
      </w:pPr>
    </w:p>
    <w:p w14:paraId="1CE21F27">
      <w:pPr>
        <w:pStyle w:val="59"/>
        <w:rPr>
          <w:rFonts w:ascii="宋体" w:hAnsi="宋体" w:cs="宋体"/>
          <w:b/>
          <w:kern w:val="2"/>
          <w:sz w:val="72"/>
          <w:szCs w:val="72"/>
        </w:rPr>
      </w:pPr>
    </w:p>
    <w:p w14:paraId="3DB2402E">
      <w:pPr>
        <w:pStyle w:val="59"/>
        <w:rPr>
          <w:rFonts w:ascii="宋体" w:hAnsi="宋体" w:cs="宋体"/>
          <w:b/>
          <w:kern w:val="2"/>
          <w:sz w:val="28"/>
          <w:szCs w:val="28"/>
        </w:rPr>
      </w:pPr>
    </w:p>
    <w:p w14:paraId="41D91DDF">
      <w:pPr>
        <w:tabs>
          <w:tab w:val="left" w:pos="0"/>
          <w:tab w:val="left" w:pos="1002"/>
          <w:tab w:val="left" w:pos="1134"/>
        </w:tabs>
        <w:spacing w:line="440" w:lineRule="exact"/>
        <w:rPr>
          <w:rFonts w:ascii="宋体" w:hAnsi="宋体" w:cs="宋体"/>
          <w:b/>
          <w:snapToGrid w:val="0"/>
          <w:sz w:val="36"/>
          <w:szCs w:val="36"/>
        </w:rPr>
      </w:pPr>
    </w:p>
    <w:p w14:paraId="17E8EC47">
      <w:pPr>
        <w:tabs>
          <w:tab w:val="left" w:pos="0"/>
          <w:tab w:val="left" w:pos="1134"/>
        </w:tabs>
        <w:spacing w:line="440" w:lineRule="exact"/>
        <w:rPr>
          <w:rFonts w:ascii="宋体" w:hAnsi="宋体" w:cs="宋体"/>
          <w:b/>
          <w:snapToGrid w:val="0"/>
          <w:sz w:val="28"/>
          <w:szCs w:val="28"/>
        </w:rPr>
      </w:pPr>
    </w:p>
    <w:p w14:paraId="56A9BEC0">
      <w:pPr>
        <w:tabs>
          <w:tab w:val="left" w:pos="0"/>
          <w:tab w:val="left" w:pos="1134"/>
        </w:tabs>
        <w:spacing w:line="440" w:lineRule="exact"/>
        <w:rPr>
          <w:rFonts w:ascii="宋体" w:hAnsi="宋体" w:cs="宋体"/>
          <w:b/>
          <w:snapToGrid w:val="0"/>
          <w:sz w:val="28"/>
          <w:szCs w:val="28"/>
        </w:rPr>
      </w:pPr>
    </w:p>
    <w:p w14:paraId="66405723">
      <w:pPr>
        <w:tabs>
          <w:tab w:val="left" w:pos="0"/>
          <w:tab w:val="left" w:pos="1134"/>
        </w:tabs>
        <w:spacing w:line="440" w:lineRule="exact"/>
        <w:rPr>
          <w:rFonts w:ascii="宋体" w:hAnsi="宋体" w:cs="宋体"/>
          <w:b/>
          <w:snapToGrid w:val="0"/>
          <w:sz w:val="28"/>
          <w:szCs w:val="28"/>
        </w:rPr>
      </w:pPr>
    </w:p>
    <w:p w14:paraId="5E2C0D65">
      <w:pPr>
        <w:tabs>
          <w:tab w:val="left" w:pos="0"/>
          <w:tab w:val="left" w:pos="1134"/>
        </w:tabs>
        <w:spacing w:line="440" w:lineRule="exact"/>
        <w:jc w:val="center"/>
        <w:rPr>
          <w:rFonts w:ascii="宋体" w:hAnsi="宋体" w:cs="宋体"/>
          <w:b/>
          <w:snapToGrid w:val="0"/>
          <w:sz w:val="36"/>
          <w:szCs w:val="36"/>
        </w:rPr>
      </w:pPr>
    </w:p>
    <w:p w14:paraId="427786A0">
      <w:pPr>
        <w:tabs>
          <w:tab w:val="left" w:pos="0"/>
          <w:tab w:val="left" w:pos="1134"/>
        </w:tabs>
        <w:spacing w:line="440" w:lineRule="exact"/>
        <w:jc w:val="center"/>
        <w:rPr>
          <w:rFonts w:ascii="宋体" w:hAnsi="宋体" w:cs="宋体"/>
          <w:b/>
          <w:snapToGrid w:val="0"/>
          <w:sz w:val="36"/>
          <w:szCs w:val="36"/>
        </w:rPr>
      </w:pPr>
    </w:p>
    <w:p w14:paraId="4D3C56C6">
      <w:pPr>
        <w:tabs>
          <w:tab w:val="left" w:pos="0"/>
          <w:tab w:val="left" w:pos="1134"/>
        </w:tabs>
        <w:spacing w:line="440" w:lineRule="exact"/>
        <w:jc w:val="center"/>
        <w:rPr>
          <w:rFonts w:ascii="宋体" w:hAnsi="宋体" w:cs="宋体"/>
          <w:b/>
          <w:snapToGrid w:val="0"/>
          <w:sz w:val="36"/>
          <w:szCs w:val="36"/>
        </w:rPr>
      </w:pPr>
    </w:p>
    <w:p w14:paraId="10F0F0EC">
      <w:pPr>
        <w:tabs>
          <w:tab w:val="left" w:pos="0"/>
          <w:tab w:val="left" w:pos="1134"/>
        </w:tabs>
        <w:spacing w:line="440" w:lineRule="exact"/>
        <w:jc w:val="center"/>
        <w:rPr>
          <w:rFonts w:ascii="宋体" w:hAnsi="宋体" w:cs="宋体"/>
          <w:b/>
          <w:snapToGrid w:val="0"/>
          <w:sz w:val="36"/>
          <w:szCs w:val="36"/>
        </w:rPr>
      </w:pPr>
    </w:p>
    <w:p w14:paraId="24205310">
      <w:pPr>
        <w:tabs>
          <w:tab w:val="left" w:pos="0"/>
          <w:tab w:val="left" w:pos="1134"/>
        </w:tabs>
        <w:spacing w:line="360" w:lineRule="auto"/>
        <w:ind w:firstLine="723" w:firstLineChars="200"/>
        <w:jc w:val="center"/>
        <w:outlineLvl w:val="0"/>
        <w:rPr>
          <w:rFonts w:ascii="宋体" w:hAnsi="宋体" w:cs="宋体"/>
          <w:b/>
          <w:snapToGrid w:val="0"/>
          <w:sz w:val="28"/>
          <w:szCs w:val="28"/>
        </w:rPr>
      </w:pPr>
      <w:r>
        <w:rPr>
          <w:rFonts w:hint="eastAsia" w:ascii="宋体" w:hAnsi="宋体" w:cs="宋体"/>
          <w:b/>
          <w:snapToGrid w:val="0"/>
          <w:sz w:val="36"/>
          <w:szCs w:val="36"/>
        </w:rPr>
        <w:br w:type="page"/>
      </w:r>
      <w:r>
        <w:rPr>
          <w:rFonts w:hint="eastAsia" w:ascii="宋体" w:hAnsi="宋体" w:cs="宋体"/>
          <w:b/>
          <w:bCs/>
          <w:sz w:val="32"/>
          <w:szCs w:val="32"/>
        </w:rPr>
        <w:t>第一部分协议书</w:t>
      </w:r>
    </w:p>
    <w:p w14:paraId="2EF15EEA">
      <w:pPr>
        <w:tabs>
          <w:tab w:val="left" w:pos="426"/>
          <w:tab w:val="left" w:pos="1134"/>
        </w:tabs>
        <w:spacing w:line="360" w:lineRule="auto"/>
        <w:ind w:firstLine="420" w:firstLineChars="200"/>
        <w:contextualSpacing/>
        <w:rPr>
          <w:rFonts w:ascii="宋体" w:hAnsi="宋体" w:cs="宋体"/>
          <w:szCs w:val="21"/>
        </w:rPr>
      </w:pPr>
      <w:r>
        <w:rPr>
          <w:rFonts w:hint="eastAsia" w:ascii="宋体" w:hAnsi="宋体" w:cs="宋体"/>
          <w:szCs w:val="21"/>
        </w:rPr>
        <w:t>合同编号:</w:t>
      </w:r>
    </w:p>
    <w:p w14:paraId="3BDE6307">
      <w:pPr>
        <w:tabs>
          <w:tab w:val="left" w:pos="426"/>
          <w:tab w:val="left" w:pos="1134"/>
        </w:tabs>
        <w:spacing w:line="360" w:lineRule="auto"/>
        <w:ind w:firstLine="420" w:firstLineChars="200"/>
        <w:contextualSpacing/>
        <w:rPr>
          <w:rFonts w:ascii="宋体" w:hAnsi="宋体" w:cs="宋体"/>
          <w:b/>
          <w:snapToGrid w:val="0"/>
          <w:szCs w:val="21"/>
        </w:rPr>
      </w:pPr>
      <w:r>
        <w:rPr>
          <w:rFonts w:hint="eastAsia" w:ascii="宋体" w:hAnsi="宋体" w:cs="宋体"/>
          <w:szCs w:val="21"/>
        </w:rPr>
        <w:t>发包人：</w:t>
      </w:r>
      <w:r>
        <w:rPr>
          <w:rFonts w:hint="eastAsia" w:ascii="宋体" w:hAnsi="宋体" w:cs="宋体"/>
          <w:b/>
          <w:bCs/>
          <w:szCs w:val="21"/>
        </w:rPr>
        <w:t>扬州大学附属医院</w:t>
      </w:r>
    </w:p>
    <w:p w14:paraId="0AC7168F">
      <w:pPr>
        <w:tabs>
          <w:tab w:val="left" w:pos="426"/>
        </w:tabs>
        <w:spacing w:line="360" w:lineRule="auto"/>
        <w:ind w:firstLine="420" w:firstLineChars="200"/>
        <w:contextualSpacing/>
        <w:rPr>
          <w:rFonts w:ascii="宋体" w:hAnsi="宋体" w:cs="宋体"/>
          <w:szCs w:val="21"/>
        </w:rPr>
      </w:pPr>
      <w:r>
        <w:rPr>
          <w:rFonts w:hint="eastAsia" w:ascii="宋体" w:hAnsi="宋体" w:cs="宋体"/>
          <w:szCs w:val="21"/>
        </w:rPr>
        <w:t>承包人：</w:t>
      </w:r>
    </w:p>
    <w:p w14:paraId="02A4E659">
      <w:pPr>
        <w:tabs>
          <w:tab w:val="left" w:pos="426"/>
        </w:tabs>
        <w:spacing w:line="360" w:lineRule="auto"/>
        <w:ind w:firstLine="420" w:firstLineChars="200"/>
        <w:contextualSpacing/>
        <w:rPr>
          <w:rFonts w:ascii="宋体" w:hAnsi="宋体" w:cs="宋体"/>
          <w:bCs/>
          <w:snapToGrid w:val="0"/>
          <w:szCs w:val="21"/>
        </w:rPr>
      </w:pPr>
      <w:r>
        <w:rPr>
          <w:rFonts w:hint="eastAsia" w:ascii="宋体" w:hAnsi="宋体" w:cs="宋体"/>
          <w:szCs w:val="21"/>
        </w:rPr>
        <w:t>发包人承包人双方根据《中华人民共和国民法典》等相关法律法规，遵循平等、自愿、公平、诚实信用的原则，就，经发包人承包人双方友好协商签订以下合同：</w:t>
      </w:r>
    </w:p>
    <w:p w14:paraId="4F8F474C">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一、工程概况</w:t>
      </w:r>
    </w:p>
    <w:p w14:paraId="1CEF174C">
      <w:pPr>
        <w:tabs>
          <w:tab w:val="left" w:pos="426"/>
        </w:tabs>
        <w:spacing w:line="360" w:lineRule="auto"/>
        <w:ind w:firstLine="420" w:firstLineChars="200"/>
        <w:contextualSpacing/>
        <w:rPr>
          <w:rFonts w:ascii="宋体" w:hAnsi="宋体" w:cs="宋体"/>
          <w:b/>
          <w:bCs/>
          <w:snapToGrid w:val="0"/>
          <w:szCs w:val="21"/>
        </w:rPr>
      </w:pPr>
      <w:r>
        <w:rPr>
          <w:rFonts w:hint="eastAsia" w:ascii="宋体" w:hAnsi="宋体" w:cs="宋体"/>
          <w:szCs w:val="21"/>
        </w:rPr>
        <w:t>1.1工程名称：</w:t>
      </w:r>
    </w:p>
    <w:p w14:paraId="447814D2">
      <w:pPr>
        <w:tabs>
          <w:tab w:val="left" w:pos="426"/>
        </w:tabs>
        <w:spacing w:line="360" w:lineRule="auto"/>
        <w:ind w:firstLine="420" w:firstLineChars="200"/>
        <w:contextualSpacing/>
        <w:rPr>
          <w:rFonts w:ascii="宋体" w:hAnsi="宋体" w:cs="宋体"/>
          <w:b/>
          <w:snapToGrid w:val="0"/>
          <w:szCs w:val="21"/>
          <w:u w:val="single"/>
        </w:rPr>
      </w:pPr>
      <w:r>
        <w:rPr>
          <w:rFonts w:hint="eastAsia" w:ascii="宋体" w:hAnsi="宋体" w:cs="宋体"/>
          <w:szCs w:val="21"/>
        </w:rPr>
        <w:t>1.2工程地点：</w:t>
      </w:r>
    </w:p>
    <w:p w14:paraId="0560570D">
      <w:pPr>
        <w:tabs>
          <w:tab w:val="left" w:pos="426"/>
        </w:tabs>
        <w:spacing w:line="360" w:lineRule="auto"/>
        <w:ind w:firstLine="420" w:firstLineChars="200"/>
        <w:contextualSpacing/>
        <w:rPr>
          <w:rFonts w:ascii="宋体" w:hAnsi="宋体" w:cs="宋体"/>
          <w:snapToGrid w:val="0"/>
          <w:szCs w:val="21"/>
        </w:rPr>
      </w:pPr>
      <w:r>
        <w:rPr>
          <w:rFonts w:hint="eastAsia" w:ascii="宋体" w:hAnsi="宋体" w:cs="宋体"/>
          <w:szCs w:val="21"/>
        </w:rPr>
        <w:t>1.3主要工程项目和内容：</w:t>
      </w:r>
    </w:p>
    <w:p w14:paraId="3349F7CA">
      <w:pPr>
        <w:tabs>
          <w:tab w:val="left" w:pos="426"/>
        </w:tabs>
        <w:spacing w:line="360" w:lineRule="auto"/>
        <w:ind w:firstLine="422" w:firstLineChars="200"/>
        <w:contextualSpacing/>
        <w:rPr>
          <w:rFonts w:ascii="宋体" w:hAnsi="宋体" w:cs="宋体"/>
          <w:szCs w:val="21"/>
        </w:rPr>
      </w:pPr>
      <w:r>
        <w:rPr>
          <w:rFonts w:hint="eastAsia" w:ascii="宋体" w:hAnsi="宋体" w:cs="宋体"/>
          <w:b/>
          <w:snapToGrid w:val="0"/>
          <w:szCs w:val="21"/>
        </w:rPr>
        <w:t>详见图纸及本施工要求。</w:t>
      </w:r>
      <w:r>
        <w:rPr>
          <w:rFonts w:hint="eastAsia" w:ascii="宋体" w:hAnsi="宋体" w:cs="宋体"/>
          <w:szCs w:val="21"/>
        </w:rPr>
        <w:t>按照图纸所示内容施工，若因发包人要求增加，增加部分的工程量按实际增加工作量签证另行计算。</w:t>
      </w:r>
    </w:p>
    <w:p w14:paraId="2C586503">
      <w:pPr>
        <w:pStyle w:val="46"/>
        <w:tabs>
          <w:tab w:val="left" w:pos="426"/>
        </w:tabs>
        <w:spacing w:line="360" w:lineRule="auto"/>
        <w:contextualSpacing/>
        <w:jc w:val="left"/>
        <w:rPr>
          <w:rFonts w:ascii="宋体" w:hAnsi="宋体" w:cs="宋体"/>
          <w:szCs w:val="21"/>
        </w:rPr>
      </w:pPr>
      <w:r>
        <w:rPr>
          <w:rFonts w:hint="eastAsia" w:ascii="宋体" w:hAnsi="宋体" w:cs="宋体"/>
          <w:szCs w:val="21"/>
        </w:rPr>
        <w:t>1.4资金来源：自筹。</w:t>
      </w:r>
    </w:p>
    <w:p w14:paraId="3581A8BE">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二、合同工期</w:t>
      </w:r>
    </w:p>
    <w:p w14:paraId="18082E0D">
      <w:pPr>
        <w:pStyle w:val="46"/>
        <w:tabs>
          <w:tab w:val="left" w:pos="426"/>
        </w:tabs>
        <w:spacing w:line="360" w:lineRule="auto"/>
        <w:contextualSpacing/>
        <w:jc w:val="left"/>
        <w:rPr>
          <w:rFonts w:ascii="宋体" w:hAnsi="宋体" w:cs="宋体"/>
          <w:szCs w:val="21"/>
        </w:rPr>
      </w:pPr>
      <w:r>
        <w:rPr>
          <w:rFonts w:hint="eastAsia" w:ascii="宋体" w:hAnsi="宋体" w:cs="宋体"/>
          <w:szCs w:val="21"/>
        </w:rPr>
        <w:t>2.1</w:t>
      </w:r>
      <w:r>
        <w:rPr>
          <w:rFonts w:hint="eastAsia" w:ascii="宋体" w:hAnsi="宋体" w:cs="宋体"/>
          <w:b/>
          <w:bCs/>
          <w:snapToGrid w:val="0"/>
          <w:szCs w:val="21"/>
        </w:rPr>
        <w:t>总工期         日历天。</w:t>
      </w:r>
    </w:p>
    <w:p w14:paraId="3B63831E">
      <w:pPr>
        <w:pStyle w:val="46"/>
        <w:tabs>
          <w:tab w:val="left" w:pos="426"/>
        </w:tabs>
        <w:spacing w:line="360" w:lineRule="auto"/>
        <w:ind w:firstLine="452"/>
        <w:contextualSpacing/>
        <w:jc w:val="left"/>
        <w:rPr>
          <w:rFonts w:ascii="宋体" w:hAnsi="宋体" w:cs="宋体"/>
          <w:szCs w:val="21"/>
        </w:rPr>
      </w:pPr>
      <w:r>
        <w:rPr>
          <w:rFonts w:hint="eastAsia" w:ascii="宋体" w:hAnsi="宋体" w:cs="宋体"/>
          <w:spacing w:val="8"/>
          <w:szCs w:val="21"/>
        </w:rPr>
        <w:t>2.2开工日期为：   年   月   日（以发包人开工令为准）。</w:t>
      </w:r>
    </w:p>
    <w:p w14:paraId="3D0A3FF1">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三、质量标准</w:t>
      </w:r>
    </w:p>
    <w:p w14:paraId="456C7951">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3D618A1D">
      <w:pPr>
        <w:pStyle w:val="58"/>
        <w:tabs>
          <w:tab w:val="left" w:pos="426"/>
        </w:tabs>
        <w:adjustRightInd/>
        <w:spacing w:before="0" w:after="0" w:line="360" w:lineRule="auto"/>
        <w:ind w:left="0" w:right="0" w:firstLine="422" w:firstLineChars="200"/>
        <w:contextualSpacing/>
        <w:rPr>
          <w:rFonts w:ascii="宋体" w:hAnsi="宋体" w:cs="宋体"/>
          <w:b/>
          <w:sz w:val="21"/>
          <w:szCs w:val="21"/>
        </w:rPr>
      </w:pPr>
      <w:r>
        <w:rPr>
          <w:rFonts w:hint="eastAsia" w:ascii="宋体" w:hAnsi="宋体" w:cs="宋体"/>
          <w:b/>
          <w:sz w:val="21"/>
          <w:szCs w:val="21"/>
        </w:rPr>
        <w:t>四、合同价款</w:t>
      </w:r>
    </w:p>
    <w:p w14:paraId="101F52F0">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 xml:space="preserve">4.1合同价为：人民币（大写）: </w:t>
      </w:r>
    </w:p>
    <w:p w14:paraId="5620A508">
      <w:pPr>
        <w:tabs>
          <w:tab w:val="left" w:pos="426"/>
        </w:tabs>
        <w:spacing w:line="360" w:lineRule="auto"/>
        <w:ind w:firstLine="422" w:firstLineChars="200"/>
        <w:contextualSpacing/>
        <w:rPr>
          <w:rFonts w:ascii="宋体" w:hAnsi="宋体" w:cs="宋体"/>
          <w:b/>
          <w:szCs w:val="21"/>
          <w:u w:val="single"/>
        </w:rPr>
      </w:pPr>
      <w:r>
        <w:rPr>
          <w:rFonts w:hint="eastAsia" w:ascii="宋体" w:hAnsi="宋体" w:cs="宋体"/>
          <w:b/>
          <w:szCs w:val="21"/>
        </w:rPr>
        <w:t xml:space="preserve">                     (小写)：</w:t>
      </w:r>
    </w:p>
    <w:p w14:paraId="64F12F3A">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（最终造价按审计部门审计造价进行结算。）</w:t>
      </w:r>
    </w:p>
    <w:p w14:paraId="4C0F4C00">
      <w:pPr>
        <w:numPr>
          <w:ilvl w:val="0"/>
          <w:numId w:val="4"/>
        </w:num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付款方式：</w:t>
      </w:r>
      <w:r>
        <w:rPr>
          <w:rFonts w:hint="eastAsia" w:ascii="宋体" w:hAnsi="宋体" w:eastAsia="宋体" w:cs="宋体"/>
          <w:kern w:val="0"/>
          <w:sz w:val="21"/>
          <w:szCs w:val="21"/>
          <w:lang w:val="en-US" w:eastAsia="zh-CN" w:bidi="ar-SA"/>
        </w:rPr>
        <w:t>施工结束验收合格后一次性付清。</w:t>
      </w:r>
    </w:p>
    <w:p w14:paraId="5E062594">
      <w:pPr>
        <w:tabs>
          <w:tab w:val="left" w:pos="426"/>
        </w:tabs>
        <w:spacing w:line="360" w:lineRule="auto"/>
        <w:ind w:firstLine="422" w:firstLineChars="200"/>
        <w:contextualSpacing/>
        <w:outlineLvl w:val="1"/>
        <w:rPr>
          <w:rFonts w:ascii="宋体" w:hAnsi="宋体" w:cs="宋体"/>
          <w:szCs w:val="21"/>
        </w:rPr>
      </w:pPr>
      <w:r>
        <w:rPr>
          <w:rFonts w:hint="eastAsia" w:ascii="宋体" w:hAnsi="宋体" w:cs="宋体"/>
          <w:b/>
          <w:szCs w:val="21"/>
        </w:rPr>
        <w:t>六、组成本合同的文件包括：</w:t>
      </w:r>
      <w:r>
        <w:rPr>
          <w:rFonts w:hint="eastAsia" w:ascii="宋体" w:hAnsi="宋体" w:cs="宋体"/>
          <w:szCs w:val="21"/>
        </w:rPr>
        <w:t>是合同不可分割的组成部分，与合同具有同样的法律效力。</w:t>
      </w:r>
    </w:p>
    <w:p w14:paraId="4EE9B2FF">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6.1合同协议书</w:t>
      </w:r>
      <w:r>
        <w:rPr>
          <w:rFonts w:hint="eastAsia" w:ascii="宋体" w:hAnsi="宋体" w:cs="宋体"/>
          <w:snapToGrid w:val="0"/>
          <w:szCs w:val="21"/>
        </w:rPr>
        <w:t>；</w:t>
      </w:r>
    </w:p>
    <w:p w14:paraId="25D83434">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6.2合同专用条款</w:t>
      </w:r>
      <w:r>
        <w:rPr>
          <w:rFonts w:hint="eastAsia" w:ascii="宋体" w:hAnsi="宋体" w:cs="宋体"/>
          <w:snapToGrid w:val="0"/>
          <w:szCs w:val="21"/>
        </w:rPr>
        <w:t>；</w:t>
      </w:r>
    </w:p>
    <w:p w14:paraId="1993502A">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6.3合同通用条款</w:t>
      </w:r>
      <w:r>
        <w:rPr>
          <w:rFonts w:hint="eastAsia" w:ascii="宋体" w:hAnsi="宋体" w:cs="宋体"/>
          <w:snapToGrid w:val="0"/>
          <w:szCs w:val="21"/>
        </w:rPr>
        <w:t>；</w:t>
      </w:r>
    </w:p>
    <w:p w14:paraId="422430F5">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6.4招标文件及补遗书及澄清答疑文件</w:t>
      </w:r>
      <w:r>
        <w:rPr>
          <w:rFonts w:hint="eastAsia" w:ascii="宋体" w:hAnsi="宋体" w:cs="宋体"/>
          <w:snapToGrid w:val="0"/>
          <w:szCs w:val="21"/>
        </w:rPr>
        <w:t>；</w:t>
      </w:r>
    </w:p>
    <w:p w14:paraId="6D271358">
      <w:pPr>
        <w:spacing w:line="360" w:lineRule="auto"/>
        <w:ind w:firstLine="420" w:firstLineChars="200"/>
        <w:contextualSpacing/>
        <w:rPr>
          <w:rFonts w:ascii="宋体" w:hAnsi="宋体" w:cs="宋体"/>
          <w:szCs w:val="21"/>
        </w:rPr>
      </w:pPr>
      <w:r>
        <w:rPr>
          <w:rFonts w:hint="eastAsia" w:ascii="宋体" w:hAnsi="宋体" w:cs="宋体"/>
          <w:szCs w:val="21"/>
        </w:rPr>
        <w:t>6.5投标文件</w:t>
      </w:r>
      <w:r>
        <w:rPr>
          <w:rFonts w:hint="eastAsia" w:ascii="宋体" w:hAnsi="宋体" w:cs="宋体"/>
          <w:snapToGrid w:val="0"/>
          <w:szCs w:val="21"/>
        </w:rPr>
        <w:t>；</w:t>
      </w:r>
    </w:p>
    <w:p w14:paraId="6F9DDF53">
      <w:pPr>
        <w:spacing w:line="360" w:lineRule="auto"/>
        <w:ind w:firstLine="420" w:firstLineChars="200"/>
        <w:contextualSpacing/>
        <w:rPr>
          <w:rFonts w:ascii="宋体" w:hAnsi="宋体" w:cs="宋体"/>
          <w:szCs w:val="21"/>
        </w:rPr>
      </w:pPr>
      <w:r>
        <w:rPr>
          <w:rFonts w:hint="eastAsia" w:ascii="宋体" w:hAnsi="宋体" w:cs="宋体"/>
          <w:szCs w:val="21"/>
        </w:rPr>
        <w:t>6.6投标人投标时所作的申明、承诺、澄清及答复资料等</w:t>
      </w:r>
      <w:r>
        <w:rPr>
          <w:rFonts w:hint="eastAsia" w:ascii="宋体" w:hAnsi="宋体" w:cs="宋体"/>
          <w:snapToGrid w:val="0"/>
          <w:szCs w:val="21"/>
        </w:rPr>
        <w:t>；</w:t>
      </w:r>
    </w:p>
    <w:p w14:paraId="7E93EF35">
      <w:pPr>
        <w:spacing w:line="360" w:lineRule="auto"/>
        <w:ind w:firstLine="420" w:firstLineChars="200"/>
        <w:contextualSpacing/>
        <w:rPr>
          <w:rFonts w:ascii="宋体" w:hAnsi="宋体" w:cs="宋体"/>
          <w:szCs w:val="21"/>
        </w:rPr>
      </w:pPr>
      <w:r>
        <w:rPr>
          <w:rFonts w:hint="eastAsia" w:ascii="宋体" w:hAnsi="宋体" w:cs="宋体"/>
          <w:szCs w:val="21"/>
        </w:rPr>
        <w:t>6.7国家及行业规范标准、</w:t>
      </w:r>
      <w:r>
        <w:rPr>
          <w:rFonts w:hint="eastAsia" w:ascii="宋体" w:hAnsi="宋体" w:cs="宋体"/>
          <w:snapToGrid w:val="0"/>
          <w:szCs w:val="21"/>
        </w:rPr>
        <w:t>有关技术文件；</w:t>
      </w:r>
    </w:p>
    <w:p w14:paraId="044712C7">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6.8施工图纸</w:t>
      </w:r>
      <w:r>
        <w:rPr>
          <w:rFonts w:hint="eastAsia" w:ascii="宋体" w:hAnsi="宋体" w:cs="宋体"/>
          <w:snapToGrid w:val="0"/>
          <w:szCs w:val="21"/>
        </w:rPr>
        <w:t>；</w:t>
      </w:r>
    </w:p>
    <w:p w14:paraId="71787F99">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6.9</w:t>
      </w:r>
      <w:r>
        <w:rPr>
          <w:rFonts w:hint="eastAsia" w:ascii="宋体" w:hAnsi="宋体" w:cs="宋体"/>
          <w:snapToGrid w:val="0"/>
          <w:szCs w:val="21"/>
        </w:rPr>
        <w:t>工程报价单及预算书；</w:t>
      </w:r>
    </w:p>
    <w:p w14:paraId="68E60A7F">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6.10经双方确认的工程量清单</w:t>
      </w:r>
      <w:r>
        <w:rPr>
          <w:rFonts w:hint="eastAsia" w:ascii="宋体" w:hAnsi="宋体" w:cs="宋体"/>
          <w:snapToGrid w:val="0"/>
          <w:szCs w:val="21"/>
        </w:rPr>
        <w:t>；</w:t>
      </w:r>
    </w:p>
    <w:p w14:paraId="21A6E02D">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6.11投标报价</w:t>
      </w:r>
      <w:r>
        <w:rPr>
          <w:rFonts w:hint="eastAsia" w:ascii="宋体" w:hAnsi="宋体" w:cs="宋体"/>
          <w:snapToGrid w:val="0"/>
          <w:szCs w:val="21"/>
        </w:rPr>
        <w:t>；</w:t>
      </w:r>
    </w:p>
    <w:p w14:paraId="7B67F963">
      <w:pPr>
        <w:spacing w:line="360" w:lineRule="auto"/>
        <w:ind w:firstLine="420" w:firstLineChars="200"/>
        <w:contextualSpacing/>
        <w:rPr>
          <w:rFonts w:ascii="宋体" w:hAnsi="宋体" w:cs="宋体"/>
          <w:szCs w:val="21"/>
        </w:rPr>
      </w:pPr>
      <w:r>
        <w:rPr>
          <w:rFonts w:hint="eastAsia" w:ascii="宋体" w:hAnsi="宋体" w:cs="宋体"/>
          <w:snapToGrid w:val="0"/>
          <w:szCs w:val="21"/>
        </w:rPr>
        <w:t>合同履行中，</w:t>
      </w:r>
      <w:r>
        <w:rPr>
          <w:rFonts w:hint="eastAsia" w:ascii="宋体" w:hAnsi="宋体" w:cs="宋体"/>
          <w:szCs w:val="21"/>
        </w:rPr>
        <w:t>双方有关工程的洽商、变更等书面协议或文件视为本合同的组成部分。</w:t>
      </w:r>
    </w:p>
    <w:p w14:paraId="4304F394">
      <w:pPr>
        <w:spacing w:line="360" w:lineRule="auto"/>
        <w:ind w:firstLine="422" w:firstLineChars="200"/>
        <w:contextualSpacing/>
        <w:outlineLvl w:val="1"/>
        <w:rPr>
          <w:rFonts w:ascii="宋体" w:hAnsi="宋体" w:cs="宋体"/>
          <w:b/>
          <w:szCs w:val="21"/>
        </w:rPr>
      </w:pPr>
      <w:r>
        <w:rPr>
          <w:rFonts w:hint="eastAsia" w:ascii="宋体" w:hAnsi="宋体" w:cs="宋体"/>
          <w:b/>
          <w:szCs w:val="21"/>
        </w:rPr>
        <w:t>七、本合同书中有关词语含义与本合同《通用条款》中分别赋予它们的定义相同。</w:t>
      </w:r>
    </w:p>
    <w:p w14:paraId="75A9223E">
      <w:pPr>
        <w:spacing w:line="360" w:lineRule="auto"/>
        <w:ind w:firstLine="422" w:firstLineChars="200"/>
        <w:contextualSpacing/>
        <w:outlineLvl w:val="1"/>
        <w:rPr>
          <w:rFonts w:ascii="宋体" w:hAnsi="宋体" w:cs="宋体"/>
          <w:b/>
          <w:szCs w:val="21"/>
        </w:rPr>
      </w:pPr>
      <w:r>
        <w:rPr>
          <w:rFonts w:hint="eastAsia" w:ascii="宋体" w:hAnsi="宋体" w:cs="宋体"/>
          <w:b/>
          <w:szCs w:val="21"/>
        </w:rPr>
        <w:t>八、承包人向发包人承诺按照合同约定进行施工，并在质量保修期内承担工程质量的保修责任。</w:t>
      </w:r>
    </w:p>
    <w:p w14:paraId="43B32C50">
      <w:pPr>
        <w:spacing w:line="360" w:lineRule="auto"/>
        <w:ind w:firstLine="422" w:firstLineChars="200"/>
        <w:contextualSpacing/>
        <w:outlineLvl w:val="1"/>
        <w:rPr>
          <w:rFonts w:ascii="宋体" w:hAnsi="宋体" w:cs="宋体"/>
          <w:b/>
          <w:szCs w:val="21"/>
        </w:rPr>
      </w:pPr>
      <w:r>
        <w:rPr>
          <w:rFonts w:hint="eastAsia" w:ascii="宋体" w:hAnsi="宋体" w:cs="宋体"/>
          <w:b/>
          <w:szCs w:val="21"/>
        </w:rPr>
        <w:t>九、发包人向承包人承诺按照合同约定的期限和方式支付合同价款及其他应当支付的款项。</w:t>
      </w:r>
    </w:p>
    <w:p w14:paraId="25BF09A4">
      <w:pPr>
        <w:spacing w:line="360" w:lineRule="auto"/>
        <w:ind w:firstLine="422" w:firstLineChars="200"/>
        <w:contextualSpacing/>
        <w:outlineLvl w:val="1"/>
        <w:rPr>
          <w:rFonts w:ascii="宋体" w:hAnsi="宋体" w:cs="宋体"/>
          <w:b/>
          <w:szCs w:val="21"/>
        </w:rPr>
      </w:pPr>
      <w:r>
        <w:rPr>
          <w:rFonts w:hint="eastAsia" w:ascii="宋体" w:hAnsi="宋体" w:cs="宋体"/>
          <w:b/>
          <w:szCs w:val="21"/>
        </w:rPr>
        <w:t>十、合同生效</w:t>
      </w:r>
    </w:p>
    <w:p w14:paraId="6A6C57D9">
      <w:pPr>
        <w:spacing w:line="360" w:lineRule="auto"/>
        <w:ind w:firstLine="420" w:firstLineChars="200"/>
        <w:contextualSpacing/>
        <w:rPr>
          <w:rFonts w:ascii="宋体" w:hAnsi="宋体" w:cs="宋体"/>
          <w:szCs w:val="21"/>
        </w:rPr>
      </w:pPr>
      <w:r>
        <w:rPr>
          <w:rFonts w:hint="eastAsia" w:ascii="宋体" w:hAnsi="宋体" w:cs="宋体"/>
          <w:szCs w:val="21"/>
        </w:rPr>
        <w:t>10.1合同订立时间：2025年   月     日。</w:t>
      </w:r>
    </w:p>
    <w:p w14:paraId="554B6FE9">
      <w:pPr>
        <w:spacing w:line="360" w:lineRule="auto"/>
        <w:ind w:firstLine="420" w:firstLineChars="200"/>
        <w:contextualSpacing/>
        <w:rPr>
          <w:rFonts w:ascii="宋体" w:hAnsi="宋体" w:cs="宋体"/>
          <w:szCs w:val="21"/>
        </w:rPr>
      </w:pPr>
      <w:r>
        <w:rPr>
          <w:rFonts w:hint="eastAsia" w:ascii="宋体" w:hAnsi="宋体" w:cs="宋体"/>
          <w:szCs w:val="21"/>
        </w:rPr>
        <w:t>10.2合同订立地点：扬州大学附属医院。</w:t>
      </w:r>
    </w:p>
    <w:p w14:paraId="4B1F0E76">
      <w:pPr>
        <w:spacing w:line="360" w:lineRule="auto"/>
        <w:ind w:firstLine="420" w:firstLineChars="200"/>
        <w:contextualSpacing/>
        <w:rPr>
          <w:rFonts w:ascii="宋体" w:hAnsi="宋体" w:cs="宋体"/>
          <w:szCs w:val="21"/>
        </w:rPr>
      </w:pPr>
      <w:r>
        <w:rPr>
          <w:rFonts w:hint="eastAsia" w:ascii="宋体" w:hAnsi="宋体" w:cs="宋体"/>
          <w:szCs w:val="21"/>
        </w:rPr>
        <w:t>10.3本合同双方约定双方签字盖章后生效。</w:t>
      </w:r>
    </w:p>
    <w:p w14:paraId="34478BD9">
      <w:pPr>
        <w:tabs>
          <w:tab w:val="left" w:pos="567"/>
        </w:tabs>
        <w:spacing w:line="360" w:lineRule="auto"/>
        <w:ind w:firstLine="420" w:firstLineChars="200"/>
        <w:contextualSpacing/>
        <w:rPr>
          <w:rFonts w:ascii="宋体" w:hAnsi="宋体" w:cs="宋体"/>
          <w:bCs/>
          <w:szCs w:val="21"/>
        </w:rPr>
      </w:pPr>
      <w:r>
        <w:rPr>
          <w:rFonts w:hint="eastAsia" w:ascii="宋体" w:hAnsi="宋体" w:cs="宋体"/>
          <w:bCs/>
          <w:szCs w:val="21"/>
        </w:rPr>
        <w:t>10.4</w:t>
      </w:r>
      <w:r>
        <w:rPr>
          <w:rFonts w:hint="eastAsia" w:ascii="宋体" w:hAnsi="宋体" w:cs="宋体"/>
          <w:szCs w:val="21"/>
        </w:rPr>
        <w:t>本合同一式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0E851D92">
      <w:pPr>
        <w:tabs>
          <w:tab w:val="left" w:pos="567"/>
        </w:tabs>
        <w:spacing w:line="360" w:lineRule="auto"/>
        <w:ind w:firstLine="420" w:firstLineChars="200"/>
        <w:contextualSpacing/>
        <w:rPr>
          <w:rFonts w:ascii="宋体" w:hAnsi="宋体" w:cs="宋体"/>
          <w:bCs/>
          <w:szCs w:val="21"/>
        </w:rPr>
      </w:pPr>
    </w:p>
    <w:p w14:paraId="74AF16E0">
      <w:pPr>
        <w:tabs>
          <w:tab w:val="left" w:pos="567"/>
        </w:tabs>
        <w:spacing w:line="360" w:lineRule="auto"/>
        <w:ind w:firstLine="420" w:firstLineChars="200"/>
        <w:contextualSpacing/>
        <w:rPr>
          <w:rFonts w:ascii="宋体" w:hAnsi="宋体" w:cs="宋体"/>
          <w:b/>
          <w:szCs w:val="21"/>
        </w:rPr>
      </w:pPr>
      <w:r>
        <w:rPr>
          <w:rFonts w:hint="eastAsia" w:ascii="宋体" w:hAnsi="宋体" w:cs="宋体"/>
          <w:bCs/>
          <w:szCs w:val="21"/>
        </w:rPr>
        <w:t>发包人：</w:t>
      </w:r>
      <w:r>
        <w:rPr>
          <w:rFonts w:hint="eastAsia" w:ascii="宋体" w:hAnsi="宋体" w:cs="宋体"/>
          <w:b/>
          <w:bCs/>
          <w:szCs w:val="21"/>
        </w:rPr>
        <w:t xml:space="preserve">扬州大学附属医院                </w:t>
      </w:r>
      <w:r>
        <w:rPr>
          <w:rFonts w:hint="eastAsia" w:ascii="宋体" w:hAnsi="宋体" w:cs="宋体"/>
          <w:bCs/>
          <w:szCs w:val="21"/>
        </w:rPr>
        <w:t>承包人：</w:t>
      </w:r>
    </w:p>
    <w:p w14:paraId="03FBC8F3">
      <w:pPr>
        <w:tabs>
          <w:tab w:val="left" w:pos="-235"/>
        </w:tabs>
        <w:spacing w:line="360" w:lineRule="auto"/>
        <w:ind w:firstLine="420" w:firstLineChars="200"/>
        <w:rPr>
          <w:rFonts w:ascii="宋体" w:hAnsi="宋体" w:cs="宋体"/>
          <w:bCs/>
          <w:szCs w:val="21"/>
        </w:rPr>
      </w:pPr>
      <w:r>
        <w:rPr>
          <w:rFonts w:hint="eastAsia" w:ascii="宋体" w:hAnsi="宋体" w:cs="宋体"/>
          <w:bCs/>
          <w:szCs w:val="21"/>
        </w:rPr>
        <w:t xml:space="preserve">            （盖章）                                （盖章）</w:t>
      </w:r>
    </w:p>
    <w:p w14:paraId="36DD7BEC">
      <w:pPr>
        <w:tabs>
          <w:tab w:val="left" w:pos="-235"/>
        </w:tabs>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36D100F6">
      <w:pPr>
        <w:tabs>
          <w:tab w:val="left" w:pos="-235"/>
        </w:tabs>
        <w:spacing w:line="360" w:lineRule="auto"/>
        <w:ind w:firstLine="420" w:firstLineChars="200"/>
        <w:rPr>
          <w:rFonts w:ascii="宋体" w:hAnsi="宋体" w:cs="宋体"/>
          <w:bCs/>
          <w:szCs w:val="21"/>
        </w:rPr>
      </w:pPr>
      <w:r>
        <w:rPr>
          <w:rFonts w:hint="eastAsia" w:ascii="宋体" w:hAnsi="宋体" w:cs="宋体"/>
          <w:bCs/>
          <w:szCs w:val="21"/>
        </w:rPr>
        <w:t>（或授权签约人）：                      （或授权签约人）：</w:t>
      </w:r>
    </w:p>
    <w:p w14:paraId="46404593">
      <w:pPr>
        <w:tabs>
          <w:tab w:val="left" w:pos="-235"/>
        </w:tabs>
        <w:spacing w:line="360" w:lineRule="auto"/>
        <w:ind w:firstLine="420" w:firstLineChars="200"/>
        <w:rPr>
          <w:rFonts w:ascii="宋体" w:hAnsi="宋体" w:cs="宋体"/>
          <w:bCs/>
          <w:szCs w:val="21"/>
        </w:rPr>
      </w:pPr>
      <w:r>
        <w:rPr>
          <w:rFonts w:hint="eastAsia" w:ascii="宋体" w:hAnsi="宋体" w:cs="宋体"/>
          <w:bCs/>
          <w:szCs w:val="21"/>
        </w:rPr>
        <w:t>电话：                                  电话：</w:t>
      </w:r>
    </w:p>
    <w:p w14:paraId="4D8DEC72">
      <w:pPr>
        <w:tabs>
          <w:tab w:val="left" w:pos="-235"/>
        </w:tabs>
        <w:spacing w:line="360" w:lineRule="auto"/>
        <w:ind w:firstLine="420" w:firstLineChars="200"/>
        <w:rPr>
          <w:rFonts w:ascii="宋体" w:hAnsi="宋体" w:cs="宋体"/>
          <w:bCs/>
          <w:szCs w:val="21"/>
        </w:rPr>
      </w:pPr>
      <w:r>
        <w:rPr>
          <w:rFonts w:hint="eastAsia" w:ascii="宋体" w:hAnsi="宋体" w:cs="宋体"/>
          <w:bCs/>
          <w:szCs w:val="21"/>
        </w:rPr>
        <w:t>传真：                                  传真：</w:t>
      </w:r>
    </w:p>
    <w:p w14:paraId="2D5E047F">
      <w:pPr>
        <w:tabs>
          <w:tab w:val="left" w:pos="-235"/>
        </w:tabs>
        <w:spacing w:line="360" w:lineRule="auto"/>
        <w:ind w:firstLine="420" w:firstLineChars="200"/>
        <w:rPr>
          <w:rFonts w:ascii="宋体" w:hAnsi="宋体" w:cs="宋体"/>
          <w:bCs/>
          <w:szCs w:val="21"/>
        </w:rPr>
      </w:pPr>
      <w:r>
        <w:rPr>
          <w:rFonts w:hint="eastAsia" w:ascii="宋体" w:hAnsi="宋体" w:cs="宋体"/>
          <w:bCs/>
          <w:szCs w:val="21"/>
        </w:rPr>
        <w:t>地址：                                  地址：</w:t>
      </w:r>
    </w:p>
    <w:p w14:paraId="05841A1D">
      <w:pPr>
        <w:tabs>
          <w:tab w:val="left" w:pos="-235"/>
        </w:tabs>
        <w:spacing w:line="360" w:lineRule="auto"/>
        <w:ind w:firstLine="420" w:firstLineChars="200"/>
        <w:rPr>
          <w:rFonts w:ascii="宋体" w:hAnsi="宋体" w:cs="宋体"/>
          <w:bCs/>
          <w:szCs w:val="21"/>
        </w:rPr>
      </w:pPr>
      <w:r>
        <w:rPr>
          <w:rFonts w:hint="eastAsia" w:ascii="宋体" w:hAnsi="宋体" w:cs="宋体"/>
          <w:bCs/>
          <w:szCs w:val="21"/>
        </w:rPr>
        <w:t>开户银行：                              开户银行：</w:t>
      </w:r>
    </w:p>
    <w:p w14:paraId="44E74B5E">
      <w:pPr>
        <w:tabs>
          <w:tab w:val="left" w:pos="-235"/>
        </w:tabs>
        <w:spacing w:line="360" w:lineRule="auto"/>
        <w:ind w:firstLine="420" w:firstLineChars="200"/>
        <w:rPr>
          <w:rFonts w:ascii="宋体" w:hAnsi="宋体" w:cs="宋体"/>
          <w:bCs/>
          <w:szCs w:val="21"/>
        </w:rPr>
      </w:pPr>
      <w:r>
        <w:rPr>
          <w:rFonts w:hint="eastAsia" w:ascii="宋体" w:hAnsi="宋体" w:cs="宋体"/>
          <w:bCs/>
          <w:szCs w:val="21"/>
        </w:rPr>
        <w:t>账号：                                  账号：</w:t>
      </w:r>
    </w:p>
    <w:p w14:paraId="5C78DCAB">
      <w:pPr>
        <w:tabs>
          <w:tab w:val="left" w:pos="0"/>
          <w:tab w:val="left" w:pos="1134"/>
        </w:tabs>
        <w:spacing w:line="360" w:lineRule="auto"/>
        <w:ind w:firstLine="422" w:firstLineChars="200"/>
        <w:jc w:val="center"/>
        <w:outlineLvl w:val="0"/>
        <w:rPr>
          <w:rFonts w:ascii="宋体" w:hAnsi="宋体" w:cs="宋体"/>
          <w:b/>
          <w:bCs/>
          <w:sz w:val="32"/>
          <w:szCs w:val="32"/>
        </w:rPr>
      </w:pPr>
      <w:r>
        <w:rPr>
          <w:rFonts w:hint="eastAsia" w:ascii="宋体" w:hAnsi="宋体" w:cs="宋体"/>
          <w:b/>
          <w:snapToGrid w:val="0"/>
          <w:szCs w:val="21"/>
        </w:rPr>
        <w:br w:type="page"/>
      </w:r>
      <w:r>
        <w:rPr>
          <w:rFonts w:hint="eastAsia" w:ascii="宋体" w:hAnsi="宋体" w:cs="宋体"/>
          <w:b/>
          <w:bCs/>
          <w:sz w:val="32"/>
          <w:szCs w:val="32"/>
        </w:rPr>
        <w:t>第二部分  通用条款</w:t>
      </w:r>
    </w:p>
    <w:p w14:paraId="4089A68F">
      <w:pPr>
        <w:pStyle w:val="58"/>
        <w:adjustRightInd/>
        <w:spacing w:before="0" w:after="0" w:line="360" w:lineRule="auto"/>
        <w:ind w:left="0" w:right="0" w:firstLine="643" w:firstLineChars="200"/>
        <w:jc w:val="center"/>
        <w:rPr>
          <w:rFonts w:ascii="宋体" w:hAnsi="宋体" w:cs="宋体"/>
          <w:b/>
          <w:bCs/>
          <w:kern w:val="2"/>
          <w:sz w:val="32"/>
          <w:szCs w:val="32"/>
        </w:rPr>
      </w:pPr>
      <w:r>
        <w:rPr>
          <w:rFonts w:hint="eastAsia" w:ascii="宋体" w:hAnsi="宋体" w:cs="宋体"/>
          <w:b/>
          <w:bCs/>
          <w:kern w:val="2"/>
          <w:sz w:val="32"/>
          <w:szCs w:val="32"/>
        </w:rPr>
        <w:t>【按照建设工程施工合同（GF-2017-0201）】</w:t>
      </w:r>
    </w:p>
    <w:p w14:paraId="6A5EB057">
      <w:pPr>
        <w:pStyle w:val="58"/>
        <w:adjustRightInd/>
        <w:spacing w:before="0" w:after="0" w:line="360" w:lineRule="auto"/>
        <w:ind w:left="0" w:right="0" w:firstLine="723" w:firstLineChars="200"/>
        <w:jc w:val="center"/>
        <w:outlineLvl w:val="0"/>
        <w:rPr>
          <w:rFonts w:ascii="宋体" w:hAnsi="宋体" w:cs="宋体"/>
          <w:b/>
          <w:snapToGrid w:val="0"/>
          <w:sz w:val="36"/>
          <w:szCs w:val="36"/>
        </w:rPr>
      </w:pPr>
      <w:r>
        <w:rPr>
          <w:rFonts w:hint="eastAsia" w:ascii="宋体" w:hAnsi="宋体" w:cs="宋体"/>
          <w:b/>
          <w:snapToGrid w:val="0"/>
          <w:sz w:val="36"/>
          <w:szCs w:val="36"/>
        </w:rPr>
        <w:br w:type="page"/>
      </w:r>
      <w:r>
        <w:rPr>
          <w:rFonts w:hint="eastAsia" w:ascii="宋体" w:hAnsi="宋体" w:cs="宋体"/>
          <w:b/>
          <w:bCs/>
          <w:kern w:val="2"/>
          <w:sz w:val="32"/>
          <w:szCs w:val="32"/>
        </w:rPr>
        <w:t>第三部分专用条款</w:t>
      </w:r>
    </w:p>
    <w:p w14:paraId="628E57B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一、词语定义及合同文件</w:t>
      </w:r>
    </w:p>
    <w:p w14:paraId="480E18A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1.合同文件及解释顺序</w:t>
      </w:r>
    </w:p>
    <w:p w14:paraId="3A559C3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合同履行中，发包人承包人有关工程的洽商、变更等书面协议或文件视为本合同的组成部分。合同文件组成及解释顺序：(1).本合同协议书；(2).中标通知书；(3).投标书及其附件；(4).本合同专用条款；(5).本合同通用条款；(6).标准规范及有关技术文件；(7).图纸；(8).招标文件及答疑文书、工程量清单；(9).工程报价单及预算书；（10）.合同履行中，发包人承包人有关工程的洽商、变更等书面协议或文件视为本合同的组成部分；</w:t>
      </w:r>
    </w:p>
    <w:p w14:paraId="0ACB93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2.语言文字和适用法律、标准及规范</w:t>
      </w:r>
    </w:p>
    <w:p w14:paraId="120BA35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2.1本合同除使用汉语外，还使用</w:t>
      </w:r>
      <w:r>
        <w:rPr>
          <w:rFonts w:hint="eastAsia" w:ascii="宋体" w:hAnsi="宋体" w:cs="宋体"/>
          <w:snapToGrid w:val="0"/>
          <w:szCs w:val="21"/>
          <w:u w:val="single"/>
        </w:rPr>
        <w:t>∕</w:t>
      </w:r>
      <w:r>
        <w:rPr>
          <w:rFonts w:hint="eastAsia" w:ascii="宋体" w:hAnsi="宋体" w:cs="宋体"/>
          <w:snapToGrid w:val="0"/>
          <w:szCs w:val="21"/>
        </w:rPr>
        <w:t>语言文字。</w:t>
      </w:r>
    </w:p>
    <w:p w14:paraId="0C52F03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2.2适用法律和法规</w:t>
      </w:r>
    </w:p>
    <w:p w14:paraId="29FE0C2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需要明示的法律、行政法规：</w:t>
      </w:r>
      <w:r>
        <w:rPr>
          <w:rFonts w:hint="eastAsia" w:ascii="宋体" w:hAnsi="宋体" w:cs="宋体"/>
          <w:snapToGrid w:val="0"/>
          <w:szCs w:val="21"/>
          <w:u w:val="single"/>
        </w:rPr>
        <w:t>《中华人民共和国民法典》、《中华人民共和国建筑法》、《中华人民共和国政府采购法》、《中华人民共和国招标投标法》、《建设工程质量管理条例》、《建设工程价款结算暂行办法》等以及江苏省、扬州市现行相关法律法规</w:t>
      </w:r>
      <w:r>
        <w:rPr>
          <w:rFonts w:hint="eastAsia" w:ascii="宋体" w:hAnsi="宋体" w:cs="宋体"/>
          <w:snapToGrid w:val="0"/>
          <w:szCs w:val="21"/>
        </w:rPr>
        <w:t>。</w:t>
      </w:r>
    </w:p>
    <w:p w14:paraId="5DA3949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2.3适用标准、规范</w:t>
      </w:r>
    </w:p>
    <w:p w14:paraId="0C50C59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适用标准、规范的名称：</w:t>
      </w:r>
      <w:r>
        <w:rPr>
          <w:rFonts w:hint="eastAsia" w:ascii="宋体" w:hAnsi="宋体" w:cs="宋体"/>
          <w:snapToGrid w:val="0"/>
          <w:szCs w:val="21"/>
          <w:u w:val="single"/>
        </w:rPr>
        <w:t>（1）与工程相关的现行图集、施工说明；（2）现行国家施工规范及验收标准</w:t>
      </w:r>
      <w:r>
        <w:rPr>
          <w:rFonts w:hint="eastAsia" w:ascii="宋体" w:hAnsi="宋体" w:cs="宋体"/>
          <w:snapToGrid w:val="0"/>
          <w:szCs w:val="21"/>
        </w:rPr>
        <w:t>。</w:t>
      </w:r>
    </w:p>
    <w:p w14:paraId="79497CF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发包人提供标准、规范的时间：</w:t>
      </w:r>
      <w:r>
        <w:rPr>
          <w:rFonts w:hint="eastAsia" w:ascii="宋体" w:hAnsi="宋体" w:cs="宋体"/>
          <w:snapToGrid w:val="0"/>
          <w:szCs w:val="21"/>
          <w:u w:val="single"/>
        </w:rPr>
        <w:t>发包人不提供，凡涉及到的相关技术标准、规范均由承包人自备</w:t>
      </w:r>
      <w:r>
        <w:rPr>
          <w:rFonts w:hint="eastAsia" w:ascii="宋体" w:hAnsi="宋体" w:cs="宋体"/>
          <w:snapToGrid w:val="0"/>
          <w:szCs w:val="21"/>
        </w:rPr>
        <w:t>。</w:t>
      </w:r>
    </w:p>
    <w:p w14:paraId="740FA3BB">
      <w:pPr>
        <w:pStyle w:val="10"/>
        <w:tabs>
          <w:tab w:val="left" w:pos="284"/>
          <w:tab w:val="left" w:pos="993"/>
          <w:tab w:val="left" w:pos="1134"/>
        </w:tabs>
        <w:spacing w:line="360" w:lineRule="auto"/>
        <w:ind w:left="0" w:leftChars="0" w:firstLine="420" w:firstLineChars="200"/>
        <w:jc w:val="left"/>
        <w:rPr>
          <w:rFonts w:ascii="宋体" w:hAnsi="宋体" w:cs="宋体"/>
          <w:b/>
          <w:snapToGrid w:val="0"/>
          <w:szCs w:val="21"/>
        </w:rPr>
      </w:pPr>
      <w:r>
        <w:rPr>
          <w:rFonts w:hint="eastAsia" w:ascii="宋体" w:hAnsi="宋体" w:cs="宋体"/>
          <w:snapToGrid w:val="0"/>
          <w:szCs w:val="21"/>
        </w:rPr>
        <w:t>3.图纸</w:t>
      </w:r>
    </w:p>
    <w:p w14:paraId="6B01DB9C">
      <w:pPr>
        <w:pStyle w:val="10"/>
        <w:tabs>
          <w:tab w:val="left" w:pos="284"/>
          <w:tab w:val="left" w:pos="993"/>
          <w:tab w:val="left" w:pos="1134"/>
        </w:tabs>
        <w:spacing w:line="360" w:lineRule="auto"/>
        <w:ind w:left="0" w:leftChars="0" w:firstLine="422" w:firstLineChars="200"/>
        <w:jc w:val="left"/>
        <w:rPr>
          <w:rFonts w:ascii="宋体" w:hAnsi="宋体" w:cs="宋体"/>
          <w:snapToGrid w:val="0"/>
          <w:szCs w:val="21"/>
        </w:rPr>
      </w:pPr>
      <w:r>
        <w:rPr>
          <w:rFonts w:hint="eastAsia" w:ascii="宋体" w:hAnsi="宋体" w:cs="宋体"/>
          <w:b/>
          <w:snapToGrid w:val="0"/>
          <w:szCs w:val="21"/>
        </w:rPr>
        <w:t>发包人向承包人</w:t>
      </w:r>
      <w:r>
        <w:rPr>
          <w:rFonts w:hint="eastAsia" w:ascii="宋体" w:hAnsi="宋体" w:cs="宋体"/>
          <w:snapToGrid w:val="0"/>
          <w:szCs w:val="21"/>
        </w:rPr>
        <w:t>提供图纸日期和套数：         ；</w:t>
      </w:r>
    </w:p>
    <w:p w14:paraId="020881C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发包人对图纸的保密要求: 施工图纸要求承包人保密，保密费用承包人自行承担。</w:t>
      </w:r>
    </w:p>
    <w:p w14:paraId="6E851842">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二、双方一般权利和义务</w:t>
      </w:r>
    </w:p>
    <w:p w14:paraId="3FA93A5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4.工程师</w:t>
      </w:r>
    </w:p>
    <w:p w14:paraId="2FBDB71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4.1监理单位委派的工程师</w:t>
      </w:r>
    </w:p>
    <w:p w14:paraId="76F7370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                  职务:总监理工程师</w:t>
      </w:r>
    </w:p>
    <w:p w14:paraId="2735F0C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14:paraId="741D5EC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4.2发包人派驻的工程师</w:t>
      </w:r>
    </w:p>
    <w:p w14:paraId="77A20DB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姓名:                   职务:现场代表         </w:t>
      </w:r>
    </w:p>
    <w:p w14:paraId="167F0EB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职权:（1）监督检查承包人、监理执行合同情况，（2）协同监理做好工程质量控制、进度控制、安全生产等工作；（3）发出经发包人同意的工程指令；（4）对支付工程款进行审核等。</w:t>
      </w:r>
    </w:p>
    <w:p w14:paraId="1B2AC0C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5.项目经理</w:t>
      </w:r>
    </w:p>
    <w:p w14:paraId="0B03FF7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                   职务: 项目经理</w:t>
      </w:r>
    </w:p>
    <w:p w14:paraId="6184522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职权：按照国家相关规定和合同约定，作为承包方施工现场负责人，全面负责本工地施工现场进度、质量、安全工作，负责本合同的全面履行。</w:t>
      </w:r>
    </w:p>
    <w:p w14:paraId="1FAF8BA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6.发包人工作</w:t>
      </w:r>
    </w:p>
    <w:p w14:paraId="3F4F985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6.1发包人应按约定的时间和要求及完成以下工作:</w:t>
      </w:r>
    </w:p>
    <w:p w14:paraId="55E9A8D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14:paraId="7D34769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（2）将施工所需的水、电、电讯线路接至施工场地的时间、地点和供应要求：水电接口已提供至施工现场，其位置承包人在踏勘现场时确认，水电在场内接线一切费用包含在总报价中，发包人不再另外支付。</w:t>
      </w:r>
    </w:p>
    <w:p w14:paraId="50D4DFE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（3）施工场地与公共道路的通道开通时间和要求：主要公共道路开通，施工区道路由承包人承担。</w:t>
      </w:r>
    </w:p>
    <w:p w14:paraId="6768BD1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（4）工程地质和地下管线资料的提供时间：</w:t>
      </w:r>
      <w:r>
        <w:rPr>
          <w:rFonts w:hint="eastAsia" w:ascii="宋体" w:hAnsi="宋体" w:cs="宋体"/>
          <w:snapToGrid w:val="0"/>
          <w:szCs w:val="21"/>
          <w:u w:val="single"/>
        </w:rPr>
        <w:t>开工前5天提供</w:t>
      </w:r>
      <w:r>
        <w:rPr>
          <w:rFonts w:hint="eastAsia" w:ascii="宋体" w:hAnsi="宋体" w:cs="宋体"/>
          <w:snapToGrid w:val="0"/>
          <w:szCs w:val="21"/>
        </w:rPr>
        <w:t>。</w:t>
      </w:r>
    </w:p>
    <w:p w14:paraId="4F21D35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（5）由发包人办理的施工所需证件、批件的名称和完成时间：</w:t>
      </w:r>
      <w:r>
        <w:rPr>
          <w:rFonts w:hint="eastAsia" w:ascii="宋体" w:hAnsi="宋体" w:cs="宋体"/>
          <w:snapToGrid w:val="0"/>
          <w:szCs w:val="21"/>
          <w:u w:val="single"/>
        </w:rPr>
        <w:t>开工前由承包人协助发包人办理，不能影响开工</w:t>
      </w:r>
      <w:r>
        <w:rPr>
          <w:rFonts w:hint="eastAsia" w:ascii="宋体" w:hAnsi="宋体" w:cs="宋体"/>
          <w:snapToGrid w:val="0"/>
          <w:szCs w:val="21"/>
        </w:rPr>
        <w:t>。</w:t>
      </w:r>
    </w:p>
    <w:p w14:paraId="3D98BBB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（6）水准点与坐标控制点交验要求：</w:t>
      </w:r>
      <w:r>
        <w:rPr>
          <w:rFonts w:hint="eastAsia" w:ascii="宋体" w:hAnsi="宋体" w:cs="宋体"/>
          <w:snapToGrid w:val="0"/>
          <w:szCs w:val="21"/>
          <w:u w:val="single"/>
        </w:rPr>
        <w:t>开工前现场交验，承包人负责做好保护工作。施工过程中若水准基点出现遗失或损坏，承包人应立即汇报工程师，重新布点的费用由承包人承担</w:t>
      </w:r>
      <w:r>
        <w:rPr>
          <w:rFonts w:hint="eastAsia" w:ascii="宋体" w:hAnsi="宋体" w:cs="宋体"/>
          <w:snapToGrid w:val="0"/>
          <w:szCs w:val="21"/>
        </w:rPr>
        <w:t>。</w:t>
      </w:r>
    </w:p>
    <w:p w14:paraId="45F46EB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（7）图纸会审和设计交底时间：</w:t>
      </w:r>
      <w:r>
        <w:rPr>
          <w:rFonts w:hint="eastAsia" w:ascii="宋体" w:hAnsi="宋体" w:cs="宋体"/>
          <w:snapToGrid w:val="0"/>
          <w:szCs w:val="21"/>
          <w:u w:val="single"/>
        </w:rPr>
        <w:t>双方约定时间</w:t>
      </w:r>
      <w:r>
        <w:rPr>
          <w:rFonts w:hint="eastAsia" w:ascii="宋体" w:hAnsi="宋体" w:cs="宋体"/>
          <w:snapToGrid w:val="0"/>
          <w:szCs w:val="21"/>
        </w:rPr>
        <w:t>。</w:t>
      </w:r>
    </w:p>
    <w:p w14:paraId="6449950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（8）协调处理施工场地周围地下管线和邻近建筑、构筑物（含文物保护建筑）、古树名木的保护工作：</w:t>
      </w:r>
      <w:r>
        <w:rPr>
          <w:rFonts w:hint="eastAsia" w:ascii="宋体" w:hAnsi="宋体" w:cs="宋体"/>
          <w:snapToGrid w:val="0"/>
          <w:szCs w:val="21"/>
          <w:u w:val="single"/>
        </w:rPr>
        <w:t>执行通用条款</w:t>
      </w:r>
      <w:r>
        <w:rPr>
          <w:rFonts w:hint="eastAsia" w:ascii="宋体" w:hAnsi="宋体" w:cs="宋体"/>
          <w:snapToGrid w:val="0"/>
          <w:szCs w:val="21"/>
        </w:rPr>
        <w:t>。</w:t>
      </w:r>
    </w:p>
    <w:p w14:paraId="3DEC9A5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（9）双方约定发包人做的其他工作：</w:t>
      </w:r>
      <w:r>
        <w:rPr>
          <w:rFonts w:hint="eastAsia" w:ascii="宋体" w:hAnsi="宋体" w:cs="宋体"/>
          <w:snapToGrid w:val="0"/>
          <w:szCs w:val="21"/>
          <w:u w:val="single"/>
        </w:rPr>
        <w:t xml:space="preserve">  /。 </w:t>
      </w:r>
    </w:p>
    <w:p w14:paraId="626C07E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（10）发包人委托承包人办理的工作：按发包人的布置要求，承包人有配合与该工程建设有关工作的义务，包括协助办理有关施工所需证件、批件等手续。</w:t>
      </w:r>
    </w:p>
    <w:p w14:paraId="1D61F54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7.承包人工作</w:t>
      </w:r>
    </w:p>
    <w:p w14:paraId="2A51648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7.1承包人应按约定时间和要求,完成以下工作:</w:t>
      </w:r>
    </w:p>
    <w:p w14:paraId="71DBB87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（1）需由设计资质等级和业务范围允许的承包人完成的设计文件提交时间:</w:t>
      </w:r>
      <w:r>
        <w:rPr>
          <w:rFonts w:hint="eastAsia" w:ascii="宋体" w:hAnsi="宋体" w:cs="宋体"/>
          <w:snapToGrid w:val="0"/>
          <w:szCs w:val="21"/>
          <w:u w:val="single"/>
        </w:rPr>
        <w:t>∕</w:t>
      </w:r>
      <w:r>
        <w:rPr>
          <w:rFonts w:hint="eastAsia" w:ascii="宋体" w:hAnsi="宋体" w:cs="宋体"/>
          <w:snapToGrid w:val="0"/>
          <w:szCs w:val="21"/>
        </w:rPr>
        <w:t>；</w:t>
      </w:r>
    </w:p>
    <w:p w14:paraId="56FB001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（2）应提供计划、报表的名称及完成时间：</w:t>
      </w:r>
      <w:r>
        <w:rPr>
          <w:rFonts w:hint="eastAsia" w:ascii="宋体" w:hAnsi="宋体" w:cs="宋体"/>
          <w:snapToGrid w:val="0"/>
          <w:szCs w:val="21"/>
          <w:u w:val="single"/>
        </w:rPr>
        <w:t>开工前5天内提供切实可行的进度表以及相对应的人机配置情况、材料供应情况</w:t>
      </w:r>
      <w:r>
        <w:rPr>
          <w:rFonts w:hint="eastAsia" w:ascii="宋体" w:hAnsi="宋体" w:cs="宋体"/>
          <w:snapToGrid w:val="0"/>
          <w:szCs w:val="21"/>
        </w:rPr>
        <w:t>；</w:t>
      </w:r>
    </w:p>
    <w:p w14:paraId="0FD6F9B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（3）承担施工安全保卫工作及非夜间施工照明的责任和要求：</w:t>
      </w:r>
    </w:p>
    <w:p w14:paraId="401E588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ascii="宋体" w:hAnsi="宋体" w:cs="宋体"/>
          <w:snapToGrid w:val="0"/>
          <w:szCs w:val="21"/>
        </w:rPr>
        <w:t>；</w:t>
      </w:r>
    </w:p>
    <w:p w14:paraId="74FBA07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（4）向发包人提供的办公和生活房屋及设施和要求：</w:t>
      </w:r>
      <w:r>
        <w:rPr>
          <w:rFonts w:hint="eastAsia" w:ascii="宋体" w:hAnsi="宋体" w:cs="宋体"/>
          <w:snapToGrid w:val="0"/>
          <w:szCs w:val="21"/>
          <w:u w:val="single"/>
        </w:rPr>
        <w:t>∕</w:t>
      </w:r>
      <w:r>
        <w:rPr>
          <w:rFonts w:hint="eastAsia" w:ascii="宋体" w:hAnsi="宋体" w:cs="宋体"/>
          <w:snapToGrid w:val="0"/>
          <w:szCs w:val="21"/>
        </w:rPr>
        <w:t>；</w:t>
      </w:r>
    </w:p>
    <w:p w14:paraId="656E88E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（5）需承包人办理的有关施工场地交通、环卫和施工噪音管理等手续：</w:t>
      </w:r>
    </w:p>
    <w:p w14:paraId="464352F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承包人自行办理有关施工场地交通、城管、环卫和施工噪音管理等手续，不得影响施工工期，并严格按照扬州市城市管理的有关规定以及安全文明施工要求进行施工</w:t>
      </w:r>
      <w:r>
        <w:rPr>
          <w:rFonts w:hint="eastAsia" w:ascii="宋体" w:hAnsi="宋体" w:cs="宋体"/>
          <w:snapToGrid w:val="0"/>
          <w:szCs w:val="21"/>
        </w:rPr>
        <w:t>；</w:t>
      </w:r>
    </w:p>
    <w:p w14:paraId="69F9BEB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（6）已完成工程成品保护的特殊要求及费用承担：</w:t>
      </w:r>
    </w:p>
    <w:p w14:paraId="18A4A5C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工程交付使用前承包人自己发生的损坏或因承包人保护实施不当而产生的第三方对成品（半成品）的损坏均由承包人自己负责</w:t>
      </w:r>
      <w:r>
        <w:rPr>
          <w:rFonts w:hint="eastAsia" w:ascii="宋体" w:hAnsi="宋体" w:cs="宋体"/>
          <w:snapToGrid w:val="0"/>
          <w:szCs w:val="21"/>
        </w:rPr>
        <w:t>；</w:t>
      </w:r>
    </w:p>
    <w:p w14:paraId="7376562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（7）施工场地周围地下管线和邻近建筑物、构筑物（含文物保护建筑）、古树名木的保护要求及费用承担：</w:t>
      </w:r>
      <w:r>
        <w:rPr>
          <w:rFonts w:hint="eastAsia" w:ascii="宋体" w:hAnsi="宋体" w:cs="宋体"/>
          <w:snapToGrid w:val="0"/>
          <w:szCs w:val="21"/>
          <w:u w:val="single"/>
        </w:rPr>
        <w:t>承包人自行负责承担施工场地周围地下管线和邻近建筑物、构筑物（含文物保护建筑）、古树名木的保护要求及费用</w:t>
      </w:r>
      <w:r>
        <w:rPr>
          <w:rFonts w:hint="eastAsia" w:ascii="宋体" w:hAnsi="宋体" w:cs="宋体"/>
          <w:snapToGrid w:val="0"/>
          <w:szCs w:val="21"/>
        </w:rPr>
        <w:t>；</w:t>
      </w:r>
    </w:p>
    <w:p w14:paraId="2A12329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（8）施工场地清洁卫生的要求：</w:t>
      </w:r>
      <w:r>
        <w:rPr>
          <w:rFonts w:hint="eastAsia" w:ascii="宋体" w:hAnsi="宋体" w:cs="宋体"/>
          <w:snapToGrid w:val="0"/>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ascii="宋体" w:hAnsi="宋体" w:cs="宋体"/>
          <w:snapToGrid w:val="0"/>
          <w:szCs w:val="21"/>
        </w:rPr>
        <w:t>；</w:t>
      </w:r>
    </w:p>
    <w:p w14:paraId="2B8932B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w:t>
      </w:r>
      <w:r>
        <w:rPr>
          <w:rFonts w:hint="eastAsia" w:ascii="宋体" w:hAnsi="宋体" w:cs="宋体"/>
          <w:snapToGrid w:val="0"/>
          <w:szCs w:val="21"/>
          <w:u w:val="single"/>
        </w:rPr>
        <w:t>施工过程中承包人应服从现场统一管理，做到安全、文明、有序施工，一切安全责任自行负责</w:t>
      </w:r>
      <w:r>
        <w:rPr>
          <w:rFonts w:hint="eastAsia" w:ascii="宋体" w:hAnsi="宋体" w:cs="宋体"/>
          <w:snapToGrid w:val="0"/>
          <w:szCs w:val="21"/>
        </w:rPr>
        <w:t>；</w:t>
      </w:r>
    </w:p>
    <w:p w14:paraId="4F096E4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（10）施工过程中，</w:t>
      </w:r>
      <w:r>
        <w:rPr>
          <w:rFonts w:hint="eastAsia" w:ascii="宋体" w:hAnsi="宋体" w:cs="宋体"/>
          <w:snapToGrid w:val="0"/>
          <w:szCs w:val="21"/>
          <w:u w:val="single"/>
        </w:rPr>
        <w:t>承包人应主动与上、下工序相关单位进行协调对接，避免产生矛盾，做到有序科学衔接，配合其他相关单位，费用已在投标报价中考虑发包人不再另行支付</w:t>
      </w:r>
      <w:r>
        <w:rPr>
          <w:rFonts w:hint="eastAsia" w:ascii="宋体" w:hAnsi="宋体" w:cs="宋体"/>
          <w:snapToGrid w:val="0"/>
          <w:szCs w:val="21"/>
        </w:rPr>
        <w:t>；</w:t>
      </w:r>
    </w:p>
    <w:p w14:paraId="3A694B07">
      <w:pPr>
        <w:pStyle w:val="10"/>
        <w:tabs>
          <w:tab w:val="left" w:pos="0"/>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（11）双方约定承包人应做的其他工作：</w:t>
      </w:r>
    </w:p>
    <w:p w14:paraId="0717CE7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ascii="宋体" w:hAnsi="宋体" w:cs="宋体"/>
          <w:snapToGrid w:val="0"/>
          <w:szCs w:val="21"/>
        </w:rPr>
        <w:t>；</w:t>
      </w:r>
    </w:p>
    <w:p w14:paraId="74623EC0">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三、施工组织设计和工期</w:t>
      </w:r>
    </w:p>
    <w:p w14:paraId="6BED1D8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8.进度计划</w:t>
      </w:r>
    </w:p>
    <w:p w14:paraId="13FFC20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8.1承包人提供施工组织设计(施工方案)和进度计划的时间:</w:t>
      </w:r>
    </w:p>
    <w:p w14:paraId="798A7AA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ascii="宋体" w:hAnsi="宋体" w:cs="宋体"/>
          <w:snapToGrid w:val="0"/>
          <w:szCs w:val="21"/>
        </w:rPr>
        <w:t>；</w:t>
      </w:r>
    </w:p>
    <w:p w14:paraId="20514A4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工程师确认的时间:</w:t>
      </w:r>
      <w:r>
        <w:rPr>
          <w:rFonts w:hint="eastAsia" w:ascii="宋体" w:hAnsi="宋体" w:cs="宋体"/>
          <w:snapToGrid w:val="0"/>
          <w:szCs w:val="21"/>
          <w:u w:val="single"/>
        </w:rPr>
        <w:t>送达后7日历天内</w:t>
      </w:r>
      <w:r>
        <w:rPr>
          <w:rFonts w:hint="eastAsia" w:ascii="宋体" w:hAnsi="宋体" w:cs="宋体"/>
          <w:snapToGrid w:val="0"/>
          <w:szCs w:val="21"/>
        </w:rPr>
        <w:t>。</w:t>
      </w:r>
    </w:p>
    <w:p w14:paraId="56A7491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9、工期延误</w:t>
      </w:r>
    </w:p>
    <w:p w14:paraId="40C15B1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9.1合同工期按承包人中标工期执行，如因承包人原因延误工期的，承包人应承担违约责任，详见第21.2条款。</w:t>
      </w:r>
    </w:p>
    <w:p w14:paraId="42CA353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9.2双方约定工期顺延的其他情况:</w:t>
      </w:r>
    </w:p>
    <w:p w14:paraId="5A1DC84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若出现以下情况造成工期延误的发包人不承担费用，只认可工期顺延，顺延时间双方另行协商。</w:t>
      </w:r>
    </w:p>
    <w:p w14:paraId="3C89781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（1）不可抗力（战争以及地震、水灾、暴风雪等严重自然灾害）；</w:t>
      </w:r>
    </w:p>
    <w:p w14:paraId="28F5407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（2）因发包人设计变更在结构形式、设计标准作重大调整，增加的工程量使承包人工程进度无法按原计划实施进行的；</w:t>
      </w:r>
    </w:p>
    <w:p w14:paraId="0F31602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（3）非因承包人原因停水、停电连续24小时以上的；</w:t>
      </w:r>
    </w:p>
    <w:p w14:paraId="349ED97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（4）政府行为：政府强制要求停工（非承包人原因引起，如全市性的安全整顿，要求建设工地停工等）。</w:t>
      </w:r>
    </w:p>
    <w:p w14:paraId="387840A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9.3承包人不得以任何理由停工，包括由于变更引起价格改变，发生分歧等，如有争议应协商解决，如因停工造成工期延误，承包人承担违约责任。</w:t>
      </w:r>
    </w:p>
    <w:p w14:paraId="3FF7E8C4">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四、质量与验收</w:t>
      </w:r>
    </w:p>
    <w:p w14:paraId="47ADE800">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质量要求：符合合格标准。</w:t>
      </w:r>
    </w:p>
    <w:p w14:paraId="1AA01299">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586FFF2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10.隐蔽工程和中间验收</w:t>
      </w:r>
    </w:p>
    <w:p w14:paraId="7DB9367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10.1双方约定中间验收部位: 按规定及监理认为确有必要进行验收的分部。</w:t>
      </w:r>
    </w:p>
    <w:p w14:paraId="5C70342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10.2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308D0A1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1CF8706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2057B00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10.5验收时间：除质检站、设计院等其他部门参加验收，承包人需提前72小时书面报告以便及时联系和安排外，其余均提前24小时即可。</w:t>
      </w:r>
    </w:p>
    <w:p w14:paraId="6CB811B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11工程试车</w:t>
      </w:r>
    </w:p>
    <w:p w14:paraId="1E9496D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11.1试车费用的承担:安排相关的技术人员无条件配合联合试车工作。</w:t>
      </w:r>
    </w:p>
    <w:p w14:paraId="4486E67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五、安全文明施工要求</w:t>
      </w:r>
    </w:p>
    <w:p w14:paraId="0F1E4DC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（1）承包人对现场作业和现有施工方法的安全承担全部责任，执行通用条款第20条规定，并赔偿因承包人责任给发包人造成的一切损失；</w:t>
      </w:r>
    </w:p>
    <w:p w14:paraId="5296C56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（2）承包人应采取控制措施使施工现场达到市环保和政府其它部门对建筑工地的要求，避免伤害或妨碍公众及周围环境。如因妨碍或伤害造成的行政处罚等其它赔偿均由承包人承担；</w:t>
      </w:r>
    </w:p>
    <w:p w14:paraId="3A11BA7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（3）承包人负责现场保卫和管理；</w:t>
      </w:r>
    </w:p>
    <w:p w14:paraId="3D2E4FB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14:paraId="07DA1D6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施工单位进场后必须签署《建设工程安全责任协议书》，并遵守《工程施工现场管理规定》、《建设工程施工安全管理规定》以及《建设工程文明施工管理规定》，不得影响发包人单位正常工作运行，并达到市级安全文明工地要求；</w:t>
      </w:r>
    </w:p>
    <w:p w14:paraId="3529FCF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（6）严格遵守施工现场总平面的规划，服从监理与发包人统一指挥，发包人与监理将组织定期检查，对于出现的问题，发包人及监理有权要求总包单位进行整改，否则视承包人为违约；</w:t>
      </w:r>
    </w:p>
    <w:p w14:paraId="25FB7FB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（7）若发生安全事故，承包人承担全部责任，与发包人无关。承包人应按规定立即报告建设主管部门并通知发包人和监理。如因此造成发包人承担责任的，发包人有权向承包人索赔；</w:t>
      </w:r>
    </w:p>
    <w:p w14:paraId="5475422A">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六、合同价款与支付</w:t>
      </w:r>
    </w:p>
    <w:p w14:paraId="40712A0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12.合同价款及调整</w:t>
      </w:r>
    </w:p>
    <w:p w14:paraId="592861D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12.1本合同价款采用</w:t>
      </w:r>
      <w:r>
        <w:rPr>
          <w:rFonts w:hint="eastAsia" w:ascii="宋体" w:hAnsi="宋体" w:cs="宋体"/>
          <w:snapToGrid w:val="0"/>
          <w:szCs w:val="21"/>
          <w:u w:val="single"/>
        </w:rPr>
        <w:t>固定单价</w:t>
      </w:r>
      <w:r>
        <w:rPr>
          <w:rFonts w:hint="eastAsia" w:ascii="宋体" w:hAnsi="宋体" w:cs="宋体"/>
          <w:snapToGrid w:val="0"/>
          <w:szCs w:val="21"/>
        </w:rPr>
        <w:t>方式确定。</w:t>
      </w:r>
    </w:p>
    <w:p w14:paraId="7ABA7B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（1）采用固定单价合同，合同价款中包括的风险范围：全部风险已包含在投标报价中，承包人投标时已充分考虑风险范围，并计算风险系数。</w:t>
      </w:r>
    </w:p>
    <w:p w14:paraId="59CA8D3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（2）风险范围以外合同价款调整方法：</w:t>
      </w:r>
    </w:p>
    <w:p w14:paraId="4BB3FAF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由设计变更或发包人要求变动的内容引起的工程量清单已有项目的工程量的增加和减少，其相应综合单价不变，工程量据实增减，其措施项目费用同时进行相应调整；若该部分项工程量变更超过15%，则综合单价由承包人、发包人另行商定。</w:t>
      </w:r>
    </w:p>
    <w:p w14:paraId="3A37FD1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14:paraId="4FE2138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12.3如清单项目中工作内容，实际施工中并未发生，应在“综合单价分析表”中相应的扣减该部分工作内容所含综合单价后形成的新的综合单价作为结算综合单价。</w:t>
      </w:r>
    </w:p>
    <w:p w14:paraId="63E119D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14:paraId="6F7EA8F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 xml:space="preserve">13.工程预付款、发包人向承包人预付工程款的时间和金额或占合同价款总额的比例: </w:t>
      </w:r>
      <w:r>
        <w:rPr>
          <w:rFonts w:hint="eastAsia" w:ascii="宋体" w:hAnsi="宋体" w:cs="宋体"/>
          <w:snapToGrid w:val="0"/>
          <w:szCs w:val="21"/>
          <w:u w:val="single"/>
        </w:rPr>
        <w:t xml:space="preserve"> / </w:t>
      </w:r>
    </w:p>
    <w:p w14:paraId="468E95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14.工程量确认</w:t>
      </w:r>
    </w:p>
    <w:p w14:paraId="3F16FF1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14.1承包人向工程师提交已完成工程量报告的时间:承包人应在每周监理例会前向现场工程师及发包人提供本月完成工程量情况。</w:t>
      </w:r>
    </w:p>
    <w:p w14:paraId="40B5B37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15.工程款(进度款)支付：</w:t>
      </w:r>
    </w:p>
    <w:p w14:paraId="0A464C7D">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七、材料设备供应</w:t>
      </w:r>
    </w:p>
    <w:p w14:paraId="349D07A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16.发包人供应材料设备：</w:t>
      </w:r>
    </w:p>
    <w:p w14:paraId="3652121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16.1发包人供应的材料设备与一览表不符时,双方约定发包人承担责任如下:</w:t>
      </w:r>
    </w:p>
    <w:p w14:paraId="3A8B56F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（1）材料设备单价与一览表不符:</w:t>
      </w:r>
      <w:r>
        <w:rPr>
          <w:rFonts w:hint="eastAsia" w:ascii="宋体" w:hAnsi="宋体" w:cs="宋体"/>
          <w:snapToGrid w:val="0"/>
          <w:szCs w:val="21"/>
          <w:u w:val="single"/>
        </w:rPr>
        <w:t xml:space="preserve">   /  </w:t>
      </w:r>
    </w:p>
    <w:p w14:paraId="4621C52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（2）材料设备的品种、规格、型号、质量等级与一览表不符：承包人有权拒收，发包人负责调换，承包人可代为调剂串换的材料：设计院批准，监理认可，并报发包人同意后方可串换；</w:t>
      </w:r>
    </w:p>
    <w:p w14:paraId="69D45A9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（3）到货地点与一览表不符：发包人运至规定的供货地点，承包人应予积极配合；</w:t>
      </w:r>
    </w:p>
    <w:p w14:paraId="6980029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（4）供货数量与一览表不符：发包人补足；</w:t>
      </w:r>
    </w:p>
    <w:p w14:paraId="36B5644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（5）到货时间与一览表不符；</w:t>
      </w:r>
    </w:p>
    <w:p w14:paraId="7233501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开工前承包人须书面通知发包人，因发包人原因延迟供货的，可以延期；如承包人未在开工前书面通知的，发包人不承担相应责任。</w:t>
      </w:r>
    </w:p>
    <w:p w14:paraId="0368B6D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16.2发包人供应材料设备的结算方法:/</w:t>
      </w:r>
    </w:p>
    <w:p w14:paraId="55BC444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17．承包人采购材料设备</w:t>
      </w:r>
    </w:p>
    <w:p w14:paraId="03FDF5A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17.1购材料设备的约定：</w:t>
      </w:r>
    </w:p>
    <w:p w14:paraId="250F0CE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和监理工程师验收。</w:t>
      </w:r>
    </w:p>
    <w:p w14:paraId="1D1EB15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（2）设备与设计标准不符时，承包人应按工程师要求的时间运出施工场地，重新采购符合要求的产品，承担由此产生的费用，由此延误的工期不予顺延。</w:t>
      </w:r>
    </w:p>
    <w:p w14:paraId="6EF289A6">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14:paraId="546104F0">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14:paraId="5868224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071604B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由承包人供应的材料、设备其品牌、生产厂家、质量等级等均需与投标书相同，除因市场无供应外，需提前5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21F176F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供应的材料设备其品牌、生产厂家、质量等级等如与投标书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14:paraId="0A916DE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由承包人供应的材料设备其品牌、生产厂家、质量等级等如与投标书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10D916D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ascii="宋体" w:hAnsi="宋体" w:cs="宋体"/>
          <w:snapToGrid w:val="0"/>
          <w:szCs w:val="21"/>
        </w:rPr>
        <w:fldChar w:fldCharType="begin"/>
      </w:r>
      <w:r>
        <w:rPr>
          <w:rFonts w:hint="eastAsia" w:ascii="宋体" w:hAnsi="宋体" w:cs="宋体"/>
          <w:snapToGrid w:val="0"/>
          <w:szCs w:val="21"/>
        </w:rPr>
        <w:instrText xml:space="preserve"> eq \o\ac(○,1)</w:instrText>
      </w:r>
      <w:r>
        <w:rPr>
          <w:rFonts w:hint="eastAsia" w:ascii="宋体" w:hAnsi="宋体" w:cs="宋体"/>
          <w:snapToGrid w:val="0"/>
          <w:szCs w:val="21"/>
        </w:rPr>
        <w:fldChar w:fldCharType="end"/>
      </w:r>
      <w:r>
        <w:rPr>
          <w:rFonts w:hint="eastAsia" w:ascii="宋体" w:hAnsi="宋体" w:cs="宋体"/>
          <w:snapToGrid w:val="0"/>
          <w:szCs w:val="21"/>
        </w:rPr>
        <w:t xml:space="preserve">承包人采取新工艺或特殊施工措施造成的检验、试验费用 </w:t>
      </w:r>
      <w:r>
        <w:rPr>
          <w:rFonts w:hint="eastAsia" w:ascii="宋体" w:hAnsi="宋体" w:cs="宋体"/>
          <w:snapToGrid w:val="0"/>
          <w:szCs w:val="21"/>
        </w:rPr>
        <w:fldChar w:fldCharType="begin"/>
      </w:r>
      <w:r>
        <w:rPr>
          <w:rFonts w:hint="eastAsia" w:ascii="宋体" w:hAnsi="宋体" w:cs="宋体"/>
          <w:snapToGrid w:val="0"/>
          <w:szCs w:val="21"/>
        </w:rPr>
        <w:instrText xml:space="preserve"> eq \o\ac(○,2)</w:instrText>
      </w:r>
      <w:r>
        <w:rPr>
          <w:rFonts w:hint="eastAsia" w:ascii="宋体" w:hAnsi="宋体" w:cs="宋体"/>
          <w:snapToGrid w:val="0"/>
          <w:szCs w:val="21"/>
        </w:rPr>
        <w:fldChar w:fldCharType="end"/>
      </w:r>
      <w:r>
        <w:rPr>
          <w:rFonts w:hint="eastAsia" w:ascii="宋体" w:hAnsi="宋体" w:cs="宋体"/>
          <w:snapToGrid w:val="0"/>
          <w:szCs w:val="21"/>
        </w:rPr>
        <w:t>不在“由发包人承担检验试验费用”之列的其它检验试验费。</w:t>
      </w:r>
    </w:p>
    <w:p w14:paraId="5CE72DD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（10）需送检的材料必须检验合格后方能投入使用。</w:t>
      </w:r>
    </w:p>
    <w:p w14:paraId="7A583B6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（11）承包人供应的材料设备必须保证质量，使用中如发现有质量问题、有毒、污染等不符合环保、安全、卫生要求的，承包人承担返工的全部损失并赔偿由此给发包人带来的损失。</w:t>
      </w:r>
    </w:p>
    <w:p w14:paraId="062A882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（12）如需发包人认定质价后购买的材料，或者必须代换材料时，承包人必须提前10天书面报告，经发包人批准后实施，否则一切后果均由承包人自己负责。</w:t>
      </w:r>
    </w:p>
    <w:p w14:paraId="203303DA">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八、工程变更</w:t>
      </w:r>
    </w:p>
    <w:p w14:paraId="0AEEAFD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（1）工程变更通知是合同及施工设计图纸的补充和完善，承包人不得拒绝，不能因变更延误工期。</w:t>
      </w:r>
    </w:p>
    <w:p w14:paraId="7A3207B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（2）由于工程设计变更导致本合同工程量增减变化时，是对合同价款增减调整的依据，承包人不能因变更提出不合理的造价要求，造价变化按上述约定执行，结算审核时按实调整。</w:t>
      </w:r>
    </w:p>
    <w:p w14:paraId="04DD9A1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（3）承包人不得以设计变更或工程量的变化为理由，解除或修改合同对其规定的责任和义务。</w:t>
      </w:r>
    </w:p>
    <w:p w14:paraId="390C70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（4）施工中承包人不得对原工程设计进行变更，因承包人擅自变更设计发生的费用和由此导致发包人的直接损失由承包人承担，延误的工期不予顺延。</w:t>
      </w:r>
    </w:p>
    <w:p w14:paraId="2877280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18.竣工验收</w:t>
      </w:r>
    </w:p>
    <w:p w14:paraId="67CA8DB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18.1.承包人负责工程验收，并有义务参加配合相关单位验收工作。</w:t>
      </w:r>
    </w:p>
    <w:p w14:paraId="31E90DD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18.2.工程具备竣工验收条件，承包人按国家工程竣工验收有关规定，向发包人提供竣工验收报告。</w:t>
      </w:r>
    </w:p>
    <w:p w14:paraId="57EDE7D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14:paraId="211409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14:paraId="77316B5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19.竣工结算</w:t>
      </w:r>
    </w:p>
    <w:p w14:paraId="7BF1C35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19.1工程竣工验收合格后60天内承包人向发包人提供完整的工程结算资料。由发包人接收（一式两份）。结算资料提交应按时完成，否则每迟一天，除每日向发包人支付违约金500元，工程款相应延期支付。</w:t>
      </w:r>
    </w:p>
    <w:p w14:paraId="00C8830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19.2发包人收到竣工结算资料后，由发包人和监理方分别进行审查确认后送给有关造价咨询部门进行工程价款的审核。</w:t>
      </w:r>
    </w:p>
    <w:p w14:paraId="068329A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20、工程保修</w:t>
      </w:r>
    </w:p>
    <w:p w14:paraId="26117C7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20.1工程保修内容及期限按《建设工程质量管理条例》（中华人民共和国国务院令2000年第279号）、《房屋建筑工程质量保修办法》（中华人民共和国建设部令第８０号）等有关规定执行,保修金预留的比例为工程结算价的无%。</w:t>
      </w:r>
    </w:p>
    <w:p w14:paraId="5517B73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20.2工程保修期在工程竣工验收合格之日起计算。</w:t>
      </w:r>
    </w:p>
    <w:p w14:paraId="2082C1D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20.3在承包人对质量保证期内出现的质量问题进行维修时，承包人应相应延长维修或更换部分的质量保证期。维修或更换部分的质保期从维修或更换合格之日起重新计算。</w:t>
      </w:r>
    </w:p>
    <w:p w14:paraId="0C5DBDA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41945B99">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九、违约、索赔和争议</w:t>
      </w:r>
    </w:p>
    <w:p w14:paraId="56BC33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21.违约</w:t>
      </w:r>
    </w:p>
    <w:p w14:paraId="3092D8F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21.1本合同中关于发包人违约的具体责任如下:</w:t>
      </w:r>
    </w:p>
    <w:p w14:paraId="774F46E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本合同通用条款第24条约定发包人违约应承担的违约责任:</w:t>
      </w:r>
      <w:r>
        <w:rPr>
          <w:rFonts w:hint="eastAsia" w:ascii="宋体" w:hAnsi="宋体" w:cs="宋体"/>
          <w:snapToGrid w:val="0"/>
          <w:szCs w:val="21"/>
          <w:u w:val="single"/>
        </w:rPr>
        <w:t xml:space="preserve">    /    </w:t>
      </w:r>
    </w:p>
    <w:p w14:paraId="7772F19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本合同通用条款第26.4款约定发包人违约应承担的违约责任:</w:t>
      </w:r>
      <w:r>
        <w:rPr>
          <w:rFonts w:hint="eastAsia" w:ascii="宋体" w:hAnsi="宋体" w:cs="宋体"/>
          <w:snapToGrid w:val="0"/>
          <w:szCs w:val="21"/>
          <w:u w:val="single"/>
        </w:rPr>
        <w:t xml:space="preserve">    /    </w:t>
      </w:r>
    </w:p>
    <w:p w14:paraId="5A35C95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本合同通用条款第33.3款约定发包人违约应承担的违约责任:</w:t>
      </w:r>
      <w:r>
        <w:rPr>
          <w:rFonts w:hint="eastAsia" w:ascii="宋体" w:hAnsi="宋体" w:cs="宋体"/>
          <w:snapToGrid w:val="0"/>
          <w:szCs w:val="21"/>
          <w:u w:val="single"/>
        </w:rPr>
        <w:t xml:space="preserve">   /   </w:t>
      </w:r>
    </w:p>
    <w:p w14:paraId="1CC8864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双方约定的发包人其他违约责任:执行合同约定、招标文件</w:t>
      </w:r>
    </w:p>
    <w:p w14:paraId="5484673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21.2本合同中关于承包人违约的具体责任如下:</w:t>
      </w:r>
    </w:p>
    <w:p w14:paraId="2E159EF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本合同通用条款第14.2款约定承包人违约应承担的违约责任:</w:t>
      </w:r>
    </w:p>
    <w:p w14:paraId="7EEF6F7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延误工期。在十天内（含十天）的承包人按10000元/天赔偿，逾期在20天内（含20天）的承包人按20000元/天赔偿，逾期在30天（含30天）的承包人按50000元/天赔偿，如竣工时间超过合同工期一个月以上，发包人有权终止合同，承包人除按本工程结算价的5%支付违约金外，还应赔偿因工期违约给发包人造成的损失。</w:t>
      </w:r>
    </w:p>
    <w:p w14:paraId="351CE6A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21.3本合同通用条款第15.1款约定承包人违约应承担的违约责任:</w:t>
      </w:r>
    </w:p>
    <w:p w14:paraId="73F7CC3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1063786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21.4双方约定的承包人其他违约责任:</w:t>
      </w:r>
    </w:p>
    <w:p w14:paraId="4F622F8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21.4.1.遵守政府和发包人对施工现场的一切规定和要求，承担因自身原因违反有关规定造成的损失和罚款。</w:t>
      </w:r>
    </w:p>
    <w:p w14:paraId="406B8FA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14:paraId="5E18912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21.4.3承包人应服从发包人的制度、会议、通知等形式的管理，以整个项目全局为重，除履行合同义务外应积极配合发包人及其他参建单位完成项目目标。</w:t>
      </w:r>
    </w:p>
    <w:p w14:paraId="1B5E91A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21.4.4由于承包人原因无故连续停工一周，且又未向监理及发包人书面说明原因并取得发包人书面认可，发包人有权终止合同，承包人将承担一切损失。</w:t>
      </w:r>
    </w:p>
    <w:p w14:paraId="614C014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21.4.5承包人擅自将工程全部或其中的一部分转包或违法分包给其它单位，发包人有权终止合同，并没收履约保证金，由此造成的一切损失由承包人承担。</w:t>
      </w:r>
    </w:p>
    <w:p w14:paraId="26A8922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21.4.6施工期间由于承包人原因出现重大质量问题，且又无法弥补，给发包人造成重大损失，发包人有权终止合同，承包人负责赔偿发包人由此造成的一切损失。</w:t>
      </w:r>
    </w:p>
    <w:p w14:paraId="09FFCD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21.4.7承包人使用劣质材料，无论使用量多少，一经发现，发包人有权终止合同，承包人除承担责任和赔偿损失外，并无条件退出施工现场。</w:t>
      </w:r>
    </w:p>
    <w:p w14:paraId="0D331A5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22.争议</w:t>
      </w:r>
    </w:p>
    <w:p w14:paraId="0EDF685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22.1双方约定,在履行合同过程中产生争议时:</w:t>
      </w:r>
    </w:p>
    <w:p w14:paraId="53030A3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(1)请有关</w:t>
      </w:r>
      <w:r>
        <w:rPr>
          <w:rFonts w:hint="eastAsia" w:ascii="宋体" w:hAnsi="宋体" w:cs="宋体"/>
          <w:snapToGrid w:val="0"/>
          <w:szCs w:val="21"/>
          <w:u w:val="single"/>
        </w:rPr>
        <w:t>建设行政主管部门</w:t>
      </w:r>
      <w:r>
        <w:rPr>
          <w:rFonts w:hint="eastAsia" w:ascii="宋体" w:hAnsi="宋体" w:cs="宋体"/>
          <w:snapToGrid w:val="0"/>
          <w:szCs w:val="21"/>
        </w:rPr>
        <w:t>调解;</w:t>
      </w:r>
    </w:p>
    <w:p w14:paraId="1E17985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(2)调解不成，双方约定向</w:t>
      </w:r>
      <w:r>
        <w:rPr>
          <w:rFonts w:hint="eastAsia" w:ascii="宋体" w:hAnsi="宋体" w:cs="宋体"/>
          <w:snapToGrid w:val="0"/>
          <w:szCs w:val="21"/>
          <w:u w:val="single"/>
        </w:rPr>
        <w:t>发包人所在地人民法院</w:t>
      </w:r>
      <w:r>
        <w:rPr>
          <w:rFonts w:hint="eastAsia" w:ascii="宋体" w:hAnsi="宋体" w:cs="宋体"/>
          <w:snapToGrid w:val="0"/>
          <w:szCs w:val="21"/>
        </w:rPr>
        <w:t>提起诉讼。</w:t>
      </w:r>
    </w:p>
    <w:p w14:paraId="47F0BBB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十、其他</w:t>
      </w:r>
    </w:p>
    <w:p w14:paraId="62BAEFC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23.工程分包</w:t>
      </w:r>
    </w:p>
    <w:p w14:paraId="12339FE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本工程除渣土外运工程外，其他项目不允许转包和违法分包。渣土外运必须发包给具备《渣土运输车辆许可证》、《渣土运输车辆交通安全证》和《渣土运输车辆通行证》的渣土运输企业作业。</w:t>
      </w:r>
    </w:p>
    <w:p w14:paraId="1E09062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24.不可抗力</w:t>
      </w:r>
    </w:p>
    <w:p w14:paraId="694666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24.1双方关于不可抗力的约定:</w:t>
      </w:r>
      <w:r>
        <w:rPr>
          <w:rFonts w:hint="eastAsia" w:ascii="宋体" w:hAnsi="宋体" w:cs="宋体"/>
          <w:snapToGrid w:val="0"/>
          <w:szCs w:val="21"/>
          <w:u w:val="single"/>
        </w:rPr>
        <w:t>执行通用条款</w:t>
      </w:r>
    </w:p>
    <w:p w14:paraId="51B9506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25.担保</w:t>
      </w:r>
    </w:p>
    <w:p w14:paraId="396BFC7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25.1本工程双方约定担保事项如下:</w:t>
      </w:r>
    </w:p>
    <w:p w14:paraId="53A8F57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25.2发包人向承包人提供履约担保,担保方式为: </w:t>
      </w:r>
      <w:r>
        <w:rPr>
          <w:rFonts w:hint="eastAsia" w:ascii="宋体" w:hAnsi="宋体" w:cs="宋体"/>
          <w:snapToGrid w:val="0"/>
          <w:szCs w:val="21"/>
          <w:u w:val="single"/>
        </w:rPr>
        <w:t xml:space="preserve">  / </w:t>
      </w:r>
    </w:p>
    <w:p w14:paraId="242543D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25.3承包人向发包人提供履约担保,担保方式为:</w:t>
      </w:r>
      <w:r>
        <w:rPr>
          <w:rFonts w:hint="eastAsia" w:ascii="宋体" w:hAnsi="宋体" w:cs="宋体"/>
          <w:snapToGrid w:val="0"/>
          <w:szCs w:val="21"/>
          <w:u w:val="single"/>
        </w:rPr>
        <w:t>合同签订前承包人向发包人提交合同价的10%履约保证金，合同履行完毕无遗留问题退还履约保证金。如果承包人</w:t>
      </w:r>
      <w:r>
        <w:rPr>
          <w:rFonts w:hint="eastAsia" w:ascii="宋体" w:hAnsi="宋体" w:cs="宋体"/>
          <w:b/>
          <w:snapToGrid w:val="0"/>
          <w:szCs w:val="21"/>
          <w:u w:val="single"/>
        </w:rPr>
        <w:t>在规定时间内</w:t>
      </w:r>
      <w:r>
        <w:rPr>
          <w:rFonts w:hint="eastAsia" w:ascii="宋体" w:hAnsi="宋体" w:cs="宋体"/>
          <w:snapToGrid w:val="0"/>
          <w:szCs w:val="21"/>
          <w:u w:val="single"/>
        </w:rPr>
        <w:t>未能提交履约保证金，将被视为放弃中标资格，由此给发包人造成的损失，应予以赔偿</w:t>
      </w:r>
      <w:r>
        <w:rPr>
          <w:rFonts w:hint="eastAsia" w:ascii="宋体" w:hAnsi="宋体" w:cs="宋体"/>
          <w:snapToGrid w:val="0"/>
          <w:szCs w:val="21"/>
        </w:rPr>
        <w:t>。（以上均不计息）</w:t>
      </w:r>
    </w:p>
    <w:p w14:paraId="6FB4C95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26.合同份数</w:t>
      </w:r>
    </w:p>
    <w:p w14:paraId="623E429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26.1双方约定在合同份数：</w:t>
      </w:r>
    </w:p>
    <w:p w14:paraId="4152497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本合同</w:t>
      </w:r>
      <w:r>
        <w:rPr>
          <w:rFonts w:hint="eastAsia" w:ascii="宋体" w:hAnsi="宋体" w:cs="宋体"/>
          <w:b/>
          <w:snapToGrid w:val="0"/>
          <w:szCs w:val="21"/>
          <w:u w:val="single"/>
        </w:rPr>
        <w:t>伍</w:t>
      </w:r>
      <w:r>
        <w:rPr>
          <w:rFonts w:hint="eastAsia" w:ascii="宋体" w:hAnsi="宋体" w:cs="宋体"/>
          <w:snapToGrid w:val="0"/>
          <w:szCs w:val="21"/>
        </w:rPr>
        <w:t>份，其中正本</w:t>
      </w:r>
      <w:r>
        <w:rPr>
          <w:rFonts w:hint="eastAsia" w:ascii="宋体" w:hAnsi="宋体" w:cs="宋体"/>
          <w:b/>
          <w:snapToGrid w:val="0"/>
          <w:szCs w:val="21"/>
          <w:u w:val="single"/>
        </w:rPr>
        <w:t>叁</w:t>
      </w:r>
      <w:r>
        <w:rPr>
          <w:rFonts w:hint="eastAsia" w:ascii="宋体" w:hAnsi="宋体" w:cs="宋体"/>
          <w:snapToGrid w:val="0"/>
          <w:szCs w:val="21"/>
        </w:rPr>
        <w:t>份，副本</w:t>
      </w:r>
      <w:r>
        <w:rPr>
          <w:rFonts w:hint="eastAsia" w:ascii="宋体" w:hAnsi="宋体" w:cs="宋体"/>
          <w:b/>
          <w:snapToGrid w:val="0"/>
          <w:szCs w:val="21"/>
          <w:u w:val="single"/>
        </w:rPr>
        <w:t>贰</w:t>
      </w:r>
      <w:r>
        <w:rPr>
          <w:rFonts w:hint="eastAsia" w:ascii="宋体" w:hAnsi="宋体" w:cs="宋体"/>
          <w:snapToGrid w:val="0"/>
          <w:szCs w:val="21"/>
        </w:rPr>
        <w:t>份。</w:t>
      </w:r>
      <w:r>
        <w:rPr>
          <w:rFonts w:hint="eastAsia" w:ascii="宋体" w:hAnsi="宋体" w:cs="宋体"/>
          <w:szCs w:val="21"/>
        </w:rPr>
        <w:t>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0F546B6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27.其他</w:t>
      </w:r>
    </w:p>
    <w:p w14:paraId="729707B3">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2）本工程经审计后核减率超过10%(含10%)的，其审计费用全部由承包人承担（比例为净核减金额的5%）；本工程经审计后核减率在10%以下的，其审计费用由发包人承包人各承担50%。以上承包人应承担的审计费用，承包人交至医院财务处，由发包人代为支付给审计单位。</w:t>
      </w:r>
    </w:p>
    <w:p w14:paraId="2369ECE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(3）施工过程中发生的变更签证，承包人必须在变更发生后5日内申报，逾期对增加费用的签证申报，发包人有权不予承认，但发包人保留对减少费用的签证追溯权；</w:t>
      </w:r>
    </w:p>
    <w:p w14:paraId="34BF3CA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加强工作人员的管理，禁止承包人以各种手段腐蚀、贿赂发包人单位工作人员，如有违反，发包人将停止履行合同，将诚信档案记录的工作人员违规不良行为纳入违约行为，并追究承包人违约责任；</w:t>
      </w:r>
    </w:p>
    <w:p w14:paraId="5E5A5B75">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（5）</w:t>
      </w:r>
      <w:r>
        <w:rPr>
          <w:rFonts w:hint="eastAsia" w:ascii="宋体" w:hAnsi="宋体" w:cs="宋体"/>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1），违者按以上规定条款处罚；</w:t>
      </w:r>
    </w:p>
    <w:p w14:paraId="2082AB1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（6）在工程竣工后在进行竣工验收前，对施工范围内进行打扫和清理，达到发包人提出的清洁要求，如达不到上述要求发包人将委托其他单位进行清理，其费用由承包人承担；</w:t>
      </w:r>
    </w:p>
    <w:p w14:paraId="04CCF67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（7）在工程未交付前，承包人负责做好成品保护，如有损坏应负责维修，直至合格，其维修看护费用由承包人承担。</w:t>
      </w:r>
    </w:p>
    <w:p w14:paraId="6BF3F4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（8）在施工期间医院正常运行，承包人在施工中应做好环境保护及环境安全的防护，部分区域需封闭施工，相关费用视为包含在投标报价中，不再另行支付；</w:t>
      </w:r>
    </w:p>
    <w:p w14:paraId="5CCC338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（9）各个施工环节，需发包人施工质量管理员现场验收确认后方可进行下一环节施工；</w:t>
      </w:r>
    </w:p>
    <w:p w14:paraId="02E447F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napToGrid w:val="0"/>
          <w:kern w:val="0"/>
          <w:szCs w:val="21"/>
        </w:rPr>
        <w:t>（</w:t>
      </w:r>
      <w:r>
        <w:rPr>
          <w:rFonts w:hint="eastAsia" w:ascii="宋体" w:hAnsi="宋体" w:cs="宋体"/>
          <w:szCs w:val="21"/>
        </w:rPr>
        <w:t>10</w:t>
      </w:r>
      <w:r>
        <w:rPr>
          <w:rFonts w:hint="eastAsia" w:ascii="宋体" w:hAnsi="宋体" w:cs="宋体"/>
          <w:snapToGrid w:val="0"/>
          <w:kern w:val="0"/>
          <w:szCs w:val="21"/>
        </w:rPr>
        <w:t>）</w:t>
      </w:r>
      <w:r>
        <w:rPr>
          <w:rFonts w:hint="eastAsia" w:ascii="宋体" w:hAnsi="宋体" w:cs="宋体"/>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2）</w:t>
      </w:r>
    </w:p>
    <w:p w14:paraId="1B11BB05">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（11）承包人在中标公示结束后30天内与发包人签订施工合同并交纳履约保证金；</w:t>
      </w:r>
    </w:p>
    <w:p w14:paraId="1477352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14:paraId="2654441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（13）承包人擅自将工程全部或其中的一部分转包或违法分包给其他单位，发包人有权终止合同，并没收履约保证金，由此造成的一切损失由承包人承担；</w:t>
      </w:r>
    </w:p>
    <w:p w14:paraId="563B814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（14）施工方对施工材料运送要统筹考虑,不得影响院区内的道路交通,对施工场地周边的道路、树木、建筑等设施做好保护；</w:t>
      </w:r>
    </w:p>
    <w:p w14:paraId="091D75A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28、施工期间相关要求：（以下规定与政府部门有冲突的部分依照政府文件规定执行）</w:t>
      </w:r>
    </w:p>
    <w:p w14:paraId="1BFD0E2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（1）严格按国家强制性标准、施工组织设计或拆除方案实施相关部位拆除施工作业；</w:t>
      </w:r>
    </w:p>
    <w:p w14:paraId="1D1CB87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（2）做好拆除工程施工现场的防护。在现场醒目位置设置施工标志牌、安全警示牌，人员通道设置防护通道，非施工人员不得进入施工区；</w:t>
      </w:r>
    </w:p>
    <w:p w14:paraId="079B2C93">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（3）制定安全事故应急救援预案，做好防火、防盗工作；</w:t>
      </w:r>
    </w:p>
    <w:p w14:paraId="2D08470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（4）对拆除施工人员进行安全技术交底，施工作业人员必须穿戴安全帽等劳动保护用品，高处作业应系好安全带，不得冒险作业；</w:t>
      </w:r>
    </w:p>
    <w:p w14:paraId="777B41F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（5）由施工方、监理、承包人方共同对拆除的部位进行标记，由施工方检查建筑内各类管线情况，确认必须切断的应全部切断后方可施工；</w:t>
      </w:r>
    </w:p>
    <w:p w14:paraId="32280E7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（6）拆除施工时应有防止扬尘和降低噪声的措施，拆除前洒水，过程中喷水，采用轻型风镐，严禁超负荷或带故障运转；</w:t>
      </w:r>
    </w:p>
    <w:p w14:paraId="5388EBD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7EC9C08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（8）楼层内的施工垃圾应采用垃圾袋运下，不得向下抛掷；</w:t>
      </w:r>
    </w:p>
    <w:p w14:paraId="0330806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（9）对原有梁、柱、楼板面等建筑结构要进行有效防护，拆除部位的地面必须用模板铺垫；</w:t>
      </w:r>
    </w:p>
    <w:p w14:paraId="23065BA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（10）室内墙体在拆除时，顶部应拆除至梁体或楼板混凝土结构面，将砂浆连接层彻底清理干净，便于下道工序直接施工包含柱面；</w:t>
      </w:r>
    </w:p>
    <w:p w14:paraId="429F9D8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(11)现场用电应符合施工现场临时用电安全技术规范要求；</w:t>
      </w:r>
    </w:p>
    <w:p w14:paraId="5E32839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(12)根据拆除现场作业环境，制定相应的消防安全措施；</w:t>
      </w:r>
    </w:p>
    <w:p w14:paraId="4CAE82D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(13)拆除后形成的临边洞口及时维护完成；</w:t>
      </w:r>
    </w:p>
    <w:p w14:paraId="398C732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(14)清运渣土的车辆应封闭或覆盖，出入现场应有专人指挥，作业时间、作业方式应遵守扬州市有关管理规定。要求拆除的垃圾袋装化处理，并及时拆及时清运；</w:t>
      </w:r>
    </w:p>
    <w:p w14:paraId="4B3914F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(15)使用建设单位提供运输等设备、设施要服从管理安排，爱护设备，损坏赔偿；</w:t>
      </w:r>
    </w:p>
    <w:p w14:paraId="29D0A48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(16)编制切实可行的施工准备计划，科学、合理安排组织施工工序，对准备工作建立严格的责任制和检查制度，做到有计划、有分工、有布置、有检查，各分部分项工程必须按计划完成；</w:t>
      </w:r>
    </w:p>
    <w:p w14:paraId="56558548">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14:paraId="694FFAF3">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(18)若有后续工作跟进施工应与配合，及时提供工作面，确保后续工作顺利实施；</w:t>
      </w:r>
    </w:p>
    <w:p w14:paraId="0AC6DCA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(19)本工程不包含任何可回收材料，可回收材料均属发包人所有；</w:t>
      </w:r>
    </w:p>
    <w:p w14:paraId="239C723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（20）保险</w:t>
      </w:r>
    </w:p>
    <w:p w14:paraId="3114A70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工程保险：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52A170DA">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其他保险：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7BEF3E8A">
      <w:pPr>
        <w:pStyle w:val="60"/>
        <w:tabs>
          <w:tab w:val="left" w:pos="284"/>
        </w:tabs>
        <w:spacing w:line="360" w:lineRule="auto"/>
        <w:ind w:firstLine="420" w:firstLineChars="200"/>
        <w:contextualSpacing/>
        <w:jc w:val="left"/>
        <w:rPr>
          <w:rFonts w:ascii="宋体" w:hAnsi="宋体" w:cs="宋体"/>
          <w:szCs w:val="21"/>
          <w:u w:val="single"/>
        </w:rPr>
      </w:pPr>
      <w:r>
        <w:rPr>
          <w:rFonts w:hint="eastAsia" w:ascii="宋体" w:hAnsi="宋体" w:cs="宋体"/>
          <w:szCs w:val="21"/>
        </w:rPr>
        <w:t>承包人是否应为其施工设备等办理财产保险：</w:t>
      </w:r>
      <w:r>
        <w:rPr>
          <w:rFonts w:hint="eastAsia" w:ascii="宋体" w:hAnsi="宋体" w:cs="宋体"/>
          <w:szCs w:val="21"/>
          <w:u w:val="single"/>
        </w:rPr>
        <w:t>应该办理</w:t>
      </w:r>
    </w:p>
    <w:p w14:paraId="775B837E">
      <w:pPr>
        <w:pStyle w:val="60"/>
        <w:tabs>
          <w:tab w:val="left" w:pos="284"/>
        </w:tabs>
        <w:spacing w:line="360" w:lineRule="auto"/>
        <w:ind w:firstLine="420" w:firstLineChars="200"/>
        <w:contextualSpacing/>
        <w:jc w:val="left"/>
        <w:rPr>
          <w:rFonts w:ascii="宋体" w:hAnsi="宋体" w:cs="宋体"/>
          <w:sz w:val="24"/>
          <w:szCs w:val="24"/>
        </w:rPr>
      </w:pPr>
      <w:r>
        <w:rPr>
          <w:rFonts w:hint="eastAsia" w:ascii="宋体" w:hAnsi="宋体" w:cs="宋体"/>
          <w:szCs w:val="21"/>
        </w:rPr>
        <w:t>关于变更保险合同时的通知义务的约定：</w:t>
      </w:r>
      <w:r>
        <w:rPr>
          <w:rFonts w:hint="eastAsia" w:ascii="宋体" w:hAnsi="宋体" w:cs="宋体"/>
          <w:szCs w:val="21"/>
          <w:u w:val="single"/>
        </w:rPr>
        <w:t>执行通用条款</w:t>
      </w:r>
    </w:p>
    <w:p w14:paraId="087A3777">
      <w:pPr>
        <w:spacing w:line="360" w:lineRule="auto"/>
        <w:ind w:firstLine="562" w:firstLineChars="200"/>
        <w:contextualSpacing/>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附件1</w:t>
      </w:r>
    </w:p>
    <w:p w14:paraId="3FDB361D">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建设工程施工场地管理规定</w:t>
      </w:r>
    </w:p>
    <w:p w14:paraId="3732159B">
      <w:pPr>
        <w:spacing w:line="360" w:lineRule="auto"/>
        <w:ind w:firstLine="420" w:firstLineChars="200"/>
        <w:contextualSpacing/>
        <w:rPr>
          <w:rFonts w:ascii="宋体" w:hAnsi="宋体" w:cs="宋体"/>
          <w:szCs w:val="21"/>
        </w:rPr>
      </w:pPr>
      <w:r>
        <w:rPr>
          <w:rFonts w:hint="eastAsia" w:ascii="宋体" w:hAnsi="宋体" w:cs="宋体"/>
          <w:szCs w:val="21"/>
        </w:rPr>
        <w:t>为了保证建设工程质量、进度达到预定目标,确保在施工中不出现质量、安全责任事故,同时能给各施工单位创造良好的文明施工环境、合作条件,经研究特制订本工程施工场地管理规定。</w:t>
      </w:r>
    </w:p>
    <w:p w14:paraId="649BC6EC">
      <w:pPr>
        <w:spacing w:line="360" w:lineRule="auto"/>
        <w:ind w:firstLine="420" w:firstLineChars="200"/>
        <w:contextualSpacing/>
        <w:rPr>
          <w:rFonts w:ascii="宋体" w:hAnsi="宋体" w:cs="宋体"/>
          <w:szCs w:val="21"/>
        </w:rPr>
      </w:pPr>
      <w:r>
        <w:rPr>
          <w:rFonts w:hint="eastAsia" w:ascii="宋体" w:hAnsi="宋体" w:cs="宋体"/>
          <w:szCs w:val="21"/>
        </w:rPr>
        <w:t>一、施工场地管理要求:</w:t>
      </w:r>
    </w:p>
    <w:p w14:paraId="68BA19E4">
      <w:pPr>
        <w:spacing w:line="360" w:lineRule="auto"/>
        <w:ind w:firstLine="420" w:firstLineChars="200"/>
        <w:contextualSpacing/>
        <w:rPr>
          <w:rFonts w:ascii="宋体" w:hAnsi="宋体" w:cs="宋体"/>
          <w:szCs w:val="21"/>
        </w:rPr>
      </w:pPr>
      <w:r>
        <w:rPr>
          <w:rFonts w:hint="eastAsia" w:ascii="宋体" w:hAnsi="宋体" w:cs="宋体"/>
          <w:szCs w:val="21"/>
        </w:rPr>
        <w:t>1、所有进场的施工单位必须建立健全项目管理机构,项目部全体人员一览表应公布上墙。</w:t>
      </w:r>
    </w:p>
    <w:p w14:paraId="18D26D3F">
      <w:pPr>
        <w:spacing w:line="360" w:lineRule="auto"/>
        <w:ind w:firstLine="420" w:firstLineChars="200"/>
        <w:contextualSpacing/>
        <w:rPr>
          <w:rFonts w:ascii="宋体" w:hAnsi="宋体" w:cs="宋体"/>
          <w:szCs w:val="21"/>
        </w:rPr>
      </w:pPr>
      <w:r>
        <w:rPr>
          <w:rFonts w:hint="eastAsia" w:ascii="宋体" w:hAnsi="宋体" w:cs="宋体"/>
          <w:szCs w:val="21"/>
        </w:rPr>
        <w:t>2、各项目部应根据国家和省、市有关法律、法规、标准、规范,按照项目部的工作要求建立如下规章制度。</w:t>
      </w:r>
    </w:p>
    <w:p w14:paraId="7EA9E0AE">
      <w:pPr>
        <w:spacing w:line="360" w:lineRule="auto"/>
        <w:ind w:firstLine="420" w:firstLineChars="200"/>
        <w:contextualSpacing/>
        <w:rPr>
          <w:rFonts w:ascii="宋体" w:hAnsi="宋体" w:cs="宋体"/>
          <w:szCs w:val="21"/>
        </w:rPr>
      </w:pPr>
      <w:r>
        <w:rPr>
          <w:rFonts w:hint="eastAsia" w:ascii="宋体" w:hAnsi="宋体" w:cs="宋体"/>
          <w:szCs w:val="21"/>
        </w:rPr>
        <w:t>(1)安全生产责任制度、安全教育制度</w:t>
      </w:r>
    </w:p>
    <w:p w14:paraId="777A1F90">
      <w:pPr>
        <w:spacing w:line="360" w:lineRule="auto"/>
        <w:ind w:firstLine="420" w:firstLineChars="200"/>
        <w:contextualSpacing/>
        <w:rPr>
          <w:rFonts w:ascii="宋体" w:hAnsi="宋体" w:cs="宋体"/>
          <w:szCs w:val="21"/>
        </w:rPr>
      </w:pPr>
      <w:r>
        <w:rPr>
          <w:rFonts w:hint="eastAsia" w:ascii="宋体" w:hAnsi="宋体" w:cs="宋体"/>
          <w:szCs w:val="21"/>
        </w:rPr>
        <w:t>(2)质量、进度目标管理制度</w:t>
      </w:r>
    </w:p>
    <w:p w14:paraId="6E284455">
      <w:pPr>
        <w:spacing w:line="360" w:lineRule="auto"/>
        <w:ind w:firstLine="420" w:firstLineChars="200"/>
        <w:contextualSpacing/>
        <w:rPr>
          <w:rFonts w:ascii="宋体" w:hAnsi="宋体" w:cs="宋体"/>
          <w:szCs w:val="21"/>
        </w:rPr>
      </w:pPr>
      <w:r>
        <w:rPr>
          <w:rFonts w:hint="eastAsia" w:ascii="宋体" w:hAnsi="宋体" w:cs="宋体"/>
          <w:szCs w:val="21"/>
        </w:rPr>
        <w:t>(3)文明施工及场地清洁卫生管理制度</w:t>
      </w:r>
    </w:p>
    <w:p w14:paraId="47121848">
      <w:pPr>
        <w:spacing w:line="360" w:lineRule="auto"/>
        <w:ind w:firstLine="420" w:firstLineChars="200"/>
        <w:contextualSpacing/>
        <w:rPr>
          <w:rFonts w:ascii="宋体" w:hAnsi="宋体" w:cs="宋体"/>
          <w:szCs w:val="21"/>
        </w:rPr>
      </w:pPr>
      <w:r>
        <w:rPr>
          <w:rFonts w:hint="eastAsia" w:ascii="宋体" w:hAnsi="宋体" w:cs="宋体"/>
          <w:szCs w:val="21"/>
        </w:rPr>
        <w:t>(4)施工用电管理制度</w:t>
      </w:r>
    </w:p>
    <w:p w14:paraId="00CF33F8">
      <w:pPr>
        <w:spacing w:line="360" w:lineRule="auto"/>
        <w:ind w:firstLine="420" w:firstLineChars="200"/>
        <w:contextualSpacing/>
        <w:rPr>
          <w:rFonts w:ascii="宋体" w:hAnsi="宋体" w:cs="宋体"/>
          <w:szCs w:val="21"/>
        </w:rPr>
      </w:pPr>
      <w:r>
        <w:rPr>
          <w:rFonts w:hint="eastAsia" w:ascii="宋体" w:hAnsi="宋体" w:cs="宋体"/>
          <w:szCs w:val="21"/>
        </w:rPr>
        <w:t>(5)“三宝”、“四口”“五临边”防护制度</w:t>
      </w:r>
    </w:p>
    <w:p w14:paraId="6722C3BC">
      <w:pPr>
        <w:spacing w:line="360" w:lineRule="auto"/>
        <w:ind w:firstLine="420" w:firstLineChars="200"/>
        <w:contextualSpacing/>
        <w:rPr>
          <w:rFonts w:ascii="宋体" w:hAnsi="宋体" w:cs="宋体"/>
          <w:szCs w:val="21"/>
        </w:rPr>
      </w:pPr>
      <w:r>
        <w:rPr>
          <w:rFonts w:hint="eastAsia" w:ascii="宋体" w:hAnsi="宋体" w:cs="宋体"/>
          <w:szCs w:val="21"/>
        </w:rPr>
        <w:t>(6)成品保护制度</w:t>
      </w:r>
    </w:p>
    <w:p w14:paraId="7E25D9C2">
      <w:pPr>
        <w:spacing w:line="360" w:lineRule="auto"/>
        <w:ind w:firstLine="420" w:firstLineChars="200"/>
        <w:contextualSpacing/>
        <w:rPr>
          <w:rFonts w:ascii="宋体" w:hAnsi="宋体" w:cs="宋体"/>
          <w:szCs w:val="21"/>
        </w:rPr>
      </w:pPr>
      <w:r>
        <w:rPr>
          <w:rFonts w:hint="eastAsia" w:ascii="宋体" w:hAnsi="宋体" w:cs="宋体"/>
          <w:szCs w:val="21"/>
        </w:rPr>
        <w:t>(7)动火管理制度</w:t>
      </w:r>
    </w:p>
    <w:p w14:paraId="660B1CB3">
      <w:pPr>
        <w:spacing w:line="360" w:lineRule="auto"/>
        <w:ind w:firstLine="420" w:firstLineChars="200"/>
        <w:contextualSpacing/>
        <w:rPr>
          <w:rFonts w:ascii="宋体" w:hAnsi="宋体" w:cs="宋体"/>
          <w:szCs w:val="21"/>
        </w:rPr>
      </w:pPr>
      <w:r>
        <w:rPr>
          <w:rFonts w:hint="eastAsia" w:ascii="宋体" w:hAnsi="宋体" w:cs="宋体"/>
          <w:szCs w:val="21"/>
        </w:rPr>
        <w:t>(8)其它规章制度</w:t>
      </w:r>
    </w:p>
    <w:p w14:paraId="5CA8D096">
      <w:pPr>
        <w:spacing w:line="360" w:lineRule="auto"/>
        <w:ind w:firstLine="420" w:firstLineChars="200"/>
        <w:contextualSpacing/>
        <w:rPr>
          <w:rFonts w:ascii="宋体" w:hAnsi="宋体" w:cs="宋体"/>
          <w:szCs w:val="21"/>
        </w:rPr>
      </w:pPr>
      <w:r>
        <w:rPr>
          <w:rFonts w:hint="eastAsia" w:ascii="宋体" w:hAnsi="宋体" w:cs="宋体"/>
          <w:szCs w:val="21"/>
        </w:rPr>
        <w:t>3、各项目部应认真执行如下规定。</w:t>
      </w:r>
    </w:p>
    <w:p w14:paraId="47732F49">
      <w:pPr>
        <w:spacing w:line="360" w:lineRule="auto"/>
        <w:ind w:firstLine="420" w:firstLineChars="200"/>
        <w:contextualSpacing/>
        <w:rPr>
          <w:rFonts w:ascii="宋体" w:hAnsi="宋体" w:cs="宋体"/>
          <w:szCs w:val="21"/>
        </w:rPr>
      </w:pPr>
      <w:r>
        <w:rPr>
          <w:rFonts w:hint="eastAsia" w:ascii="宋体" w:hAnsi="宋体" w:cs="宋体"/>
          <w:szCs w:val="21"/>
        </w:rPr>
        <w:t>(1)各施工单位的项目经理必须坚守工作岗位,遇有特殊情况需要离开施工现场必须向承包人、监理请假,经同意后才能离开。</w:t>
      </w:r>
    </w:p>
    <w:p w14:paraId="0F726D36">
      <w:pPr>
        <w:spacing w:line="360" w:lineRule="auto"/>
        <w:ind w:firstLine="420" w:firstLineChars="200"/>
        <w:contextualSpacing/>
        <w:rPr>
          <w:rFonts w:ascii="宋体" w:hAnsi="宋体" w:cs="宋体"/>
          <w:szCs w:val="21"/>
        </w:rPr>
      </w:pPr>
      <w:r>
        <w:rPr>
          <w:rFonts w:hint="eastAsia" w:ascii="宋体" w:hAnsi="宋体" w:cs="宋体"/>
          <w:szCs w:val="21"/>
        </w:rPr>
        <w:t>(2)各项目部的质量和安全管理人员应认真履行工作职责,上述人员如有变动必须报发包人、监理同意。</w:t>
      </w:r>
    </w:p>
    <w:p w14:paraId="4DD2E796">
      <w:pPr>
        <w:spacing w:line="360" w:lineRule="auto"/>
        <w:ind w:firstLine="420" w:firstLineChars="200"/>
        <w:contextualSpacing/>
        <w:rPr>
          <w:rFonts w:ascii="宋体" w:hAnsi="宋体" w:cs="宋体"/>
          <w:szCs w:val="21"/>
        </w:rPr>
      </w:pPr>
      <w:r>
        <w:rPr>
          <w:rFonts w:hint="eastAsia" w:ascii="宋体" w:hAnsi="宋体" w:cs="宋体"/>
          <w:szCs w:val="21"/>
        </w:rPr>
        <w:t>(3)各项目部在施工前应认真编制施工方案,并上报监理、发包人审核,经审核同意后严格按方案实施,对重点部位应按要求编制专项施工方案。</w:t>
      </w:r>
    </w:p>
    <w:p w14:paraId="195F49A4">
      <w:pPr>
        <w:spacing w:line="360" w:lineRule="auto"/>
        <w:ind w:firstLine="420" w:firstLineChars="200"/>
        <w:contextualSpacing/>
        <w:rPr>
          <w:rFonts w:ascii="宋体" w:hAnsi="宋体" w:cs="宋体"/>
          <w:szCs w:val="21"/>
        </w:rPr>
      </w:pPr>
      <w:r>
        <w:rPr>
          <w:rFonts w:hint="eastAsia" w:ascii="宋体" w:hAnsi="宋体" w:cs="宋体"/>
          <w:szCs w:val="21"/>
        </w:rPr>
        <w:t>(4)隐蔽工程应先进行自检,自检合格后报监理及发包人进行隐蔽部位验收隐蔽工程在封闭前要求各施工单位执行会签制度。未经验收、会签不得擅自封闭。</w:t>
      </w:r>
    </w:p>
    <w:p w14:paraId="07900B3C">
      <w:pPr>
        <w:spacing w:line="360" w:lineRule="auto"/>
        <w:ind w:firstLine="420" w:firstLineChars="200"/>
        <w:contextualSpacing/>
        <w:rPr>
          <w:rFonts w:ascii="宋体" w:hAnsi="宋体" w:cs="宋体"/>
          <w:szCs w:val="21"/>
        </w:rPr>
      </w:pPr>
      <w:r>
        <w:rPr>
          <w:rFonts w:hint="eastAsia" w:ascii="宋体" w:hAnsi="宋体" w:cs="宋体"/>
          <w:szCs w:val="21"/>
        </w:rPr>
        <w:t>(5)所有进场施工材料必须经监理、发包人验收合格后才能使用,材料如需复试,必须待试验合格后方可使用。同时不合格的进场材料要求立即退场,若已使用必须拆除。工程材料需及时提供样品,征得业主、监理确认同意后,按样品进行验收。</w:t>
      </w:r>
    </w:p>
    <w:p w14:paraId="32A47949">
      <w:pPr>
        <w:spacing w:line="360" w:lineRule="auto"/>
        <w:ind w:firstLine="420" w:firstLineChars="200"/>
        <w:contextualSpacing/>
        <w:rPr>
          <w:rFonts w:ascii="宋体" w:hAnsi="宋体" w:cs="宋体"/>
          <w:szCs w:val="21"/>
        </w:rPr>
      </w:pPr>
      <w:r>
        <w:rPr>
          <w:rFonts w:hint="eastAsia" w:ascii="宋体" w:hAnsi="宋体" w:cs="宋体"/>
          <w:szCs w:val="21"/>
        </w:rPr>
        <w:t>(6)加强现场安全保卫工作,所有施工单位进场人员必须佩带胸牌上岗,进入施工现场必须配戴安全帽。</w:t>
      </w:r>
    </w:p>
    <w:p w14:paraId="1CF69706">
      <w:pPr>
        <w:spacing w:line="360" w:lineRule="auto"/>
        <w:ind w:firstLine="420" w:firstLineChars="200"/>
        <w:contextualSpacing/>
        <w:rPr>
          <w:rFonts w:ascii="宋体" w:hAnsi="宋体" w:cs="宋体"/>
          <w:szCs w:val="21"/>
        </w:rPr>
      </w:pPr>
      <w:r>
        <w:rPr>
          <w:rFonts w:hint="eastAsia" w:ascii="宋体" w:hAnsi="宋体" w:cs="宋体"/>
          <w:szCs w:val="21"/>
        </w:rPr>
        <w:t>(7)未施工的材料应要善保管,已施工完毕的成品必须加强保护(附件:成品地面、门窗成品保护要求),同时要求做好防火、防盗和用电安全管理等工作。</w:t>
      </w:r>
    </w:p>
    <w:p w14:paraId="26683F01">
      <w:pPr>
        <w:spacing w:line="360" w:lineRule="auto"/>
        <w:ind w:firstLine="420" w:firstLineChars="200"/>
        <w:contextualSpacing/>
        <w:rPr>
          <w:rFonts w:ascii="宋体" w:hAnsi="宋体" w:cs="宋体"/>
          <w:szCs w:val="21"/>
        </w:rPr>
      </w:pPr>
      <w:r>
        <w:rPr>
          <w:rFonts w:hint="eastAsia" w:ascii="宋体" w:hAnsi="宋体" w:cs="宋体"/>
          <w:szCs w:val="21"/>
        </w:rPr>
        <w:t>(8)保持施工现场环境卫生整洁。建筑垃圾、生活垃圾及时清理,按指定地点堆放。</w:t>
      </w:r>
    </w:p>
    <w:p w14:paraId="0E894D79">
      <w:pPr>
        <w:spacing w:line="360" w:lineRule="auto"/>
        <w:ind w:firstLine="420" w:firstLineChars="200"/>
        <w:contextualSpacing/>
        <w:rPr>
          <w:rFonts w:ascii="宋体" w:hAnsi="宋体" w:cs="宋体"/>
          <w:szCs w:val="21"/>
        </w:rPr>
      </w:pPr>
      <w:r>
        <w:rPr>
          <w:rFonts w:hint="eastAsia" w:ascii="宋体" w:hAnsi="宋体" w:cs="宋体"/>
          <w:szCs w:val="21"/>
        </w:rPr>
        <w:t>(9)施工单位必须按照图纸施工,施工中如需调整与变更应及时办理变更手续,并严格执行。</w:t>
      </w:r>
    </w:p>
    <w:p w14:paraId="05535EBF">
      <w:pPr>
        <w:spacing w:line="360" w:lineRule="auto"/>
        <w:ind w:firstLine="420" w:firstLineChars="200"/>
        <w:contextualSpacing/>
        <w:rPr>
          <w:rFonts w:ascii="宋体" w:hAnsi="宋体" w:cs="宋体"/>
          <w:szCs w:val="21"/>
        </w:rPr>
      </w:pPr>
      <w:r>
        <w:rPr>
          <w:rFonts w:hint="eastAsia" w:ascii="宋体" w:hAnsi="宋体" w:cs="宋体"/>
          <w:szCs w:val="21"/>
        </w:rPr>
        <w:t>(10)对监理、业主发现的工程施工质量、安全问题,各施工单位应按发包人、监理意见积极整改到位。</w:t>
      </w:r>
    </w:p>
    <w:p w14:paraId="6C9EB3B8">
      <w:pPr>
        <w:spacing w:line="360" w:lineRule="auto"/>
        <w:ind w:firstLine="420" w:firstLineChars="200"/>
        <w:contextualSpacing/>
        <w:rPr>
          <w:rFonts w:ascii="宋体" w:hAnsi="宋体" w:cs="宋体"/>
          <w:szCs w:val="21"/>
        </w:rPr>
      </w:pPr>
      <w:r>
        <w:rPr>
          <w:rFonts w:hint="eastAsia" w:ascii="宋体" w:hAnsi="宋体" w:cs="宋体"/>
          <w:szCs w:val="21"/>
        </w:rPr>
        <w:t>(11)各施工单位应树立全局观念,主动积极做好协调、配合工作,不得故意刁难,相互扯皮。</w:t>
      </w:r>
    </w:p>
    <w:p w14:paraId="41F4F790">
      <w:pPr>
        <w:spacing w:line="360" w:lineRule="auto"/>
        <w:ind w:firstLine="420" w:firstLineChars="200"/>
        <w:contextualSpacing/>
        <w:rPr>
          <w:rFonts w:ascii="宋体" w:hAnsi="宋体" w:cs="宋体"/>
          <w:szCs w:val="21"/>
        </w:rPr>
      </w:pPr>
      <w:r>
        <w:rPr>
          <w:rFonts w:hint="eastAsia" w:ascii="宋体" w:hAnsi="宋体" w:cs="宋体"/>
          <w:szCs w:val="21"/>
        </w:rPr>
        <w:t>(12)各施工单位必须对照施工合同,严格履行合同承诺。</w:t>
      </w:r>
    </w:p>
    <w:p w14:paraId="331836A3">
      <w:pPr>
        <w:spacing w:line="360" w:lineRule="auto"/>
        <w:ind w:firstLine="420" w:firstLineChars="200"/>
        <w:contextualSpacing/>
        <w:rPr>
          <w:rFonts w:ascii="宋体" w:hAnsi="宋体" w:cs="宋体"/>
          <w:szCs w:val="21"/>
        </w:rPr>
      </w:pPr>
      <w:r>
        <w:rPr>
          <w:rFonts w:hint="eastAsia" w:ascii="宋体" w:hAnsi="宋体" w:cs="宋体"/>
          <w:szCs w:val="21"/>
        </w:rPr>
        <w:t>二、施工管理处罚规定:</w:t>
      </w:r>
    </w:p>
    <w:p w14:paraId="70A9B5F5">
      <w:pPr>
        <w:spacing w:line="360" w:lineRule="auto"/>
        <w:ind w:firstLine="420" w:firstLineChars="200"/>
        <w:contextualSpacing/>
        <w:rPr>
          <w:rFonts w:ascii="宋体" w:hAnsi="宋体" w:cs="宋体"/>
          <w:szCs w:val="21"/>
        </w:rPr>
      </w:pPr>
      <w:r>
        <w:rPr>
          <w:rFonts w:hint="eastAsia" w:ascii="宋体" w:hAnsi="宋体" w:cs="宋体"/>
          <w:szCs w:val="21"/>
        </w:rPr>
        <w:t>凡出现下列情况者给予处罚如下:</w:t>
      </w:r>
    </w:p>
    <w:p w14:paraId="08DE2D17">
      <w:pPr>
        <w:spacing w:line="360" w:lineRule="auto"/>
        <w:ind w:firstLine="420" w:firstLineChars="200"/>
        <w:contextualSpacing/>
        <w:rPr>
          <w:rFonts w:ascii="宋体" w:hAnsi="宋体" w:cs="宋体"/>
          <w:szCs w:val="21"/>
        </w:rPr>
      </w:pPr>
      <w:r>
        <w:rPr>
          <w:rFonts w:hint="eastAsia" w:ascii="宋体" w:hAnsi="宋体" w:cs="宋体"/>
          <w:szCs w:val="21"/>
        </w:rPr>
        <w:t>1、文明施工方面:</w:t>
      </w:r>
    </w:p>
    <w:p w14:paraId="49886894">
      <w:pPr>
        <w:spacing w:line="360" w:lineRule="auto"/>
        <w:ind w:firstLine="420" w:firstLineChars="200"/>
        <w:contextualSpacing/>
        <w:rPr>
          <w:rFonts w:ascii="宋体" w:hAnsi="宋体" w:cs="宋体"/>
          <w:szCs w:val="21"/>
        </w:rPr>
      </w:pPr>
      <w:r>
        <w:rPr>
          <w:rFonts w:hint="eastAsia" w:ascii="宋体" w:hAnsi="宋体" w:cs="宋体"/>
          <w:szCs w:val="21"/>
        </w:rPr>
        <w:t>(1)各单位人员进入现场施工必须佩戴工作卡,发现无卡人员每人次处罚50元。</w:t>
      </w:r>
    </w:p>
    <w:p w14:paraId="1D6CBBB5">
      <w:pPr>
        <w:spacing w:line="360" w:lineRule="auto"/>
        <w:ind w:firstLine="420" w:firstLineChars="200"/>
        <w:contextualSpacing/>
        <w:rPr>
          <w:rFonts w:ascii="宋体" w:hAnsi="宋体" w:cs="宋体"/>
          <w:szCs w:val="21"/>
        </w:rPr>
      </w:pPr>
      <w:r>
        <w:rPr>
          <w:rFonts w:hint="eastAsia" w:ascii="宋体" w:hAnsi="宋体" w:cs="宋体"/>
          <w:szCs w:val="21"/>
        </w:rPr>
        <w:t>(2)施工作业人员不准穿拖鞋、高跟鞋、赤膊,发现一人次处罚50元。严禁酒后进入施工区作业,发现一人次罚款50元。严禁家眷、小孩进入施工区,每发现一人次处罚50元。</w:t>
      </w:r>
    </w:p>
    <w:p w14:paraId="12F018E0">
      <w:pPr>
        <w:spacing w:line="360" w:lineRule="auto"/>
        <w:ind w:firstLine="420" w:firstLineChars="200"/>
        <w:contextualSpacing/>
        <w:rPr>
          <w:rFonts w:ascii="宋体" w:hAnsi="宋体" w:cs="宋体"/>
          <w:szCs w:val="21"/>
        </w:rPr>
      </w:pPr>
      <w:r>
        <w:rPr>
          <w:rFonts w:hint="eastAsia" w:ascii="宋体" w:hAnsi="宋体" w:cs="宋体"/>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168B4601">
      <w:pPr>
        <w:spacing w:line="360" w:lineRule="auto"/>
        <w:ind w:firstLine="420" w:firstLineChars="200"/>
        <w:contextualSpacing/>
        <w:rPr>
          <w:rFonts w:ascii="宋体" w:hAnsi="宋体" w:cs="宋体"/>
          <w:szCs w:val="21"/>
        </w:rPr>
      </w:pPr>
      <w:r>
        <w:rPr>
          <w:rFonts w:hint="eastAsia" w:ascii="宋体" w:hAnsi="宋体" w:cs="宋体"/>
          <w:szCs w:val="21"/>
        </w:rPr>
        <w:t>(4)在建建筑物内除仓库保管员及保卫人员外,其余人员严禁入住,发现一次处罚200元。</w:t>
      </w:r>
    </w:p>
    <w:p w14:paraId="2CD6BD7F">
      <w:pPr>
        <w:spacing w:line="360" w:lineRule="auto"/>
        <w:ind w:firstLine="420" w:firstLineChars="200"/>
        <w:contextualSpacing/>
        <w:rPr>
          <w:rFonts w:ascii="宋体" w:hAnsi="宋体" w:cs="宋体"/>
          <w:szCs w:val="21"/>
        </w:rPr>
      </w:pPr>
      <w:r>
        <w:rPr>
          <w:rFonts w:hint="eastAsia" w:ascii="宋体" w:hAnsi="宋体" w:cs="宋体"/>
          <w:szCs w:val="21"/>
        </w:rPr>
        <w:t>(5)现场施工人员盗窃发现一次立即开除,按造成直接损失的3倍进行赔偿。情节严重者送当地公安部门处理。</w:t>
      </w:r>
    </w:p>
    <w:p w14:paraId="6CB693AF">
      <w:pPr>
        <w:spacing w:line="360" w:lineRule="auto"/>
        <w:ind w:firstLine="420" w:firstLineChars="200"/>
        <w:contextualSpacing/>
        <w:rPr>
          <w:rFonts w:ascii="宋体" w:hAnsi="宋体" w:cs="宋体"/>
          <w:szCs w:val="21"/>
        </w:rPr>
      </w:pPr>
      <w:r>
        <w:rPr>
          <w:rFonts w:hint="eastAsia" w:ascii="宋体" w:hAnsi="宋体" w:cs="宋体"/>
          <w:szCs w:val="21"/>
        </w:rPr>
        <w:t>(6)施工现场严禁赌博、打架斗殴,每发现一次处罚500元,情节严重者送当地公安部门处理。</w:t>
      </w:r>
    </w:p>
    <w:p w14:paraId="659E6117">
      <w:pPr>
        <w:spacing w:line="360" w:lineRule="auto"/>
        <w:ind w:firstLine="420" w:firstLineChars="200"/>
        <w:contextualSpacing/>
        <w:rPr>
          <w:rFonts w:ascii="宋体" w:hAnsi="宋体" w:cs="宋体"/>
          <w:szCs w:val="21"/>
        </w:rPr>
      </w:pPr>
      <w:r>
        <w:rPr>
          <w:rFonts w:hint="eastAsia" w:ascii="宋体" w:hAnsi="宋体" w:cs="宋体"/>
          <w:szCs w:val="21"/>
        </w:rPr>
        <w:t>(7)夜间施工必须有足够的照明设施,楼梯通道必须设置安全照明灯。每发现一处不合格处罚200元。</w:t>
      </w:r>
    </w:p>
    <w:p w14:paraId="42B549C3">
      <w:pPr>
        <w:spacing w:line="360" w:lineRule="auto"/>
        <w:ind w:firstLine="420" w:firstLineChars="200"/>
        <w:contextualSpacing/>
        <w:rPr>
          <w:rFonts w:ascii="宋体" w:hAnsi="宋体" w:cs="宋体"/>
          <w:szCs w:val="21"/>
        </w:rPr>
      </w:pPr>
      <w:r>
        <w:rPr>
          <w:rFonts w:hint="eastAsia" w:ascii="宋体" w:hAnsi="宋体" w:cs="宋体"/>
          <w:szCs w:val="21"/>
        </w:rPr>
        <w:t>(8)发现施工现场环境脏、乱、差每次处罚200元。监理通知后仍不积极整改,汇报业主派人清理,费用从相关施工单位工程款中扣除。</w:t>
      </w:r>
    </w:p>
    <w:p w14:paraId="70B5D9FF">
      <w:pPr>
        <w:spacing w:line="360" w:lineRule="auto"/>
        <w:ind w:firstLine="420" w:firstLineChars="200"/>
        <w:contextualSpacing/>
        <w:rPr>
          <w:rFonts w:ascii="宋体" w:hAnsi="宋体" w:cs="宋体"/>
          <w:szCs w:val="21"/>
        </w:rPr>
      </w:pPr>
      <w:r>
        <w:rPr>
          <w:rFonts w:hint="eastAsia" w:ascii="宋体" w:hAnsi="宋体" w:cs="宋体"/>
          <w:szCs w:val="21"/>
        </w:rPr>
        <w:t>(9)建筑物内各标段应设置临时厕所，严禁随地大小便,每发现一次处罚50元。</w:t>
      </w:r>
    </w:p>
    <w:p w14:paraId="692C741B">
      <w:pPr>
        <w:spacing w:line="360" w:lineRule="auto"/>
        <w:ind w:firstLine="420" w:firstLineChars="200"/>
        <w:contextualSpacing/>
        <w:rPr>
          <w:rFonts w:ascii="宋体" w:hAnsi="宋体" w:cs="宋体"/>
          <w:szCs w:val="21"/>
        </w:rPr>
      </w:pPr>
      <w:r>
        <w:rPr>
          <w:rFonts w:hint="eastAsia" w:ascii="宋体" w:hAnsi="宋体" w:cs="宋体"/>
          <w:szCs w:val="21"/>
        </w:rPr>
        <w:t>(10)自行车、电动车、摩托车按指定地点停放,不得进入建筑物施工现场内，每发现一辆处罚50元。</w:t>
      </w:r>
    </w:p>
    <w:p w14:paraId="211BDDC1">
      <w:pPr>
        <w:spacing w:line="360" w:lineRule="auto"/>
        <w:ind w:firstLine="420" w:firstLineChars="200"/>
        <w:contextualSpacing/>
        <w:rPr>
          <w:rFonts w:ascii="宋体" w:hAnsi="宋体" w:cs="宋体"/>
          <w:szCs w:val="21"/>
        </w:rPr>
      </w:pPr>
      <w:r>
        <w:rPr>
          <w:rFonts w:hint="eastAsia" w:ascii="宋体" w:hAnsi="宋体" w:cs="宋体"/>
          <w:szCs w:val="21"/>
        </w:rPr>
        <w:t>2、现场管理方面:</w:t>
      </w:r>
    </w:p>
    <w:p w14:paraId="4C6444C4">
      <w:pPr>
        <w:spacing w:line="360" w:lineRule="auto"/>
        <w:ind w:firstLine="420" w:firstLineChars="200"/>
        <w:contextualSpacing/>
        <w:rPr>
          <w:rFonts w:ascii="宋体" w:hAnsi="宋体" w:cs="宋体"/>
          <w:szCs w:val="21"/>
        </w:rPr>
      </w:pPr>
      <w:r>
        <w:rPr>
          <w:rFonts w:hint="eastAsia" w:ascii="宋体" w:hAnsi="宋体" w:cs="宋体"/>
          <w:szCs w:val="21"/>
        </w:rPr>
        <w:t>(I)各施工单位在施工中相互扯皮不协调配合,造成返工或浪费所产生的费用由业主、监理按实进行核算,在工程款中予以扣除。</w:t>
      </w:r>
    </w:p>
    <w:p w14:paraId="08553A16">
      <w:pPr>
        <w:spacing w:line="360" w:lineRule="auto"/>
        <w:ind w:firstLine="420" w:firstLineChars="200"/>
        <w:contextualSpacing/>
        <w:rPr>
          <w:rFonts w:ascii="宋体" w:hAnsi="宋体" w:cs="宋体"/>
          <w:szCs w:val="21"/>
        </w:rPr>
      </w:pPr>
      <w:r>
        <w:rPr>
          <w:rFonts w:hint="eastAsia" w:ascii="宋体" w:hAnsi="宋体" w:cs="宋体"/>
          <w:szCs w:val="21"/>
        </w:rPr>
        <w:t>(2)各施工单位未按业主、监理要求时间完成配合工作,造成其它施工单位工期延误,出现一次处罚1000元,为不影响总体进度,业主、监理有权另请其它单位进行施工,费用从施工单位工程款中扣除。</w:t>
      </w:r>
    </w:p>
    <w:p w14:paraId="50919674">
      <w:pPr>
        <w:spacing w:line="360" w:lineRule="auto"/>
        <w:ind w:firstLine="420" w:firstLineChars="200"/>
        <w:contextualSpacing/>
        <w:rPr>
          <w:rFonts w:ascii="宋体" w:hAnsi="宋体" w:cs="宋体"/>
          <w:szCs w:val="21"/>
        </w:rPr>
      </w:pPr>
      <w:r>
        <w:rPr>
          <w:rFonts w:hint="eastAsia" w:ascii="宋体" w:hAnsi="宋体" w:cs="宋体"/>
          <w:szCs w:val="21"/>
        </w:rPr>
        <w:t>(3)因施工方原因影响群众利益,造成负面影晌,导致群众堵工上访或新闻媒体曝光的,每发生一次罚款10000元。</w:t>
      </w:r>
    </w:p>
    <w:p w14:paraId="63A59BD4">
      <w:pPr>
        <w:spacing w:line="360" w:lineRule="auto"/>
        <w:ind w:firstLine="420" w:firstLineChars="200"/>
        <w:contextualSpacing/>
        <w:rPr>
          <w:rFonts w:ascii="宋体" w:hAnsi="宋体" w:cs="宋体"/>
          <w:szCs w:val="21"/>
        </w:rPr>
      </w:pPr>
      <w:r>
        <w:rPr>
          <w:rFonts w:hint="eastAsia" w:ascii="宋体" w:hAnsi="宋体" w:cs="宋体"/>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14:paraId="6ED71388">
      <w:pPr>
        <w:spacing w:line="360" w:lineRule="auto"/>
        <w:ind w:firstLine="420" w:firstLineChars="200"/>
        <w:contextualSpacing/>
        <w:rPr>
          <w:rFonts w:ascii="宋体" w:hAnsi="宋体" w:cs="宋体"/>
          <w:szCs w:val="21"/>
        </w:rPr>
      </w:pPr>
      <w:r>
        <w:rPr>
          <w:rFonts w:hint="eastAsia" w:ascii="宋体" w:hAnsi="宋体" w:cs="宋体"/>
          <w:szCs w:val="21"/>
        </w:rPr>
        <w:t>(5)现场项目经理、主要负责人必须每天在现场6小时以上,召开工程例会有关人员无故缺席的,有特殊情况需提前请假。违反规定,每人次每天处罚1000元。</w:t>
      </w:r>
    </w:p>
    <w:p w14:paraId="50AD1B52">
      <w:pPr>
        <w:spacing w:line="360" w:lineRule="auto"/>
        <w:ind w:firstLine="420" w:firstLineChars="200"/>
        <w:contextualSpacing/>
        <w:rPr>
          <w:rFonts w:ascii="宋体" w:hAnsi="宋体" w:cs="宋体"/>
          <w:szCs w:val="21"/>
        </w:rPr>
      </w:pPr>
      <w:r>
        <w:rPr>
          <w:rFonts w:hint="eastAsia" w:ascii="宋体" w:hAnsi="宋体" w:cs="宋体"/>
          <w:szCs w:val="21"/>
        </w:rPr>
        <w:t>(6)施工单位需对进场材料及时报验,未经业主、监理单位验收合格擅自使用,处罚责任单位1000元。工程材料便用劣质、冒牌材料,发现一次除按合同有关条款处罚外,再处罚责任单位3000元。</w:t>
      </w:r>
    </w:p>
    <w:p w14:paraId="6531397C">
      <w:pPr>
        <w:spacing w:line="360" w:lineRule="auto"/>
        <w:ind w:firstLine="420" w:firstLineChars="200"/>
        <w:contextualSpacing/>
        <w:rPr>
          <w:rFonts w:ascii="宋体" w:hAnsi="宋体" w:cs="宋体"/>
          <w:szCs w:val="21"/>
        </w:rPr>
      </w:pPr>
      <w:r>
        <w:rPr>
          <w:rFonts w:hint="eastAsia" w:ascii="宋体" w:hAnsi="宋体" w:cs="宋体"/>
          <w:szCs w:val="21"/>
        </w:rPr>
        <w:t>(7)施工方如果发现现场实物与图纸内容不符,需及时上报监理、业主,严禁盲目施工,发现一次处罚责任单位2000元。</w:t>
      </w:r>
    </w:p>
    <w:p w14:paraId="5CB402A9">
      <w:pPr>
        <w:spacing w:line="360" w:lineRule="auto"/>
        <w:ind w:firstLine="420" w:firstLineChars="200"/>
        <w:contextualSpacing/>
        <w:rPr>
          <w:rFonts w:ascii="宋体" w:hAnsi="宋体" w:cs="宋体"/>
          <w:szCs w:val="21"/>
        </w:rPr>
      </w:pPr>
      <w:r>
        <w:rPr>
          <w:rFonts w:hint="eastAsia" w:ascii="宋体" w:hAnsi="宋体" w:cs="宋体"/>
          <w:szCs w:val="21"/>
        </w:rPr>
        <w:t>(8)各单位做好现场成品保护工作,保护好自己和他人的工程成品,一经查实损害他人成品,按实价赔偿。若发现恶意破坏他人成品现象,发现一次按造成直接损失的3倍进行赔偿。</w:t>
      </w:r>
    </w:p>
    <w:p w14:paraId="3CEE9DC4">
      <w:pPr>
        <w:spacing w:line="360" w:lineRule="auto"/>
        <w:ind w:firstLine="420" w:firstLineChars="200"/>
        <w:contextualSpacing/>
        <w:rPr>
          <w:rFonts w:ascii="宋体" w:hAnsi="宋体" w:cs="宋体"/>
          <w:szCs w:val="21"/>
        </w:rPr>
      </w:pPr>
      <w:r>
        <w:rPr>
          <w:rFonts w:hint="eastAsia" w:ascii="宋体" w:hAnsi="宋体" w:cs="宋体"/>
          <w:szCs w:val="21"/>
        </w:rPr>
        <w:t>(9)现场材料堆放严禁超过设计荷载值,发现一次处罚责任单位1000元。</w:t>
      </w:r>
    </w:p>
    <w:p w14:paraId="55AF0A1B">
      <w:pPr>
        <w:spacing w:line="360" w:lineRule="auto"/>
        <w:ind w:firstLine="420" w:firstLineChars="200"/>
        <w:contextualSpacing/>
        <w:rPr>
          <w:rFonts w:ascii="宋体" w:hAnsi="宋体" w:cs="宋体"/>
          <w:szCs w:val="21"/>
        </w:rPr>
      </w:pPr>
      <w:r>
        <w:rPr>
          <w:rFonts w:hint="eastAsia" w:ascii="宋体" w:hAnsi="宋体" w:cs="宋体"/>
          <w:szCs w:val="21"/>
        </w:rPr>
        <w:t>(10)若工程被质量监督部门、安全监督部门或其它建筑主管部门通报批评,出现一次处罚责任单位5000元。</w:t>
      </w:r>
    </w:p>
    <w:p w14:paraId="17D0DB83">
      <w:pPr>
        <w:spacing w:line="360" w:lineRule="auto"/>
        <w:ind w:firstLine="420" w:firstLineChars="200"/>
        <w:contextualSpacing/>
        <w:rPr>
          <w:rFonts w:ascii="宋体" w:hAnsi="宋体" w:cs="宋体"/>
          <w:szCs w:val="21"/>
        </w:rPr>
      </w:pPr>
      <w:r>
        <w:rPr>
          <w:rFonts w:hint="eastAsia" w:ascii="宋体" w:hAnsi="宋体" w:cs="宋体"/>
          <w:szCs w:val="21"/>
        </w:rPr>
        <w:t>(11)各施工单位应积极主动配合各类检查、观摩活动,由于现场工作未做到位导致不良后果,视情节严重情况,出现一次处罚责任单位200―500元。</w:t>
      </w:r>
    </w:p>
    <w:p w14:paraId="3D945E67">
      <w:pPr>
        <w:spacing w:line="360" w:lineRule="auto"/>
        <w:ind w:firstLine="420" w:firstLineChars="200"/>
        <w:contextualSpacing/>
        <w:rPr>
          <w:rFonts w:ascii="宋体" w:hAnsi="宋体" w:cs="宋体"/>
          <w:szCs w:val="21"/>
        </w:rPr>
      </w:pPr>
      <w:r>
        <w:rPr>
          <w:rFonts w:hint="eastAsia" w:ascii="宋体" w:hAnsi="宋体" w:cs="宋体"/>
          <w:szCs w:val="21"/>
        </w:rPr>
        <w:t>(12)不服从业主、监理人员管理,出现漫骂、侮辱、殴打现场业主、监理人员,发现一次处罚1000元,责任人员限期退场。</w:t>
      </w:r>
    </w:p>
    <w:p w14:paraId="7DC77C3D">
      <w:pPr>
        <w:spacing w:line="360" w:lineRule="auto"/>
        <w:ind w:firstLine="420" w:firstLineChars="200"/>
        <w:contextualSpacing/>
        <w:rPr>
          <w:rFonts w:ascii="宋体" w:hAnsi="宋体" w:cs="宋体"/>
          <w:szCs w:val="21"/>
        </w:rPr>
      </w:pPr>
      <w:r>
        <w:rPr>
          <w:rFonts w:hint="eastAsia" w:ascii="宋体" w:hAnsi="宋体" w:cs="宋体"/>
          <w:szCs w:val="21"/>
        </w:rPr>
        <w:t>(13)上道工序未经业主、监理验收合格,擅自进入下道工序施工,隐蔽工程未经业主、监理检查合格擅白隐蔽,进行剥露检验,质量不符合要求,返工费用由施工单位承担,出现一次处罚1000元。</w:t>
      </w:r>
    </w:p>
    <w:p w14:paraId="1684BDDC">
      <w:pPr>
        <w:spacing w:line="360" w:lineRule="auto"/>
        <w:ind w:firstLine="420" w:firstLineChars="200"/>
        <w:contextualSpacing/>
        <w:rPr>
          <w:rFonts w:ascii="宋体" w:hAnsi="宋体" w:cs="宋体"/>
          <w:szCs w:val="21"/>
        </w:rPr>
      </w:pPr>
      <w:r>
        <w:rPr>
          <w:rFonts w:hint="eastAsia" w:ascii="宋体" w:hAnsi="宋体" w:cs="宋体"/>
          <w:szCs w:val="21"/>
        </w:rPr>
        <w:t>(14)监理、业主如发现的工程施工质量、安全问题,第一次以书面形式告知并限期整改,在期限内未能及时整改到位,发现一次处罚200元,第二次告知仍不积极整改,发现一次处罚500元。</w:t>
      </w:r>
    </w:p>
    <w:p w14:paraId="2556B8A6">
      <w:pPr>
        <w:spacing w:line="360" w:lineRule="auto"/>
        <w:ind w:firstLine="420" w:firstLineChars="200"/>
        <w:contextualSpacing/>
        <w:rPr>
          <w:rFonts w:ascii="宋体" w:hAnsi="宋体" w:cs="宋体"/>
          <w:szCs w:val="21"/>
        </w:rPr>
      </w:pPr>
      <w:r>
        <w:rPr>
          <w:rFonts w:hint="eastAsia" w:ascii="宋体" w:hAnsi="宋体" w:cs="宋体"/>
          <w:szCs w:val="21"/>
        </w:rPr>
        <w:t>(15)各施工单位在施工时,未经业主、监理同意,不得擅自停水、停电、开挖道路、阻碍交通等影响其它单位施工行为。如出现上述问题,每发现一次罚款1000元,另再追究造成的停工间接损失。</w:t>
      </w:r>
    </w:p>
    <w:p w14:paraId="523339A8">
      <w:pPr>
        <w:spacing w:line="360" w:lineRule="auto"/>
        <w:ind w:firstLine="420" w:firstLineChars="200"/>
        <w:contextualSpacing/>
        <w:rPr>
          <w:rFonts w:ascii="宋体" w:hAnsi="宋体" w:cs="宋体"/>
          <w:szCs w:val="21"/>
        </w:rPr>
      </w:pPr>
      <w:r>
        <w:rPr>
          <w:rFonts w:hint="eastAsia" w:ascii="宋体" w:hAnsi="宋体" w:cs="宋体"/>
          <w:szCs w:val="21"/>
        </w:rPr>
        <w:t>3、安全检查方面:</w:t>
      </w:r>
    </w:p>
    <w:p w14:paraId="37573299">
      <w:pPr>
        <w:spacing w:line="360" w:lineRule="auto"/>
        <w:ind w:firstLine="420" w:firstLineChars="200"/>
        <w:contextualSpacing/>
        <w:rPr>
          <w:rFonts w:ascii="宋体" w:hAnsi="宋体" w:cs="宋体"/>
          <w:szCs w:val="21"/>
        </w:rPr>
      </w:pPr>
      <w:r>
        <w:rPr>
          <w:rFonts w:hint="eastAsia" w:ascii="宋体" w:hAnsi="宋体" w:cs="宋体"/>
          <w:szCs w:val="21"/>
        </w:rPr>
        <w:t>(1)在危险部位未设置明显的安全警示标志及防范措施,发现一处罚款50元。</w:t>
      </w:r>
    </w:p>
    <w:p w14:paraId="52B3F011">
      <w:pPr>
        <w:spacing w:line="360" w:lineRule="auto"/>
        <w:ind w:firstLine="420" w:firstLineChars="200"/>
        <w:contextualSpacing/>
        <w:rPr>
          <w:rFonts w:ascii="宋体" w:hAnsi="宋体" w:cs="宋体"/>
          <w:szCs w:val="21"/>
        </w:rPr>
      </w:pPr>
      <w:r>
        <w:rPr>
          <w:rFonts w:hint="eastAsia" w:ascii="宋体" w:hAnsi="宋体" w:cs="宋体"/>
          <w:szCs w:val="21"/>
        </w:rPr>
        <w:t>(2)对危险性较大的部位,施工前未编制专项施工方案或方案未经施工单位技术负责人及总监审批擅自施工,每发现一次处罚500元。</w:t>
      </w:r>
    </w:p>
    <w:p w14:paraId="71900C36">
      <w:pPr>
        <w:spacing w:line="360" w:lineRule="auto"/>
        <w:ind w:firstLine="420" w:firstLineChars="200"/>
        <w:contextualSpacing/>
        <w:rPr>
          <w:rFonts w:ascii="宋体" w:hAnsi="宋体" w:cs="宋体"/>
          <w:szCs w:val="21"/>
        </w:rPr>
      </w:pPr>
      <w:r>
        <w:rPr>
          <w:rFonts w:hint="eastAsia" w:ascii="宋体" w:hAnsi="宋体" w:cs="宋体"/>
          <w:szCs w:val="21"/>
        </w:rPr>
        <w:t>(3)分部分项工程施工前未对施工班组、作业人员进行安全技术交底,发现一次处罚200元。</w:t>
      </w:r>
    </w:p>
    <w:p w14:paraId="0E6A6873">
      <w:pPr>
        <w:spacing w:line="360" w:lineRule="auto"/>
        <w:ind w:firstLine="420" w:firstLineChars="200"/>
        <w:contextualSpacing/>
        <w:rPr>
          <w:rFonts w:ascii="宋体" w:hAnsi="宋体" w:cs="宋体"/>
          <w:szCs w:val="21"/>
        </w:rPr>
      </w:pPr>
      <w:r>
        <w:rPr>
          <w:rFonts w:hint="eastAsia" w:ascii="宋体" w:hAnsi="宋体" w:cs="宋体"/>
          <w:szCs w:val="21"/>
        </w:rPr>
        <w:t>(4)施工负责人对工地现场安全未执行定期检查制度或检查无记录,发现一次处罚200元。</w:t>
      </w:r>
    </w:p>
    <w:p w14:paraId="063BCBF6">
      <w:pPr>
        <w:spacing w:line="360" w:lineRule="auto"/>
        <w:ind w:firstLine="420" w:firstLineChars="200"/>
        <w:contextualSpacing/>
        <w:rPr>
          <w:rFonts w:ascii="宋体" w:hAnsi="宋体" w:cs="宋体"/>
          <w:szCs w:val="21"/>
        </w:rPr>
      </w:pPr>
      <w:r>
        <w:rPr>
          <w:rFonts w:hint="eastAsia" w:ascii="宋体" w:hAnsi="宋体" w:cs="宋体"/>
          <w:szCs w:val="21"/>
        </w:rPr>
        <w:t>(5)无安全教育制度，新进场人员未进行三级安全教育，发现一次处罚100元。</w:t>
      </w:r>
    </w:p>
    <w:p w14:paraId="181FBC24">
      <w:pPr>
        <w:spacing w:line="360" w:lineRule="auto"/>
        <w:ind w:firstLine="420" w:firstLineChars="200"/>
        <w:contextualSpacing/>
        <w:rPr>
          <w:rFonts w:ascii="宋体" w:hAnsi="宋体" w:cs="宋体"/>
          <w:szCs w:val="21"/>
        </w:rPr>
      </w:pPr>
      <w:r>
        <w:rPr>
          <w:rFonts w:hint="eastAsia" w:ascii="宋体" w:hAnsi="宋体" w:cs="宋体"/>
          <w:szCs w:val="21"/>
        </w:rPr>
        <w:t>(6)发现违章操作、野蛮施工或强令冒险作业,每发现一次处罚500元。</w:t>
      </w:r>
    </w:p>
    <w:p w14:paraId="73759510">
      <w:pPr>
        <w:spacing w:line="360" w:lineRule="auto"/>
        <w:ind w:firstLine="420" w:firstLineChars="200"/>
        <w:contextualSpacing/>
        <w:rPr>
          <w:rFonts w:ascii="宋体" w:hAnsi="宋体" w:cs="宋体"/>
          <w:szCs w:val="21"/>
        </w:rPr>
      </w:pPr>
      <w:r>
        <w:rPr>
          <w:rFonts w:hint="eastAsia" w:ascii="宋体" w:hAnsi="宋体" w:cs="宋体"/>
          <w:szCs w:val="21"/>
        </w:rPr>
        <w:t>(7)严禁高空向下抛物、倾倒垃圾,每发现一次处罚200—500元，若造成人员伤害及财产损失,由当事人承担相关责任。</w:t>
      </w:r>
    </w:p>
    <w:p w14:paraId="533845C0">
      <w:pPr>
        <w:spacing w:line="360" w:lineRule="auto"/>
        <w:ind w:firstLine="420" w:firstLineChars="200"/>
        <w:contextualSpacing/>
        <w:rPr>
          <w:rFonts w:ascii="宋体" w:hAnsi="宋体" w:cs="宋体"/>
          <w:szCs w:val="21"/>
        </w:rPr>
      </w:pPr>
      <w:r>
        <w:rPr>
          <w:rFonts w:hint="eastAsia" w:ascii="宋体" w:hAnsi="宋体" w:cs="宋体"/>
          <w:szCs w:val="21"/>
        </w:rPr>
        <w:t>(8)“三宝”使用不当，口”“五临边”防护不到位，每发现一次处罚100元(其中不戴安全帽,发现一人次处罚50元)。</w:t>
      </w:r>
    </w:p>
    <w:p w14:paraId="078E75AF">
      <w:pPr>
        <w:spacing w:line="360" w:lineRule="auto"/>
        <w:ind w:firstLine="420" w:firstLineChars="200"/>
        <w:contextualSpacing/>
        <w:rPr>
          <w:rFonts w:ascii="宋体" w:hAnsi="宋体" w:cs="宋体"/>
          <w:szCs w:val="21"/>
        </w:rPr>
      </w:pPr>
      <w:r>
        <w:rPr>
          <w:rFonts w:hint="eastAsia" w:ascii="宋体" w:hAnsi="宋体" w:cs="宋体"/>
          <w:szCs w:val="21"/>
        </w:rPr>
        <w:t>(9)如发现违反用电安全情况时每次处罚100元。由于安全用电措施不落实、用电不规范导致不良后果,除按相关规定追究责任外,视情节轻重罚款200—2000元。</w:t>
      </w:r>
    </w:p>
    <w:p w14:paraId="6636F3EC">
      <w:pPr>
        <w:spacing w:line="360" w:lineRule="auto"/>
        <w:ind w:firstLine="420" w:firstLineChars="200"/>
        <w:contextualSpacing/>
        <w:rPr>
          <w:rFonts w:ascii="宋体" w:hAnsi="宋体" w:cs="宋体"/>
          <w:szCs w:val="21"/>
        </w:rPr>
      </w:pPr>
      <w:r>
        <w:rPr>
          <w:rFonts w:hint="eastAsia" w:ascii="宋体" w:hAnsi="宋体" w:cs="宋体"/>
          <w:szCs w:val="21"/>
        </w:rPr>
        <w:t>(10)脚手架搭设必须进行设计计算，编制搭拆方案，满足规范要求。严禁施工荷载超过规定要求。每发现一处不合格处罚500元。</w:t>
      </w:r>
    </w:p>
    <w:p w14:paraId="09FDAC69">
      <w:pPr>
        <w:spacing w:line="360" w:lineRule="auto"/>
        <w:ind w:firstLine="420" w:firstLineChars="200"/>
        <w:contextualSpacing/>
        <w:rPr>
          <w:rFonts w:ascii="宋体" w:hAnsi="宋体" w:cs="宋体"/>
          <w:szCs w:val="21"/>
        </w:rPr>
      </w:pPr>
      <w:r>
        <w:rPr>
          <w:rFonts w:hint="eastAsia" w:ascii="宋体" w:hAnsi="宋体" w:cs="宋体"/>
          <w:szCs w:val="21"/>
        </w:rPr>
        <w:t>(11)电梯应指定专人进行操作,严禁电梯超荷载运行,按规定做好交接班。违反电梯使用规定,每发现一处不合格处罚200—500元。谁损坏谁赔偿。</w:t>
      </w:r>
    </w:p>
    <w:p w14:paraId="616DD16C">
      <w:pPr>
        <w:spacing w:line="360" w:lineRule="auto"/>
        <w:ind w:firstLine="420" w:firstLineChars="200"/>
        <w:contextualSpacing/>
        <w:rPr>
          <w:rFonts w:ascii="宋体" w:hAnsi="宋体" w:cs="宋体"/>
          <w:szCs w:val="21"/>
        </w:rPr>
      </w:pPr>
      <w:r>
        <w:rPr>
          <w:rFonts w:hint="eastAsia" w:ascii="宋体" w:hAnsi="宋体" w:cs="宋体"/>
          <w:szCs w:val="21"/>
        </w:rPr>
        <w:t>(12)由于焊接火花、明火、吸烟、电火花等造成施工现场失火事件，除追究当事人责任外,再视情节轻重罚款500—2000元，并按造成直接损失进行赔偿。</w:t>
      </w:r>
    </w:p>
    <w:p w14:paraId="2C8B338B">
      <w:pPr>
        <w:spacing w:line="360" w:lineRule="auto"/>
        <w:ind w:firstLine="420" w:firstLineChars="200"/>
        <w:contextualSpacing/>
        <w:rPr>
          <w:rFonts w:ascii="宋体" w:hAnsi="宋体" w:cs="宋体"/>
          <w:szCs w:val="21"/>
        </w:rPr>
      </w:pPr>
      <w:r>
        <w:rPr>
          <w:rFonts w:hint="eastAsia" w:ascii="宋体" w:hAnsi="宋体" w:cs="宋体"/>
          <w:szCs w:val="21"/>
        </w:rPr>
        <w:t>(13)因违反其它安全规定造成不良后果，由违反单位及责任者承担全部责任。</w:t>
      </w:r>
    </w:p>
    <w:p w14:paraId="475ADCD7">
      <w:pPr>
        <w:spacing w:line="360" w:lineRule="auto"/>
        <w:ind w:firstLine="420" w:firstLineChars="200"/>
        <w:contextualSpacing/>
        <w:rPr>
          <w:rFonts w:ascii="宋体" w:hAnsi="宋体" w:cs="宋体"/>
          <w:szCs w:val="21"/>
        </w:rPr>
      </w:pPr>
      <w:r>
        <w:rPr>
          <w:rFonts w:hint="eastAsia" w:ascii="宋体" w:hAnsi="宋体" w:cs="宋体"/>
          <w:szCs w:val="21"/>
        </w:rPr>
        <w:t>由业主、监理在日常工作中进行监督检查，同时业主、监理不定期组织施工单位检查，一经发现上述情况由业主、监理按规定进行处罚,所有罚款在施工单位履约保证金或工程款中扣除。(本规定自公布之日起执行)</w:t>
      </w:r>
    </w:p>
    <w:p w14:paraId="64F4BBE7">
      <w:pPr>
        <w:spacing w:line="360" w:lineRule="auto"/>
        <w:ind w:firstLine="420" w:firstLineChars="200"/>
        <w:contextualSpacing/>
        <w:rPr>
          <w:rFonts w:ascii="宋体" w:hAnsi="宋体" w:cs="宋体"/>
          <w:szCs w:val="21"/>
        </w:rPr>
      </w:pPr>
      <w:r>
        <w:rPr>
          <w:rFonts w:hint="eastAsia" w:ascii="宋体" w:hAnsi="宋体" w:cs="宋体"/>
          <w:szCs w:val="21"/>
        </w:rPr>
        <w:t>附件：</w:t>
      </w:r>
    </w:p>
    <w:p w14:paraId="3B389C63">
      <w:pPr>
        <w:spacing w:line="360" w:lineRule="auto"/>
        <w:ind w:firstLine="420" w:firstLineChars="200"/>
        <w:contextualSpacing/>
        <w:rPr>
          <w:rFonts w:ascii="宋体" w:hAnsi="宋体" w:cs="宋体"/>
          <w:szCs w:val="21"/>
        </w:rPr>
      </w:pPr>
      <w:r>
        <w:rPr>
          <w:rFonts w:hint="eastAsia" w:ascii="宋体" w:hAnsi="宋体" w:cs="宋体"/>
          <w:szCs w:val="21"/>
        </w:rPr>
        <w:t>成品地面、门窗成品保护要求：</w:t>
      </w:r>
    </w:p>
    <w:p w14:paraId="5286C26F">
      <w:pPr>
        <w:spacing w:line="360" w:lineRule="auto"/>
        <w:ind w:firstLine="420" w:firstLineChars="200"/>
        <w:contextualSpacing/>
        <w:rPr>
          <w:rFonts w:ascii="宋体" w:hAnsi="宋体" w:cs="宋体"/>
          <w:szCs w:val="21"/>
        </w:rPr>
      </w:pPr>
      <w:r>
        <w:rPr>
          <w:rFonts w:hint="eastAsia" w:ascii="宋体" w:hAnsi="宋体" w:cs="宋体"/>
          <w:szCs w:val="21"/>
        </w:rPr>
        <w:t>要求地面开槽、凿洞须经业主、监理同意方可施工。</w:t>
      </w:r>
    </w:p>
    <w:p w14:paraId="64B39922">
      <w:pPr>
        <w:spacing w:line="360" w:lineRule="auto"/>
        <w:ind w:firstLine="420" w:firstLineChars="200"/>
        <w:contextualSpacing/>
        <w:rPr>
          <w:rFonts w:ascii="宋体" w:hAnsi="宋体" w:cs="宋体"/>
          <w:szCs w:val="21"/>
        </w:rPr>
      </w:pPr>
      <w:r>
        <w:rPr>
          <w:rFonts w:hint="eastAsia" w:ascii="宋体" w:hAnsi="宋体" w:cs="宋体"/>
          <w:szCs w:val="21"/>
        </w:rPr>
        <w:t>成品地面必须有覆盖物保护措施。</w:t>
      </w:r>
    </w:p>
    <w:p w14:paraId="5892847F">
      <w:pPr>
        <w:spacing w:line="360" w:lineRule="auto"/>
        <w:ind w:firstLine="420" w:firstLineChars="200"/>
        <w:contextualSpacing/>
        <w:rPr>
          <w:rFonts w:ascii="宋体" w:hAnsi="宋体" w:cs="宋体"/>
          <w:szCs w:val="21"/>
        </w:rPr>
      </w:pPr>
      <w:r>
        <w:rPr>
          <w:rFonts w:hint="eastAsia" w:ascii="宋体" w:hAnsi="宋体" w:cs="宋体"/>
          <w:szCs w:val="21"/>
        </w:rPr>
        <w:t>在成品地面上不允许进行切割、焊接、绞丝等施工作业。</w:t>
      </w:r>
    </w:p>
    <w:p w14:paraId="006006D9">
      <w:pPr>
        <w:spacing w:line="360" w:lineRule="auto"/>
        <w:ind w:firstLine="420" w:firstLineChars="200"/>
        <w:contextualSpacing/>
        <w:rPr>
          <w:rFonts w:ascii="宋体" w:hAnsi="宋体" w:cs="宋体"/>
          <w:szCs w:val="21"/>
        </w:rPr>
      </w:pPr>
      <w:r>
        <w:rPr>
          <w:rFonts w:hint="eastAsia" w:ascii="宋体" w:hAnsi="宋体" w:cs="宋体"/>
          <w:szCs w:val="21"/>
        </w:rPr>
        <w:t>铁梯、脚手架等必须包护脚。</w:t>
      </w:r>
    </w:p>
    <w:p w14:paraId="7EE7483C">
      <w:pPr>
        <w:spacing w:line="360" w:lineRule="auto"/>
        <w:ind w:firstLine="420" w:firstLineChars="200"/>
        <w:contextualSpacing/>
        <w:rPr>
          <w:rFonts w:ascii="宋体" w:hAnsi="宋体" w:cs="宋体"/>
          <w:szCs w:val="21"/>
        </w:rPr>
      </w:pPr>
      <w:r>
        <w:rPr>
          <w:rFonts w:hint="eastAsia" w:ascii="宋体" w:hAnsi="宋体" w:cs="宋体"/>
          <w:szCs w:val="21"/>
        </w:rPr>
        <w:t>地面防止被油污浸入污染。</w:t>
      </w:r>
    </w:p>
    <w:p w14:paraId="52FB85BA">
      <w:pPr>
        <w:spacing w:line="360" w:lineRule="auto"/>
        <w:ind w:firstLine="420" w:firstLineChars="200"/>
        <w:contextualSpacing/>
        <w:rPr>
          <w:rFonts w:ascii="宋体" w:hAnsi="宋体" w:cs="宋体"/>
          <w:szCs w:val="21"/>
        </w:rPr>
      </w:pPr>
      <w:r>
        <w:rPr>
          <w:rFonts w:hint="eastAsia" w:ascii="宋体" w:hAnsi="宋体" w:cs="宋体"/>
          <w:szCs w:val="21"/>
        </w:rPr>
        <w:t>地面、门窗不准硬物、重物撞击及利物损伤，造成损坏或变形。</w:t>
      </w:r>
    </w:p>
    <w:p w14:paraId="1C30E891">
      <w:pPr>
        <w:spacing w:line="360" w:lineRule="auto"/>
        <w:ind w:firstLine="420" w:firstLineChars="200"/>
        <w:contextualSpacing/>
        <w:rPr>
          <w:rFonts w:ascii="宋体" w:hAnsi="宋体" w:cs="宋体"/>
          <w:szCs w:val="21"/>
        </w:rPr>
      </w:pPr>
      <w:r>
        <w:rPr>
          <w:rFonts w:hint="eastAsia" w:ascii="宋体" w:hAnsi="宋体" w:cs="宋体"/>
          <w:szCs w:val="21"/>
        </w:rPr>
        <w:t>窗框上不允许搁置重物。</w:t>
      </w:r>
    </w:p>
    <w:p w14:paraId="00FFAAE3">
      <w:pPr>
        <w:spacing w:line="360" w:lineRule="auto"/>
        <w:ind w:firstLine="420" w:firstLineChars="200"/>
        <w:contextualSpacing/>
        <w:rPr>
          <w:rFonts w:ascii="宋体" w:hAnsi="宋体" w:cs="宋体"/>
          <w:szCs w:val="21"/>
        </w:rPr>
      </w:pPr>
      <w:r>
        <w:rPr>
          <w:rFonts w:hint="eastAsia" w:ascii="宋体" w:hAnsi="宋体" w:cs="宋体"/>
          <w:szCs w:val="21"/>
        </w:rPr>
        <w:t>幕墙及窗框防止被污染，必须有保护措施。</w:t>
      </w:r>
    </w:p>
    <w:p w14:paraId="08121A5B">
      <w:pPr>
        <w:spacing w:line="360" w:lineRule="auto"/>
        <w:ind w:firstLine="420" w:firstLineChars="200"/>
        <w:contextualSpacing/>
        <w:rPr>
          <w:rFonts w:ascii="宋体" w:hAnsi="宋体" w:cs="宋体"/>
          <w:szCs w:val="21"/>
        </w:rPr>
      </w:pPr>
      <w:r>
        <w:rPr>
          <w:rFonts w:hint="eastAsia" w:ascii="宋体" w:hAnsi="宋体" w:cs="宋体"/>
          <w:szCs w:val="21"/>
        </w:rPr>
        <w:t>玻璃及易碎品防止损坏。</w:t>
      </w:r>
    </w:p>
    <w:p w14:paraId="294BB8B4">
      <w:pPr>
        <w:spacing w:line="360" w:lineRule="auto"/>
        <w:ind w:firstLine="420" w:firstLineChars="200"/>
        <w:contextualSpacing/>
        <w:rPr>
          <w:rFonts w:ascii="宋体" w:hAnsi="宋体" w:cs="宋体"/>
          <w:szCs w:val="21"/>
        </w:rPr>
      </w:pPr>
      <w:r>
        <w:rPr>
          <w:rFonts w:hint="eastAsia" w:ascii="宋体" w:hAnsi="宋体" w:cs="宋体"/>
          <w:szCs w:val="21"/>
        </w:rPr>
        <w:t>防止玻璃被火花烧伤。</w:t>
      </w:r>
    </w:p>
    <w:p w14:paraId="7F6DA87E">
      <w:pPr>
        <w:spacing w:line="360" w:lineRule="auto"/>
        <w:ind w:firstLine="420" w:firstLineChars="200"/>
        <w:contextualSpacing/>
        <w:rPr>
          <w:rFonts w:ascii="宋体" w:hAnsi="宋体" w:cs="宋体"/>
          <w:sz w:val="24"/>
        </w:rPr>
      </w:pPr>
      <w:r>
        <w:rPr>
          <w:rFonts w:hint="eastAsia" w:ascii="宋体" w:hAnsi="宋体" w:cs="宋体"/>
          <w:szCs w:val="21"/>
        </w:rPr>
        <w:t>地面、门窗成品保护不到位，执行《施工场地管理规定》2、（8）条。</w:t>
      </w:r>
    </w:p>
    <w:p w14:paraId="3E523EAC">
      <w:pPr>
        <w:spacing w:line="360" w:lineRule="auto"/>
        <w:ind w:firstLine="482" w:firstLineChars="200"/>
        <w:contextualSpacing/>
        <w:jc w:val="center"/>
        <w:rPr>
          <w:rFonts w:ascii="宋体" w:hAnsi="宋体" w:cs="宋体"/>
          <w:b/>
          <w:sz w:val="24"/>
        </w:rPr>
      </w:pPr>
    </w:p>
    <w:p w14:paraId="590E020A">
      <w:pPr>
        <w:spacing w:line="360" w:lineRule="auto"/>
        <w:ind w:firstLine="482" w:firstLineChars="200"/>
        <w:contextualSpacing/>
        <w:outlineLvl w:val="1"/>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附件2</w:t>
      </w:r>
    </w:p>
    <w:p w14:paraId="0EF4F848">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建设工程安全文明施工管理办法</w:t>
      </w:r>
    </w:p>
    <w:p w14:paraId="4E921EFC">
      <w:pPr>
        <w:spacing w:line="360" w:lineRule="auto"/>
        <w:ind w:firstLine="420" w:firstLineChars="200"/>
        <w:contextualSpacing/>
        <w:rPr>
          <w:rFonts w:ascii="宋体" w:hAnsi="宋体" w:cs="宋体"/>
          <w:szCs w:val="21"/>
        </w:rPr>
      </w:pPr>
      <w:r>
        <w:rPr>
          <w:rFonts w:hint="eastAsia" w:ascii="宋体" w:hAnsi="宋体" w:cs="宋体"/>
          <w:szCs w:val="21"/>
        </w:rPr>
        <w:t>第一章总则</w:t>
      </w:r>
    </w:p>
    <w:p w14:paraId="5C97D1CF">
      <w:pPr>
        <w:spacing w:line="360" w:lineRule="auto"/>
        <w:ind w:firstLine="420" w:firstLineChars="200"/>
        <w:contextualSpacing/>
        <w:rPr>
          <w:rFonts w:ascii="宋体" w:hAnsi="宋体" w:cs="宋体"/>
          <w:szCs w:val="21"/>
        </w:rPr>
      </w:pPr>
      <w:r>
        <w:rPr>
          <w:rFonts w:hint="eastAsia" w:ascii="宋体" w:hAnsi="宋体" w:cs="宋体"/>
          <w:szCs w:val="21"/>
        </w:rPr>
        <w:t>第一条为了切实加强医院基本建设安全文明施工管理,根据建设部有关安全文明施工的规定,结合我院实际,制定本管理办法。</w:t>
      </w:r>
    </w:p>
    <w:p w14:paraId="64601E63">
      <w:pPr>
        <w:spacing w:line="360" w:lineRule="auto"/>
        <w:ind w:firstLine="420" w:firstLineChars="200"/>
        <w:contextualSpacing/>
        <w:rPr>
          <w:rFonts w:ascii="宋体" w:hAnsi="宋体" w:cs="宋体"/>
          <w:szCs w:val="21"/>
        </w:rPr>
      </w:pPr>
      <w:r>
        <w:rPr>
          <w:rFonts w:hint="eastAsia" w:ascii="宋体" w:hAnsi="宋体" w:cs="宋体"/>
          <w:szCs w:val="21"/>
        </w:rPr>
        <w:t>第二条凡在院区范围内从事有基建办负责管理的基本建设、改扩建及维修工程的施工单位,必须遵守本办法。</w:t>
      </w:r>
    </w:p>
    <w:p w14:paraId="4EA2BD37">
      <w:pPr>
        <w:spacing w:line="360" w:lineRule="auto"/>
        <w:ind w:firstLine="420" w:firstLineChars="200"/>
        <w:contextualSpacing/>
        <w:rPr>
          <w:rFonts w:ascii="宋体" w:hAnsi="宋体" w:cs="宋体"/>
          <w:szCs w:val="21"/>
        </w:rPr>
      </w:pPr>
      <w:r>
        <w:rPr>
          <w:rFonts w:hint="eastAsia" w:ascii="宋体" w:hAnsi="宋体" w:cs="宋体"/>
          <w:szCs w:val="21"/>
        </w:rPr>
        <w:t>第三条施工单位、监理单位是安全文明施工的责任主体,对其施工、监理范围内工程的安全文明施工负责。基建办有关管理人员负协助管理责任。</w:t>
      </w:r>
    </w:p>
    <w:p w14:paraId="0C9193ED">
      <w:pPr>
        <w:spacing w:line="360" w:lineRule="auto"/>
        <w:ind w:firstLine="420" w:firstLineChars="200"/>
        <w:contextualSpacing/>
        <w:rPr>
          <w:rFonts w:ascii="宋体" w:hAnsi="宋体" w:cs="宋体"/>
          <w:szCs w:val="21"/>
        </w:rPr>
      </w:pPr>
      <w:r>
        <w:rPr>
          <w:rFonts w:hint="eastAsia" w:ascii="宋体" w:hAnsi="宋体" w:cs="宋体"/>
          <w:szCs w:val="21"/>
        </w:rPr>
        <w:t>第四条施工单位、监理单位及基建办指派的现场管理人员要对安全文明施工采取切实可行的措施,严格按照建设部有关安全文明施工的规定组织施工,防止安全事故和不文明行为的发生。具体条款参照建设部最新规定相关条款执行。</w:t>
      </w:r>
    </w:p>
    <w:p w14:paraId="37764C87">
      <w:pPr>
        <w:spacing w:line="360" w:lineRule="auto"/>
        <w:ind w:firstLine="420" w:firstLineChars="200"/>
        <w:contextualSpacing/>
        <w:rPr>
          <w:rFonts w:ascii="宋体" w:hAnsi="宋体" w:cs="宋体"/>
          <w:szCs w:val="21"/>
        </w:rPr>
      </w:pPr>
      <w:r>
        <w:rPr>
          <w:rFonts w:hint="eastAsia" w:ascii="宋体" w:hAnsi="宋体" w:cs="宋体"/>
          <w:szCs w:val="21"/>
        </w:rPr>
        <w:t>第二章施工现场安全文明管理</w:t>
      </w:r>
    </w:p>
    <w:p w14:paraId="76EC3161">
      <w:pPr>
        <w:spacing w:line="360" w:lineRule="auto"/>
        <w:ind w:firstLine="420" w:firstLineChars="200"/>
        <w:contextualSpacing/>
        <w:rPr>
          <w:rFonts w:ascii="宋体" w:hAnsi="宋体" w:cs="宋体"/>
          <w:szCs w:val="21"/>
        </w:rPr>
      </w:pPr>
      <w:r>
        <w:rPr>
          <w:rFonts w:hint="eastAsia" w:ascii="宋体" w:hAnsi="宋体" w:cs="宋体"/>
          <w:szCs w:val="21"/>
        </w:rPr>
        <w:t>第五条施工场地四周围墙设置高度应不低于1.8米,在主要路段工地施工的围墙设置应不低于2.5米。围墙须沿工地四周连续设置,并建有门楼和值班室。围墙及门楼材料要坚固,做到稳定、整洁、美观。</w:t>
      </w:r>
    </w:p>
    <w:p w14:paraId="04392034">
      <w:pPr>
        <w:spacing w:line="360" w:lineRule="auto"/>
        <w:ind w:firstLine="420" w:firstLineChars="200"/>
        <w:contextualSpacing/>
        <w:rPr>
          <w:rFonts w:ascii="宋体" w:hAnsi="宋体" w:cs="宋体"/>
          <w:szCs w:val="21"/>
        </w:rPr>
      </w:pPr>
      <w:r>
        <w:rPr>
          <w:rFonts w:hint="eastAsia" w:ascii="宋体" w:hAnsi="宋体" w:cs="宋体"/>
          <w:szCs w:val="21"/>
        </w:rPr>
        <w:t>第六条施工门楼前必须设置企业标志,新建或改扩建项目平面布置图、效果图,以及工程概况、组织管理网络、文明施工管理、安全生产牌。十项安全技术措施，消防须知牌等各种现场管理制度。</w:t>
      </w:r>
    </w:p>
    <w:p w14:paraId="1386E3AD">
      <w:pPr>
        <w:spacing w:line="360" w:lineRule="auto"/>
        <w:ind w:firstLine="420" w:firstLineChars="200"/>
        <w:contextualSpacing/>
        <w:rPr>
          <w:rFonts w:ascii="宋体" w:hAnsi="宋体" w:cs="宋体"/>
          <w:szCs w:val="21"/>
        </w:rPr>
      </w:pPr>
      <w:r>
        <w:rPr>
          <w:rFonts w:hint="eastAsia" w:ascii="宋体" w:hAnsi="宋体" w:cs="宋体"/>
          <w:szCs w:val="21"/>
        </w:rPr>
        <w:t>第七条施工现场必须配备责任心强的值班人员,实行封闭式管理。施工作业人员和工作人员进出施工现场必须佩戴工作卡,非现场工作人员未经批准不得擅自进入施工现场。</w:t>
      </w:r>
    </w:p>
    <w:p w14:paraId="09C4515E">
      <w:pPr>
        <w:spacing w:line="360" w:lineRule="auto"/>
        <w:ind w:firstLine="420" w:firstLineChars="200"/>
        <w:contextualSpacing/>
        <w:rPr>
          <w:rFonts w:ascii="宋体" w:hAnsi="宋体" w:cs="宋体"/>
          <w:szCs w:val="21"/>
        </w:rPr>
      </w:pPr>
      <w:r>
        <w:rPr>
          <w:rFonts w:hint="eastAsia" w:ascii="宋体" w:hAnsi="宋体" w:cs="宋体"/>
          <w:szCs w:val="21"/>
        </w:rPr>
        <w:t>第八条现场施工人员及其工作人员必须佩戴安全帽。同时现场应配备一定数量的安全帽,以便供外来参观和检查人员使用。</w:t>
      </w:r>
    </w:p>
    <w:p w14:paraId="61D3859B">
      <w:pPr>
        <w:spacing w:line="360" w:lineRule="auto"/>
        <w:ind w:firstLine="420" w:firstLineChars="200"/>
        <w:contextualSpacing/>
        <w:rPr>
          <w:rFonts w:ascii="宋体" w:hAnsi="宋体" w:cs="宋体"/>
          <w:szCs w:val="21"/>
        </w:rPr>
      </w:pPr>
      <w:r>
        <w:rPr>
          <w:rFonts w:hint="eastAsia" w:ascii="宋体" w:hAnsi="宋体" w:cs="宋体"/>
          <w:szCs w:val="21"/>
        </w:rPr>
        <w:t>第九条主要出入口和通道口应设置有顶盖的安全防护,临近道路和其它建筑物的外墙立面或有其它要求的外墙立面应采取封闭施工。</w:t>
      </w:r>
    </w:p>
    <w:p w14:paraId="1BC4FD79">
      <w:pPr>
        <w:spacing w:line="360" w:lineRule="auto"/>
        <w:ind w:firstLine="420" w:firstLineChars="200"/>
        <w:contextualSpacing/>
        <w:rPr>
          <w:rFonts w:ascii="宋体" w:hAnsi="宋体" w:cs="宋体"/>
          <w:szCs w:val="21"/>
        </w:rPr>
      </w:pPr>
      <w:r>
        <w:rPr>
          <w:rFonts w:hint="eastAsia" w:ascii="宋体" w:hAnsi="宋体" w:cs="宋体"/>
          <w:szCs w:val="21"/>
        </w:rPr>
        <w:t>第十条现场施工必须严格遵守国家有关安全文明施工的规定和规范要求，严禁违规操作。</w:t>
      </w:r>
    </w:p>
    <w:p w14:paraId="6985BA7C">
      <w:pPr>
        <w:spacing w:line="360" w:lineRule="auto"/>
        <w:ind w:firstLine="420" w:firstLineChars="200"/>
        <w:contextualSpacing/>
        <w:rPr>
          <w:rFonts w:ascii="宋体" w:hAnsi="宋体" w:cs="宋体"/>
          <w:szCs w:val="21"/>
        </w:rPr>
      </w:pPr>
      <w:r>
        <w:rPr>
          <w:rFonts w:hint="eastAsia" w:ascii="宋体" w:hAnsi="宋体" w:cs="宋体"/>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333FA948">
      <w:pPr>
        <w:spacing w:line="360" w:lineRule="auto"/>
        <w:ind w:firstLine="420" w:firstLineChars="200"/>
        <w:contextualSpacing/>
        <w:rPr>
          <w:rFonts w:ascii="宋体" w:hAnsi="宋体" w:cs="宋体"/>
          <w:szCs w:val="21"/>
        </w:rPr>
      </w:pPr>
      <w:r>
        <w:rPr>
          <w:rFonts w:hint="eastAsia" w:ascii="宋体" w:hAnsi="宋体" w:cs="宋体"/>
          <w:szCs w:val="21"/>
        </w:rPr>
        <w:t>第十二条施工现场道路和材料堆放场地必须硬化,排水通畅,保证施工现场无积水。</w:t>
      </w:r>
    </w:p>
    <w:p w14:paraId="7D04173A">
      <w:pPr>
        <w:spacing w:line="360" w:lineRule="auto"/>
        <w:ind w:firstLine="420" w:firstLineChars="200"/>
        <w:contextualSpacing/>
        <w:rPr>
          <w:rFonts w:ascii="宋体" w:hAnsi="宋体" w:cs="宋体"/>
          <w:szCs w:val="21"/>
        </w:rPr>
      </w:pPr>
      <w:r>
        <w:rPr>
          <w:rFonts w:hint="eastAsia" w:ascii="宋体" w:hAnsi="宋体" w:cs="宋体"/>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14:paraId="59B0BB1F">
      <w:pPr>
        <w:spacing w:line="360" w:lineRule="auto"/>
        <w:ind w:firstLine="420" w:firstLineChars="200"/>
        <w:contextualSpacing/>
        <w:rPr>
          <w:rFonts w:ascii="宋体" w:hAnsi="宋体" w:cs="宋体"/>
          <w:szCs w:val="21"/>
        </w:rPr>
      </w:pPr>
      <w:r>
        <w:rPr>
          <w:rFonts w:hint="eastAsia" w:ascii="宋体" w:hAnsi="宋体" w:cs="宋体"/>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14:paraId="3F481055">
      <w:pPr>
        <w:spacing w:line="360" w:lineRule="auto"/>
        <w:ind w:firstLine="420" w:firstLineChars="200"/>
        <w:contextualSpacing/>
        <w:rPr>
          <w:rFonts w:ascii="宋体" w:hAnsi="宋体" w:cs="宋体"/>
          <w:szCs w:val="21"/>
        </w:rPr>
      </w:pPr>
      <w:r>
        <w:rPr>
          <w:rFonts w:hint="eastAsia" w:ascii="宋体" w:hAnsi="宋体" w:cs="宋体"/>
          <w:szCs w:val="21"/>
        </w:rPr>
        <w:t>第十五条施工现场的建筑废料和垃圾要及时清理外运,做到工完料尽场清。严格按要求运至基建办指定地点。严禁未经批准随处乱倒建筑废料和垃圾。</w:t>
      </w:r>
    </w:p>
    <w:p w14:paraId="38E8E7A4">
      <w:pPr>
        <w:spacing w:line="360" w:lineRule="auto"/>
        <w:ind w:firstLine="420" w:firstLineChars="200"/>
        <w:contextualSpacing/>
        <w:rPr>
          <w:rFonts w:ascii="宋体" w:hAnsi="宋体" w:cs="宋体"/>
          <w:szCs w:val="21"/>
        </w:rPr>
      </w:pPr>
      <w:r>
        <w:rPr>
          <w:rFonts w:hint="eastAsia" w:ascii="宋体" w:hAnsi="宋体" w:cs="宋体"/>
          <w:szCs w:val="21"/>
        </w:rPr>
        <w:t>第十六条生活区必须与施工作业区分开。正在施工的工程不得用作施工单位职工宿舍、项目部办公室。生活临时用房要按基建办指定地点新建,工程完工后应将其场地清理干净。</w:t>
      </w:r>
    </w:p>
    <w:p w14:paraId="30FC6A6B">
      <w:pPr>
        <w:spacing w:line="360" w:lineRule="auto"/>
        <w:ind w:firstLine="420" w:firstLineChars="200"/>
        <w:contextualSpacing/>
        <w:rPr>
          <w:rFonts w:ascii="宋体" w:hAnsi="宋体" w:cs="宋体"/>
          <w:szCs w:val="21"/>
        </w:rPr>
      </w:pPr>
      <w:r>
        <w:rPr>
          <w:rFonts w:hint="eastAsia" w:ascii="宋体" w:hAnsi="宋体" w:cs="宋体"/>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6D4CB254">
      <w:pPr>
        <w:spacing w:line="360" w:lineRule="auto"/>
        <w:ind w:firstLine="420" w:firstLineChars="200"/>
        <w:contextualSpacing/>
        <w:rPr>
          <w:rFonts w:ascii="宋体" w:hAnsi="宋体" w:cs="宋体"/>
          <w:szCs w:val="21"/>
        </w:rPr>
      </w:pPr>
      <w:r>
        <w:rPr>
          <w:rFonts w:hint="eastAsia" w:ascii="宋体" w:hAnsi="宋体" w:cs="宋体"/>
          <w:szCs w:val="21"/>
        </w:rPr>
        <w:t>第十八条施工现场应制定防火制度,落实防火责任人。施工单位要认真贯彻“以防为主,防消结合”的方针。现场要配足必备的灭火器材,提供充足的消防水源,并建有临时休息室,严禁作业人员乱扔烟头。</w:t>
      </w:r>
    </w:p>
    <w:p w14:paraId="41F45454">
      <w:pPr>
        <w:spacing w:line="360" w:lineRule="auto"/>
        <w:ind w:firstLine="420" w:firstLineChars="200"/>
        <w:contextualSpacing/>
        <w:rPr>
          <w:rFonts w:ascii="宋体" w:hAnsi="宋体" w:cs="宋体"/>
          <w:szCs w:val="21"/>
        </w:rPr>
      </w:pPr>
      <w:r>
        <w:rPr>
          <w:rFonts w:hint="eastAsia" w:ascii="宋体" w:hAnsi="宋体" w:cs="宋体"/>
          <w:szCs w:val="21"/>
        </w:rPr>
        <w:t>第十九条施工现场应设置自冲式男、女厕所,严禁作业人员随地大小便。</w:t>
      </w:r>
    </w:p>
    <w:p w14:paraId="7BA5C3C5">
      <w:pPr>
        <w:spacing w:line="360" w:lineRule="auto"/>
        <w:ind w:firstLine="420" w:firstLineChars="200"/>
        <w:contextualSpacing/>
        <w:rPr>
          <w:rFonts w:ascii="宋体" w:hAnsi="宋体" w:cs="宋体"/>
          <w:szCs w:val="21"/>
        </w:rPr>
      </w:pPr>
      <w:r>
        <w:rPr>
          <w:rFonts w:hint="eastAsia" w:ascii="宋体" w:hAnsi="宋体" w:cs="宋体"/>
          <w:szCs w:val="21"/>
        </w:rPr>
        <w:t>第三章安全文明综合治理</w:t>
      </w:r>
    </w:p>
    <w:p w14:paraId="425C3E11">
      <w:pPr>
        <w:spacing w:line="360" w:lineRule="auto"/>
        <w:ind w:firstLine="420" w:firstLineChars="200"/>
        <w:contextualSpacing/>
        <w:rPr>
          <w:rFonts w:ascii="宋体" w:hAnsi="宋体" w:cs="宋体"/>
          <w:szCs w:val="21"/>
        </w:rPr>
      </w:pPr>
      <w:r>
        <w:rPr>
          <w:rFonts w:hint="eastAsia" w:ascii="宋体" w:hAnsi="宋体" w:cs="宋体"/>
          <w:szCs w:val="21"/>
        </w:rPr>
        <w:t>第二十条施工单位的所有人员必须遵守国家的法律法规。各施工单位应定期对其职工加强安全文明教育和遵纪守法教育。</w:t>
      </w:r>
    </w:p>
    <w:p w14:paraId="6C90EBB1">
      <w:pPr>
        <w:spacing w:line="360" w:lineRule="auto"/>
        <w:ind w:firstLine="420" w:firstLineChars="200"/>
        <w:contextualSpacing/>
        <w:rPr>
          <w:rFonts w:ascii="宋体" w:hAnsi="宋体" w:cs="宋体"/>
          <w:szCs w:val="21"/>
        </w:rPr>
      </w:pPr>
      <w:r>
        <w:rPr>
          <w:rFonts w:hint="eastAsia" w:ascii="宋体" w:hAnsi="宋体" w:cs="宋体"/>
          <w:szCs w:val="21"/>
        </w:rPr>
        <w:t>第二十一条施工单位应建立安全文明管理制度,采取切实可行的安全保卫和文明管理措施,落实责任人,坚决杜绝不安全和不文明行为的发生,严禁打架斗殴、赌博、行窃等违法违纪行为。</w:t>
      </w:r>
    </w:p>
    <w:p w14:paraId="5AEBC42D">
      <w:pPr>
        <w:spacing w:line="360" w:lineRule="auto"/>
        <w:ind w:firstLine="420" w:firstLineChars="200"/>
        <w:contextualSpacing/>
        <w:rPr>
          <w:rFonts w:ascii="宋体" w:hAnsi="宋体" w:cs="宋体"/>
          <w:szCs w:val="21"/>
        </w:rPr>
      </w:pPr>
      <w:r>
        <w:rPr>
          <w:rFonts w:hint="eastAsia" w:ascii="宋体" w:hAnsi="宋体" w:cs="宋体"/>
          <w:szCs w:val="21"/>
        </w:rPr>
        <w:t>第二十二条加强施工人员生活区管理。生活区的食堂、厕所与垃圾箱应保持一定的距离。生活区与现场作业区相邻时,场内须设置带盖的垃圾桶。生活垃圾与建筑垃圾应分开堆放和处置。</w:t>
      </w:r>
    </w:p>
    <w:p w14:paraId="1D20DC0E">
      <w:pPr>
        <w:spacing w:line="360" w:lineRule="auto"/>
        <w:ind w:firstLine="420" w:firstLineChars="200"/>
        <w:contextualSpacing/>
        <w:rPr>
          <w:rFonts w:ascii="宋体" w:hAnsi="宋体" w:cs="宋体"/>
          <w:szCs w:val="21"/>
        </w:rPr>
      </w:pPr>
      <w:r>
        <w:rPr>
          <w:rFonts w:hint="eastAsia" w:ascii="宋体" w:hAnsi="宋体" w:cs="宋体"/>
          <w:szCs w:val="21"/>
        </w:rPr>
        <w:t>第二十三条加强施工人员宿舍内用电管理，宿舍内严禁使用大功率电器。</w:t>
      </w:r>
    </w:p>
    <w:p w14:paraId="51FE23D1">
      <w:pPr>
        <w:spacing w:line="360" w:lineRule="auto"/>
        <w:ind w:firstLine="420" w:firstLineChars="200"/>
        <w:contextualSpacing/>
        <w:rPr>
          <w:rFonts w:ascii="宋体" w:hAnsi="宋体" w:cs="宋体"/>
          <w:szCs w:val="21"/>
        </w:rPr>
      </w:pPr>
      <w:r>
        <w:rPr>
          <w:rFonts w:hint="eastAsia" w:ascii="宋体" w:hAnsi="宋体" w:cs="宋体"/>
          <w:szCs w:val="21"/>
        </w:rPr>
        <w:t>第二十四条施工单位所有车辆不得在院区内高速行驶和鸣号,所有建筑材料运输车辆不得在院区路道路上行驶,因施工需要,须经基建办领导批准。</w:t>
      </w:r>
    </w:p>
    <w:p w14:paraId="2951B9D6">
      <w:pPr>
        <w:spacing w:line="360" w:lineRule="auto"/>
        <w:ind w:firstLine="420" w:firstLineChars="200"/>
        <w:contextualSpacing/>
        <w:rPr>
          <w:rFonts w:ascii="宋体" w:hAnsi="宋体" w:cs="宋体"/>
          <w:szCs w:val="21"/>
        </w:rPr>
      </w:pPr>
      <w:r>
        <w:rPr>
          <w:rFonts w:hint="eastAsia" w:ascii="宋体" w:hAnsi="宋体" w:cs="宋体"/>
          <w:szCs w:val="21"/>
        </w:rPr>
        <w:t>第四章处罚措施</w:t>
      </w:r>
    </w:p>
    <w:p w14:paraId="344BABBE">
      <w:pPr>
        <w:spacing w:line="360" w:lineRule="auto"/>
        <w:ind w:firstLine="420" w:firstLineChars="200"/>
        <w:contextualSpacing/>
        <w:rPr>
          <w:rFonts w:ascii="宋体" w:hAnsi="宋体" w:cs="宋体"/>
          <w:szCs w:val="21"/>
        </w:rPr>
      </w:pPr>
      <w:r>
        <w:rPr>
          <w:rFonts w:hint="eastAsia" w:ascii="宋体" w:hAnsi="宋体" w:cs="宋体"/>
          <w:szCs w:val="21"/>
        </w:rPr>
        <w:t>第二十五条监理单位和基建办指派现场的管理人员要加强施工现场安全文明施工的管理和监督,对施工单位违反本办法的规定和不安全、不文明的行为应提出处理处罚建议,经基建办主管领导批准执行。</w:t>
      </w:r>
    </w:p>
    <w:p w14:paraId="5968FC79">
      <w:pPr>
        <w:spacing w:line="360" w:lineRule="auto"/>
        <w:ind w:firstLine="420" w:firstLineChars="200"/>
        <w:contextualSpacing/>
        <w:rPr>
          <w:rFonts w:ascii="宋体" w:hAnsi="宋体" w:cs="宋体"/>
          <w:szCs w:val="21"/>
        </w:rPr>
      </w:pPr>
      <w:r>
        <w:rPr>
          <w:rFonts w:hint="eastAsia" w:ascii="宋体" w:hAnsi="宋体" w:cs="宋体"/>
          <w:szCs w:val="21"/>
        </w:rPr>
        <w:t>第二十六条对于任何处理处罚决定,基建办应出据处理处罚通知书。通知书一式五份,施工单位、处办公室、现场管理人员、监理公司、基建办主管领导各一份。对于经济处罚决定,其处理处罚通知书应另加一份送校基建财务科,由校基建财务科从被处罚单位工程款项中扣减其处罚款。</w:t>
      </w:r>
    </w:p>
    <w:p w14:paraId="5C6CFB17">
      <w:pPr>
        <w:spacing w:line="360" w:lineRule="auto"/>
        <w:ind w:firstLine="420" w:firstLineChars="200"/>
        <w:contextualSpacing/>
        <w:rPr>
          <w:rFonts w:ascii="宋体" w:hAnsi="宋体" w:cs="宋体"/>
          <w:szCs w:val="21"/>
        </w:rPr>
      </w:pPr>
      <w:r>
        <w:rPr>
          <w:rFonts w:hint="eastAsia" w:ascii="宋体" w:hAnsi="宋体" w:cs="宋体"/>
          <w:szCs w:val="21"/>
        </w:rPr>
        <w:t>第二十七条有下列行为之一者,应给予告诫整改、责令停工整顿、罚款等处理处罚。情节严重者送交司法机关,追究刑事责任。</w:t>
      </w:r>
    </w:p>
    <w:p w14:paraId="19ED7432">
      <w:pPr>
        <w:spacing w:line="360" w:lineRule="auto"/>
        <w:ind w:firstLine="420" w:firstLineChars="200"/>
        <w:contextualSpacing/>
        <w:rPr>
          <w:rFonts w:ascii="宋体" w:hAnsi="宋体" w:cs="宋体"/>
          <w:szCs w:val="21"/>
        </w:rPr>
      </w:pPr>
      <w:r>
        <w:rPr>
          <w:rFonts w:hint="eastAsia" w:ascii="宋体" w:hAnsi="宋体" w:cs="宋体"/>
          <w:szCs w:val="21"/>
        </w:rPr>
        <w:t>(一)施工现场围墙及安全保护设施不符合本管理办法规定的规范要求,进行告诫整改或责令停工整顿,必要时应进行经济处罚。</w:t>
      </w:r>
    </w:p>
    <w:p w14:paraId="1EEE1831">
      <w:pPr>
        <w:spacing w:line="360" w:lineRule="auto"/>
        <w:ind w:firstLine="420" w:firstLineChars="200"/>
        <w:contextualSpacing/>
        <w:rPr>
          <w:rFonts w:ascii="宋体" w:hAnsi="宋体" w:cs="宋体"/>
          <w:szCs w:val="21"/>
        </w:rPr>
      </w:pPr>
      <w:r>
        <w:rPr>
          <w:rFonts w:hint="eastAsia" w:ascii="宋体" w:hAnsi="宋体" w:cs="宋体"/>
          <w:szCs w:val="21"/>
        </w:rPr>
        <w:t>(二)现场施工人员违反施工管理规定和施工操作规范,在告诫整改不听的情况下,处以100—500元的罚款。</w:t>
      </w:r>
    </w:p>
    <w:p w14:paraId="22B627C2">
      <w:pPr>
        <w:spacing w:line="360" w:lineRule="auto"/>
        <w:ind w:firstLine="420" w:firstLineChars="200"/>
        <w:contextualSpacing/>
        <w:rPr>
          <w:rFonts w:ascii="宋体" w:hAnsi="宋体" w:cs="宋体"/>
          <w:szCs w:val="21"/>
        </w:rPr>
      </w:pPr>
      <w:r>
        <w:rPr>
          <w:rFonts w:hint="eastAsia" w:ascii="宋体" w:hAnsi="宋体" w:cs="宋体"/>
          <w:szCs w:val="21"/>
        </w:rPr>
        <w:t>(三)施工人员在施工过程中破坏或损坏周边环境、应保护成品,除赔偿损失外,处以200—600元的罚款。</w:t>
      </w:r>
    </w:p>
    <w:p w14:paraId="4C22C53C">
      <w:pPr>
        <w:spacing w:line="360" w:lineRule="auto"/>
        <w:ind w:firstLine="420" w:firstLineChars="200"/>
        <w:contextualSpacing/>
        <w:rPr>
          <w:rFonts w:ascii="宋体" w:hAnsi="宋体" w:cs="宋体"/>
          <w:szCs w:val="21"/>
        </w:rPr>
      </w:pPr>
      <w:r>
        <w:rPr>
          <w:rFonts w:hint="eastAsia" w:ascii="宋体" w:hAnsi="宋体" w:cs="宋体"/>
          <w:szCs w:val="21"/>
        </w:rPr>
        <w:t>(四)施工车辆未经清洗上路行驶,污染路面而未及时清扫干净,除接受城管部门处罚外，来院再处以1000—5000元的罚款。</w:t>
      </w:r>
    </w:p>
    <w:p w14:paraId="3B4F5729">
      <w:pPr>
        <w:spacing w:line="360" w:lineRule="auto"/>
        <w:ind w:firstLine="420" w:firstLineChars="200"/>
        <w:contextualSpacing/>
        <w:rPr>
          <w:rFonts w:ascii="宋体" w:hAnsi="宋体" w:cs="宋体"/>
          <w:szCs w:val="21"/>
        </w:rPr>
      </w:pPr>
      <w:r>
        <w:rPr>
          <w:rFonts w:hint="eastAsia" w:ascii="宋体" w:hAnsi="宋体" w:cs="宋体"/>
          <w:szCs w:val="21"/>
        </w:rPr>
        <w:t>(五)施工单位对职工管理不严,出现打架斗殴、盗窃、赌博等违纪违法行为,轻则告诫整改和进行经济处罚,发现一起可处以500—1000元的罚款。重则移交司法机关追究刑事责任。</w:t>
      </w:r>
    </w:p>
    <w:p w14:paraId="5B0B68CA">
      <w:pPr>
        <w:spacing w:line="360" w:lineRule="auto"/>
        <w:ind w:firstLine="420" w:firstLineChars="200"/>
        <w:contextualSpacing/>
        <w:rPr>
          <w:rFonts w:ascii="宋体" w:hAnsi="宋体" w:cs="宋体"/>
          <w:szCs w:val="21"/>
        </w:rPr>
      </w:pPr>
      <w:r>
        <w:rPr>
          <w:rFonts w:hint="eastAsia" w:ascii="宋体" w:hAnsi="宋体" w:cs="宋体"/>
          <w:szCs w:val="21"/>
        </w:rPr>
        <w:t>(六)未经批准,其建筑材料运输车辆和施工车辆擅自进入院区道路行驶,处以500—1000元的罚款。</w:t>
      </w:r>
    </w:p>
    <w:p w14:paraId="37659509">
      <w:pPr>
        <w:spacing w:line="360" w:lineRule="auto"/>
        <w:ind w:firstLine="420" w:firstLineChars="200"/>
        <w:contextualSpacing/>
        <w:rPr>
          <w:rFonts w:ascii="宋体" w:hAnsi="宋体" w:cs="宋体"/>
          <w:szCs w:val="21"/>
        </w:rPr>
      </w:pPr>
      <w:r>
        <w:rPr>
          <w:rFonts w:hint="eastAsia" w:ascii="宋体" w:hAnsi="宋体" w:cs="宋体"/>
          <w:szCs w:val="21"/>
        </w:rPr>
        <w:t>(七)违反本办法的其它规定,经教育不改者,可处以200—1000元的罚款。</w:t>
      </w:r>
    </w:p>
    <w:p w14:paraId="34A26DCB">
      <w:pPr>
        <w:pStyle w:val="10"/>
        <w:tabs>
          <w:tab w:val="left" w:pos="0"/>
          <w:tab w:val="left" w:pos="993"/>
          <w:tab w:val="left" w:pos="1134"/>
        </w:tabs>
        <w:spacing w:line="360" w:lineRule="auto"/>
        <w:ind w:left="0" w:leftChars="0" w:firstLine="420" w:firstLineChars="200"/>
        <w:jc w:val="left"/>
        <w:rPr>
          <w:rFonts w:hAnsi="宋体" w:cs="仿宋"/>
          <w:snapToGrid w:val="0"/>
          <w:szCs w:val="21"/>
        </w:rPr>
      </w:pPr>
    </w:p>
    <w:p w14:paraId="6C4403DC">
      <w:pPr>
        <w:tabs>
          <w:tab w:val="left" w:pos="0"/>
          <w:tab w:val="left" w:pos="993"/>
          <w:tab w:val="left" w:pos="1134"/>
        </w:tabs>
        <w:spacing w:line="360" w:lineRule="auto"/>
        <w:rPr>
          <w:rFonts w:eastAsia="黑体"/>
          <w:b/>
          <w:snapToGrid w:val="0"/>
          <w:sz w:val="32"/>
        </w:rPr>
      </w:pPr>
    </w:p>
    <w:p w14:paraId="644C0D07">
      <w:pPr>
        <w:tabs>
          <w:tab w:val="left" w:pos="0"/>
          <w:tab w:val="left" w:pos="993"/>
          <w:tab w:val="left" w:pos="1134"/>
        </w:tabs>
        <w:spacing w:line="360" w:lineRule="auto"/>
        <w:rPr>
          <w:rFonts w:eastAsia="黑体"/>
          <w:b/>
          <w:snapToGrid w:val="0"/>
          <w:sz w:val="32"/>
        </w:rPr>
      </w:pPr>
    </w:p>
    <w:p w14:paraId="365E27A7">
      <w:pPr>
        <w:tabs>
          <w:tab w:val="left" w:pos="0"/>
          <w:tab w:val="left" w:pos="993"/>
          <w:tab w:val="left" w:pos="1134"/>
        </w:tabs>
        <w:spacing w:line="360" w:lineRule="auto"/>
        <w:rPr>
          <w:rFonts w:eastAsia="黑体"/>
          <w:b/>
          <w:snapToGrid w:val="0"/>
          <w:sz w:val="32"/>
        </w:rPr>
      </w:pPr>
    </w:p>
    <w:p w14:paraId="5C54AAED">
      <w:pPr>
        <w:rPr>
          <w:rFonts w:ascii="宋体" w:hAnsi="宋体" w:cs="宋体"/>
          <w:b/>
          <w:bCs/>
          <w:sz w:val="32"/>
          <w:szCs w:val="32"/>
        </w:rPr>
      </w:pPr>
      <w:r>
        <w:rPr>
          <w:rFonts w:hint="eastAsia" w:ascii="宋体" w:hAnsi="宋体" w:cs="宋体"/>
          <w:b/>
          <w:bCs/>
          <w:sz w:val="32"/>
          <w:szCs w:val="32"/>
        </w:rPr>
        <w:br w:type="page"/>
      </w:r>
    </w:p>
    <w:p w14:paraId="71487F7D">
      <w:pPr>
        <w:tabs>
          <w:tab w:val="left" w:pos="0"/>
          <w:tab w:val="left" w:pos="993"/>
          <w:tab w:val="left" w:pos="1134"/>
        </w:tabs>
        <w:spacing w:line="360" w:lineRule="auto"/>
        <w:ind w:firstLine="643" w:firstLineChars="200"/>
        <w:jc w:val="center"/>
        <w:outlineLvl w:val="1"/>
        <w:rPr>
          <w:rFonts w:ascii="宋体" w:hAnsi="宋体" w:cs="宋体"/>
          <w:b/>
          <w:bCs/>
          <w:sz w:val="32"/>
          <w:szCs w:val="32"/>
        </w:rPr>
      </w:pPr>
      <w:r>
        <w:rPr>
          <w:rFonts w:hint="eastAsia" w:ascii="宋体" w:hAnsi="宋体" w:cs="宋体"/>
          <w:b/>
          <w:bCs/>
          <w:sz w:val="32"/>
          <w:szCs w:val="32"/>
        </w:rPr>
        <w:t>工程质量保修书</w:t>
      </w:r>
    </w:p>
    <w:p w14:paraId="5C03FB4D">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w:t>
      </w:r>
      <w:r>
        <w:rPr>
          <w:rFonts w:hint="eastAsia" w:ascii="宋体" w:hAnsi="宋体" w:cs="宋体"/>
          <w:b/>
          <w:sz w:val="21"/>
          <w:szCs w:val="21"/>
        </w:rPr>
        <w:t>扬州大学附属医院</w:t>
      </w:r>
    </w:p>
    <w:p w14:paraId="2C641AFE">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承包人：</w:t>
      </w:r>
    </w:p>
    <w:p w14:paraId="6BF29455">
      <w:pPr>
        <w:spacing w:line="360" w:lineRule="auto"/>
        <w:ind w:firstLine="420" w:firstLineChars="200"/>
        <w:contextualSpacing/>
        <w:rPr>
          <w:rFonts w:ascii="宋体" w:hAnsi="宋体" w:cs="宋体"/>
          <w:b/>
          <w:bCs/>
          <w:snapToGrid w:val="0"/>
          <w:szCs w:val="21"/>
        </w:rPr>
      </w:pPr>
      <w:r>
        <w:rPr>
          <w:rFonts w:hint="eastAsia" w:ascii="宋体" w:hAnsi="宋体" w:cs="宋体"/>
          <w:szCs w:val="21"/>
        </w:rPr>
        <w:t>发包人承包人双方根据《中华人民共和国建筑法》、《建设工程质量管理条例》和《房屋建筑工程质量保修办法》，经协商一致，对</w:t>
      </w:r>
      <w:r>
        <w:rPr>
          <w:rFonts w:hint="eastAsia" w:ascii="宋体" w:hAnsi="宋体" w:cs="宋体"/>
          <w:bCs/>
          <w:snapToGrid w:val="0"/>
          <w:szCs w:val="21"/>
        </w:rPr>
        <w:t>项目</w:t>
      </w:r>
      <w:r>
        <w:rPr>
          <w:rFonts w:hint="eastAsia" w:ascii="宋体" w:hAnsi="宋体" w:cs="宋体"/>
          <w:szCs w:val="21"/>
        </w:rPr>
        <w:t>签订工程质量保修书。</w:t>
      </w:r>
    </w:p>
    <w:p w14:paraId="50A30C05">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一、工程质量保修范围和内容</w:t>
      </w:r>
    </w:p>
    <w:p w14:paraId="0475BDFA">
      <w:pPr>
        <w:pStyle w:val="22"/>
        <w:spacing w:before="0" w:beforeAutospacing="0" w:after="0" w:afterAutospacing="0" w:line="360" w:lineRule="auto"/>
        <w:ind w:firstLine="420" w:firstLineChars="200"/>
        <w:contextualSpacing/>
        <w:rPr>
          <w:rFonts w:ascii="宋体" w:hAnsi="宋体" w:cs="宋体"/>
          <w:b/>
          <w:sz w:val="21"/>
          <w:szCs w:val="21"/>
          <w:u w:val="single"/>
        </w:rPr>
      </w:pPr>
      <w:r>
        <w:rPr>
          <w:rFonts w:hint="eastAsia" w:ascii="宋体" w:hAnsi="宋体" w:cs="宋体"/>
          <w:sz w:val="21"/>
          <w:szCs w:val="21"/>
        </w:rPr>
        <w:t>1、承包人在质量保修期内，按照有关法律、法规、规章的管理规定和双方约定，承担本工程质量保修责任。质量保修范围内包括合同约定的全部承包项目。具体质量保修内容双方约定如下：</w:t>
      </w:r>
      <w:r>
        <w:rPr>
          <w:rFonts w:hint="eastAsia" w:ascii="宋体" w:hAnsi="宋体" w:cs="宋体"/>
          <w:b/>
          <w:sz w:val="21"/>
          <w:szCs w:val="21"/>
          <w:u w:val="single"/>
        </w:rPr>
        <w:t>凡属承包人加工及施工工艺、施工方法及材料质量等质量问题造成的需返工修补的情况。</w:t>
      </w:r>
    </w:p>
    <w:p w14:paraId="227AB9E4">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二、质量保修期</w:t>
      </w:r>
    </w:p>
    <w:p w14:paraId="196AE3FE">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1、质量保修期从工程实际竣工之日起开始计算。分单项竣工验收的工程，按单项工程分别计算质量保修期。双方根据《建设工程质量管理条例》及有关规定，约定本工程的质量保修期如下：</w:t>
      </w:r>
    </w:p>
    <w:p w14:paraId="21313F00">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本工程质量保修期为</w:t>
      </w:r>
      <w:r>
        <w:rPr>
          <w:rFonts w:hint="eastAsia" w:ascii="宋体" w:hAnsi="宋体" w:cs="宋体"/>
          <w:b/>
          <w:sz w:val="21"/>
          <w:szCs w:val="21"/>
          <w:u w:val="single"/>
        </w:rPr>
        <w:t>3年</w:t>
      </w:r>
      <w:r>
        <w:rPr>
          <w:rFonts w:hint="eastAsia" w:ascii="宋体" w:hAnsi="宋体" w:cs="宋体"/>
          <w:sz w:val="21"/>
          <w:szCs w:val="21"/>
        </w:rPr>
        <w:t>，从工程竣工验收合格之日起，3年内因工程质量问题所发生的材料费、保修人工费等均由承包人负责免费维修和更换。</w:t>
      </w:r>
    </w:p>
    <w:p w14:paraId="513EB313">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2、在承包人对质量保证期内出现的质量问题进行维修时，承包人应相应延长维修或更换部分的质量保证期。</w:t>
      </w:r>
    </w:p>
    <w:p w14:paraId="161E3AFA">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3、质量保证期内因发包人原因或自然灾害而造成的损坏，承包人不承担保修责任，但承包人有义务对此进行维修，维修发生的材料和人工费用由发包人承担。</w:t>
      </w:r>
    </w:p>
    <w:p w14:paraId="724416BF">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三、质量保修责任</w:t>
      </w:r>
    </w:p>
    <w:p w14:paraId="37028E0D">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1、属于保修范围、内容的项目，承包人应当在接到保修通知之曰起7天内派人保修。承包人不在约定期限内派人保修的，发包人可以委托他人修理，保修费用从履约保证金内扣除。</w:t>
      </w:r>
    </w:p>
    <w:p w14:paraId="043A90FE">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2、发生紧急抢修事故的，承包人在接到事故通知后，应当立即到达事故现场抢修。非承包人施工质量引起的事故，费用由发包人承担。</w:t>
      </w:r>
    </w:p>
    <w:p w14:paraId="7C58D0EA">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3、在国家规定的工程合理使用年限内，承包人要确保工程质量。因承包人原因致使工程在合理使用年限内造成人身和财产损害的，承包人应承担损害赔偿责任。</w:t>
      </w:r>
    </w:p>
    <w:p w14:paraId="0418D32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四、保修费用</w:t>
      </w:r>
    </w:p>
    <w:p w14:paraId="6A6EB28F">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无</w:t>
      </w:r>
    </w:p>
    <w:p w14:paraId="516B57F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五、质量保修金的退还</w:t>
      </w:r>
    </w:p>
    <w:p w14:paraId="606677E4">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无</w:t>
      </w:r>
    </w:p>
    <w:p w14:paraId="3E9F0A83">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六、其他</w:t>
      </w:r>
    </w:p>
    <w:p w14:paraId="1B08605F">
      <w:pPr>
        <w:pStyle w:val="22"/>
        <w:spacing w:before="0" w:beforeAutospacing="0" w:after="0" w:afterAutospacing="0" w:line="360" w:lineRule="auto"/>
        <w:ind w:firstLine="420" w:firstLineChars="200"/>
        <w:contextualSpacing/>
        <w:rPr>
          <w:rFonts w:ascii="宋体" w:hAnsi="宋体" w:cs="宋体"/>
          <w:b/>
          <w:sz w:val="21"/>
          <w:szCs w:val="21"/>
        </w:rPr>
      </w:pPr>
      <w:r>
        <w:rPr>
          <w:rFonts w:hint="eastAsia" w:ascii="宋体" w:hAnsi="宋体" w:cs="宋体"/>
          <w:sz w:val="21"/>
          <w:szCs w:val="21"/>
        </w:rPr>
        <w:t>双方约定的其他工程质量保修事项：</w:t>
      </w:r>
      <w:r>
        <w:rPr>
          <w:rFonts w:hint="eastAsia" w:ascii="宋体" w:hAnsi="宋体" w:cs="宋体"/>
          <w:b/>
          <w:sz w:val="21"/>
          <w:szCs w:val="21"/>
          <w:u w:val="single"/>
        </w:rPr>
        <w:t xml:space="preserve">       /       </w:t>
      </w:r>
      <w:r>
        <w:rPr>
          <w:rFonts w:hint="eastAsia" w:ascii="宋体" w:hAnsi="宋体" w:cs="宋体"/>
          <w:b/>
          <w:sz w:val="21"/>
          <w:szCs w:val="21"/>
        </w:rPr>
        <w:t>。</w:t>
      </w:r>
    </w:p>
    <w:p w14:paraId="25829D58">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本工程质量保修书，由施工合同发包人、承包人双方在竣工验收前共同签署，作为施工合同附件其有效期限至保修期满。</w:t>
      </w:r>
    </w:p>
    <w:p w14:paraId="69BF2F10">
      <w:pPr>
        <w:spacing w:line="360" w:lineRule="auto"/>
        <w:contextualSpacing/>
        <w:rPr>
          <w:rFonts w:ascii="宋体" w:hAnsi="宋体" w:cs="宋体"/>
          <w:szCs w:val="21"/>
        </w:rPr>
      </w:pPr>
    </w:p>
    <w:p w14:paraId="4776DB1A">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21E5E8F8">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38705386">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5E054754">
      <w:pPr>
        <w:pStyle w:val="17"/>
        <w:rPr>
          <w:rFonts w:ascii="宋体" w:hAnsi="宋体" w:cs="宋体"/>
          <w:sz w:val="21"/>
          <w:szCs w:val="21"/>
        </w:rPr>
      </w:pPr>
      <w:r>
        <w:rPr>
          <w:rFonts w:hint="eastAsia" w:ascii="宋体" w:hAnsi="宋体" w:cs="宋体"/>
          <w:sz w:val="21"/>
          <w:szCs w:val="21"/>
        </w:rPr>
        <w:t>日期:2025年  月    日                   日期：2025年   月     日</w:t>
      </w:r>
    </w:p>
    <w:p w14:paraId="67448874">
      <w:pPr>
        <w:rPr>
          <w:rFonts w:ascii="宋体" w:hAnsi="宋体" w:cs="宋体"/>
          <w:szCs w:val="21"/>
        </w:rPr>
      </w:pPr>
      <w:r>
        <w:rPr>
          <w:rFonts w:hint="eastAsia" w:ascii="宋体" w:hAnsi="宋体" w:cs="宋体"/>
          <w:szCs w:val="21"/>
        </w:rPr>
        <w:br w:type="page"/>
      </w:r>
    </w:p>
    <w:p w14:paraId="6FC14FA4">
      <w:pPr>
        <w:spacing w:line="360" w:lineRule="auto"/>
        <w:ind w:firstLine="643" w:firstLineChars="200"/>
        <w:jc w:val="center"/>
        <w:rPr>
          <w:rFonts w:ascii="宋体" w:hAnsi="宋体" w:cs="宋体"/>
          <w:b/>
          <w:bCs/>
          <w:sz w:val="36"/>
          <w:szCs w:val="36"/>
        </w:rPr>
      </w:pPr>
      <w:r>
        <w:rPr>
          <w:rFonts w:hint="eastAsia" w:ascii="宋体" w:hAnsi="宋体" w:cs="宋体"/>
          <w:b/>
          <w:bCs/>
          <w:sz w:val="32"/>
          <w:szCs w:val="32"/>
        </w:rPr>
        <w:t>廉洁协议书</w:t>
      </w:r>
    </w:p>
    <w:p w14:paraId="2BBBCA81">
      <w:pPr>
        <w:spacing w:line="360" w:lineRule="auto"/>
        <w:ind w:firstLine="420" w:firstLineChars="200"/>
        <w:rPr>
          <w:rFonts w:ascii="宋体" w:hAnsi="宋体" w:cs="宋体"/>
          <w:b/>
          <w:szCs w:val="21"/>
        </w:rPr>
      </w:pPr>
      <w:r>
        <w:rPr>
          <w:rFonts w:hint="eastAsia" w:ascii="宋体" w:hAnsi="宋体" w:cs="宋体"/>
          <w:szCs w:val="21"/>
        </w:rPr>
        <w:t>发包人名称:</w:t>
      </w:r>
      <w:r>
        <w:rPr>
          <w:rFonts w:hint="eastAsia" w:ascii="宋体" w:hAnsi="宋体" w:cs="宋体"/>
          <w:b/>
          <w:szCs w:val="21"/>
        </w:rPr>
        <w:t>扬州大学附属医院</w:t>
      </w:r>
    </w:p>
    <w:p w14:paraId="7426C921">
      <w:pPr>
        <w:spacing w:line="360" w:lineRule="auto"/>
        <w:ind w:firstLine="420" w:firstLineChars="200"/>
        <w:contextualSpacing/>
        <w:rPr>
          <w:rFonts w:ascii="宋体" w:hAnsi="宋体" w:cs="宋体"/>
          <w:b/>
          <w:szCs w:val="21"/>
        </w:rPr>
      </w:pPr>
      <w:r>
        <w:rPr>
          <w:rFonts w:hint="eastAsia" w:ascii="宋体" w:hAnsi="宋体" w:cs="宋体"/>
          <w:szCs w:val="21"/>
        </w:rPr>
        <w:t>承包人名称:</w:t>
      </w:r>
    </w:p>
    <w:p w14:paraId="67754F37">
      <w:pPr>
        <w:spacing w:line="360" w:lineRule="auto"/>
        <w:ind w:firstLine="420" w:firstLineChars="200"/>
        <w:rPr>
          <w:rFonts w:ascii="宋体" w:hAnsi="宋体" w:cs="宋体"/>
          <w:szCs w:val="21"/>
        </w:rPr>
      </w:pPr>
      <w:r>
        <w:rPr>
          <w:rFonts w:hint="eastAsia" w:ascii="宋体" w:hAnsi="宋体" w:cs="宋体"/>
          <w:szCs w:val="21"/>
        </w:rPr>
        <w:t>在发包人承包人双方订立、履行合同过程中，为保持廉洁自律的工作作风，防止各种不正当行为的发生，发包人承包人双方订立协议如下：</w:t>
      </w:r>
    </w:p>
    <w:p w14:paraId="3B87F871">
      <w:pPr>
        <w:spacing w:line="360" w:lineRule="auto"/>
        <w:ind w:firstLine="420" w:firstLineChars="200"/>
        <w:rPr>
          <w:rFonts w:ascii="宋体" w:hAnsi="宋体" w:cs="宋体"/>
          <w:szCs w:val="21"/>
        </w:rPr>
      </w:pPr>
      <w:r>
        <w:rPr>
          <w:rFonts w:hint="eastAsia" w:ascii="宋体" w:hAnsi="宋体" w:cs="宋体"/>
          <w:szCs w:val="21"/>
        </w:rPr>
        <w:t>一、发包人承包人双方应当自觉遵守国家、地方法律法规以及本协议的约定，在合同的订立、履行过程中廉洁自律。</w:t>
      </w:r>
    </w:p>
    <w:p w14:paraId="6C343156">
      <w:pPr>
        <w:ind w:firstLine="420" w:firstLineChars="200"/>
        <w:rPr>
          <w:rFonts w:ascii="宋体" w:hAnsi="宋体" w:cs="宋体"/>
          <w:szCs w:val="21"/>
        </w:rPr>
      </w:pPr>
      <w:r>
        <w:rPr>
          <w:rFonts w:hint="eastAsia" w:ascii="宋体" w:hAnsi="宋体" w:cs="宋体"/>
          <w:szCs w:val="21"/>
        </w:rPr>
        <w:t>二、发包人工作人员严禁进行商业目的的统方，不得以任何形式向承包人索要和收受个人回扣等好处费。</w:t>
      </w:r>
    </w:p>
    <w:p w14:paraId="7741F220">
      <w:pPr>
        <w:ind w:firstLine="420" w:firstLineChars="200"/>
        <w:rPr>
          <w:rFonts w:ascii="宋体" w:hAnsi="宋体" w:cs="宋体"/>
          <w:szCs w:val="21"/>
        </w:rPr>
      </w:pPr>
      <w:r>
        <w:rPr>
          <w:rFonts w:hint="eastAsia" w:ascii="宋体" w:hAnsi="宋体" w:cs="宋体"/>
          <w:szCs w:val="21"/>
        </w:rPr>
        <w:t>三、发包人工作人员应当保持与承包人的正常业务交往，不得接受承包人的礼金、有价证券和贵重物品，不得在承包人报销任何应由其个人承担的费用。</w:t>
      </w:r>
    </w:p>
    <w:p w14:paraId="7192F3C1">
      <w:pPr>
        <w:spacing w:line="360" w:lineRule="auto"/>
        <w:ind w:firstLine="420" w:firstLineChars="200"/>
        <w:rPr>
          <w:rFonts w:ascii="宋体" w:hAnsi="宋体" w:cs="宋体"/>
          <w:szCs w:val="21"/>
        </w:rPr>
      </w:pPr>
      <w:r>
        <w:rPr>
          <w:rFonts w:hint="eastAsia" w:ascii="宋体" w:hAnsi="宋体" w:cs="宋体"/>
          <w:szCs w:val="21"/>
        </w:rPr>
        <w:t>四、发包人工作人员不得参加可能对公正开展业务有影响的宴请和娱乐活动。如发包人工作人员确因实际情况须参加宴请、进行娱乐活动的，须事先报上一级批准。</w:t>
      </w:r>
    </w:p>
    <w:p w14:paraId="34826B44">
      <w:pPr>
        <w:spacing w:line="360" w:lineRule="auto"/>
        <w:ind w:firstLine="420" w:firstLineChars="200"/>
        <w:rPr>
          <w:rFonts w:ascii="宋体" w:hAnsi="宋体" w:cs="宋体"/>
          <w:szCs w:val="21"/>
        </w:rPr>
      </w:pPr>
      <w:r>
        <w:rPr>
          <w:rFonts w:hint="eastAsia" w:ascii="宋体" w:hAnsi="宋体" w:cs="宋体"/>
          <w:szCs w:val="21"/>
        </w:rPr>
        <w:t>五、发包人工作人员不得要求或者接受承包人为其住房装修、婚丧嫁娶、家属和子女的工作安排以及出国等提供方便。</w:t>
      </w:r>
    </w:p>
    <w:p w14:paraId="2A84D1FC">
      <w:pPr>
        <w:spacing w:line="360" w:lineRule="auto"/>
        <w:ind w:firstLine="420" w:firstLineChars="200"/>
        <w:rPr>
          <w:rFonts w:ascii="宋体" w:hAnsi="宋体" w:cs="宋体"/>
          <w:szCs w:val="21"/>
        </w:rPr>
      </w:pPr>
      <w:r>
        <w:rPr>
          <w:rFonts w:hint="eastAsia" w:ascii="宋体" w:hAnsi="宋体" w:cs="宋体"/>
          <w:szCs w:val="21"/>
        </w:rPr>
        <w:t>六、承包人不得接受发包人工作人员介绍的家属或者亲友从事与合同相关的业务。</w:t>
      </w:r>
    </w:p>
    <w:p w14:paraId="513F9034">
      <w:pPr>
        <w:ind w:firstLine="420" w:firstLineChars="200"/>
        <w:rPr>
          <w:rFonts w:ascii="宋体" w:hAnsi="宋体" w:cs="宋体"/>
          <w:szCs w:val="21"/>
        </w:rPr>
      </w:pPr>
      <w:r>
        <w:rPr>
          <w:rFonts w:hint="eastAsia" w:ascii="宋体" w:hAnsi="宋体" w:cs="宋体"/>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14:paraId="241D755C">
      <w:pPr>
        <w:ind w:firstLine="420" w:firstLineChars="200"/>
        <w:rPr>
          <w:rFonts w:ascii="宋体" w:hAnsi="宋体" w:cs="宋体"/>
          <w:szCs w:val="21"/>
        </w:rPr>
      </w:pPr>
      <w:r>
        <w:rPr>
          <w:rFonts w:hint="eastAsia" w:ascii="宋体" w:hAnsi="宋体" w:cs="宋体"/>
          <w:szCs w:val="21"/>
        </w:rPr>
        <w:t>八、承包人如发现发包人工作人员有违反上述协议者，应向发包人举报（发包人举报接待部门：纪委办公室；举报电话：87907263）。发包人不得找任何借口对承包人进行报复。发包人对举报属实和严格遵守廉洁协议的承包人，在同等条件下优先考虑与承包人继续合作。</w:t>
      </w:r>
    </w:p>
    <w:p w14:paraId="33580331">
      <w:pPr>
        <w:spacing w:line="360" w:lineRule="auto"/>
        <w:ind w:firstLine="420" w:firstLineChars="200"/>
        <w:rPr>
          <w:rFonts w:ascii="宋体" w:hAnsi="宋体" w:cs="宋体"/>
          <w:szCs w:val="21"/>
        </w:rPr>
      </w:pPr>
      <w:r>
        <w:rPr>
          <w:rFonts w:hint="eastAsia" w:ascii="宋体" w:hAnsi="宋体" w:cs="宋体"/>
          <w:szCs w:val="21"/>
        </w:rPr>
        <w:t>九、发包人发现承包人有违反本协议或者采用不正当的手段行贿发包人工作人员等不正当竞争行为的，发包人有权解除合同。</w:t>
      </w:r>
    </w:p>
    <w:p w14:paraId="4AB6E3EB">
      <w:pPr>
        <w:spacing w:line="360" w:lineRule="auto"/>
        <w:ind w:firstLine="420" w:firstLineChars="200"/>
        <w:rPr>
          <w:rFonts w:ascii="宋体" w:hAnsi="宋体" w:cs="宋体"/>
          <w:szCs w:val="21"/>
        </w:rPr>
      </w:pPr>
      <w:r>
        <w:rPr>
          <w:rFonts w:hint="eastAsia" w:ascii="宋体" w:hAnsi="宋体" w:cs="宋体"/>
          <w:szCs w:val="21"/>
        </w:rPr>
        <w:t>十、本廉洁协议作为合同的附件，与合同具有同等法律效力。经协议双方签署后立即生效。</w:t>
      </w:r>
    </w:p>
    <w:p w14:paraId="715F5499">
      <w:pPr>
        <w:spacing w:line="360" w:lineRule="auto"/>
        <w:ind w:firstLine="420" w:firstLineChars="200"/>
        <w:rPr>
          <w:rFonts w:ascii="宋体" w:hAnsi="宋体" w:cs="宋体"/>
          <w:szCs w:val="21"/>
        </w:rPr>
      </w:pPr>
      <w:r>
        <w:rPr>
          <w:rFonts w:hint="eastAsia" w:ascii="宋体" w:hAnsi="宋体" w:cs="宋体"/>
          <w:szCs w:val="21"/>
        </w:rPr>
        <w:t>十一、本协议一式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份，并从签订之日起生效。</w:t>
      </w:r>
    </w:p>
    <w:p w14:paraId="3455C4D3">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3432D205">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115AC405">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7E95DF9D">
      <w:pPr>
        <w:spacing w:line="360" w:lineRule="auto"/>
        <w:ind w:firstLine="420" w:firstLineChars="200"/>
        <w:contextualSpacing/>
        <w:rPr>
          <w:rFonts w:ascii="宋体" w:hAnsi="宋体" w:cs="宋体"/>
          <w:szCs w:val="21"/>
        </w:rPr>
      </w:pPr>
      <w:r>
        <w:rPr>
          <w:rFonts w:hint="eastAsia" w:ascii="宋体" w:hAnsi="宋体" w:cs="宋体"/>
          <w:szCs w:val="21"/>
        </w:rPr>
        <w:t>日期:2025年  月    日                   日期：2025年   月     日</w:t>
      </w:r>
    </w:p>
    <w:p w14:paraId="105C2522">
      <w:pPr>
        <w:rPr>
          <w:rFonts w:ascii="宋体" w:hAnsi="宋体" w:cs="宋体"/>
          <w:szCs w:val="21"/>
        </w:rPr>
      </w:pPr>
    </w:p>
    <w:p w14:paraId="15DC52D9">
      <w:pPr>
        <w:rPr>
          <w:rFonts w:ascii="宋体" w:hAnsi="宋体" w:cs="宋体"/>
          <w:szCs w:val="21"/>
        </w:rPr>
      </w:pPr>
    </w:p>
    <w:p w14:paraId="495D1223">
      <w:pPr>
        <w:rPr>
          <w:rFonts w:ascii="宋体" w:hAnsi="宋体" w:cs="宋体"/>
          <w:szCs w:val="21"/>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877"/>
        <w:gridCol w:w="2185"/>
        <w:gridCol w:w="4318"/>
      </w:tblGrid>
      <w:tr w14:paraId="6DB2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3E85BDE2">
            <w:pPr>
              <w:adjustRightInd w:val="0"/>
              <w:snapToGrid w:val="0"/>
              <w:spacing w:line="440" w:lineRule="exact"/>
              <w:jc w:val="center"/>
              <w:rPr>
                <w:rFonts w:ascii="宋体" w:hAnsi="宋体" w:cs="宋体"/>
                <w:b/>
                <w:sz w:val="24"/>
              </w:rPr>
            </w:pPr>
            <w:r>
              <w:rPr>
                <w:rFonts w:hint="eastAsia" w:ascii="宋体" w:hAnsi="宋体" w:cs="宋体"/>
                <w:b/>
                <w:sz w:val="24"/>
              </w:rPr>
              <w:t>安装主要材料品牌要求一览表</w:t>
            </w:r>
          </w:p>
        </w:tc>
      </w:tr>
      <w:tr w14:paraId="2960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27994A7">
            <w:pPr>
              <w:adjustRightInd w:val="0"/>
              <w:snapToGrid w:val="0"/>
              <w:spacing w:line="440" w:lineRule="exact"/>
              <w:jc w:val="center"/>
              <w:rPr>
                <w:rFonts w:ascii="宋体" w:hAnsi="宋体" w:cs="宋体"/>
                <w:b/>
                <w:sz w:val="24"/>
              </w:rPr>
            </w:pPr>
            <w:r>
              <w:rPr>
                <w:rFonts w:hint="eastAsia" w:ascii="宋体" w:hAnsi="宋体" w:cs="宋体"/>
                <w:b/>
                <w:sz w:val="24"/>
              </w:rPr>
              <w:t>序号</w:t>
            </w:r>
          </w:p>
        </w:tc>
        <w:tc>
          <w:tcPr>
            <w:tcW w:w="0" w:type="auto"/>
            <w:tcBorders>
              <w:top w:val="single" w:color="auto" w:sz="4" w:space="0"/>
              <w:left w:val="nil"/>
              <w:bottom w:val="single" w:color="auto" w:sz="4" w:space="0"/>
              <w:right w:val="single" w:color="auto" w:sz="4" w:space="0"/>
            </w:tcBorders>
            <w:vAlign w:val="center"/>
          </w:tcPr>
          <w:p w14:paraId="44C1F815">
            <w:pPr>
              <w:adjustRightInd w:val="0"/>
              <w:snapToGrid w:val="0"/>
              <w:spacing w:line="440" w:lineRule="exact"/>
              <w:jc w:val="center"/>
              <w:rPr>
                <w:rFonts w:ascii="宋体" w:hAnsi="宋体" w:cs="宋体"/>
                <w:b/>
                <w:sz w:val="24"/>
              </w:rPr>
            </w:pPr>
            <w:r>
              <w:rPr>
                <w:rFonts w:hint="eastAsia" w:ascii="宋体" w:hAnsi="宋体" w:cs="宋体"/>
                <w:b/>
                <w:sz w:val="24"/>
              </w:rPr>
              <w:t>主要材料名称</w:t>
            </w:r>
          </w:p>
        </w:tc>
        <w:tc>
          <w:tcPr>
            <w:tcW w:w="0" w:type="auto"/>
            <w:tcBorders>
              <w:top w:val="single" w:color="auto" w:sz="4" w:space="0"/>
              <w:left w:val="nil"/>
              <w:bottom w:val="single" w:color="auto" w:sz="4" w:space="0"/>
              <w:right w:val="single" w:color="auto" w:sz="4" w:space="0"/>
            </w:tcBorders>
            <w:vAlign w:val="center"/>
          </w:tcPr>
          <w:p w14:paraId="10FF0806">
            <w:pPr>
              <w:adjustRightInd w:val="0"/>
              <w:snapToGrid w:val="0"/>
              <w:spacing w:line="440" w:lineRule="exact"/>
              <w:jc w:val="center"/>
              <w:rPr>
                <w:rFonts w:ascii="宋体" w:hAnsi="宋体" w:cs="宋体"/>
                <w:b/>
                <w:sz w:val="24"/>
              </w:rPr>
            </w:pPr>
            <w:r>
              <w:rPr>
                <w:rFonts w:hint="eastAsia" w:ascii="宋体" w:hAnsi="宋体" w:cs="宋体"/>
                <w:b/>
                <w:sz w:val="24"/>
              </w:rPr>
              <w:t>品牌</w:t>
            </w:r>
          </w:p>
        </w:tc>
        <w:tc>
          <w:tcPr>
            <w:tcW w:w="0" w:type="auto"/>
            <w:tcBorders>
              <w:top w:val="single" w:color="auto" w:sz="4" w:space="0"/>
              <w:left w:val="nil"/>
              <w:bottom w:val="single" w:color="auto" w:sz="4" w:space="0"/>
              <w:right w:val="single" w:color="auto" w:sz="4" w:space="0"/>
            </w:tcBorders>
            <w:vAlign w:val="center"/>
          </w:tcPr>
          <w:p w14:paraId="758E8E43">
            <w:pPr>
              <w:adjustRightInd w:val="0"/>
              <w:snapToGrid w:val="0"/>
              <w:spacing w:line="440" w:lineRule="exact"/>
              <w:jc w:val="center"/>
              <w:rPr>
                <w:rFonts w:ascii="宋体" w:hAnsi="宋体" w:cs="宋体"/>
                <w:b/>
                <w:sz w:val="24"/>
              </w:rPr>
            </w:pPr>
            <w:r>
              <w:rPr>
                <w:rFonts w:hint="eastAsia" w:ascii="宋体" w:hAnsi="宋体" w:cs="宋体"/>
                <w:b/>
                <w:sz w:val="24"/>
              </w:rPr>
              <w:t>备注</w:t>
            </w:r>
          </w:p>
        </w:tc>
      </w:tr>
      <w:tr w14:paraId="2A50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E3AEEA8">
            <w:pPr>
              <w:adjustRightInd w:val="0"/>
              <w:snapToGrid w:val="0"/>
              <w:spacing w:line="400" w:lineRule="exact"/>
              <w:jc w:val="center"/>
              <w:rPr>
                <w:rFonts w:ascii="宋体" w:hAnsi="宋体" w:cs="宋体"/>
                <w:sz w:val="24"/>
              </w:rPr>
            </w:pPr>
            <w:r>
              <w:rPr>
                <w:rFonts w:hint="eastAsia" w:ascii="宋体" w:hAnsi="宋体" w:cs="宋体"/>
                <w:sz w:val="24"/>
              </w:rPr>
              <w:t>1</w:t>
            </w:r>
          </w:p>
        </w:tc>
        <w:tc>
          <w:tcPr>
            <w:tcW w:w="0" w:type="auto"/>
            <w:tcBorders>
              <w:top w:val="single" w:color="auto" w:sz="4" w:space="0"/>
              <w:left w:val="nil"/>
              <w:bottom w:val="single" w:color="auto" w:sz="4" w:space="0"/>
              <w:right w:val="single" w:color="auto" w:sz="4" w:space="0"/>
            </w:tcBorders>
            <w:vAlign w:val="center"/>
          </w:tcPr>
          <w:p w14:paraId="5778B101">
            <w:pPr>
              <w:adjustRightInd w:val="0"/>
              <w:snapToGrid w:val="0"/>
              <w:spacing w:line="400" w:lineRule="exact"/>
              <w:jc w:val="center"/>
              <w:rPr>
                <w:rFonts w:ascii="宋体" w:hAnsi="宋体" w:cs="宋体"/>
                <w:sz w:val="24"/>
              </w:rPr>
            </w:pPr>
            <w:r>
              <w:rPr>
                <w:rFonts w:hint="eastAsia" w:ascii="宋体" w:hAnsi="宋体" w:cs="宋体"/>
                <w:sz w:val="24"/>
              </w:rPr>
              <w:t>线管、线盒</w:t>
            </w:r>
          </w:p>
        </w:tc>
        <w:tc>
          <w:tcPr>
            <w:tcW w:w="0" w:type="auto"/>
            <w:tcBorders>
              <w:top w:val="single" w:color="auto" w:sz="4" w:space="0"/>
              <w:left w:val="nil"/>
              <w:bottom w:val="single" w:color="auto" w:sz="4" w:space="0"/>
              <w:right w:val="single" w:color="auto" w:sz="4" w:space="0"/>
            </w:tcBorders>
            <w:vAlign w:val="center"/>
          </w:tcPr>
          <w:p w14:paraId="35CB1002">
            <w:pPr>
              <w:adjustRightInd w:val="0"/>
              <w:snapToGrid w:val="0"/>
              <w:spacing w:line="400" w:lineRule="exact"/>
              <w:jc w:val="center"/>
              <w:rPr>
                <w:rFonts w:ascii="宋体" w:hAnsi="宋体" w:cs="宋体"/>
                <w:sz w:val="24"/>
              </w:rPr>
            </w:pPr>
            <w:r>
              <w:rPr>
                <w:rFonts w:hint="eastAsia" w:ascii="宋体" w:hAnsi="宋体" w:cs="宋体"/>
                <w:sz w:val="24"/>
              </w:rPr>
              <w:t>公元、鸿雁、伟星</w:t>
            </w:r>
          </w:p>
        </w:tc>
        <w:tc>
          <w:tcPr>
            <w:tcW w:w="0" w:type="auto"/>
            <w:tcBorders>
              <w:top w:val="single" w:color="auto" w:sz="4" w:space="0"/>
              <w:left w:val="nil"/>
              <w:bottom w:val="single" w:color="auto" w:sz="4" w:space="0"/>
              <w:right w:val="single" w:color="auto" w:sz="4" w:space="0"/>
            </w:tcBorders>
            <w:vAlign w:val="center"/>
          </w:tcPr>
          <w:p w14:paraId="044F2BF1">
            <w:pPr>
              <w:adjustRightInd w:val="0"/>
              <w:snapToGrid w:val="0"/>
              <w:spacing w:line="400" w:lineRule="exact"/>
              <w:jc w:val="center"/>
              <w:rPr>
                <w:rFonts w:ascii="宋体" w:hAnsi="宋体" w:cs="宋体"/>
                <w:sz w:val="24"/>
              </w:rPr>
            </w:pPr>
          </w:p>
        </w:tc>
      </w:tr>
      <w:tr w14:paraId="7969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83269A">
            <w:pPr>
              <w:adjustRightInd w:val="0"/>
              <w:snapToGrid w:val="0"/>
              <w:spacing w:line="400" w:lineRule="exact"/>
              <w:jc w:val="center"/>
              <w:rPr>
                <w:rFonts w:ascii="宋体" w:hAnsi="宋体" w:cs="宋体"/>
                <w:sz w:val="24"/>
              </w:rPr>
            </w:pPr>
            <w:r>
              <w:rPr>
                <w:rFonts w:hint="eastAsia" w:ascii="宋体" w:hAnsi="宋体" w:cs="宋体"/>
                <w:sz w:val="24"/>
              </w:rPr>
              <w:t>2</w:t>
            </w:r>
          </w:p>
        </w:tc>
        <w:tc>
          <w:tcPr>
            <w:tcW w:w="0" w:type="auto"/>
            <w:tcBorders>
              <w:top w:val="single" w:color="auto" w:sz="4" w:space="0"/>
              <w:left w:val="nil"/>
              <w:bottom w:val="single" w:color="auto" w:sz="4" w:space="0"/>
              <w:right w:val="single" w:color="auto" w:sz="4" w:space="0"/>
            </w:tcBorders>
            <w:vAlign w:val="center"/>
          </w:tcPr>
          <w:p w14:paraId="79AE1977">
            <w:pPr>
              <w:adjustRightInd w:val="0"/>
              <w:snapToGrid w:val="0"/>
              <w:spacing w:line="400" w:lineRule="exact"/>
              <w:jc w:val="center"/>
              <w:rPr>
                <w:rFonts w:ascii="宋体" w:hAnsi="宋体" w:cs="宋体"/>
                <w:sz w:val="24"/>
              </w:rPr>
            </w:pPr>
            <w:r>
              <w:rPr>
                <w:rFonts w:hint="eastAsia" w:ascii="宋体" w:hAnsi="宋体" w:cs="宋体"/>
                <w:sz w:val="24"/>
              </w:rPr>
              <w:t>感应开关</w:t>
            </w:r>
          </w:p>
        </w:tc>
        <w:tc>
          <w:tcPr>
            <w:tcW w:w="0" w:type="auto"/>
            <w:tcBorders>
              <w:top w:val="single" w:color="auto" w:sz="4" w:space="0"/>
              <w:left w:val="nil"/>
              <w:bottom w:val="single" w:color="auto" w:sz="4" w:space="0"/>
              <w:right w:val="single" w:color="auto" w:sz="4" w:space="0"/>
            </w:tcBorders>
            <w:vAlign w:val="center"/>
          </w:tcPr>
          <w:p w14:paraId="65F33635">
            <w:pPr>
              <w:adjustRightInd w:val="0"/>
              <w:snapToGrid w:val="0"/>
              <w:spacing w:line="400" w:lineRule="exact"/>
              <w:jc w:val="center"/>
              <w:rPr>
                <w:rFonts w:ascii="宋体" w:hAnsi="宋体" w:cs="宋体"/>
                <w:sz w:val="24"/>
              </w:rPr>
            </w:pPr>
            <w:r>
              <w:rPr>
                <w:rFonts w:hint="eastAsia" w:ascii="宋体" w:hAnsi="宋体" w:cs="宋体"/>
                <w:sz w:val="24"/>
              </w:rPr>
              <w:t>西门子、施耐德、松下</w:t>
            </w:r>
          </w:p>
        </w:tc>
        <w:tc>
          <w:tcPr>
            <w:tcW w:w="0" w:type="auto"/>
            <w:tcBorders>
              <w:top w:val="single" w:color="auto" w:sz="4" w:space="0"/>
              <w:left w:val="nil"/>
              <w:bottom w:val="single" w:color="auto" w:sz="4" w:space="0"/>
              <w:right w:val="single" w:color="auto" w:sz="4" w:space="0"/>
            </w:tcBorders>
            <w:vAlign w:val="center"/>
          </w:tcPr>
          <w:p w14:paraId="5E6253FD">
            <w:pPr>
              <w:adjustRightInd w:val="0"/>
              <w:snapToGrid w:val="0"/>
              <w:spacing w:line="400" w:lineRule="exact"/>
              <w:jc w:val="center"/>
              <w:rPr>
                <w:rFonts w:ascii="宋体" w:hAnsi="宋体" w:cs="宋体"/>
                <w:sz w:val="24"/>
              </w:rPr>
            </w:pPr>
          </w:p>
        </w:tc>
      </w:tr>
      <w:tr w14:paraId="1F04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CD40A5C">
            <w:pPr>
              <w:adjustRightInd w:val="0"/>
              <w:snapToGrid w:val="0"/>
              <w:spacing w:line="400" w:lineRule="exact"/>
              <w:jc w:val="center"/>
              <w:rPr>
                <w:rFonts w:ascii="宋体" w:hAnsi="宋体" w:cs="宋体"/>
                <w:sz w:val="24"/>
              </w:rPr>
            </w:pPr>
            <w:r>
              <w:rPr>
                <w:rFonts w:hint="eastAsia" w:ascii="宋体" w:hAnsi="宋体" w:cs="宋体"/>
                <w:sz w:val="24"/>
              </w:rPr>
              <w:t>3</w:t>
            </w:r>
          </w:p>
        </w:tc>
        <w:tc>
          <w:tcPr>
            <w:tcW w:w="0" w:type="auto"/>
            <w:tcBorders>
              <w:top w:val="single" w:color="auto" w:sz="4" w:space="0"/>
              <w:left w:val="nil"/>
              <w:bottom w:val="single" w:color="auto" w:sz="4" w:space="0"/>
              <w:right w:val="single" w:color="auto" w:sz="4" w:space="0"/>
            </w:tcBorders>
            <w:vAlign w:val="center"/>
          </w:tcPr>
          <w:p w14:paraId="25F4750A">
            <w:pPr>
              <w:adjustRightInd w:val="0"/>
              <w:snapToGrid w:val="0"/>
              <w:spacing w:line="400" w:lineRule="exact"/>
              <w:jc w:val="center"/>
              <w:rPr>
                <w:rFonts w:ascii="宋体" w:hAnsi="宋体" w:cs="宋体"/>
                <w:sz w:val="24"/>
              </w:rPr>
            </w:pPr>
            <w:r>
              <w:rPr>
                <w:rFonts w:hint="eastAsia" w:ascii="宋体" w:hAnsi="宋体" w:cs="宋体"/>
                <w:sz w:val="24"/>
              </w:rPr>
              <w:t>灯具（户内）</w:t>
            </w:r>
          </w:p>
        </w:tc>
        <w:tc>
          <w:tcPr>
            <w:tcW w:w="0" w:type="auto"/>
            <w:tcBorders>
              <w:top w:val="single" w:color="auto" w:sz="4" w:space="0"/>
              <w:left w:val="nil"/>
              <w:bottom w:val="single" w:color="auto" w:sz="4" w:space="0"/>
              <w:right w:val="single" w:color="auto" w:sz="4" w:space="0"/>
            </w:tcBorders>
            <w:vAlign w:val="center"/>
          </w:tcPr>
          <w:p w14:paraId="781209BF">
            <w:pPr>
              <w:adjustRightInd w:val="0"/>
              <w:snapToGrid w:val="0"/>
              <w:spacing w:line="400" w:lineRule="exact"/>
              <w:jc w:val="center"/>
              <w:rPr>
                <w:rFonts w:ascii="宋体" w:hAnsi="宋体" w:cs="宋体"/>
                <w:sz w:val="24"/>
              </w:rPr>
            </w:pPr>
            <w:r>
              <w:rPr>
                <w:rFonts w:hint="eastAsia" w:ascii="宋体" w:hAnsi="宋体" w:cs="宋体"/>
                <w:sz w:val="24"/>
              </w:rPr>
              <w:t>松下、雷士、西顿</w:t>
            </w:r>
          </w:p>
        </w:tc>
        <w:tc>
          <w:tcPr>
            <w:tcW w:w="0" w:type="auto"/>
            <w:tcBorders>
              <w:top w:val="single" w:color="auto" w:sz="4" w:space="0"/>
              <w:left w:val="nil"/>
              <w:bottom w:val="single" w:color="auto" w:sz="4" w:space="0"/>
              <w:right w:val="single" w:color="auto" w:sz="4" w:space="0"/>
            </w:tcBorders>
            <w:vAlign w:val="center"/>
          </w:tcPr>
          <w:p w14:paraId="1BA218A9">
            <w:pPr>
              <w:adjustRightInd w:val="0"/>
              <w:snapToGrid w:val="0"/>
              <w:spacing w:line="400" w:lineRule="exact"/>
              <w:jc w:val="center"/>
              <w:rPr>
                <w:rFonts w:ascii="宋体" w:hAnsi="宋体" w:cs="宋体"/>
                <w:sz w:val="24"/>
              </w:rPr>
            </w:pPr>
          </w:p>
        </w:tc>
      </w:tr>
      <w:tr w14:paraId="262B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2CC4146">
            <w:pPr>
              <w:adjustRightInd w:val="0"/>
              <w:snapToGrid w:val="0"/>
              <w:spacing w:line="400" w:lineRule="exact"/>
              <w:jc w:val="center"/>
              <w:rPr>
                <w:rFonts w:ascii="宋体" w:hAnsi="宋体" w:cs="宋体"/>
                <w:sz w:val="24"/>
              </w:rPr>
            </w:pPr>
            <w:r>
              <w:rPr>
                <w:rFonts w:hint="eastAsia" w:ascii="宋体" w:hAnsi="宋体" w:cs="宋体"/>
                <w:sz w:val="24"/>
              </w:rPr>
              <w:t>4</w:t>
            </w:r>
          </w:p>
        </w:tc>
        <w:tc>
          <w:tcPr>
            <w:tcW w:w="0" w:type="auto"/>
            <w:tcBorders>
              <w:top w:val="single" w:color="auto" w:sz="4" w:space="0"/>
              <w:left w:val="nil"/>
              <w:bottom w:val="single" w:color="auto" w:sz="4" w:space="0"/>
              <w:right w:val="single" w:color="auto" w:sz="4" w:space="0"/>
            </w:tcBorders>
            <w:vAlign w:val="center"/>
          </w:tcPr>
          <w:p w14:paraId="7CC34806">
            <w:pPr>
              <w:adjustRightInd w:val="0"/>
              <w:snapToGrid w:val="0"/>
              <w:spacing w:line="400" w:lineRule="exact"/>
              <w:jc w:val="center"/>
              <w:rPr>
                <w:rFonts w:ascii="宋体" w:hAnsi="宋体" w:cs="宋体"/>
                <w:sz w:val="24"/>
              </w:rPr>
            </w:pPr>
            <w:r>
              <w:rPr>
                <w:rFonts w:hint="eastAsia" w:ascii="宋体" w:hAnsi="宋体" w:cs="宋体"/>
                <w:sz w:val="24"/>
              </w:rPr>
              <w:t>线缆</w:t>
            </w:r>
          </w:p>
        </w:tc>
        <w:tc>
          <w:tcPr>
            <w:tcW w:w="0" w:type="auto"/>
            <w:tcBorders>
              <w:top w:val="single" w:color="auto" w:sz="4" w:space="0"/>
              <w:left w:val="nil"/>
              <w:bottom w:val="single" w:color="auto" w:sz="4" w:space="0"/>
              <w:right w:val="single" w:color="auto" w:sz="4" w:space="0"/>
            </w:tcBorders>
            <w:vAlign w:val="center"/>
          </w:tcPr>
          <w:p w14:paraId="61B75818">
            <w:pPr>
              <w:adjustRightInd w:val="0"/>
              <w:snapToGrid w:val="0"/>
              <w:spacing w:line="400" w:lineRule="exact"/>
              <w:jc w:val="center"/>
              <w:rPr>
                <w:rFonts w:ascii="宋体" w:hAnsi="宋体" w:cs="宋体"/>
                <w:sz w:val="24"/>
              </w:rPr>
            </w:pPr>
            <w:r>
              <w:rPr>
                <w:rFonts w:hint="eastAsia" w:ascii="宋体" w:hAnsi="宋体" w:cs="宋体"/>
                <w:sz w:val="24"/>
              </w:rPr>
              <w:t>江扬、帝一、宝胜</w:t>
            </w:r>
          </w:p>
        </w:tc>
        <w:tc>
          <w:tcPr>
            <w:tcW w:w="0" w:type="auto"/>
            <w:tcBorders>
              <w:top w:val="single" w:color="auto" w:sz="4" w:space="0"/>
              <w:left w:val="nil"/>
              <w:bottom w:val="single" w:color="auto" w:sz="4" w:space="0"/>
              <w:right w:val="single" w:color="auto" w:sz="4" w:space="0"/>
            </w:tcBorders>
            <w:vAlign w:val="center"/>
          </w:tcPr>
          <w:p w14:paraId="125CBC70">
            <w:pPr>
              <w:adjustRightInd w:val="0"/>
              <w:snapToGrid w:val="0"/>
              <w:spacing w:line="400" w:lineRule="exact"/>
              <w:jc w:val="center"/>
              <w:rPr>
                <w:rFonts w:ascii="宋体" w:hAnsi="宋体" w:cs="宋体"/>
                <w:sz w:val="24"/>
              </w:rPr>
            </w:pPr>
          </w:p>
        </w:tc>
      </w:tr>
      <w:tr w14:paraId="1870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99FB80">
            <w:pPr>
              <w:spacing w:line="360" w:lineRule="auto"/>
              <w:jc w:val="center"/>
              <w:rPr>
                <w:rFonts w:ascii="宋体" w:hAnsi="宋体" w:cs="宋体"/>
                <w:sz w:val="24"/>
              </w:rPr>
            </w:pPr>
            <w:r>
              <w:rPr>
                <w:rFonts w:hint="eastAsia" w:ascii="宋体" w:hAnsi="宋体" w:cs="宋体"/>
                <w:sz w:val="24"/>
              </w:rPr>
              <w:t>5</w:t>
            </w:r>
          </w:p>
        </w:tc>
        <w:tc>
          <w:tcPr>
            <w:tcW w:w="0" w:type="auto"/>
            <w:tcBorders>
              <w:top w:val="single" w:color="auto" w:sz="4" w:space="0"/>
              <w:left w:val="nil"/>
              <w:bottom w:val="single" w:color="auto" w:sz="4" w:space="0"/>
              <w:right w:val="single" w:color="auto" w:sz="4" w:space="0"/>
            </w:tcBorders>
            <w:vAlign w:val="center"/>
          </w:tcPr>
          <w:p w14:paraId="4CED0BB0">
            <w:pPr>
              <w:adjustRightInd w:val="0"/>
              <w:snapToGrid w:val="0"/>
              <w:spacing w:line="440" w:lineRule="exact"/>
              <w:jc w:val="center"/>
              <w:rPr>
                <w:rFonts w:ascii="宋体" w:hAnsi="宋体" w:cs="宋体"/>
                <w:sz w:val="24"/>
              </w:rPr>
            </w:pPr>
            <w:r>
              <w:rPr>
                <w:rFonts w:hint="eastAsia" w:ascii="宋体" w:hAnsi="宋体" w:cs="宋体"/>
                <w:sz w:val="24"/>
              </w:rPr>
              <w:t>开关、插座</w:t>
            </w:r>
          </w:p>
        </w:tc>
        <w:tc>
          <w:tcPr>
            <w:tcW w:w="0" w:type="auto"/>
            <w:tcBorders>
              <w:top w:val="single" w:color="auto" w:sz="4" w:space="0"/>
              <w:left w:val="nil"/>
              <w:bottom w:val="single" w:color="auto" w:sz="4" w:space="0"/>
              <w:right w:val="single" w:color="auto" w:sz="4" w:space="0"/>
            </w:tcBorders>
            <w:vAlign w:val="center"/>
          </w:tcPr>
          <w:p w14:paraId="7706A6C9">
            <w:pPr>
              <w:adjustRightInd w:val="0"/>
              <w:snapToGrid w:val="0"/>
              <w:spacing w:line="320" w:lineRule="exact"/>
              <w:jc w:val="center"/>
              <w:rPr>
                <w:rFonts w:ascii="宋体" w:hAnsi="宋体" w:cs="宋体"/>
                <w:sz w:val="24"/>
              </w:rPr>
            </w:pPr>
            <w:r>
              <w:rPr>
                <w:rFonts w:hint="eastAsia" w:ascii="宋体" w:hAnsi="宋体" w:cs="宋体"/>
                <w:sz w:val="24"/>
              </w:rPr>
              <w:t>施耐德、松下、西门子、企一</w:t>
            </w:r>
          </w:p>
        </w:tc>
        <w:tc>
          <w:tcPr>
            <w:tcW w:w="0" w:type="auto"/>
            <w:tcBorders>
              <w:top w:val="single" w:color="auto" w:sz="4" w:space="0"/>
              <w:left w:val="nil"/>
              <w:bottom w:val="single" w:color="auto" w:sz="4" w:space="0"/>
              <w:right w:val="single" w:color="auto" w:sz="4" w:space="0"/>
            </w:tcBorders>
            <w:vAlign w:val="center"/>
          </w:tcPr>
          <w:p w14:paraId="2DD56E78">
            <w:pPr>
              <w:spacing w:line="360" w:lineRule="auto"/>
              <w:jc w:val="center"/>
              <w:rPr>
                <w:rFonts w:ascii="宋体" w:hAnsi="宋体" w:cs="宋体"/>
                <w:sz w:val="24"/>
              </w:rPr>
            </w:pPr>
          </w:p>
        </w:tc>
      </w:tr>
      <w:tr w14:paraId="768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9EADA07">
            <w:pPr>
              <w:adjustRightInd w:val="0"/>
              <w:snapToGrid w:val="0"/>
              <w:spacing w:line="440" w:lineRule="exact"/>
              <w:jc w:val="center"/>
              <w:rPr>
                <w:rFonts w:ascii="宋体" w:hAnsi="宋体" w:cs="宋体"/>
                <w:sz w:val="24"/>
              </w:rPr>
            </w:pPr>
            <w:r>
              <w:rPr>
                <w:rFonts w:hint="eastAsia" w:ascii="宋体" w:hAnsi="宋体" w:cs="宋体"/>
                <w:sz w:val="24"/>
              </w:rPr>
              <w:t>6</w:t>
            </w:r>
          </w:p>
        </w:tc>
        <w:tc>
          <w:tcPr>
            <w:tcW w:w="0" w:type="auto"/>
            <w:tcBorders>
              <w:top w:val="single" w:color="auto" w:sz="4" w:space="0"/>
              <w:left w:val="nil"/>
              <w:bottom w:val="single" w:color="auto" w:sz="4" w:space="0"/>
              <w:right w:val="single" w:color="auto" w:sz="4" w:space="0"/>
            </w:tcBorders>
            <w:vAlign w:val="center"/>
          </w:tcPr>
          <w:p w14:paraId="060FBD40">
            <w:pPr>
              <w:adjustRightInd w:val="0"/>
              <w:snapToGrid w:val="0"/>
              <w:spacing w:line="440" w:lineRule="exact"/>
              <w:jc w:val="center"/>
              <w:rPr>
                <w:rFonts w:ascii="宋体" w:hAnsi="宋体" w:cs="宋体"/>
                <w:sz w:val="24"/>
              </w:rPr>
            </w:pPr>
            <w:r>
              <w:rPr>
                <w:rFonts w:hint="eastAsia" w:ascii="宋体" w:hAnsi="宋体" w:cs="宋体"/>
                <w:sz w:val="24"/>
              </w:rPr>
              <w:t>给、排水管</w:t>
            </w:r>
          </w:p>
        </w:tc>
        <w:tc>
          <w:tcPr>
            <w:tcW w:w="0" w:type="auto"/>
            <w:tcBorders>
              <w:top w:val="single" w:color="auto" w:sz="4" w:space="0"/>
              <w:left w:val="nil"/>
              <w:bottom w:val="single" w:color="auto" w:sz="4" w:space="0"/>
              <w:right w:val="single" w:color="auto" w:sz="4" w:space="0"/>
            </w:tcBorders>
            <w:vAlign w:val="center"/>
          </w:tcPr>
          <w:p w14:paraId="6FBA791C">
            <w:pPr>
              <w:adjustRightInd w:val="0"/>
              <w:snapToGrid w:val="0"/>
              <w:spacing w:line="440" w:lineRule="exact"/>
              <w:jc w:val="center"/>
              <w:rPr>
                <w:rFonts w:ascii="宋体" w:hAnsi="宋体" w:cs="宋体"/>
                <w:sz w:val="24"/>
              </w:rPr>
            </w:pPr>
            <w:r>
              <w:rPr>
                <w:rFonts w:hint="eastAsia" w:ascii="宋体" w:hAnsi="宋体" w:cs="宋体"/>
                <w:sz w:val="24"/>
              </w:rPr>
              <w:t>中财、公元、伟星</w:t>
            </w:r>
          </w:p>
        </w:tc>
        <w:tc>
          <w:tcPr>
            <w:tcW w:w="0" w:type="auto"/>
            <w:tcBorders>
              <w:top w:val="single" w:color="auto" w:sz="4" w:space="0"/>
              <w:left w:val="nil"/>
              <w:bottom w:val="single" w:color="auto" w:sz="4" w:space="0"/>
              <w:right w:val="single" w:color="auto" w:sz="4" w:space="0"/>
            </w:tcBorders>
            <w:vAlign w:val="center"/>
          </w:tcPr>
          <w:p w14:paraId="4C1E142D">
            <w:pPr>
              <w:adjustRightInd w:val="0"/>
              <w:snapToGrid w:val="0"/>
              <w:spacing w:line="440" w:lineRule="exact"/>
              <w:jc w:val="center"/>
              <w:rPr>
                <w:rFonts w:ascii="宋体" w:hAnsi="宋体" w:cs="宋体"/>
                <w:sz w:val="24"/>
              </w:rPr>
            </w:pPr>
          </w:p>
        </w:tc>
      </w:tr>
      <w:tr w14:paraId="3B1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1F477EF">
            <w:pPr>
              <w:adjustRightInd w:val="0"/>
              <w:snapToGrid w:val="0"/>
              <w:spacing w:line="440" w:lineRule="exact"/>
              <w:jc w:val="center"/>
              <w:rPr>
                <w:rFonts w:ascii="宋体" w:hAnsi="宋体" w:cs="宋体"/>
                <w:sz w:val="24"/>
              </w:rPr>
            </w:pPr>
            <w:r>
              <w:rPr>
                <w:rFonts w:hint="eastAsia" w:ascii="宋体" w:hAnsi="宋体" w:cs="宋体"/>
                <w:sz w:val="24"/>
              </w:rPr>
              <w:t>7</w:t>
            </w:r>
          </w:p>
        </w:tc>
        <w:tc>
          <w:tcPr>
            <w:tcW w:w="0" w:type="auto"/>
            <w:tcBorders>
              <w:top w:val="single" w:color="auto" w:sz="4" w:space="0"/>
              <w:left w:val="nil"/>
              <w:bottom w:val="single" w:color="auto" w:sz="4" w:space="0"/>
              <w:right w:val="single" w:color="auto" w:sz="4" w:space="0"/>
            </w:tcBorders>
            <w:vAlign w:val="center"/>
          </w:tcPr>
          <w:p w14:paraId="70F37AE7">
            <w:pPr>
              <w:adjustRightInd w:val="0"/>
              <w:snapToGrid w:val="0"/>
              <w:spacing w:line="440" w:lineRule="exact"/>
              <w:jc w:val="center"/>
              <w:rPr>
                <w:rFonts w:ascii="宋体" w:hAnsi="宋体" w:cs="宋体"/>
                <w:sz w:val="24"/>
              </w:rPr>
            </w:pPr>
            <w:r>
              <w:rPr>
                <w:rFonts w:hint="eastAsia" w:ascii="宋体" w:hAnsi="宋体" w:cs="宋体"/>
                <w:sz w:val="24"/>
              </w:rPr>
              <w:t>橡塑保温棉/玻璃棉</w:t>
            </w:r>
          </w:p>
        </w:tc>
        <w:tc>
          <w:tcPr>
            <w:tcW w:w="0" w:type="auto"/>
            <w:tcBorders>
              <w:top w:val="single" w:color="auto" w:sz="4" w:space="0"/>
              <w:left w:val="nil"/>
              <w:bottom w:val="single" w:color="auto" w:sz="4" w:space="0"/>
              <w:right w:val="single" w:color="auto" w:sz="4" w:space="0"/>
            </w:tcBorders>
            <w:vAlign w:val="center"/>
          </w:tcPr>
          <w:p w14:paraId="084C0C8C">
            <w:pPr>
              <w:adjustRightInd w:val="0"/>
              <w:snapToGrid w:val="0"/>
              <w:spacing w:line="440" w:lineRule="exact"/>
              <w:jc w:val="center"/>
              <w:rPr>
                <w:rFonts w:ascii="宋体" w:hAnsi="宋体" w:cs="宋体"/>
                <w:sz w:val="24"/>
              </w:rPr>
            </w:pPr>
            <w:r>
              <w:rPr>
                <w:rFonts w:hint="eastAsia" w:ascii="宋体" w:hAnsi="宋体" w:cs="宋体"/>
                <w:sz w:val="24"/>
              </w:rPr>
              <w:t>赢胜、福乐斯、欧文斯</w:t>
            </w:r>
          </w:p>
        </w:tc>
        <w:tc>
          <w:tcPr>
            <w:tcW w:w="0" w:type="auto"/>
            <w:tcBorders>
              <w:top w:val="single" w:color="auto" w:sz="4" w:space="0"/>
              <w:left w:val="nil"/>
              <w:bottom w:val="single" w:color="auto" w:sz="4" w:space="0"/>
              <w:right w:val="single" w:color="auto" w:sz="4" w:space="0"/>
            </w:tcBorders>
            <w:vAlign w:val="center"/>
          </w:tcPr>
          <w:p w14:paraId="6780CB74">
            <w:pPr>
              <w:adjustRightInd w:val="0"/>
              <w:snapToGrid w:val="0"/>
              <w:spacing w:line="440" w:lineRule="exact"/>
              <w:jc w:val="center"/>
              <w:rPr>
                <w:rFonts w:ascii="宋体" w:hAnsi="宋体" w:cs="宋体"/>
                <w:sz w:val="24"/>
              </w:rPr>
            </w:pPr>
          </w:p>
        </w:tc>
      </w:tr>
      <w:tr w14:paraId="41F7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4EB233B">
            <w:pPr>
              <w:adjustRightInd w:val="0"/>
              <w:snapToGrid w:val="0"/>
              <w:spacing w:line="440" w:lineRule="exact"/>
              <w:jc w:val="center"/>
              <w:rPr>
                <w:rFonts w:ascii="宋体" w:hAnsi="宋体" w:cs="宋体"/>
                <w:sz w:val="24"/>
              </w:rPr>
            </w:pPr>
            <w:r>
              <w:rPr>
                <w:rFonts w:hint="eastAsia" w:ascii="宋体" w:hAnsi="宋体" w:cs="宋体"/>
                <w:sz w:val="24"/>
              </w:rPr>
              <w:t>8</w:t>
            </w:r>
          </w:p>
        </w:tc>
        <w:tc>
          <w:tcPr>
            <w:tcW w:w="0" w:type="auto"/>
            <w:tcBorders>
              <w:top w:val="single" w:color="auto" w:sz="4" w:space="0"/>
              <w:left w:val="nil"/>
              <w:bottom w:val="single" w:color="auto" w:sz="4" w:space="0"/>
              <w:right w:val="single" w:color="auto" w:sz="4" w:space="0"/>
            </w:tcBorders>
            <w:vAlign w:val="center"/>
          </w:tcPr>
          <w:p w14:paraId="7D881A51">
            <w:pPr>
              <w:adjustRightInd w:val="0"/>
              <w:snapToGrid w:val="0"/>
              <w:spacing w:line="440" w:lineRule="exact"/>
              <w:jc w:val="center"/>
              <w:rPr>
                <w:rFonts w:ascii="宋体" w:hAnsi="宋体" w:cs="宋体"/>
                <w:sz w:val="24"/>
              </w:rPr>
            </w:pPr>
            <w:r>
              <w:rPr>
                <w:rFonts w:hint="eastAsia" w:ascii="宋体" w:hAnsi="宋体" w:cs="宋体"/>
                <w:sz w:val="24"/>
              </w:rPr>
              <w:t>变压器</w:t>
            </w:r>
          </w:p>
        </w:tc>
        <w:tc>
          <w:tcPr>
            <w:tcW w:w="0" w:type="auto"/>
            <w:tcBorders>
              <w:top w:val="single" w:color="auto" w:sz="4" w:space="0"/>
              <w:left w:val="nil"/>
              <w:bottom w:val="single" w:color="auto" w:sz="4" w:space="0"/>
              <w:right w:val="single" w:color="auto" w:sz="4" w:space="0"/>
            </w:tcBorders>
            <w:vAlign w:val="center"/>
          </w:tcPr>
          <w:p w14:paraId="4D212A8B">
            <w:pPr>
              <w:adjustRightInd w:val="0"/>
              <w:snapToGrid w:val="0"/>
              <w:spacing w:line="440" w:lineRule="exact"/>
              <w:jc w:val="center"/>
              <w:rPr>
                <w:rFonts w:ascii="宋体" w:hAnsi="宋体" w:cs="宋体"/>
                <w:sz w:val="24"/>
              </w:rPr>
            </w:pPr>
            <w:r>
              <w:rPr>
                <w:rFonts w:hint="eastAsia" w:ascii="宋体" w:hAnsi="宋体" w:cs="宋体"/>
                <w:sz w:val="24"/>
              </w:rPr>
              <w:t>大全、顺德、许继</w:t>
            </w:r>
          </w:p>
        </w:tc>
        <w:tc>
          <w:tcPr>
            <w:tcW w:w="0" w:type="auto"/>
            <w:tcBorders>
              <w:top w:val="single" w:color="auto" w:sz="4" w:space="0"/>
              <w:left w:val="nil"/>
              <w:bottom w:val="single" w:color="auto" w:sz="4" w:space="0"/>
              <w:right w:val="single" w:color="auto" w:sz="4" w:space="0"/>
            </w:tcBorders>
            <w:vAlign w:val="center"/>
          </w:tcPr>
          <w:p w14:paraId="53670BBD">
            <w:pPr>
              <w:adjustRightInd w:val="0"/>
              <w:snapToGrid w:val="0"/>
              <w:spacing w:line="440" w:lineRule="exact"/>
              <w:jc w:val="center"/>
              <w:rPr>
                <w:rFonts w:ascii="宋体" w:hAnsi="宋体" w:cs="宋体"/>
                <w:sz w:val="24"/>
              </w:rPr>
            </w:pPr>
          </w:p>
        </w:tc>
      </w:tr>
      <w:tr w14:paraId="2596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402F067">
            <w:pPr>
              <w:adjustRightInd w:val="0"/>
              <w:snapToGrid w:val="0"/>
              <w:spacing w:line="440" w:lineRule="exact"/>
              <w:jc w:val="center"/>
              <w:rPr>
                <w:rFonts w:ascii="宋体" w:hAnsi="宋体" w:cs="宋体"/>
                <w:sz w:val="24"/>
              </w:rPr>
            </w:pPr>
            <w:r>
              <w:rPr>
                <w:rFonts w:hint="eastAsia" w:ascii="宋体" w:hAnsi="宋体" w:cs="宋体"/>
                <w:sz w:val="24"/>
              </w:rPr>
              <w:t>9</w:t>
            </w:r>
          </w:p>
        </w:tc>
        <w:tc>
          <w:tcPr>
            <w:tcW w:w="0" w:type="auto"/>
            <w:tcBorders>
              <w:top w:val="single" w:color="auto" w:sz="4" w:space="0"/>
              <w:left w:val="nil"/>
              <w:bottom w:val="single" w:color="auto" w:sz="4" w:space="0"/>
              <w:right w:val="single" w:color="auto" w:sz="4" w:space="0"/>
            </w:tcBorders>
            <w:vAlign w:val="center"/>
          </w:tcPr>
          <w:p w14:paraId="50C06A86">
            <w:pPr>
              <w:adjustRightInd w:val="0"/>
              <w:snapToGrid w:val="0"/>
              <w:spacing w:line="440" w:lineRule="exact"/>
              <w:jc w:val="center"/>
              <w:rPr>
                <w:rFonts w:ascii="宋体" w:hAnsi="宋体" w:cs="宋体"/>
                <w:sz w:val="24"/>
              </w:rPr>
            </w:pPr>
            <w:r>
              <w:rPr>
                <w:rFonts w:hint="eastAsia" w:ascii="宋体" w:hAnsi="宋体" w:cs="宋体"/>
                <w:sz w:val="24"/>
              </w:rPr>
              <w:t>模数化配电箱</w:t>
            </w:r>
          </w:p>
        </w:tc>
        <w:tc>
          <w:tcPr>
            <w:tcW w:w="0" w:type="auto"/>
            <w:tcBorders>
              <w:top w:val="single" w:color="auto" w:sz="4" w:space="0"/>
              <w:left w:val="nil"/>
              <w:bottom w:val="single" w:color="auto" w:sz="4" w:space="0"/>
              <w:right w:val="single" w:color="auto" w:sz="4" w:space="0"/>
            </w:tcBorders>
            <w:vAlign w:val="center"/>
          </w:tcPr>
          <w:p w14:paraId="6F932614">
            <w:pPr>
              <w:adjustRightInd w:val="0"/>
              <w:snapToGrid w:val="0"/>
              <w:spacing w:line="440" w:lineRule="exact"/>
              <w:jc w:val="center"/>
              <w:rPr>
                <w:rFonts w:ascii="宋体" w:hAnsi="宋体" w:cs="宋体"/>
                <w:sz w:val="24"/>
              </w:rPr>
            </w:pPr>
            <w:r>
              <w:rPr>
                <w:rFonts w:hint="eastAsia" w:ascii="宋体" w:hAnsi="宋体" w:cs="宋体"/>
                <w:sz w:val="24"/>
              </w:rPr>
              <w:t>西门子、施耐德、ABB、</w:t>
            </w:r>
          </w:p>
        </w:tc>
        <w:tc>
          <w:tcPr>
            <w:tcW w:w="0" w:type="auto"/>
            <w:tcBorders>
              <w:top w:val="single" w:color="auto" w:sz="4" w:space="0"/>
              <w:left w:val="nil"/>
              <w:bottom w:val="single" w:color="auto" w:sz="4" w:space="0"/>
              <w:right w:val="single" w:color="auto" w:sz="4" w:space="0"/>
            </w:tcBorders>
            <w:vAlign w:val="center"/>
          </w:tcPr>
          <w:p w14:paraId="34752043">
            <w:pPr>
              <w:adjustRightInd w:val="0"/>
              <w:snapToGrid w:val="0"/>
              <w:spacing w:line="440" w:lineRule="exact"/>
              <w:jc w:val="center"/>
              <w:rPr>
                <w:rFonts w:ascii="宋体" w:hAnsi="宋体" w:cs="宋体"/>
                <w:sz w:val="24"/>
              </w:rPr>
            </w:pPr>
          </w:p>
        </w:tc>
      </w:tr>
      <w:tr w14:paraId="7FE0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FD5CF62">
            <w:pPr>
              <w:adjustRightInd w:val="0"/>
              <w:snapToGrid w:val="0"/>
              <w:spacing w:line="440" w:lineRule="exact"/>
              <w:jc w:val="center"/>
              <w:rPr>
                <w:rFonts w:ascii="宋体" w:hAnsi="宋体" w:cs="宋体"/>
                <w:sz w:val="24"/>
              </w:rPr>
            </w:pPr>
            <w:r>
              <w:rPr>
                <w:rFonts w:hint="eastAsia" w:ascii="宋体" w:hAnsi="宋体" w:cs="宋体"/>
                <w:sz w:val="24"/>
              </w:rPr>
              <w:t>10</w:t>
            </w:r>
          </w:p>
        </w:tc>
        <w:tc>
          <w:tcPr>
            <w:tcW w:w="0" w:type="auto"/>
            <w:tcBorders>
              <w:top w:val="single" w:color="auto" w:sz="4" w:space="0"/>
              <w:left w:val="nil"/>
              <w:bottom w:val="single" w:color="auto" w:sz="4" w:space="0"/>
              <w:right w:val="single" w:color="auto" w:sz="4" w:space="0"/>
            </w:tcBorders>
            <w:vAlign w:val="center"/>
          </w:tcPr>
          <w:p w14:paraId="2328D3CB">
            <w:pPr>
              <w:adjustRightInd w:val="0"/>
              <w:snapToGrid w:val="0"/>
              <w:spacing w:line="440" w:lineRule="exact"/>
              <w:jc w:val="center"/>
              <w:rPr>
                <w:rFonts w:ascii="宋体" w:hAnsi="宋体" w:cs="宋体"/>
                <w:sz w:val="24"/>
              </w:rPr>
            </w:pPr>
            <w:r>
              <w:rPr>
                <w:rFonts w:hint="eastAsia" w:ascii="宋体" w:hAnsi="宋体" w:cs="宋体"/>
                <w:sz w:val="24"/>
              </w:rPr>
              <w:t>断路器、接触器、隔离开关</w:t>
            </w:r>
          </w:p>
        </w:tc>
        <w:tc>
          <w:tcPr>
            <w:tcW w:w="0" w:type="auto"/>
            <w:tcBorders>
              <w:top w:val="single" w:color="auto" w:sz="4" w:space="0"/>
              <w:left w:val="nil"/>
              <w:bottom w:val="single" w:color="auto" w:sz="4" w:space="0"/>
              <w:right w:val="single" w:color="auto" w:sz="4" w:space="0"/>
            </w:tcBorders>
            <w:vAlign w:val="center"/>
          </w:tcPr>
          <w:p w14:paraId="44E58520">
            <w:pPr>
              <w:adjustRightInd w:val="0"/>
              <w:snapToGrid w:val="0"/>
              <w:spacing w:line="440" w:lineRule="exact"/>
              <w:jc w:val="center"/>
              <w:rPr>
                <w:rFonts w:ascii="宋体" w:hAnsi="宋体" w:cs="宋体"/>
                <w:sz w:val="24"/>
              </w:rPr>
            </w:pPr>
            <w:r>
              <w:rPr>
                <w:rFonts w:hint="eastAsia" w:ascii="宋体" w:hAnsi="宋体" w:cs="宋体"/>
                <w:sz w:val="24"/>
              </w:rPr>
              <w:t>西门子、ABB、施耐德</w:t>
            </w:r>
          </w:p>
        </w:tc>
        <w:tc>
          <w:tcPr>
            <w:tcW w:w="0" w:type="auto"/>
            <w:tcBorders>
              <w:top w:val="single" w:color="auto" w:sz="4" w:space="0"/>
              <w:left w:val="nil"/>
              <w:bottom w:val="single" w:color="auto" w:sz="4" w:space="0"/>
              <w:right w:val="single" w:color="auto" w:sz="4" w:space="0"/>
            </w:tcBorders>
            <w:vAlign w:val="center"/>
          </w:tcPr>
          <w:p w14:paraId="211DE772">
            <w:pPr>
              <w:adjustRightInd w:val="0"/>
              <w:snapToGrid w:val="0"/>
              <w:spacing w:line="440" w:lineRule="exact"/>
              <w:jc w:val="center"/>
              <w:rPr>
                <w:rFonts w:ascii="宋体" w:hAnsi="宋体" w:cs="宋体"/>
                <w:sz w:val="24"/>
              </w:rPr>
            </w:pPr>
          </w:p>
        </w:tc>
      </w:tr>
      <w:tr w14:paraId="19FA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FA6AF8D">
            <w:pPr>
              <w:adjustRightInd w:val="0"/>
              <w:snapToGrid w:val="0"/>
              <w:spacing w:line="440" w:lineRule="exact"/>
              <w:jc w:val="center"/>
              <w:rPr>
                <w:rFonts w:ascii="宋体" w:hAnsi="宋体" w:cs="宋体"/>
                <w:sz w:val="24"/>
              </w:rPr>
            </w:pPr>
            <w:r>
              <w:rPr>
                <w:rFonts w:hint="eastAsia" w:ascii="宋体" w:hAnsi="宋体" w:cs="宋体"/>
                <w:sz w:val="24"/>
              </w:rPr>
              <w:t>11</w:t>
            </w:r>
          </w:p>
        </w:tc>
        <w:tc>
          <w:tcPr>
            <w:tcW w:w="0" w:type="auto"/>
            <w:tcBorders>
              <w:top w:val="single" w:color="auto" w:sz="4" w:space="0"/>
              <w:left w:val="nil"/>
              <w:bottom w:val="single" w:color="auto" w:sz="4" w:space="0"/>
              <w:right w:val="single" w:color="auto" w:sz="4" w:space="0"/>
            </w:tcBorders>
            <w:vAlign w:val="center"/>
          </w:tcPr>
          <w:p w14:paraId="78385BB2">
            <w:pPr>
              <w:adjustRightInd w:val="0"/>
              <w:snapToGrid w:val="0"/>
              <w:spacing w:line="440" w:lineRule="exact"/>
              <w:jc w:val="center"/>
              <w:rPr>
                <w:rFonts w:ascii="宋体" w:hAnsi="宋体" w:cs="宋体"/>
                <w:sz w:val="24"/>
              </w:rPr>
            </w:pPr>
            <w:r>
              <w:rPr>
                <w:rFonts w:hint="eastAsia" w:ascii="宋体" w:hAnsi="宋体" w:cs="宋体"/>
                <w:sz w:val="24"/>
              </w:rPr>
              <w:t>喷淋头</w:t>
            </w:r>
          </w:p>
        </w:tc>
        <w:tc>
          <w:tcPr>
            <w:tcW w:w="0" w:type="auto"/>
            <w:tcBorders>
              <w:top w:val="single" w:color="auto" w:sz="4" w:space="0"/>
              <w:left w:val="nil"/>
              <w:bottom w:val="single" w:color="auto" w:sz="4" w:space="0"/>
              <w:right w:val="single" w:color="auto" w:sz="4" w:space="0"/>
            </w:tcBorders>
            <w:vAlign w:val="center"/>
          </w:tcPr>
          <w:p w14:paraId="125DE10D">
            <w:pPr>
              <w:adjustRightInd w:val="0"/>
              <w:snapToGrid w:val="0"/>
              <w:spacing w:line="440" w:lineRule="exact"/>
              <w:jc w:val="center"/>
              <w:rPr>
                <w:rFonts w:ascii="宋体" w:hAnsi="宋体" w:cs="宋体"/>
                <w:sz w:val="24"/>
              </w:rPr>
            </w:pPr>
            <w:r>
              <w:rPr>
                <w:rFonts w:hint="eastAsia" w:ascii="宋体" w:hAnsi="宋体" w:cs="宋体"/>
                <w:sz w:val="24"/>
              </w:rPr>
              <w:t>金枪鱼、金盾、川消</w:t>
            </w:r>
          </w:p>
        </w:tc>
        <w:tc>
          <w:tcPr>
            <w:tcW w:w="0" w:type="auto"/>
            <w:tcBorders>
              <w:top w:val="single" w:color="auto" w:sz="4" w:space="0"/>
              <w:left w:val="nil"/>
              <w:bottom w:val="single" w:color="auto" w:sz="4" w:space="0"/>
              <w:right w:val="single" w:color="auto" w:sz="4" w:space="0"/>
            </w:tcBorders>
            <w:vAlign w:val="center"/>
          </w:tcPr>
          <w:p w14:paraId="518F01C1">
            <w:pPr>
              <w:adjustRightInd w:val="0"/>
              <w:snapToGrid w:val="0"/>
              <w:spacing w:line="440" w:lineRule="exact"/>
              <w:jc w:val="center"/>
              <w:rPr>
                <w:rFonts w:ascii="宋体" w:hAnsi="宋体" w:cs="宋体"/>
                <w:sz w:val="24"/>
              </w:rPr>
            </w:pPr>
          </w:p>
        </w:tc>
      </w:tr>
      <w:tr w14:paraId="0783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2CDF808">
            <w:pPr>
              <w:adjustRightInd w:val="0"/>
              <w:snapToGrid w:val="0"/>
              <w:spacing w:line="440" w:lineRule="exact"/>
              <w:jc w:val="center"/>
              <w:rPr>
                <w:rFonts w:ascii="宋体" w:hAnsi="宋体" w:cs="宋体"/>
                <w:sz w:val="24"/>
              </w:rPr>
            </w:pPr>
            <w:r>
              <w:rPr>
                <w:rFonts w:hint="eastAsia" w:ascii="宋体" w:hAnsi="宋体" w:cs="宋体"/>
                <w:sz w:val="24"/>
              </w:rPr>
              <w:t>12</w:t>
            </w:r>
          </w:p>
        </w:tc>
        <w:tc>
          <w:tcPr>
            <w:tcW w:w="0" w:type="auto"/>
            <w:tcBorders>
              <w:top w:val="single" w:color="auto" w:sz="4" w:space="0"/>
              <w:left w:val="nil"/>
              <w:bottom w:val="single" w:color="auto" w:sz="4" w:space="0"/>
              <w:right w:val="single" w:color="auto" w:sz="4" w:space="0"/>
            </w:tcBorders>
            <w:vAlign w:val="center"/>
          </w:tcPr>
          <w:p w14:paraId="0634CA6F">
            <w:pPr>
              <w:adjustRightInd w:val="0"/>
              <w:snapToGrid w:val="0"/>
              <w:spacing w:line="440" w:lineRule="exact"/>
              <w:jc w:val="center"/>
              <w:rPr>
                <w:rFonts w:ascii="宋体" w:hAnsi="宋体" w:cs="宋体"/>
                <w:sz w:val="24"/>
              </w:rPr>
            </w:pPr>
            <w:r>
              <w:rPr>
                <w:rFonts w:hint="eastAsia" w:ascii="宋体" w:hAnsi="宋体" w:cs="宋体"/>
                <w:sz w:val="24"/>
              </w:rPr>
              <w:t>马桶、蹲坑、小便斗、面盆、龙头、淋浴器</w:t>
            </w:r>
          </w:p>
        </w:tc>
        <w:tc>
          <w:tcPr>
            <w:tcW w:w="0" w:type="auto"/>
            <w:tcBorders>
              <w:top w:val="single" w:color="auto" w:sz="4" w:space="0"/>
              <w:left w:val="nil"/>
              <w:bottom w:val="single" w:color="auto" w:sz="4" w:space="0"/>
              <w:right w:val="single" w:color="auto" w:sz="4" w:space="0"/>
            </w:tcBorders>
            <w:vAlign w:val="center"/>
          </w:tcPr>
          <w:p w14:paraId="5B83FBA4">
            <w:pPr>
              <w:adjustRightInd w:val="0"/>
              <w:snapToGrid w:val="0"/>
              <w:spacing w:line="440" w:lineRule="exact"/>
              <w:jc w:val="center"/>
              <w:rPr>
                <w:rFonts w:ascii="宋体" w:hAnsi="宋体" w:cs="宋体"/>
                <w:sz w:val="24"/>
              </w:rPr>
            </w:pPr>
            <w:r>
              <w:rPr>
                <w:rFonts w:hint="eastAsia" w:ascii="宋体" w:hAnsi="宋体" w:cs="宋体"/>
                <w:sz w:val="24"/>
              </w:rPr>
              <w:t>箭牌、吉事多、恒洁</w:t>
            </w:r>
          </w:p>
        </w:tc>
        <w:tc>
          <w:tcPr>
            <w:tcW w:w="0" w:type="auto"/>
            <w:tcBorders>
              <w:top w:val="single" w:color="auto" w:sz="4" w:space="0"/>
              <w:left w:val="nil"/>
              <w:bottom w:val="single" w:color="auto" w:sz="4" w:space="0"/>
              <w:right w:val="single" w:color="auto" w:sz="4" w:space="0"/>
            </w:tcBorders>
            <w:vAlign w:val="center"/>
          </w:tcPr>
          <w:p w14:paraId="01CA814E">
            <w:pPr>
              <w:adjustRightInd w:val="0"/>
              <w:snapToGrid w:val="0"/>
              <w:spacing w:line="440" w:lineRule="exact"/>
              <w:jc w:val="center"/>
              <w:rPr>
                <w:rFonts w:ascii="宋体" w:hAnsi="宋体" w:cs="宋体"/>
                <w:sz w:val="24"/>
              </w:rPr>
            </w:pPr>
          </w:p>
        </w:tc>
      </w:tr>
      <w:tr w14:paraId="1414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3AE568">
            <w:pPr>
              <w:adjustRightInd w:val="0"/>
              <w:snapToGrid w:val="0"/>
              <w:spacing w:line="440" w:lineRule="exact"/>
              <w:jc w:val="center"/>
              <w:rPr>
                <w:rFonts w:ascii="宋体" w:hAnsi="宋体" w:cs="宋体"/>
                <w:sz w:val="24"/>
              </w:rPr>
            </w:pPr>
            <w:r>
              <w:rPr>
                <w:rFonts w:hint="eastAsia" w:ascii="宋体" w:hAnsi="宋体" w:cs="宋体"/>
                <w:sz w:val="24"/>
              </w:rPr>
              <w:t>13</w:t>
            </w:r>
          </w:p>
        </w:tc>
        <w:tc>
          <w:tcPr>
            <w:tcW w:w="0" w:type="auto"/>
            <w:tcBorders>
              <w:top w:val="single" w:color="auto" w:sz="4" w:space="0"/>
              <w:left w:val="nil"/>
              <w:bottom w:val="single" w:color="auto" w:sz="4" w:space="0"/>
              <w:right w:val="single" w:color="auto" w:sz="4" w:space="0"/>
            </w:tcBorders>
            <w:vAlign w:val="center"/>
          </w:tcPr>
          <w:p w14:paraId="1AFB67DF">
            <w:pPr>
              <w:adjustRightInd w:val="0"/>
              <w:snapToGrid w:val="0"/>
              <w:spacing w:line="440" w:lineRule="exact"/>
              <w:jc w:val="center"/>
              <w:rPr>
                <w:rFonts w:ascii="宋体" w:hAnsi="宋体" w:cs="宋体"/>
                <w:sz w:val="24"/>
              </w:rPr>
            </w:pPr>
            <w:r>
              <w:rPr>
                <w:rFonts w:hint="eastAsia" w:ascii="宋体" w:hAnsi="宋体" w:cs="宋体"/>
                <w:sz w:val="24"/>
              </w:rPr>
              <w:t>不锈钢地漏</w:t>
            </w:r>
          </w:p>
        </w:tc>
        <w:tc>
          <w:tcPr>
            <w:tcW w:w="0" w:type="auto"/>
            <w:tcBorders>
              <w:top w:val="single" w:color="auto" w:sz="4" w:space="0"/>
              <w:left w:val="nil"/>
              <w:bottom w:val="single" w:color="auto" w:sz="4" w:space="0"/>
              <w:right w:val="single" w:color="auto" w:sz="4" w:space="0"/>
            </w:tcBorders>
            <w:vAlign w:val="center"/>
          </w:tcPr>
          <w:p w14:paraId="5A8DFF6D">
            <w:pPr>
              <w:adjustRightInd w:val="0"/>
              <w:snapToGrid w:val="0"/>
              <w:spacing w:line="440" w:lineRule="exact"/>
              <w:jc w:val="center"/>
              <w:rPr>
                <w:rFonts w:ascii="宋体" w:hAnsi="宋体" w:cs="宋体"/>
                <w:sz w:val="24"/>
              </w:rPr>
            </w:pPr>
            <w:r>
              <w:rPr>
                <w:rFonts w:hint="eastAsia" w:ascii="宋体" w:hAnsi="宋体" w:cs="宋体"/>
                <w:sz w:val="24"/>
              </w:rPr>
              <w:t>箭牌、潜水艇、TOTO</w:t>
            </w:r>
          </w:p>
        </w:tc>
        <w:tc>
          <w:tcPr>
            <w:tcW w:w="0" w:type="auto"/>
            <w:tcBorders>
              <w:top w:val="single" w:color="auto" w:sz="4" w:space="0"/>
              <w:left w:val="nil"/>
              <w:bottom w:val="single" w:color="auto" w:sz="4" w:space="0"/>
              <w:right w:val="single" w:color="auto" w:sz="4" w:space="0"/>
            </w:tcBorders>
            <w:vAlign w:val="center"/>
          </w:tcPr>
          <w:p w14:paraId="1E4D9453">
            <w:pPr>
              <w:adjustRightInd w:val="0"/>
              <w:snapToGrid w:val="0"/>
              <w:spacing w:line="440" w:lineRule="exact"/>
              <w:jc w:val="center"/>
              <w:rPr>
                <w:rFonts w:ascii="宋体" w:hAnsi="宋体" w:cs="宋体"/>
                <w:sz w:val="24"/>
              </w:rPr>
            </w:pPr>
          </w:p>
        </w:tc>
      </w:tr>
      <w:tr w14:paraId="1B23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C468C96">
            <w:pPr>
              <w:adjustRightInd w:val="0"/>
              <w:snapToGrid w:val="0"/>
              <w:spacing w:line="440" w:lineRule="exact"/>
              <w:jc w:val="center"/>
              <w:rPr>
                <w:rFonts w:ascii="宋体" w:hAnsi="宋体" w:cs="宋体"/>
                <w:sz w:val="24"/>
              </w:rPr>
            </w:pPr>
            <w:r>
              <w:rPr>
                <w:rFonts w:hint="eastAsia" w:ascii="宋体" w:hAnsi="宋体" w:cs="宋体"/>
                <w:sz w:val="24"/>
              </w:rPr>
              <w:t>14</w:t>
            </w:r>
          </w:p>
        </w:tc>
        <w:tc>
          <w:tcPr>
            <w:tcW w:w="0" w:type="auto"/>
            <w:tcBorders>
              <w:top w:val="single" w:color="auto" w:sz="4" w:space="0"/>
              <w:left w:val="nil"/>
              <w:bottom w:val="single" w:color="auto" w:sz="4" w:space="0"/>
              <w:right w:val="single" w:color="auto" w:sz="4" w:space="0"/>
            </w:tcBorders>
            <w:vAlign w:val="center"/>
          </w:tcPr>
          <w:p w14:paraId="45A500A3">
            <w:pPr>
              <w:adjustRightInd w:val="0"/>
              <w:snapToGrid w:val="0"/>
              <w:spacing w:line="440" w:lineRule="exact"/>
              <w:jc w:val="center"/>
              <w:rPr>
                <w:rFonts w:ascii="宋体" w:hAnsi="宋体" w:cs="宋体"/>
                <w:sz w:val="24"/>
              </w:rPr>
            </w:pPr>
            <w:r>
              <w:rPr>
                <w:rFonts w:hint="eastAsia" w:ascii="宋体" w:hAnsi="宋体" w:cs="宋体"/>
                <w:sz w:val="24"/>
              </w:rPr>
              <w:t>沟槽配件</w:t>
            </w:r>
          </w:p>
        </w:tc>
        <w:tc>
          <w:tcPr>
            <w:tcW w:w="0" w:type="auto"/>
            <w:tcBorders>
              <w:top w:val="single" w:color="auto" w:sz="4" w:space="0"/>
              <w:left w:val="nil"/>
              <w:bottom w:val="single" w:color="auto" w:sz="4" w:space="0"/>
              <w:right w:val="single" w:color="auto" w:sz="4" w:space="0"/>
            </w:tcBorders>
            <w:vAlign w:val="center"/>
          </w:tcPr>
          <w:p w14:paraId="09095250">
            <w:pPr>
              <w:adjustRightInd w:val="0"/>
              <w:snapToGrid w:val="0"/>
              <w:spacing w:line="440" w:lineRule="exact"/>
              <w:jc w:val="center"/>
              <w:rPr>
                <w:rFonts w:ascii="宋体" w:hAnsi="宋体" w:cs="宋体"/>
                <w:sz w:val="24"/>
              </w:rPr>
            </w:pPr>
            <w:r>
              <w:rPr>
                <w:rFonts w:hint="eastAsia" w:ascii="宋体" w:hAnsi="宋体" w:cs="宋体"/>
                <w:sz w:val="24"/>
              </w:rPr>
              <w:t>迈克、金枪鱼、管威</w:t>
            </w:r>
          </w:p>
        </w:tc>
        <w:tc>
          <w:tcPr>
            <w:tcW w:w="0" w:type="auto"/>
            <w:tcBorders>
              <w:top w:val="single" w:color="auto" w:sz="4" w:space="0"/>
              <w:left w:val="nil"/>
              <w:bottom w:val="single" w:color="auto" w:sz="4" w:space="0"/>
              <w:right w:val="single" w:color="auto" w:sz="4" w:space="0"/>
            </w:tcBorders>
            <w:vAlign w:val="center"/>
          </w:tcPr>
          <w:p w14:paraId="42B186EE">
            <w:pPr>
              <w:adjustRightInd w:val="0"/>
              <w:snapToGrid w:val="0"/>
              <w:spacing w:line="440" w:lineRule="exact"/>
              <w:jc w:val="center"/>
              <w:rPr>
                <w:rFonts w:ascii="宋体" w:hAnsi="宋体" w:cs="宋体"/>
                <w:sz w:val="24"/>
              </w:rPr>
            </w:pPr>
          </w:p>
        </w:tc>
      </w:tr>
      <w:tr w14:paraId="42F5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2CD5E99">
            <w:pPr>
              <w:adjustRightInd w:val="0"/>
              <w:snapToGrid w:val="0"/>
              <w:spacing w:line="440" w:lineRule="exact"/>
              <w:jc w:val="center"/>
              <w:rPr>
                <w:rFonts w:ascii="宋体" w:hAnsi="宋体" w:cs="宋体"/>
                <w:sz w:val="24"/>
              </w:rPr>
            </w:pPr>
            <w:r>
              <w:rPr>
                <w:rFonts w:hint="eastAsia" w:ascii="宋体" w:hAnsi="宋体" w:cs="宋体"/>
                <w:sz w:val="24"/>
              </w:rPr>
              <w:t>15</w:t>
            </w:r>
          </w:p>
        </w:tc>
        <w:tc>
          <w:tcPr>
            <w:tcW w:w="0" w:type="auto"/>
            <w:tcBorders>
              <w:top w:val="single" w:color="auto" w:sz="4" w:space="0"/>
              <w:left w:val="nil"/>
              <w:bottom w:val="single" w:color="auto" w:sz="4" w:space="0"/>
              <w:right w:val="single" w:color="auto" w:sz="4" w:space="0"/>
            </w:tcBorders>
            <w:vAlign w:val="center"/>
          </w:tcPr>
          <w:p w14:paraId="5E1DEC37">
            <w:pPr>
              <w:adjustRightInd w:val="0"/>
              <w:snapToGrid w:val="0"/>
              <w:spacing w:line="440" w:lineRule="exact"/>
              <w:jc w:val="center"/>
              <w:rPr>
                <w:rFonts w:ascii="宋体" w:hAnsi="宋体" w:cs="宋体"/>
                <w:sz w:val="24"/>
              </w:rPr>
            </w:pPr>
            <w:r>
              <w:rPr>
                <w:rFonts w:hint="eastAsia" w:ascii="宋体" w:hAnsi="宋体" w:cs="宋体"/>
                <w:sz w:val="24"/>
              </w:rPr>
              <w:t>空调水泵、生活给水泵</w:t>
            </w:r>
          </w:p>
          <w:p w14:paraId="2F9E4C48">
            <w:pPr>
              <w:adjustRightInd w:val="0"/>
              <w:snapToGrid w:val="0"/>
              <w:spacing w:line="440" w:lineRule="exact"/>
              <w:jc w:val="center"/>
              <w:rPr>
                <w:rFonts w:ascii="宋体" w:hAnsi="宋体" w:cs="宋体"/>
                <w:sz w:val="24"/>
              </w:rPr>
            </w:pPr>
            <w:r>
              <w:rPr>
                <w:rFonts w:hint="eastAsia" w:ascii="宋体" w:hAnsi="宋体" w:cs="宋体"/>
                <w:sz w:val="24"/>
              </w:rPr>
              <w:t>二次增压供水装置</w:t>
            </w:r>
          </w:p>
        </w:tc>
        <w:tc>
          <w:tcPr>
            <w:tcW w:w="0" w:type="auto"/>
            <w:tcBorders>
              <w:top w:val="single" w:color="auto" w:sz="4" w:space="0"/>
              <w:left w:val="nil"/>
              <w:bottom w:val="single" w:color="auto" w:sz="4" w:space="0"/>
              <w:right w:val="single" w:color="auto" w:sz="4" w:space="0"/>
            </w:tcBorders>
            <w:vAlign w:val="center"/>
          </w:tcPr>
          <w:p w14:paraId="6ED82838">
            <w:pPr>
              <w:adjustRightInd w:val="0"/>
              <w:snapToGrid w:val="0"/>
              <w:spacing w:line="440" w:lineRule="exact"/>
              <w:jc w:val="center"/>
              <w:rPr>
                <w:rFonts w:ascii="宋体" w:hAnsi="宋体" w:cs="宋体"/>
                <w:sz w:val="24"/>
              </w:rPr>
            </w:pPr>
            <w:r>
              <w:rPr>
                <w:rFonts w:hint="eastAsia" w:ascii="宋体" w:hAnsi="宋体" w:cs="宋体"/>
                <w:sz w:val="24"/>
              </w:rPr>
              <w:t>赛莱默、格兰富、威乐</w:t>
            </w:r>
          </w:p>
        </w:tc>
        <w:tc>
          <w:tcPr>
            <w:tcW w:w="0" w:type="auto"/>
            <w:tcBorders>
              <w:top w:val="single" w:color="auto" w:sz="4" w:space="0"/>
              <w:left w:val="nil"/>
              <w:bottom w:val="single" w:color="auto" w:sz="4" w:space="0"/>
              <w:right w:val="single" w:color="auto" w:sz="4" w:space="0"/>
            </w:tcBorders>
            <w:vAlign w:val="center"/>
          </w:tcPr>
          <w:p w14:paraId="77150E0A">
            <w:pPr>
              <w:adjustRightInd w:val="0"/>
              <w:snapToGrid w:val="0"/>
              <w:spacing w:line="440" w:lineRule="exact"/>
              <w:jc w:val="center"/>
              <w:rPr>
                <w:rFonts w:ascii="宋体" w:hAnsi="宋体" w:cs="宋体"/>
                <w:sz w:val="24"/>
              </w:rPr>
            </w:pPr>
          </w:p>
        </w:tc>
      </w:tr>
      <w:tr w14:paraId="793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5D9E01C">
            <w:pPr>
              <w:adjustRightInd w:val="0"/>
              <w:snapToGrid w:val="0"/>
              <w:spacing w:line="440" w:lineRule="exact"/>
              <w:jc w:val="center"/>
              <w:rPr>
                <w:rFonts w:ascii="宋体" w:hAnsi="宋体" w:cs="宋体"/>
                <w:sz w:val="24"/>
              </w:rPr>
            </w:pPr>
            <w:r>
              <w:rPr>
                <w:rFonts w:hint="eastAsia" w:ascii="宋体" w:hAnsi="宋体" w:cs="宋体"/>
                <w:sz w:val="24"/>
              </w:rPr>
              <w:t>16</w:t>
            </w:r>
          </w:p>
        </w:tc>
        <w:tc>
          <w:tcPr>
            <w:tcW w:w="0" w:type="auto"/>
            <w:tcBorders>
              <w:top w:val="single" w:color="auto" w:sz="4" w:space="0"/>
              <w:left w:val="nil"/>
              <w:bottom w:val="single" w:color="auto" w:sz="4" w:space="0"/>
              <w:right w:val="single" w:color="auto" w:sz="4" w:space="0"/>
            </w:tcBorders>
            <w:vAlign w:val="center"/>
          </w:tcPr>
          <w:p w14:paraId="6569BA01">
            <w:pPr>
              <w:adjustRightInd w:val="0"/>
              <w:snapToGrid w:val="0"/>
              <w:spacing w:line="440" w:lineRule="exact"/>
              <w:jc w:val="center"/>
              <w:rPr>
                <w:rFonts w:ascii="宋体" w:hAnsi="宋体" w:cs="宋体"/>
                <w:sz w:val="24"/>
              </w:rPr>
            </w:pPr>
            <w:r>
              <w:rPr>
                <w:rFonts w:hint="eastAsia" w:ascii="宋体" w:hAnsi="宋体" w:cs="宋体"/>
                <w:sz w:val="24"/>
              </w:rPr>
              <w:t>消防泵、排污泵</w:t>
            </w:r>
          </w:p>
        </w:tc>
        <w:tc>
          <w:tcPr>
            <w:tcW w:w="0" w:type="auto"/>
            <w:tcBorders>
              <w:top w:val="single" w:color="auto" w:sz="4" w:space="0"/>
              <w:left w:val="nil"/>
              <w:bottom w:val="single" w:color="auto" w:sz="4" w:space="0"/>
              <w:right w:val="single" w:color="auto" w:sz="4" w:space="0"/>
            </w:tcBorders>
            <w:vAlign w:val="center"/>
          </w:tcPr>
          <w:p w14:paraId="66D4E398">
            <w:pPr>
              <w:adjustRightInd w:val="0"/>
              <w:snapToGrid w:val="0"/>
              <w:spacing w:line="440" w:lineRule="exact"/>
              <w:jc w:val="center"/>
              <w:rPr>
                <w:rFonts w:ascii="宋体" w:hAnsi="宋体" w:cs="宋体"/>
                <w:sz w:val="24"/>
              </w:rPr>
            </w:pPr>
            <w:r>
              <w:rPr>
                <w:rFonts w:hint="eastAsia" w:ascii="宋体" w:hAnsi="宋体" w:cs="宋体"/>
                <w:sz w:val="24"/>
              </w:rPr>
              <w:t>东方、东欧、凯泉</w:t>
            </w:r>
          </w:p>
        </w:tc>
        <w:tc>
          <w:tcPr>
            <w:tcW w:w="0" w:type="auto"/>
            <w:tcBorders>
              <w:top w:val="single" w:color="auto" w:sz="4" w:space="0"/>
              <w:left w:val="nil"/>
              <w:bottom w:val="single" w:color="auto" w:sz="4" w:space="0"/>
              <w:right w:val="single" w:color="auto" w:sz="4" w:space="0"/>
            </w:tcBorders>
            <w:vAlign w:val="center"/>
          </w:tcPr>
          <w:p w14:paraId="0F73D931">
            <w:pPr>
              <w:adjustRightInd w:val="0"/>
              <w:snapToGrid w:val="0"/>
              <w:spacing w:line="440" w:lineRule="exact"/>
              <w:jc w:val="center"/>
              <w:rPr>
                <w:rFonts w:ascii="宋体" w:hAnsi="宋体" w:cs="宋体"/>
                <w:sz w:val="24"/>
              </w:rPr>
            </w:pPr>
          </w:p>
        </w:tc>
      </w:tr>
      <w:tr w14:paraId="397B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E22AB7A">
            <w:pPr>
              <w:adjustRightInd w:val="0"/>
              <w:snapToGrid w:val="0"/>
              <w:spacing w:line="440" w:lineRule="exact"/>
              <w:jc w:val="center"/>
              <w:rPr>
                <w:rFonts w:ascii="宋体" w:hAnsi="宋体" w:cs="宋体"/>
                <w:sz w:val="24"/>
              </w:rPr>
            </w:pPr>
            <w:r>
              <w:rPr>
                <w:rFonts w:hint="eastAsia" w:ascii="宋体" w:hAnsi="宋体" w:cs="宋体"/>
                <w:sz w:val="24"/>
              </w:rPr>
              <w:t>17</w:t>
            </w:r>
          </w:p>
        </w:tc>
        <w:tc>
          <w:tcPr>
            <w:tcW w:w="0" w:type="auto"/>
            <w:tcBorders>
              <w:top w:val="single" w:color="auto" w:sz="4" w:space="0"/>
              <w:left w:val="nil"/>
              <w:bottom w:val="single" w:color="auto" w:sz="4" w:space="0"/>
              <w:right w:val="single" w:color="auto" w:sz="4" w:space="0"/>
            </w:tcBorders>
            <w:vAlign w:val="center"/>
          </w:tcPr>
          <w:p w14:paraId="37A5D970">
            <w:pPr>
              <w:adjustRightInd w:val="0"/>
              <w:snapToGrid w:val="0"/>
              <w:spacing w:line="440" w:lineRule="exact"/>
              <w:jc w:val="center"/>
              <w:rPr>
                <w:rFonts w:ascii="宋体" w:hAnsi="宋体" w:cs="宋体"/>
                <w:sz w:val="24"/>
              </w:rPr>
            </w:pPr>
            <w:r>
              <w:rPr>
                <w:rFonts w:hint="eastAsia" w:ascii="宋体" w:hAnsi="宋体" w:cs="宋体"/>
                <w:sz w:val="24"/>
              </w:rPr>
              <w:t>湿式报警阀</w:t>
            </w:r>
          </w:p>
        </w:tc>
        <w:tc>
          <w:tcPr>
            <w:tcW w:w="0" w:type="auto"/>
            <w:tcBorders>
              <w:top w:val="single" w:color="auto" w:sz="4" w:space="0"/>
              <w:left w:val="nil"/>
              <w:bottom w:val="single" w:color="auto" w:sz="4" w:space="0"/>
              <w:right w:val="single" w:color="auto" w:sz="4" w:space="0"/>
            </w:tcBorders>
            <w:vAlign w:val="center"/>
          </w:tcPr>
          <w:p w14:paraId="467F35F5">
            <w:pPr>
              <w:adjustRightInd w:val="0"/>
              <w:snapToGrid w:val="0"/>
              <w:spacing w:line="440" w:lineRule="exact"/>
              <w:jc w:val="center"/>
              <w:rPr>
                <w:rFonts w:ascii="宋体" w:hAnsi="宋体" w:cs="宋体"/>
                <w:sz w:val="24"/>
              </w:rPr>
            </w:pPr>
            <w:r>
              <w:rPr>
                <w:rFonts w:hint="eastAsia" w:ascii="宋体" w:hAnsi="宋体" w:cs="宋体"/>
                <w:sz w:val="24"/>
              </w:rPr>
              <w:t>上海金盾、南消、川消</w:t>
            </w:r>
          </w:p>
        </w:tc>
        <w:tc>
          <w:tcPr>
            <w:tcW w:w="0" w:type="auto"/>
            <w:tcBorders>
              <w:top w:val="single" w:color="auto" w:sz="4" w:space="0"/>
              <w:left w:val="nil"/>
              <w:bottom w:val="single" w:color="auto" w:sz="4" w:space="0"/>
              <w:right w:val="single" w:color="auto" w:sz="4" w:space="0"/>
            </w:tcBorders>
            <w:vAlign w:val="center"/>
          </w:tcPr>
          <w:p w14:paraId="45BE97EF">
            <w:pPr>
              <w:adjustRightInd w:val="0"/>
              <w:snapToGrid w:val="0"/>
              <w:spacing w:line="440" w:lineRule="exact"/>
              <w:jc w:val="center"/>
              <w:rPr>
                <w:rFonts w:ascii="宋体" w:hAnsi="宋体" w:cs="宋体"/>
                <w:sz w:val="24"/>
              </w:rPr>
            </w:pPr>
          </w:p>
        </w:tc>
      </w:tr>
      <w:tr w14:paraId="1C3B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F33C15">
            <w:pPr>
              <w:adjustRightInd w:val="0"/>
              <w:snapToGrid w:val="0"/>
              <w:spacing w:line="320" w:lineRule="exact"/>
              <w:jc w:val="center"/>
              <w:rPr>
                <w:rFonts w:ascii="宋体" w:hAnsi="宋体" w:cs="宋体"/>
                <w:sz w:val="24"/>
              </w:rPr>
            </w:pPr>
            <w:r>
              <w:rPr>
                <w:rFonts w:hint="eastAsia" w:ascii="宋体" w:hAnsi="宋体" w:cs="宋体"/>
                <w:sz w:val="24"/>
              </w:rPr>
              <w:t>18</w:t>
            </w:r>
          </w:p>
        </w:tc>
        <w:tc>
          <w:tcPr>
            <w:tcW w:w="0" w:type="auto"/>
            <w:tcBorders>
              <w:top w:val="single" w:color="auto" w:sz="4" w:space="0"/>
              <w:left w:val="nil"/>
              <w:bottom w:val="single" w:color="auto" w:sz="4" w:space="0"/>
              <w:right w:val="single" w:color="auto" w:sz="4" w:space="0"/>
            </w:tcBorders>
            <w:vAlign w:val="center"/>
          </w:tcPr>
          <w:p w14:paraId="50048D12">
            <w:pPr>
              <w:adjustRightInd w:val="0"/>
              <w:snapToGrid w:val="0"/>
              <w:spacing w:line="440" w:lineRule="exact"/>
              <w:jc w:val="center"/>
              <w:rPr>
                <w:rFonts w:ascii="宋体" w:hAnsi="宋体" w:cs="宋体"/>
                <w:sz w:val="24"/>
              </w:rPr>
            </w:pPr>
            <w:r>
              <w:rPr>
                <w:rFonts w:hint="eastAsia" w:ascii="宋体" w:hAnsi="宋体" w:cs="宋体"/>
                <w:sz w:val="24"/>
              </w:rPr>
              <w:t>火灾报警设备</w:t>
            </w:r>
          </w:p>
        </w:tc>
        <w:tc>
          <w:tcPr>
            <w:tcW w:w="0" w:type="auto"/>
            <w:tcBorders>
              <w:top w:val="single" w:color="auto" w:sz="4" w:space="0"/>
              <w:left w:val="nil"/>
              <w:bottom w:val="single" w:color="auto" w:sz="4" w:space="0"/>
              <w:right w:val="single" w:color="auto" w:sz="4" w:space="0"/>
            </w:tcBorders>
            <w:vAlign w:val="center"/>
          </w:tcPr>
          <w:p w14:paraId="4E52B173">
            <w:pPr>
              <w:adjustRightInd w:val="0"/>
              <w:snapToGrid w:val="0"/>
              <w:spacing w:line="440" w:lineRule="exact"/>
              <w:jc w:val="center"/>
              <w:rPr>
                <w:rFonts w:ascii="宋体" w:hAnsi="宋体" w:cs="宋体"/>
                <w:sz w:val="24"/>
              </w:rPr>
            </w:pPr>
            <w:r>
              <w:rPr>
                <w:rFonts w:hint="eastAsia" w:ascii="宋体" w:hAnsi="宋体" w:cs="宋体"/>
                <w:sz w:val="24"/>
              </w:rPr>
              <w:t>爱德华、库柏、西门子</w:t>
            </w:r>
          </w:p>
        </w:tc>
        <w:tc>
          <w:tcPr>
            <w:tcW w:w="0" w:type="auto"/>
            <w:tcBorders>
              <w:top w:val="single" w:color="auto" w:sz="4" w:space="0"/>
              <w:left w:val="nil"/>
              <w:bottom w:val="single" w:color="auto" w:sz="4" w:space="0"/>
              <w:right w:val="single" w:color="auto" w:sz="4" w:space="0"/>
            </w:tcBorders>
            <w:vAlign w:val="center"/>
          </w:tcPr>
          <w:p w14:paraId="766ABD56">
            <w:pPr>
              <w:adjustRightInd w:val="0"/>
              <w:snapToGrid w:val="0"/>
              <w:spacing w:line="440" w:lineRule="exact"/>
              <w:jc w:val="center"/>
              <w:rPr>
                <w:rFonts w:ascii="宋体" w:hAnsi="宋体" w:cs="宋体"/>
                <w:sz w:val="24"/>
              </w:rPr>
            </w:pPr>
            <w:r>
              <w:rPr>
                <w:rFonts w:hint="eastAsia" w:ascii="宋体" w:hAnsi="宋体" w:cs="宋体"/>
                <w:sz w:val="24"/>
              </w:rPr>
              <w:t>接入原消防报警系统</w:t>
            </w:r>
          </w:p>
        </w:tc>
      </w:tr>
      <w:tr w14:paraId="2952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CFB6599">
            <w:pPr>
              <w:spacing w:line="360" w:lineRule="auto"/>
              <w:jc w:val="center"/>
              <w:rPr>
                <w:rFonts w:ascii="宋体" w:hAnsi="宋体" w:cs="宋体"/>
                <w:sz w:val="24"/>
              </w:rPr>
            </w:pPr>
            <w:r>
              <w:rPr>
                <w:rFonts w:hint="eastAsia" w:ascii="宋体" w:hAnsi="宋体" w:cs="宋体"/>
                <w:sz w:val="24"/>
              </w:rPr>
              <w:t>19</w:t>
            </w:r>
          </w:p>
        </w:tc>
        <w:tc>
          <w:tcPr>
            <w:tcW w:w="0" w:type="auto"/>
            <w:tcBorders>
              <w:top w:val="single" w:color="auto" w:sz="4" w:space="0"/>
              <w:left w:val="nil"/>
              <w:bottom w:val="single" w:color="auto" w:sz="4" w:space="0"/>
              <w:right w:val="single" w:color="auto" w:sz="4" w:space="0"/>
            </w:tcBorders>
            <w:vAlign w:val="center"/>
          </w:tcPr>
          <w:p w14:paraId="7ED97F97">
            <w:pPr>
              <w:adjustRightInd w:val="0"/>
              <w:snapToGrid w:val="0"/>
              <w:spacing w:line="440" w:lineRule="exact"/>
              <w:jc w:val="center"/>
              <w:rPr>
                <w:rFonts w:ascii="宋体" w:hAnsi="宋体" w:cs="宋体"/>
                <w:sz w:val="24"/>
              </w:rPr>
            </w:pPr>
            <w:r>
              <w:rPr>
                <w:rFonts w:hint="eastAsia" w:ascii="宋体" w:hAnsi="宋体" w:cs="宋体"/>
                <w:sz w:val="24"/>
              </w:rPr>
              <w:t>上下水金属软管</w:t>
            </w:r>
          </w:p>
        </w:tc>
        <w:tc>
          <w:tcPr>
            <w:tcW w:w="0" w:type="auto"/>
            <w:tcBorders>
              <w:top w:val="single" w:color="auto" w:sz="4" w:space="0"/>
              <w:left w:val="nil"/>
              <w:bottom w:val="single" w:color="auto" w:sz="4" w:space="0"/>
              <w:right w:val="single" w:color="auto" w:sz="4" w:space="0"/>
            </w:tcBorders>
            <w:vAlign w:val="center"/>
          </w:tcPr>
          <w:p w14:paraId="43A72577">
            <w:pPr>
              <w:adjustRightInd w:val="0"/>
              <w:snapToGrid w:val="0"/>
              <w:spacing w:line="440" w:lineRule="exact"/>
              <w:jc w:val="center"/>
              <w:rPr>
                <w:rFonts w:ascii="宋体" w:hAnsi="宋体" w:cs="宋体"/>
                <w:sz w:val="24"/>
              </w:rPr>
            </w:pPr>
            <w:r>
              <w:rPr>
                <w:rFonts w:hint="eastAsia" w:ascii="宋体" w:hAnsi="宋体" w:cs="宋体"/>
                <w:sz w:val="24"/>
              </w:rPr>
              <w:t>箭牌、埃美柯、外岗</w:t>
            </w:r>
          </w:p>
        </w:tc>
        <w:tc>
          <w:tcPr>
            <w:tcW w:w="0" w:type="auto"/>
            <w:tcBorders>
              <w:top w:val="single" w:color="auto" w:sz="4" w:space="0"/>
              <w:left w:val="nil"/>
              <w:bottom w:val="single" w:color="auto" w:sz="4" w:space="0"/>
              <w:right w:val="single" w:color="auto" w:sz="4" w:space="0"/>
            </w:tcBorders>
            <w:vAlign w:val="center"/>
          </w:tcPr>
          <w:p w14:paraId="10C2E48F">
            <w:pPr>
              <w:adjustRightInd w:val="0"/>
              <w:snapToGrid w:val="0"/>
              <w:spacing w:line="440" w:lineRule="exact"/>
              <w:jc w:val="center"/>
              <w:rPr>
                <w:rFonts w:ascii="宋体" w:hAnsi="宋体" w:cs="宋体"/>
                <w:sz w:val="24"/>
              </w:rPr>
            </w:pPr>
            <w:r>
              <w:rPr>
                <w:rFonts w:hint="eastAsia" w:ascii="宋体" w:hAnsi="宋体" w:cs="宋体"/>
                <w:sz w:val="24"/>
              </w:rPr>
              <w:t>不锈钢</w:t>
            </w:r>
          </w:p>
        </w:tc>
      </w:tr>
      <w:tr w14:paraId="05C5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AEF55D4">
            <w:pPr>
              <w:spacing w:line="360" w:lineRule="auto"/>
              <w:jc w:val="center"/>
              <w:rPr>
                <w:rFonts w:ascii="宋体" w:hAnsi="宋体" w:cs="宋体"/>
                <w:sz w:val="24"/>
              </w:rPr>
            </w:pPr>
            <w:r>
              <w:rPr>
                <w:rFonts w:hint="eastAsia" w:ascii="宋体" w:hAnsi="宋体" w:cs="宋体"/>
                <w:sz w:val="24"/>
              </w:rPr>
              <w:t>20</w:t>
            </w:r>
          </w:p>
        </w:tc>
        <w:tc>
          <w:tcPr>
            <w:tcW w:w="0" w:type="auto"/>
            <w:tcBorders>
              <w:top w:val="single" w:color="auto" w:sz="4" w:space="0"/>
              <w:left w:val="nil"/>
              <w:bottom w:val="single" w:color="auto" w:sz="4" w:space="0"/>
              <w:right w:val="single" w:color="auto" w:sz="4" w:space="0"/>
            </w:tcBorders>
            <w:vAlign w:val="center"/>
          </w:tcPr>
          <w:p w14:paraId="2E4D12AB">
            <w:pPr>
              <w:adjustRightInd w:val="0"/>
              <w:snapToGrid w:val="0"/>
              <w:spacing w:line="440" w:lineRule="exact"/>
              <w:jc w:val="center"/>
              <w:rPr>
                <w:rFonts w:ascii="宋体" w:hAnsi="宋体" w:cs="宋体"/>
                <w:sz w:val="24"/>
              </w:rPr>
            </w:pPr>
            <w:r>
              <w:rPr>
                <w:rFonts w:hint="eastAsia" w:ascii="宋体" w:hAnsi="宋体" w:cs="宋体"/>
                <w:sz w:val="24"/>
              </w:rPr>
              <w:t>镀锌钢管</w:t>
            </w:r>
          </w:p>
        </w:tc>
        <w:tc>
          <w:tcPr>
            <w:tcW w:w="0" w:type="auto"/>
            <w:tcBorders>
              <w:top w:val="single" w:color="auto" w:sz="4" w:space="0"/>
              <w:left w:val="nil"/>
              <w:bottom w:val="single" w:color="auto" w:sz="4" w:space="0"/>
              <w:right w:val="single" w:color="auto" w:sz="4" w:space="0"/>
            </w:tcBorders>
            <w:vAlign w:val="center"/>
          </w:tcPr>
          <w:p w14:paraId="558A1F5C">
            <w:pPr>
              <w:adjustRightInd w:val="0"/>
              <w:snapToGrid w:val="0"/>
              <w:spacing w:line="440" w:lineRule="exact"/>
              <w:jc w:val="center"/>
              <w:rPr>
                <w:rFonts w:ascii="宋体" w:hAnsi="宋体" w:cs="宋体"/>
                <w:sz w:val="24"/>
              </w:rPr>
            </w:pPr>
            <w:r>
              <w:rPr>
                <w:rFonts w:hint="eastAsia" w:ascii="宋体" w:hAnsi="宋体" w:cs="宋体"/>
                <w:sz w:val="24"/>
              </w:rPr>
              <w:t>正大、光环、劳动</w:t>
            </w:r>
          </w:p>
        </w:tc>
        <w:tc>
          <w:tcPr>
            <w:tcW w:w="0" w:type="auto"/>
            <w:tcBorders>
              <w:top w:val="single" w:color="auto" w:sz="4" w:space="0"/>
              <w:left w:val="nil"/>
              <w:bottom w:val="single" w:color="auto" w:sz="4" w:space="0"/>
              <w:right w:val="single" w:color="auto" w:sz="4" w:space="0"/>
            </w:tcBorders>
            <w:vAlign w:val="center"/>
          </w:tcPr>
          <w:p w14:paraId="6A4C0CB2">
            <w:pPr>
              <w:adjustRightInd w:val="0"/>
              <w:snapToGrid w:val="0"/>
              <w:spacing w:line="440" w:lineRule="exact"/>
              <w:jc w:val="center"/>
              <w:rPr>
                <w:rFonts w:ascii="宋体" w:hAnsi="宋体" w:cs="宋体"/>
                <w:sz w:val="24"/>
              </w:rPr>
            </w:pPr>
          </w:p>
        </w:tc>
      </w:tr>
      <w:tr w14:paraId="78C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CF4D768">
            <w:pPr>
              <w:spacing w:line="360" w:lineRule="auto"/>
              <w:jc w:val="center"/>
              <w:rPr>
                <w:rFonts w:ascii="宋体" w:hAnsi="宋体" w:cs="宋体"/>
                <w:sz w:val="24"/>
              </w:rPr>
            </w:pPr>
            <w:r>
              <w:rPr>
                <w:rFonts w:hint="eastAsia" w:ascii="宋体" w:hAnsi="宋体" w:cs="宋体"/>
                <w:sz w:val="24"/>
              </w:rPr>
              <w:t>21</w:t>
            </w:r>
          </w:p>
        </w:tc>
        <w:tc>
          <w:tcPr>
            <w:tcW w:w="0" w:type="auto"/>
            <w:tcBorders>
              <w:top w:val="single" w:color="auto" w:sz="4" w:space="0"/>
              <w:left w:val="nil"/>
              <w:bottom w:val="single" w:color="auto" w:sz="4" w:space="0"/>
              <w:right w:val="single" w:color="auto" w:sz="4" w:space="0"/>
            </w:tcBorders>
            <w:vAlign w:val="center"/>
          </w:tcPr>
          <w:p w14:paraId="22EB105B">
            <w:pPr>
              <w:adjustRightInd w:val="0"/>
              <w:snapToGrid w:val="0"/>
              <w:spacing w:line="320" w:lineRule="exact"/>
              <w:jc w:val="center"/>
              <w:rPr>
                <w:rFonts w:ascii="宋体" w:hAnsi="宋体" w:cs="宋体"/>
                <w:sz w:val="24"/>
              </w:rPr>
            </w:pPr>
            <w:r>
              <w:rPr>
                <w:rFonts w:hint="eastAsia" w:ascii="宋体" w:hAnsi="宋体" w:cs="宋体"/>
                <w:sz w:val="24"/>
              </w:rPr>
              <w:t>≤DN50阀门</w:t>
            </w:r>
          </w:p>
        </w:tc>
        <w:tc>
          <w:tcPr>
            <w:tcW w:w="0" w:type="auto"/>
            <w:tcBorders>
              <w:top w:val="single" w:color="auto" w:sz="4" w:space="0"/>
              <w:left w:val="nil"/>
              <w:bottom w:val="single" w:color="auto" w:sz="4" w:space="0"/>
              <w:right w:val="single" w:color="auto" w:sz="4" w:space="0"/>
            </w:tcBorders>
            <w:vAlign w:val="center"/>
          </w:tcPr>
          <w:p w14:paraId="5D75F2FF">
            <w:pPr>
              <w:adjustRightInd w:val="0"/>
              <w:snapToGrid w:val="0"/>
              <w:spacing w:line="320" w:lineRule="exact"/>
              <w:jc w:val="center"/>
              <w:rPr>
                <w:rFonts w:ascii="宋体" w:hAnsi="宋体" w:cs="宋体"/>
                <w:sz w:val="24"/>
              </w:rPr>
            </w:pPr>
            <w:r>
              <w:rPr>
                <w:rFonts w:hint="eastAsia" w:ascii="宋体" w:hAnsi="宋体" w:cs="宋体"/>
                <w:sz w:val="24"/>
              </w:rPr>
              <w:t>埃美柯、杰克龙、永德信</w:t>
            </w:r>
          </w:p>
        </w:tc>
        <w:tc>
          <w:tcPr>
            <w:tcW w:w="0" w:type="auto"/>
            <w:tcBorders>
              <w:top w:val="single" w:color="auto" w:sz="4" w:space="0"/>
              <w:left w:val="nil"/>
              <w:bottom w:val="single" w:color="auto" w:sz="4" w:space="0"/>
              <w:right w:val="single" w:color="auto" w:sz="4" w:space="0"/>
            </w:tcBorders>
            <w:vAlign w:val="center"/>
          </w:tcPr>
          <w:p w14:paraId="43CCF042">
            <w:pPr>
              <w:adjustRightInd w:val="0"/>
              <w:snapToGrid w:val="0"/>
              <w:spacing w:line="440" w:lineRule="exact"/>
              <w:jc w:val="center"/>
              <w:rPr>
                <w:rFonts w:ascii="宋体" w:hAnsi="宋体" w:cs="宋体"/>
                <w:sz w:val="24"/>
              </w:rPr>
            </w:pPr>
            <w:r>
              <w:rPr>
                <w:rFonts w:hint="eastAsia" w:ascii="宋体" w:hAnsi="宋体" w:cs="宋体"/>
                <w:sz w:val="24"/>
              </w:rPr>
              <w:t>铜阀体、铜阀芯</w:t>
            </w:r>
          </w:p>
        </w:tc>
      </w:tr>
      <w:tr w14:paraId="03F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04174AF">
            <w:pPr>
              <w:adjustRightInd w:val="0"/>
              <w:snapToGrid w:val="0"/>
              <w:spacing w:line="440" w:lineRule="exact"/>
              <w:jc w:val="center"/>
              <w:rPr>
                <w:rFonts w:ascii="宋体" w:hAnsi="宋体" w:cs="宋体"/>
                <w:sz w:val="24"/>
              </w:rPr>
            </w:pPr>
            <w:r>
              <w:rPr>
                <w:rFonts w:hint="eastAsia" w:ascii="宋体" w:hAnsi="宋体" w:cs="宋体"/>
                <w:sz w:val="24"/>
              </w:rPr>
              <w:t>22</w:t>
            </w:r>
          </w:p>
        </w:tc>
        <w:tc>
          <w:tcPr>
            <w:tcW w:w="0" w:type="auto"/>
            <w:tcBorders>
              <w:top w:val="single" w:color="auto" w:sz="4" w:space="0"/>
              <w:left w:val="nil"/>
              <w:bottom w:val="single" w:color="auto" w:sz="4" w:space="0"/>
              <w:right w:val="single" w:color="auto" w:sz="4" w:space="0"/>
            </w:tcBorders>
            <w:vAlign w:val="center"/>
          </w:tcPr>
          <w:p w14:paraId="2CB3EFF4">
            <w:pPr>
              <w:jc w:val="center"/>
              <w:rPr>
                <w:rFonts w:ascii="宋体" w:hAnsi="宋体" w:cs="宋体"/>
                <w:sz w:val="24"/>
              </w:rPr>
            </w:pPr>
            <w:r>
              <w:rPr>
                <w:rFonts w:hint="eastAsia" w:ascii="宋体" w:hAnsi="宋体" w:cs="宋体"/>
                <w:sz w:val="24"/>
              </w:rPr>
              <w:t>&gt;DN50阀门空调阀门</w:t>
            </w:r>
          </w:p>
        </w:tc>
        <w:tc>
          <w:tcPr>
            <w:tcW w:w="0" w:type="auto"/>
            <w:tcBorders>
              <w:top w:val="single" w:color="auto" w:sz="4" w:space="0"/>
              <w:left w:val="nil"/>
              <w:bottom w:val="single" w:color="auto" w:sz="4" w:space="0"/>
              <w:right w:val="single" w:color="auto" w:sz="4" w:space="0"/>
            </w:tcBorders>
            <w:vAlign w:val="center"/>
          </w:tcPr>
          <w:p w14:paraId="767D955F">
            <w:pPr>
              <w:adjustRightInd w:val="0"/>
              <w:snapToGrid w:val="0"/>
              <w:spacing w:line="320" w:lineRule="exact"/>
              <w:jc w:val="center"/>
              <w:rPr>
                <w:rFonts w:ascii="宋体" w:hAnsi="宋体" w:cs="宋体"/>
                <w:sz w:val="24"/>
              </w:rPr>
            </w:pPr>
            <w:r>
              <w:rPr>
                <w:rFonts w:hint="eastAsia" w:ascii="宋体" w:hAnsi="宋体" w:cs="宋体"/>
                <w:sz w:val="24"/>
              </w:rPr>
              <w:t>上海冠龙、富特、北泽</w:t>
            </w:r>
          </w:p>
        </w:tc>
        <w:tc>
          <w:tcPr>
            <w:tcW w:w="0" w:type="auto"/>
            <w:tcBorders>
              <w:top w:val="single" w:color="auto" w:sz="4" w:space="0"/>
              <w:left w:val="nil"/>
              <w:bottom w:val="single" w:color="auto" w:sz="4" w:space="0"/>
              <w:right w:val="single" w:color="auto" w:sz="4" w:space="0"/>
            </w:tcBorders>
            <w:vAlign w:val="center"/>
          </w:tcPr>
          <w:p w14:paraId="2973B605">
            <w:pPr>
              <w:adjustRightInd w:val="0"/>
              <w:snapToGrid w:val="0"/>
              <w:spacing w:line="440" w:lineRule="exact"/>
              <w:jc w:val="center"/>
              <w:rPr>
                <w:rFonts w:ascii="宋体" w:hAnsi="宋体" w:cs="宋体"/>
                <w:sz w:val="24"/>
              </w:rPr>
            </w:pPr>
            <w:r>
              <w:rPr>
                <w:rFonts w:hint="eastAsia" w:ascii="宋体" w:hAnsi="宋体" w:cs="宋体"/>
                <w:sz w:val="24"/>
              </w:rPr>
              <w:t>铜阀芯</w:t>
            </w:r>
          </w:p>
        </w:tc>
      </w:tr>
      <w:tr w14:paraId="28F7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742E46F">
            <w:pPr>
              <w:adjustRightInd w:val="0"/>
              <w:snapToGrid w:val="0"/>
              <w:spacing w:line="440" w:lineRule="exact"/>
              <w:jc w:val="center"/>
              <w:rPr>
                <w:rFonts w:ascii="宋体" w:hAnsi="宋体" w:cs="宋体"/>
                <w:sz w:val="24"/>
              </w:rPr>
            </w:pPr>
            <w:r>
              <w:rPr>
                <w:rFonts w:hint="eastAsia" w:ascii="宋体" w:hAnsi="宋体" w:cs="宋体"/>
                <w:sz w:val="24"/>
              </w:rPr>
              <w:t>23</w:t>
            </w:r>
          </w:p>
        </w:tc>
        <w:tc>
          <w:tcPr>
            <w:tcW w:w="0" w:type="auto"/>
            <w:tcBorders>
              <w:top w:val="single" w:color="auto" w:sz="4" w:space="0"/>
              <w:left w:val="nil"/>
              <w:bottom w:val="single" w:color="auto" w:sz="4" w:space="0"/>
              <w:right w:val="single" w:color="auto" w:sz="4" w:space="0"/>
            </w:tcBorders>
            <w:vAlign w:val="center"/>
          </w:tcPr>
          <w:p w14:paraId="5698775A">
            <w:pPr>
              <w:jc w:val="center"/>
              <w:rPr>
                <w:rFonts w:ascii="宋体" w:hAnsi="宋体" w:cs="宋体"/>
                <w:sz w:val="24"/>
              </w:rPr>
            </w:pPr>
            <w:r>
              <w:rPr>
                <w:rFonts w:hint="eastAsia" w:ascii="宋体" w:hAnsi="宋体" w:cs="宋体"/>
                <w:sz w:val="24"/>
              </w:rPr>
              <w:t>&gt;DN50阀门消防、给水阀门</w:t>
            </w:r>
          </w:p>
        </w:tc>
        <w:tc>
          <w:tcPr>
            <w:tcW w:w="0" w:type="auto"/>
            <w:tcBorders>
              <w:top w:val="single" w:color="auto" w:sz="4" w:space="0"/>
              <w:left w:val="nil"/>
              <w:bottom w:val="single" w:color="auto" w:sz="4" w:space="0"/>
              <w:right w:val="single" w:color="auto" w:sz="4" w:space="0"/>
            </w:tcBorders>
            <w:vAlign w:val="center"/>
          </w:tcPr>
          <w:p w14:paraId="1088A723">
            <w:pPr>
              <w:adjustRightInd w:val="0"/>
              <w:snapToGrid w:val="0"/>
              <w:spacing w:line="320" w:lineRule="exact"/>
              <w:jc w:val="center"/>
              <w:rPr>
                <w:rFonts w:ascii="宋体" w:hAnsi="宋体" w:cs="宋体"/>
                <w:sz w:val="24"/>
              </w:rPr>
            </w:pPr>
            <w:r>
              <w:rPr>
                <w:rFonts w:hint="eastAsia" w:ascii="宋体" w:hAnsi="宋体" w:cs="宋体"/>
                <w:sz w:val="24"/>
              </w:rPr>
              <w:t>远大、沪工、良工</w:t>
            </w:r>
          </w:p>
        </w:tc>
        <w:tc>
          <w:tcPr>
            <w:tcW w:w="0" w:type="auto"/>
            <w:tcBorders>
              <w:top w:val="single" w:color="auto" w:sz="4" w:space="0"/>
              <w:left w:val="nil"/>
              <w:bottom w:val="single" w:color="auto" w:sz="4" w:space="0"/>
              <w:right w:val="single" w:color="auto" w:sz="4" w:space="0"/>
            </w:tcBorders>
            <w:vAlign w:val="center"/>
          </w:tcPr>
          <w:p w14:paraId="38450404">
            <w:pPr>
              <w:adjustRightInd w:val="0"/>
              <w:snapToGrid w:val="0"/>
              <w:spacing w:line="440" w:lineRule="exact"/>
              <w:jc w:val="center"/>
              <w:rPr>
                <w:rFonts w:ascii="宋体" w:hAnsi="宋体" w:cs="宋体"/>
                <w:sz w:val="24"/>
              </w:rPr>
            </w:pPr>
          </w:p>
        </w:tc>
      </w:tr>
      <w:tr w14:paraId="57EE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549AA3D">
            <w:pPr>
              <w:adjustRightInd w:val="0"/>
              <w:snapToGrid w:val="0"/>
              <w:spacing w:line="440" w:lineRule="exact"/>
              <w:jc w:val="center"/>
              <w:rPr>
                <w:rFonts w:ascii="宋体" w:hAnsi="宋体" w:cs="宋体"/>
                <w:sz w:val="24"/>
              </w:rPr>
            </w:pPr>
            <w:r>
              <w:rPr>
                <w:rFonts w:hint="eastAsia" w:ascii="宋体" w:hAnsi="宋体" w:cs="宋体"/>
                <w:sz w:val="24"/>
              </w:rPr>
              <w:t>24</w:t>
            </w:r>
          </w:p>
        </w:tc>
        <w:tc>
          <w:tcPr>
            <w:tcW w:w="0" w:type="auto"/>
            <w:tcBorders>
              <w:top w:val="single" w:color="auto" w:sz="4" w:space="0"/>
              <w:left w:val="nil"/>
              <w:bottom w:val="single" w:color="auto" w:sz="4" w:space="0"/>
              <w:right w:val="single" w:color="auto" w:sz="4" w:space="0"/>
            </w:tcBorders>
            <w:vAlign w:val="center"/>
          </w:tcPr>
          <w:p w14:paraId="400AC343">
            <w:pPr>
              <w:jc w:val="center"/>
              <w:rPr>
                <w:rFonts w:ascii="宋体" w:hAnsi="宋体" w:cs="宋体"/>
                <w:sz w:val="24"/>
              </w:rPr>
            </w:pPr>
            <w:r>
              <w:rPr>
                <w:rFonts w:hint="eastAsia" w:ascii="宋体" w:hAnsi="宋体" w:cs="宋体"/>
                <w:sz w:val="24"/>
              </w:rPr>
              <w:t xml:space="preserve">双头应急灯 </w:t>
            </w:r>
          </w:p>
        </w:tc>
        <w:tc>
          <w:tcPr>
            <w:tcW w:w="0" w:type="auto"/>
            <w:tcBorders>
              <w:top w:val="single" w:color="auto" w:sz="4" w:space="0"/>
              <w:left w:val="nil"/>
              <w:bottom w:val="single" w:color="auto" w:sz="4" w:space="0"/>
              <w:right w:val="single" w:color="auto" w:sz="4" w:space="0"/>
            </w:tcBorders>
            <w:vAlign w:val="center"/>
          </w:tcPr>
          <w:p w14:paraId="54A082C0">
            <w:pPr>
              <w:adjustRightInd w:val="0"/>
              <w:snapToGrid w:val="0"/>
              <w:spacing w:line="320" w:lineRule="exact"/>
              <w:jc w:val="center"/>
              <w:rPr>
                <w:rFonts w:ascii="宋体" w:hAnsi="宋体" w:cs="宋体"/>
                <w:sz w:val="24"/>
              </w:rPr>
            </w:pPr>
            <w:r>
              <w:rPr>
                <w:rFonts w:hint="eastAsia" w:ascii="宋体" w:hAnsi="宋体" w:cs="宋体"/>
                <w:sz w:val="24"/>
              </w:rPr>
              <w:t>三雄极光、振辉、雷士</w:t>
            </w:r>
          </w:p>
        </w:tc>
        <w:tc>
          <w:tcPr>
            <w:tcW w:w="0" w:type="auto"/>
            <w:tcBorders>
              <w:top w:val="single" w:color="auto" w:sz="4" w:space="0"/>
              <w:left w:val="nil"/>
              <w:bottom w:val="single" w:color="auto" w:sz="4" w:space="0"/>
              <w:right w:val="single" w:color="auto" w:sz="4" w:space="0"/>
            </w:tcBorders>
            <w:vAlign w:val="center"/>
          </w:tcPr>
          <w:p w14:paraId="7AADDFA2">
            <w:pPr>
              <w:spacing w:line="360" w:lineRule="auto"/>
              <w:jc w:val="center"/>
              <w:rPr>
                <w:rFonts w:ascii="宋体" w:hAnsi="宋体" w:cs="宋体"/>
                <w:sz w:val="24"/>
              </w:rPr>
            </w:pPr>
          </w:p>
        </w:tc>
      </w:tr>
      <w:tr w14:paraId="3E2D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E11B83">
            <w:pPr>
              <w:snapToGrid w:val="0"/>
              <w:spacing w:line="440" w:lineRule="exact"/>
              <w:jc w:val="center"/>
              <w:rPr>
                <w:rFonts w:ascii="宋体" w:hAnsi="宋体" w:cs="宋体"/>
                <w:sz w:val="24"/>
              </w:rPr>
            </w:pPr>
            <w:r>
              <w:rPr>
                <w:rFonts w:hint="eastAsia" w:ascii="宋体" w:hAnsi="宋体" w:cs="宋体"/>
                <w:sz w:val="24"/>
              </w:rPr>
              <w:t>25</w:t>
            </w:r>
          </w:p>
        </w:tc>
        <w:tc>
          <w:tcPr>
            <w:tcW w:w="0" w:type="auto"/>
            <w:tcBorders>
              <w:top w:val="single" w:color="auto" w:sz="4" w:space="0"/>
              <w:left w:val="nil"/>
              <w:bottom w:val="single" w:color="auto" w:sz="4" w:space="0"/>
              <w:right w:val="single" w:color="auto" w:sz="4" w:space="0"/>
            </w:tcBorders>
            <w:vAlign w:val="center"/>
          </w:tcPr>
          <w:p w14:paraId="78264678">
            <w:pPr>
              <w:jc w:val="center"/>
              <w:rPr>
                <w:rFonts w:ascii="宋体" w:hAnsi="宋体" w:cs="宋体"/>
                <w:sz w:val="24"/>
              </w:rPr>
            </w:pPr>
            <w:r>
              <w:rPr>
                <w:rFonts w:hint="eastAsia" w:ascii="宋体" w:hAnsi="宋体" w:cs="宋体"/>
                <w:sz w:val="24"/>
              </w:rPr>
              <w:t>304不锈钢面安全出口指示灯、疏散指示灯</w:t>
            </w:r>
          </w:p>
        </w:tc>
        <w:tc>
          <w:tcPr>
            <w:tcW w:w="0" w:type="auto"/>
            <w:tcBorders>
              <w:top w:val="single" w:color="auto" w:sz="4" w:space="0"/>
              <w:left w:val="nil"/>
              <w:bottom w:val="single" w:color="auto" w:sz="4" w:space="0"/>
              <w:right w:val="single" w:color="auto" w:sz="4" w:space="0"/>
            </w:tcBorders>
            <w:vAlign w:val="center"/>
          </w:tcPr>
          <w:p w14:paraId="71886900">
            <w:pPr>
              <w:adjustRightInd w:val="0"/>
              <w:snapToGrid w:val="0"/>
              <w:spacing w:line="440" w:lineRule="exact"/>
              <w:jc w:val="center"/>
              <w:rPr>
                <w:rFonts w:ascii="宋体" w:hAnsi="宋体" w:cs="宋体"/>
                <w:sz w:val="24"/>
              </w:rPr>
            </w:pPr>
            <w:r>
              <w:rPr>
                <w:rFonts w:hint="eastAsia" w:ascii="宋体" w:hAnsi="宋体" w:cs="宋体"/>
                <w:sz w:val="24"/>
              </w:rPr>
              <w:t>三雄极光、振辉、雷士</w:t>
            </w:r>
          </w:p>
        </w:tc>
        <w:tc>
          <w:tcPr>
            <w:tcW w:w="0" w:type="auto"/>
            <w:tcBorders>
              <w:top w:val="single" w:color="auto" w:sz="4" w:space="0"/>
              <w:left w:val="nil"/>
              <w:bottom w:val="single" w:color="auto" w:sz="4" w:space="0"/>
              <w:right w:val="single" w:color="auto" w:sz="4" w:space="0"/>
            </w:tcBorders>
            <w:vAlign w:val="center"/>
          </w:tcPr>
          <w:p w14:paraId="5A0A997B">
            <w:pPr>
              <w:adjustRightInd w:val="0"/>
              <w:snapToGrid w:val="0"/>
              <w:spacing w:line="440" w:lineRule="exact"/>
              <w:jc w:val="center"/>
              <w:rPr>
                <w:rFonts w:ascii="宋体" w:hAnsi="宋体" w:cs="宋体"/>
                <w:sz w:val="24"/>
              </w:rPr>
            </w:pPr>
          </w:p>
        </w:tc>
      </w:tr>
      <w:tr w14:paraId="5B4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FDBAE2C">
            <w:pPr>
              <w:adjustRightInd w:val="0"/>
              <w:snapToGrid w:val="0"/>
              <w:spacing w:line="440" w:lineRule="exact"/>
              <w:jc w:val="center"/>
              <w:rPr>
                <w:rFonts w:ascii="宋体" w:hAnsi="宋体" w:cs="宋体"/>
                <w:sz w:val="24"/>
              </w:rPr>
            </w:pPr>
            <w:r>
              <w:rPr>
                <w:rFonts w:hint="eastAsia" w:ascii="宋体" w:hAnsi="宋体" w:cs="宋体"/>
                <w:sz w:val="24"/>
              </w:rPr>
              <w:t>26</w:t>
            </w:r>
          </w:p>
        </w:tc>
        <w:tc>
          <w:tcPr>
            <w:tcW w:w="0" w:type="auto"/>
            <w:tcBorders>
              <w:top w:val="single" w:color="auto" w:sz="4" w:space="0"/>
              <w:left w:val="nil"/>
              <w:bottom w:val="single" w:color="auto" w:sz="4" w:space="0"/>
              <w:right w:val="single" w:color="auto" w:sz="4" w:space="0"/>
            </w:tcBorders>
            <w:vAlign w:val="center"/>
          </w:tcPr>
          <w:p w14:paraId="406BF1FC">
            <w:pPr>
              <w:adjustRightInd w:val="0"/>
              <w:snapToGrid w:val="0"/>
              <w:spacing w:line="440" w:lineRule="exact"/>
              <w:jc w:val="center"/>
              <w:rPr>
                <w:rFonts w:ascii="宋体" w:hAnsi="宋体" w:cs="宋体"/>
                <w:sz w:val="24"/>
              </w:rPr>
            </w:pPr>
            <w:r>
              <w:rPr>
                <w:rFonts w:hint="eastAsia" w:ascii="宋体" w:hAnsi="宋体" w:cs="宋体"/>
                <w:sz w:val="24"/>
              </w:rPr>
              <w:t>可视对讲设施</w:t>
            </w:r>
          </w:p>
        </w:tc>
        <w:tc>
          <w:tcPr>
            <w:tcW w:w="0" w:type="auto"/>
            <w:tcBorders>
              <w:top w:val="single" w:color="auto" w:sz="4" w:space="0"/>
              <w:left w:val="nil"/>
              <w:bottom w:val="single" w:color="auto" w:sz="4" w:space="0"/>
              <w:right w:val="single" w:color="auto" w:sz="4" w:space="0"/>
            </w:tcBorders>
            <w:vAlign w:val="center"/>
          </w:tcPr>
          <w:p w14:paraId="2D298B56">
            <w:pPr>
              <w:adjustRightInd w:val="0"/>
              <w:snapToGrid w:val="0"/>
              <w:spacing w:line="440" w:lineRule="exact"/>
              <w:jc w:val="center"/>
              <w:rPr>
                <w:rFonts w:ascii="宋体" w:hAnsi="宋体" w:cs="宋体"/>
                <w:sz w:val="24"/>
              </w:rPr>
            </w:pPr>
            <w:r>
              <w:rPr>
                <w:rFonts w:hint="eastAsia" w:ascii="宋体" w:hAnsi="宋体" w:cs="宋体"/>
                <w:sz w:val="24"/>
              </w:rPr>
              <w:t>海康、大华、立林</w:t>
            </w:r>
          </w:p>
        </w:tc>
        <w:tc>
          <w:tcPr>
            <w:tcW w:w="0" w:type="auto"/>
            <w:tcBorders>
              <w:top w:val="single" w:color="auto" w:sz="4" w:space="0"/>
              <w:left w:val="nil"/>
              <w:bottom w:val="single" w:color="auto" w:sz="4" w:space="0"/>
              <w:right w:val="single" w:color="auto" w:sz="4" w:space="0"/>
            </w:tcBorders>
            <w:vAlign w:val="center"/>
          </w:tcPr>
          <w:p w14:paraId="7C24FE12">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54EF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9867810">
            <w:pPr>
              <w:adjustRightInd w:val="0"/>
              <w:snapToGrid w:val="0"/>
              <w:spacing w:line="440" w:lineRule="exact"/>
              <w:jc w:val="center"/>
              <w:rPr>
                <w:rFonts w:ascii="宋体" w:hAnsi="宋体" w:cs="宋体"/>
                <w:sz w:val="24"/>
              </w:rPr>
            </w:pPr>
            <w:r>
              <w:rPr>
                <w:rFonts w:hint="eastAsia" w:ascii="宋体" w:hAnsi="宋体" w:cs="宋体"/>
                <w:sz w:val="24"/>
              </w:rPr>
              <w:t>27</w:t>
            </w:r>
          </w:p>
        </w:tc>
        <w:tc>
          <w:tcPr>
            <w:tcW w:w="0" w:type="auto"/>
            <w:tcBorders>
              <w:top w:val="single" w:color="auto" w:sz="4" w:space="0"/>
              <w:left w:val="nil"/>
              <w:bottom w:val="single" w:color="auto" w:sz="4" w:space="0"/>
              <w:right w:val="single" w:color="auto" w:sz="4" w:space="0"/>
            </w:tcBorders>
            <w:vAlign w:val="center"/>
          </w:tcPr>
          <w:p w14:paraId="0B294587">
            <w:pPr>
              <w:adjustRightInd w:val="0"/>
              <w:snapToGrid w:val="0"/>
              <w:spacing w:line="440" w:lineRule="exact"/>
              <w:jc w:val="center"/>
              <w:rPr>
                <w:rFonts w:ascii="宋体" w:hAnsi="宋体" w:cs="宋体"/>
                <w:sz w:val="24"/>
              </w:rPr>
            </w:pPr>
            <w:r>
              <w:rPr>
                <w:rFonts w:hint="eastAsia" w:ascii="宋体" w:hAnsi="宋体" w:cs="宋体"/>
                <w:sz w:val="24"/>
              </w:rPr>
              <w:t>门禁设施</w:t>
            </w:r>
          </w:p>
        </w:tc>
        <w:tc>
          <w:tcPr>
            <w:tcW w:w="0" w:type="auto"/>
            <w:tcBorders>
              <w:top w:val="single" w:color="auto" w:sz="4" w:space="0"/>
              <w:left w:val="nil"/>
              <w:bottom w:val="single" w:color="auto" w:sz="4" w:space="0"/>
              <w:right w:val="single" w:color="auto" w:sz="4" w:space="0"/>
            </w:tcBorders>
            <w:vAlign w:val="center"/>
          </w:tcPr>
          <w:p w14:paraId="569E473A">
            <w:pPr>
              <w:adjustRightInd w:val="0"/>
              <w:snapToGrid w:val="0"/>
              <w:spacing w:line="440" w:lineRule="exact"/>
              <w:jc w:val="center"/>
              <w:rPr>
                <w:rFonts w:ascii="宋体" w:hAnsi="宋体" w:cs="宋体"/>
                <w:sz w:val="24"/>
              </w:rPr>
            </w:pPr>
            <w:r>
              <w:rPr>
                <w:rFonts w:hint="eastAsia" w:ascii="宋体" w:hAnsi="宋体" w:cs="宋体"/>
                <w:sz w:val="24"/>
              </w:rPr>
              <w:t>捷顺、大华、海康</w:t>
            </w:r>
          </w:p>
        </w:tc>
        <w:tc>
          <w:tcPr>
            <w:tcW w:w="0" w:type="auto"/>
            <w:tcBorders>
              <w:top w:val="single" w:color="auto" w:sz="4" w:space="0"/>
              <w:left w:val="nil"/>
              <w:bottom w:val="single" w:color="auto" w:sz="4" w:space="0"/>
              <w:right w:val="single" w:color="auto" w:sz="4" w:space="0"/>
            </w:tcBorders>
            <w:vAlign w:val="center"/>
          </w:tcPr>
          <w:p w14:paraId="07D2B099">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1C05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C3EE36E">
            <w:pPr>
              <w:adjustRightInd w:val="0"/>
              <w:snapToGrid w:val="0"/>
              <w:spacing w:line="440" w:lineRule="exact"/>
              <w:jc w:val="center"/>
              <w:rPr>
                <w:rFonts w:ascii="宋体" w:hAnsi="宋体" w:cs="宋体"/>
                <w:sz w:val="24"/>
              </w:rPr>
            </w:pPr>
            <w:r>
              <w:rPr>
                <w:rFonts w:hint="eastAsia" w:ascii="宋体" w:hAnsi="宋体" w:cs="宋体"/>
                <w:sz w:val="24"/>
              </w:rPr>
              <w:t>28</w:t>
            </w:r>
          </w:p>
        </w:tc>
        <w:tc>
          <w:tcPr>
            <w:tcW w:w="0" w:type="auto"/>
            <w:tcBorders>
              <w:top w:val="single" w:color="auto" w:sz="4" w:space="0"/>
              <w:left w:val="nil"/>
              <w:bottom w:val="single" w:color="auto" w:sz="4" w:space="0"/>
              <w:right w:val="single" w:color="auto" w:sz="4" w:space="0"/>
            </w:tcBorders>
            <w:vAlign w:val="center"/>
          </w:tcPr>
          <w:p w14:paraId="30C3F858">
            <w:pPr>
              <w:adjustRightInd w:val="0"/>
              <w:snapToGrid w:val="0"/>
              <w:spacing w:line="440" w:lineRule="exact"/>
              <w:jc w:val="center"/>
              <w:rPr>
                <w:rFonts w:ascii="宋体" w:hAnsi="宋体" w:cs="宋体"/>
                <w:sz w:val="24"/>
              </w:rPr>
            </w:pPr>
            <w:r>
              <w:rPr>
                <w:rFonts w:hint="eastAsia" w:ascii="宋体" w:hAnsi="宋体" w:cs="宋体"/>
                <w:sz w:val="24"/>
              </w:rPr>
              <w:t>摄像头</w:t>
            </w:r>
          </w:p>
        </w:tc>
        <w:tc>
          <w:tcPr>
            <w:tcW w:w="0" w:type="auto"/>
            <w:tcBorders>
              <w:top w:val="single" w:color="auto" w:sz="4" w:space="0"/>
              <w:left w:val="nil"/>
              <w:bottom w:val="single" w:color="auto" w:sz="4" w:space="0"/>
              <w:right w:val="single" w:color="auto" w:sz="4" w:space="0"/>
            </w:tcBorders>
            <w:vAlign w:val="center"/>
          </w:tcPr>
          <w:p w14:paraId="3B349025">
            <w:pPr>
              <w:adjustRightInd w:val="0"/>
              <w:snapToGrid w:val="0"/>
              <w:spacing w:line="440" w:lineRule="exact"/>
              <w:jc w:val="center"/>
              <w:rPr>
                <w:rFonts w:ascii="宋体" w:hAnsi="宋体" w:cs="宋体"/>
                <w:sz w:val="24"/>
              </w:rPr>
            </w:pPr>
            <w:r>
              <w:rPr>
                <w:rFonts w:hint="eastAsia" w:ascii="宋体" w:hAnsi="宋体" w:cs="宋体"/>
                <w:sz w:val="24"/>
              </w:rPr>
              <w:t>大华、海康、宇视</w:t>
            </w:r>
          </w:p>
        </w:tc>
        <w:tc>
          <w:tcPr>
            <w:tcW w:w="0" w:type="auto"/>
            <w:tcBorders>
              <w:top w:val="single" w:color="auto" w:sz="4" w:space="0"/>
              <w:left w:val="nil"/>
              <w:bottom w:val="single" w:color="auto" w:sz="4" w:space="0"/>
              <w:right w:val="single" w:color="auto" w:sz="4" w:space="0"/>
            </w:tcBorders>
            <w:vAlign w:val="center"/>
          </w:tcPr>
          <w:p w14:paraId="7659A594">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150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CAEC9B9">
            <w:pPr>
              <w:snapToGrid w:val="0"/>
              <w:spacing w:line="440" w:lineRule="exact"/>
              <w:jc w:val="center"/>
              <w:rPr>
                <w:rFonts w:ascii="宋体" w:hAnsi="宋体" w:cs="宋体"/>
                <w:sz w:val="24"/>
              </w:rPr>
            </w:pPr>
            <w:r>
              <w:rPr>
                <w:rFonts w:hint="eastAsia" w:ascii="宋体" w:hAnsi="宋体" w:cs="宋体"/>
                <w:sz w:val="24"/>
              </w:rPr>
              <w:t>29</w:t>
            </w:r>
          </w:p>
        </w:tc>
        <w:tc>
          <w:tcPr>
            <w:tcW w:w="0" w:type="auto"/>
            <w:tcBorders>
              <w:top w:val="single" w:color="auto" w:sz="4" w:space="0"/>
              <w:left w:val="nil"/>
              <w:bottom w:val="single" w:color="auto" w:sz="4" w:space="0"/>
              <w:right w:val="single" w:color="auto" w:sz="4" w:space="0"/>
            </w:tcBorders>
            <w:vAlign w:val="center"/>
          </w:tcPr>
          <w:p w14:paraId="7CBDB3C3">
            <w:pPr>
              <w:snapToGrid w:val="0"/>
              <w:spacing w:line="440" w:lineRule="exact"/>
              <w:jc w:val="center"/>
              <w:rPr>
                <w:rFonts w:ascii="宋体" w:hAnsi="宋体" w:cs="宋体"/>
                <w:sz w:val="24"/>
              </w:rPr>
            </w:pPr>
            <w:r>
              <w:rPr>
                <w:rFonts w:hint="eastAsia" w:ascii="宋体" w:hAnsi="宋体" w:cs="宋体"/>
                <w:sz w:val="24"/>
              </w:rPr>
              <w:t>交换机</w:t>
            </w:r>
          </w:p>
        </w:tc>
        <w:tc>
          <w:tcPr>
            <w:tcW w:w="0" w:type="auto"/>
            <w:tcBorders>
              <w:top w:val="single" w:color="auto" w:sz="4" w:space="0"/>
              <w:left w:val="nil"/>
              <w:bottom w:val="single" w:color="auto" w:sz="4" w:space="0"/>
              <w:right w:val="single" w:color="auto" w:sz="4" w:space="0"/>
            </w:tcBorders>
            <w:vAlign w:val="center"/>
          </w:tcPr>
          <w:p w14:paraId="4110353E">
            <w:pPr>
              <w:snapToGrid w:val="0"/>
              <w:spacing w:line="440" w:lineRule="exact"/>
              <w:jc w:val="center"/>
              <w:rPr>
                <w:rFonts w:ascii="宋体" w:hAnsi="宋体" w:cs="宋体"/>
                <w:sz w:val="24"/>
              </w:rPr>
            </w:pPr>
            <w:r>
              <w:rPr>
                <w:rFonts w:hint="eastAsia" w:ascii="宋体" w:hAnsi="宋体" w:cs="宋体"/>
                <w:sz w:val="24"/>
              </w:rPr>
              <w:t>华为、华三、锐捷</w:t>
            </w:r>
          </w:p>
        </w:tc>
        <w:tc>
          <w:tcPr>
            <w:tcW w:w="0" w:type="auto"/>
            <w:tcBorders>
              <w:top w:val="single" w:color="auto" w:sz="4" w:space="0"/>
              <w:left w:val="nil"/>
              <w:bottom w:val="single" w:color="auto" w:sz="4" w:space="0"/>
              <w:right w:val="single" w:color="auto" w:sz="4" w:space="0"/>
            </w:tcBorders>
            <w:vAlign w:val="center"/>
          </w:tcPr>
          <w:p w14:paraId="714A799B">
            <w:pPr>
              <w:jc w:val="center"/>
              <w:rPr>
                <w:rFonts w:ascii="宋体" w:hAnsi="宋体" w:cs="宋体"/>
                <w:sz w:val="24"/>
              </w:rPr>
            </w:pPr>
            <w:r>
              <w:rPr>
                <w:rFonts w:hint="eastAsia" w:ascii="宋体" w:hAnsi="宋体" w:cs="宋体"/>
                <w:sz w:val="24"/>
              </w:rPr>
              <w:t>与原系统兼容调试到位</w:t>
            </w:r>
          </w:p>
        </w:tc>
      </w:tr>
      <w:tr w14:paraId="1DF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67CE8D2">
            <w:pPr>
              <w:adjustRightInd w:val="0"/>
              <w:snapToGrid w:val="0"/>
              <w:spacing w:line="440" w:lineRule="exact"/>
              <w:jc w:val="center"/>
              <w:rPr>
                <w:rFonts w:ascii="宋体" w:hAnsi="宋体" w:cs="宋体"/>
                <w:sz w:val="24"/>
              </w:rPr>
            </w:pPr>
            <w:r>
              <w:rPr>
                <w:rFonts w:hint="eastAsia" w:ascii="宋体" w:hAnsi="宋体" w:cs="宋体"/>
                <w:sz w:val="24"/>
              </w:rPr>
              <w:t>30</w:t>
            </w:r>
          </w:p>
        </w:tc>
        <w:tc>
          <w:tcPr>
            <w:tcW w:w="0" w:type="auto"/>
            <w:tcBorders>
              <w:top w:val="single" w:color="auto" w:sz="4" w:space="0"/>
              <w:left w:val="nil"/>
              <w:bottom w:val="single" w:color="auto" w:sz="4" w:space="0"/>
              <w:right w:val="single" w:color="auto" w:sz="4" w:space="0"/>
            </w:tcBorders>
            <w:vAlign w:val="center"/>
          </w:tcPr>
          <w:p w14:paraId="54A019F4">
            <w:pPr>
              <w:adjustRightInd w:val="0"/>
              <w:snapToGrid w:val="0"/>
              <w:spacing w:line="440" w:lineRule="exact"/>
              <w:jc w:val="center"/>
              <w:rPr>
                <w:rFonts w:ascii="宋体" w:hAnsi="宋体" w:cs="宋体"/>
                <w:sz w:val="24"/>
              </w:rPr>
            </w:pPr>
            <w:r>
              <w:rPr>
                <w:rFonts w:hint="eastAsia" w:ascii="宋体" w:hAnsi="宋体" w:cs="宋体"/>
                <w:sz w:val="24"/>
              </w:rPr>
              <w:t>网络模块</w:t>
            </w:r>
          </w:p>
        </w:tc>
        <w:tc>
          <w:tcPr>
            <w:tcW w:w="0" w:type="auto"/>
            <w:tcBorders>
              <w:top w:val="single" w:color="auto" w:sz="4" w:space="0"/>
              <w:left w:val="nil"/>
              <w:bottom w:val="single" w:color="auto" w:sz="4" w:space="0"/>
              <w:right w:val="single" w:color="auto" w:sz="4" w:space="0"/>
            </w:tcBorders>
            <w:vAlign w:val="center"/>
          </w:tcPr>
          <w:p w14:paraId="0B17B630">
            <w:pPr>
              <w:adjustRightInd w:val="0"/>
              <w:snapToGrid w:val="0"/>
              <w:spacing w:line="440" w:lineRule="exact"/>
              <w:jc w:val="center"/>
              <w:rPr>
                <w:rFonts w:ascii="宋体" w:hAnsi="宋体" w:cs="宋体"/>
                <w:sz w:val="24"/>
              </w:rPr>
            </w:pPr>
            <w:r>
              <w:rPr>
                <w:rFonts w:hint="eastAsia" w:ascii="宋体" w:hAnsi="宋体" w:cs="宋体"/>
                <w:sz w:val="24"/>
              </w:rPr>
              <w:t>华为、华三、锐捷</w:t>
            </w:r>
          </w:p>
        </w:tc>
        <w:tc>
          <w:tcPr>
            <w:tcW w:w="0" w:type="auto"/>
            <w:tcBorders>
              <w:top w:val="single" w:color="auto" w:sz="4" w:space="0"/>
              <w:left w:val="nil"/>
              <w:bottom w:val="single" w:color="auto" w:sz="4" w:space="0"/>
              <w:right w:val="single" w:color="auto" w:sz="4" w:space="0"/>
            </w:tcBorders>
            <w:vAlign w:val="center"/>
          </w:tcPr>
          <w:p w14:paraId="7128A2C4">
            <w:pPr>
              <w:jc w:val="center"/>
              <w:rPr>
                <w:rFonts w:ascii="宋体" w:hAnsi="宋体" w:cs="宋体"/>
                <w:sz w:val="24"/>
              </w:rPr>
            </w:pPr>
            <w:r>
              <w:rPr>
                <w:rFonts w:hint="eastAsia" w:ascii="宋体" w:hAnsi="宋体" w:cs="宋体"/>
                <w:sz w:val="24"/>
              </w:rPr>
              <w:t>与原系统兼容调试到位</w:t>
            </w:r>
          </w:p>
        </w:tc>
      </w:tr>
      <w:tr w14:paraId="360F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42F71A2">
            <w:pPr>
              <w:adjustRightInd w:val="0"/>
              <w:snapToGrid w:val="0"/>
              <w:spacing w:line="440" w:lineRule="exact"/>
              <w:jc w:val="center"/>
              <w:rPr>
                <w:rFonts w:ascii="宋体" w:hAnsi="宋体" w:cs="宋体"/>
                <w:sz w:val="24"/>
              </w:rPr>
            </w:pPr>
            <w:r>
              <w:rPr>
                <w:rFonts w:hint="eastAsia" w:ascii="宋体" w:hAnsi="宋体" w:cs="宋体"/>
                <w:sz w:val="24"/>
              </w:rPr>
              <w:t>31</w:t>
            </w:r>
          </w:p>
        </w:tc>
        <w:tc>
          <w:tcPr>
            <w:tcW w:w="0" w:type="auto"/>
            <w:tcBorders>
              <w:top w:val="single" w:color="auto" w:sz="4" w:space="0"/>
              <w:left w:val="nil"/>
              <w:bottom w:val="single" w:color="auto" w:sz="4" w:space="0"/>
              <w:right w:val="single" w:color="auto" w:sz="4" w:space="0"/>
            </w:tcBorders>
            <w:vAlign w:val="center"/>
          </w:tcPr>
          <w:p w14:paraId="3C3BBD5B">
            <w:pPr>
              <w:adjustRightInd w:val="0"/>
              <w:snapToGrid w:val="0"/>
              <w:spacing w:line="440" w:lineRule="exact"/>
              <w:jc w:val="center"/>
              <w:rPr>
                <w:rFonts w:ascii="宋体" w:hAnsi="宋体" w:cs="宋体"/>
                <w:sz w:val="24"/>
              </w:rPr>
            </w:pPr>
            <w:r>
              <w:rPr>
                <w:rFonts w:hint="eastAsia" w:ascii="宋体" w:hAnsi="宋体" w:cs="宋体"/>
                <w:sz w:val="24"/>
              </w:rPr>
              <w:t>风机盘管</w:t>
            </w:r>
          </w:p>
        </w:tc>
        <w:tc>
          <w:tcPr>
            <w:tcW w:w="0" w:type="auto"/>
            <w:tcBorders>
              <w:top w:val="single" w:color="auto" w:sz="4" w:space="0"/>
              <w:left w:val="nil"/>
              <w:bottom w:val="single" w:color="auto" w:sz="4" w:space="0"/>
              <w:right w:val="single" w:color="auto" w:sz="4" w:space="0"/>
            </w:tcBorders>
            <w:vAlign w:val="center"/>
          </w:tcPr>
          <w:p w14:paraId="7729AA5C">
            <w:pPr>
              <w:adjustRightInd w:val="0"/>
              <w:snapToGrid w:val="0"/>
              <w:spacing w:line="440" w:lineRule="exact"/>
              <w:jc w:val="center"/>
              <w:rPr>
                <w:rFonts w:ascii="宋体" w:hAnsi="宋体" w:cs="宋体"/>
                <w:sz w:val="24"/>
              </w:rPr>
            </w:pPr>
            <w:r>
              <w:rPr>
                <w:rFonts w:hint="eastAsia" w:ascii="宋体" w:hAnsi="宋体" w:cs="宋体"/>
                <w:sz w:val="24"/>
              </w:rPr>
              <w:t>国祥、天加、麦克维尔</w:t>
            </w:r>
          </w:p>
        </w:tc>
        <w:tc>
          <w:tcPr>
            <w:tcW w:w="0" w:type="auto"/>
            <w:tcBorders>
              <w:top w:val="single" w:color="auto" w:sz="4" w:space="0"/>
              <w:left w:val="nil"/>
              <w:bottom w:val="single" w:color="auto" w:sz="4" w:space="0"/>
              <w:right w:val="single" w:color="auto" w:sz="4" w:space="0"/>
            </w:tcBorders>
            <w:vAlign w:val="center"/>
          </w:tcPr>
          <w:p w14:paraId="2948D059">
            <w:pPr>
              <w:jc w:val="center"/>
              <w:rPr>
                <w:rFonts w:ascii="宋体" w:hAnsi="宋体" w:cs="宋体"/>
                <w:sz w:val="24"/>
              </w:rPr>
            </w:pPr>
            <w:r>
              <w:rPr>
                <w:rFonts w:hint="eastAsia" w:ascii="宋体" w:hAnsi="宋体" w:cs="宋体"/>
                <w:sz w:val="24"/>
              </w:rPr>
              <w:t>卡式风机盘管自带提升泵，自配液晶控制面板</w:t>
            </w:r>
          </w:p>
        </w:tc>
      </w:tr>
      <w:tr w14:paraId="5AE5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1E8A4F5">
            <w:pPr>
              <w:adjustRightInd w:val="0"/>
              <w:snapToGrid w:val="0"/>
              <w:spacing w:line="440" w:lineRule="exact"/>
              <w:jc w:val="center"/>
              <w:rPr>
                <w:rFonts w:ascii="宋体" w:hAnsi="宋体" w:cs="宋体"/>
                <w:sz w:val="24"/>
              </w:rPr>
            </w:pPr>
            <w:r>
              <w:rPr>
                <w:rFonts w:hint="eastAsia" w:ascii="宋体" w:hAnsi="宋体" w:cs="宋体"/>
                <w:sz w:val="24"/>
              </w:rPr>
              <w:t>32</w:t>
            </w:r>
          </w:p>
        </w:tc>
        <w:tc>
          <w:tcPr>
            <w:tcW w:w="0" w:type="auto"/>
            <w:tcBorders>
              <w:top w:val="single" w:color="auto" w:sz="4" w:space="0"/>
              <w:left w:val="nil"/>
              <w:bottom w:val="single" w:color="auto" w:sz="4" w:space="0"/>
              <w:right w:val="single" w:color="auto" w:sz="4" w:space="0"/>
            </w:tcBorders>
            <w:vAlign w:val="center"/>
          </w:tcPr>
          <w:p w14:paraId="5283EB7F">
            <w:pPr>
              <w:adjustRightInd w:val="0"/>
              <w:snapToGrid w:val="0"/>
              <w:spacing w:line="440" w:lineRule="exact"/>
              <w:jc w:val="center"/>
              <w:rPr>
                <w:rFonts w:ascii="宋体" w:hAnsi="宋体" w:cs="宋体"/>
                <w:sz w:val="24"/>
              </w:rPr>
            </w:pPr>
            <w:r>
              <w:rPr>
                <w:rFonts w:hint="eastAsia" w:ascii="宋体" w:hAnsi="宋体" w:cs="宋体"/>
                <w:sz w:val="24"/>
              </w:rPr>
              <w:t>房间排气扇</w:t>
            </w:r>
          </w:p>
        </w:tc>
        <w:tc>
          <w:tcPr>
            <w:tcW w:w="0" w:type="auto"/>
            <w:tcBorders>
              <w:top w:val="single" w:color="auto" w:sz="4" w:space="0"/>
              <w:left w:val="nil"/>
              <w:bottom w:val="single" w:color="auto" w:sz="4" w:space="0"/>
              <w:right w:val="single" w:color="auto" w:sz="4" w:space="0"/>
            </w:tcBorders>
            <w:vAlign w:val="center"/>
          </w:tcPr>
          <w:p w14:paraId="20084D7E">
            <w:pPr>
              <w:adjustRightInd w:val="0"/>
              <w:snapToGrid w:val="0"/>
              <w:spacing w:line="440" w:lineRule="exact"/>
              <w:jc w:val="center"/>
              <w:rPr>
                <w:rFonts w:ascii="宋体" w:hAnsi="宋体" w:cs="宋体"/>
                <w:sz w:val="24"/>
              </w:rPr>
            </w:pPr>
            <w:r>
              <w:rPr>
                <w:rFonts w:hint="eastAsia" w:ascii="宋体" w:hAnsi="宋体" w:cs="宋体"/>
                <w:sz w:val="24"/>
              </w:rPr>
              <w:t>松下、三菱、台达</w:t>
            </w:r>
          </w:p>
        </w:tc>
        <w:tc>
          <w:tcPr>
            <w:tcW w:w="0" w:type="auto"/>
            <w:tcBorders>
              <w:top w:val="single" w:color="auto" w:sz="4" w:space="0"/>
              <w:left w:val="nil"/>
              <w:bottom w:val="single" w:color="auto" w:sz="4" w:space="0"/>
              <w:right w:val="single" w:color="auto" w:sz="4" w:space="0"/>
            </w:tcBorders>
            <w:vAlign w:val="center"/>
          </w:tcPr>
          <w:p w14:paraId="4E990607">
            <w:pPr>
              <w:rPr>
                <w:rFonts w:ascii="宋体" w:hAnsi="宋体" w:cs="宋体"/>
                <w:sz w:val="24"/>
              </w:rPr>
            </w:pPr>
          </w:p>
        </w:tc>
      </w:tr>
      <w:tr w14:paraId="1BBD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70A2239">
            <w:pPr>
              <w:adjustRightInd w:val="0"/>
              <w:snapToGrid w:val="0"/>
              <w:spacing w:line="440" w:lineRule="exact"/>
              <w:jc w:val="center"/>
              <w:rPr>
                <w:rFonts w:ascii="宋体" w:hAnsi="宋体" w:cs="宋体"/>
                <w:sz w:val="24"/>
              </w:rPr>
            </w:pPr>
            <w:r>
              <w:rPr>
                <w:rFonts w:hint="eastAsia" w:ascii="宋体" w:hAnsi="宋体" w:cs="宋体"/>
                <w:sz w:val="24"/>
              </w:rPr>
              <w:t>33</w:t>
            </w:r>
          </w:p>
        </w:tc>
        <w:tc>
          <w:tcPr>
            <w:tcW w:w="0" w:type="auto"/>
            <w:tcBorders>
              <w:top w:val="single" w:color="auto" w:sz="4" w:space="0"/>
              <w:left w:val="nil"/>
              <w:bottom w:val="single" w:color="auto" w:sz="4" w:space="0"/>
              <w:right w:val="single" w:color="auto" w:sz="4" w:space="0"/>
            </w:tcBorders>
            <w:vAlign w:val="center"/>
          </w:tcPr>
          <w:p w14:paraId="3778509B">
            <w:pPr>
              <w:adjustRightInd w:val="0"/>
              <w:snapToGrid w:val="0"/>
              <w:spacing w:line="440" w:lineRule="exact"/>
              <w:jc w:val="center"/>
              <w:rPr>
                <w:rFonts w:ascii="宋体" w:hAnsi="宋体" w:cs="宋体"/>
                <w:sz w:val="24"/>
              </w:rPr>
            </w:pPr>
            <w:r>
              <w:rPr>
                <w:rFonts w:hint="eastAsia" w:ascii="宋体" w:hAnsi="宋体" w:cs="宋体"/>
                <w:sz w:val="24"/>
              </w:rPr>
              <w:t>新风机（水系统）</w:t>
            </w:r>
          </w:p>
        </w:tc>
        <w:tc>
          <w:tcPr>
            <w:tcW w:w="0" w:type="auto"/>
            <w:tcBorders>
              <w:top w:val="single" w:color="auto" w:sz="4" w:space="0"/>
              <w:left w:val="nil"/>
              <w:bottom w:val="single" w:color="auto" w:sz="4" w:space="0"/>
              <w:right w:val="single" w:color="auto" w:sz="4" w:space="0"/>
            </w:tcBorders>
            <w:vAlign w:val="center"/>
          </w:tcPr>
          <w:p w14:paraId="5F723DB6">
            <w:pPr>
              <w:adjustRightInd w:val="0"/>
              <w:snapToGrid w:val="0"/>
              <w:spacing w:line="440" w:lineRule="exact"/>
              <w:jc w:val="center"/>
              <w:rPr>
                <w:rFonts w:ascii="宋体" w:hAnsi="宋体" w:cs="宋体"/>
                <w:sz w:val="24"/>
              </w:rPr>
            </w:pPr>
            <w:r>
              <w:rPr>
                <w:rFonts w:hint="eastAsia" w:ascii="宋体" w:hAnsi="宋体" w:cs="宋体"/>
                <w:sz w:val="24"/>
              </w:rPr>
              <w:t>约克、特灵、开利</w:t>
            </w:r>
          </w:p>
        </w:tc>
        <w:tc>
          <w:tcPr>
            <w:tcW w:w="0" w:type="auto"/>
            <w:tcBorders>
              <w:top w:val="single" w:color="auto" w:sz="4" w:space="0"/>
              <w:left w:val="nil"/>
              <w:bottom w:val="single" w:color="auto" w:sz="4" w:space="0"/>
              <w:right w:val="single" w:color="auto" w:sz="4" w:space="0"/>
            </w:tcBorders>
            <w:vAlign w:val="center"/>
          </w:tcPr>
          <w:p w14:paraId="6095B245">
            <w:pPr>
              <w:rPr>
                <w:rFonts w:ascii="宋体" w:hAnsi="宋体" w:cs="宋体"/>
                <w:sz w:val="24"/>
              </w:rPr>
            </w:pPr>
            <w:r>
              <w:rPr>
                <w:rFonts w:hint="eastAsia" w:ascii="宋体" w:hAnsi="宋体" w:cs="宋体"/>
                <w:sz w:val="24"/>
              </w:rPr>
              <w:t>低噪声</w:t>
            </w:r>
          </w:p>
        </w:tc>
      </w:tr>
      <w:tr w14:paraId="4C0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E8BC0E4">
            <w:pPr>
              <w:adjustRightInd w:val="0"/>
              <w:snapToGrid w:val="0"/>
              <w:spacing w:line="440" w:lineRule="exact"/>
              <w:jc w:val="center"/>
              <w:rPr>
                <w:rFonts w:ascii="宋体" w:hAnsi="宋体" w:cs="宋体"/>
                <w:sz w:val="24"/>
              </w:rPr>
            </w:pPr>
            <w:r>
              <w:rPr>
                <w:rFonts w:hint="eastAsia" w:ascii="宋体" w:hAnsi="宋体" w:cs="宋体"/>
                <w:sz w:val="24"/>
              </w:rPr>
              <w:t>34</w:t>
            </w:r>
          </w:p>
        </w:tc>
        <w:tc>
          <w:tcPr>
            <w:tcW w:w="0" w:type="auto"/>
            <w:tcBorders>
              <w:top w:val="single" w:color="auto" w:sz="4" w:space="0"/>
              <w:left w:val="nil"/>
              <w:bottom w:val="single" w:color="auto" w:sz="4" w:space="0"/>
              <w:right w:val="single" w:color="auto" w:sz="4" w:space="0"/>
            </w:tcBorders>
            <w:vAlign w:val="center"/>
          </w:tcPr>
          <w:p w14:paraId="1B4632C0">
            <w:pPr>
              <w:adjustRightInd w:val="0"/>
              <w:snapToGrid w:val="0"/>
              <w:spacing w:line="440" w:lineRule="exact"/>
              <w:jc w:val="center"/>
              <w:rPr>
                <w:rFonts w:ascii="宋体" w:hAnsi="宋体" w:cs="宋体"/>
                <w:sz w:val="24"/>
              </w:rPr>
            </w:pPr>
            <w:r>
              <w:rPr>
                <w:rFonts w:hint="eastAsia" w:ascii="宋体" w:hAnsi="宋体" w:cs="宋体"/>
                <w:sz w:val="24"/>
              </w:rPr>
              <w:t>排风机</w:t>
            </w:r>
          </w:p>
        </w:tc>
        <w:tc>
          <w:tcPr>
            <w:tcW w:w="0" w:type="auto"/>
            <w:tcBorders>
              <w:top w:val="single" w:color="auto" w:sz="4" w:space="0"/>
              <w:left w:val="nil"/>
              <w:bottom w:val="single" w:color="auto" w:sz="4" w:space="0"/>
              <w:right w:val="single" w:color="auto" w:sz="4" w:space="0"/>
            </w:tcBorders>
            <w:vAlign w:val="center"/>
          </w:tcPr>
          <w:p w14:paraId="142251F8">
            <w:pPr>
              <w:adjustRightInd w:val="0"/>
              <w:snapToGrid w:val="0"/>
              <w:spacing w:line="440" w:lineRule="exact"/>
              <w:jc w:val="center"/>
              <w:rPr>
                <w:rFonts w:ascii="宋体" w:hAnsi="宋体" w:cs="宋体"/>
                <w:sz w:val="24"/>
              </w:rPr>
            </w:pPr>
            <w:r>
              <w:rPr>
                <w:rFonts w:hint="eastAsia" w:ascii="宋体" w:hAnsi="宋体" w:cs="宋体"/>
                <w:sz w:val="24"/>
              </w:rPr>
              <w:t>亿利达、上容、德鹏</w:t>
            </w:r>
          </w:p>
        </w:tc>
        <w:tc>
          <w:tcPr>
            <w:tcW w:w="0" w:type="auto"/>
            <w:tcBorders>
              <w:top w:val="single" w:color="auto" w:sz="4" w:space="0"/>
              <w:left w:val="nil"/>
              <w:bottom w:val="single" w:color="auto" w:sz="4" w:space="0"/>
              <w:right w:val="single" w:color="auto" w:sz="4" w:space="0"/>
            </w:tcBorders>
            <w:vAlign w:val="center"/>
          </w:tcPr>
          <w:p w14:paraId="54884A2A">
            <w:pPr>
              <w:rPr>
                <w:rFonts w:ascii="宋体" w:hAnsi="宋体" w:cs="宋体"/>
                <w:sz w:val="24"/>
              </w:rPr>
            </w:pPr>
            <w:r>
              <w:rPr>
                <w:rFonts w:hint="eastAsia" w:ascii="宋体" w:hAnsi="宋体" w:cs="宋体"/>
                <w:sz w:val="24"/>
              </w:rPr>
              <w:t>低噪声、全金属箱式</w:t>
            </w:r>
          </w:p>
        </w:tc>
      </w:tr>
      <w:tr w14:paraId="10D0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E4AD20E">
            <w:pPr>
              <w:adjustRightInd w:val="0"/>
              <w:snapToGrid w:val="0"/>
              <w:spacing w:line="440" w:lineRule="exact"/>
              <w:jc w:val="center"/>
              <w:rPr>
                <w:rFonts w:ascii="宋体" w:hAnsi="宋体" w:cs="宋体"/>
                <w:sz w:val="24"/>
              </w:rPr>
            </w:pPr>
            <w:r>
              <w:rPr>
                <w:rFonts w:hint="eastAsia" w:ascii="宋体" w:hAnsi="宋体" w:cs="宋体"/>
                <w:sz w:val="24"/>
              </w:rPr>
              <w:t>35</w:t>
            </w:r>
          </w:p>
        </w:tc>
        <w:tc>
          <w:tcPr>
            <w:tcW w:w="0" w:type="auto"/>
            <w:tcBorders>
              <w:top w:val="single" w:color="auto" w:sz="4" w:space="0"/>
              <w:left w:val="nil"/>
              <w:bottom w:val="single" w:color="auto" w:sz="4" w:space="0"/>
              <w:right w:val="single" w:color="auto" w:sz="4" w:space="0"/>
            </w:tcBorders>
            <w:vAlign w:val="center"/>
          </w:tcPr>
          <w:p w14:paraId="4BF0875F">
            <w:pPr>
              <w:adjustRightInd w:val="0"/>
              <w:snapToGrid w:val="0"/>
              <w:spacing w:line="440" w:lineRule="exact"/>
              <w:jc w:val="center"/>
              <w:rPr>
                <w:rFonts w:ascii="宋体" w:hAnsi="宋体" w:cs="宋体"/>
                <w:sz w:val="24"/>
              </w:rPr>
            </w:pPr>
            <w:r>
              <w:rPr>
                <w:rFonts w:hint="eastAsia" w:ascii="宋体" w:hAnsi="宋体" w:cs="宋体"/>
                <w:sz w:val="24"/>
              </w:rPr>
              <w:t>消火栓箱</w:t>
            </w:r>
          </w:p>
          <w:p w14:paraId="28B7A633">
            <w:pPr>
              <w:adjustRightInd w:val="0"/>
              <w:snapToGrid w:val="0"/>
              <w:spacing w:line="440" w:lineRule="exact"/>
              <w:jc w:val="center"/>
              <w:rPr>
                <w:rFonts w:ascii="宋体" w:hAnsi="宋体" w:cs="宋体"/>
                <w:sz w:val="24"/>
              </w:rPr>
            </w:pPr>
            <w:r>
              <w:rPr>
                <w:rFonts w:hint="eastAsia" w:ascii="宋体" w:hAnsi="宋体" w:cs="宋体"/>
                <w:sz w:val="24"/>
              </w:rPr>
              <w:t>（箱门为钢质门）及配套</w:t>
            </w:r>
          </w:p>
        </w:tc>
        <w:tc>
          <w:tcPr>
            <w:tcW w:w="0" w:type="auto"/>
            <w:tcBorders>
              <w:top w:val="single" w:color="auto" w:sz="4" w:space="0"/>
              <w:left w:val="nil"/>
              <w:bottom w:val="single" w:color="auto" w:sz="4" w:space="0"/>
              <w:right w:val="single" w:color="auto" w:sz="4" w:space="0"/>
            </w:tcBorders>
            <w:vAlign w:val="center"/>
          </w:tcPr>
          <w:p w14:paraId="56078687">
            <w:pPr>
              <w:adjustRightInd w:val="0"/>
              <w:snapToGrid w:val="0"/>
              <w:spacing w:line="440" w:lineRule="exact"/>
              <w:jc w:val="center"/>
              <w:rPr>
                <w:rFonts w:ascii="宋体" w:hAnsi="宋体" w:cs="宋体"/>
                <w:sz w:val="24"/>
              </w:rPr>
            </w:pPr>
            <w:r>
              <w:rPr>
                <w:rFonts w:hint="eastAsia" w:ascii="宋体" w:hAnsi="宋体" w:cs="宋体"/>
                <w:sz w:val="24"/>
              </w:rPr>
              <w:t>国泰、展拓、雨神</w:t>
            </w:r>
          </w:p>
        </w:tc>
        <w:tc>
          <w:tcPr>
            <w:tcW w:w="0" w:type="auto"/>
            <w:tcBorders>
              <w:top w:val="single" w:color="auto" w:sz="4" w:space="0"/>
              <w:left w:val="nil"/>
              <w:bottom w:val="single" w:color="auto" w:sz="4" w:space="0"/>
              <w:right w:val="single" w:color="auto" w:sz="4" w:space="0"/>
            </w:tcBorders>
            <w:vAlign w:val="center"/>
          </w:tcPr>
          <w:p w14:paraId="12CA2CF5">
            <w:pPr>
              <w:rPr>
                <w:rFonts w:ascii="宋体" w:hAnsi="宋体" w:cs="宋体"/>
                <w:sz w:val="24"/>
              </w:rPr>
            </w:pPr>
            <w:r>
              <w:rPr>
                <w:rFonts w:hint="eastAsia" w:ascii="宋体" w:hAnsi="宋体" w:cs="宋体"/>
                <w:sz w:val="24"/>
              </w:rPr>
              <w:t>铜阀芯、铜杆、铜阀座，</w:t>
            </w:r>
          </w:p>
          <w:p w14:paraId="6D415B4E">
            <w:pPr>
              <w:rPr>
                <w:rFonts w:ascii="宋体" w:hAnsi="宋体" w:cs="宋体"/>
                <w:sz w:val="24"/>
              </w:rPr>
            </w:pPr>
            <w:r>
              <w:rPr>
                <w:rFonts w:hint="eastAsia" w:ascii="宋体" w:hAnsi="宋体" w:cs="宋体"/>
                <w:sz w:val="24"/>
              </w:rPr>
              <w:t>箱门颜色与墙面颜色配套</w:t>
            </w:r>
          </w:p>
        </w:tc>
      </w:tr>
      <w:tr w14:paraId="6A1E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94C3F21">
            <w:pPr>
              <w:adjustRightInd w:val="0"/>
              <w:snapToGrid w:val="0"/>
              <w:spacing w:line="440" w:lineRule="exact"/>
              <w:jc w:val="center"/>
              <w:rPr>
                <w:rFonts w:ascii="宋体" w:hAnsi="宋体" w:cs="宋体"/>
                <w:sz w:val="24"/>
              </w:rPr>
            </w:pPr>
            <w:r>
              <w:rPr>
                <w:rFonts w:hint="eastAsia" w:ascii="宋体" w:hAnsi="宋体" w:cs="宋体"/>
                <w:sz w:val="24"/>
              </w:rPr>
              <w:t>36</w:t>
            </w:r>
          </w:p>
        </w:tc>
        <w:tc>
          <w:tcPr>
            <w:tcW w:w="0" w:type="auto"/>
            <w:tcBorders>
              <w:top w:val="single" w:color="auto" w:sz="4" w:space="0"/>
              <w:left w:val="nil"/>
              <w:bottom w:val="single" w:color="auto" w:sz="4" w:space="0"/>
              <w:right w:val="single" w:color="auto" w:sz="4" w:space="0"/>
            </w:tcBorders>
            <w:vAlign w:val="center"/>
          </w:tcPr>
          <w:p w14:paraId="431C0183">
            <w:pPr>
              <w:adjustRightInd w:val="0"/>
              <w:snapToGrid w:val="0"/>
              <w:spacing w:line="440" w:lineRule="exact"/>
              <w:jc w:val="center"/>
              <w:rPr>
                <w:rFonts w:ascii="宋体" w:hAnsi="宋体" w:cs="宋体"/>
                <w:sz w:val="24"/>
              </w:rPr>
            </w:pPr>
            <w:r>
              <w:rPr>
                <w:rFonts w:hint="eastAsia" w:ascii="宋体" w:hAnsi="宋体" w:cs="宋体"/>
                <w:sz w:val="24"/>
              </w:rPr>
              <w:t>空调电动阀/液晶控制面板</w:t>
            </w:r>
          </w:p>
          <w:p w14:paraId="1E772527">
            <w:pPr>
              <w:adjustRightInd w:val="0"/>
              <w:snapToGrid w:val="0"/>
              <w:spacing w:line="440" w:lineRule="exact"/>
              <w:jc w:val="center"/>
              <w:rPr>
                <w:rFonts w:ascii="宋体" w:hAnsi="宋体" w:cs="宋体"/>
                <w:sz w:val="24"/>
              </w:rPr>
            </w:pPr>
            <w:r>
              <w:rPr>
                <w:rFonts w:hint="eastAsia" w:ascii="宋体" w:hAnsi="宋体" w:cs="宋体"/>
                <w:sz w:val="24"/>
              </w:rPr>
              <w:t>电动蒸汽阀、电动调节阀</w:t>
            </w:r>
          </w:p>
        </w:tc>
        <w:tc>
          <w:tcPr>
            <w:tcW w:w="0" w:type="auto"/>
            <w:tcBorders>
              <w:top w:val="single" w:color="auto" w:sz="4" w:space="0"/>
              <w:left w:val="nil"/>
              <w:bottom w:val="single" w:color="auto" w:sz="4" w:space="0"/>
              <w:right w:val="single" w:color="auto" w:sz="4" w:space="0"/>
            </w:tcBorders>
            <w:vAlign w:val="center"/>
          </w:tcPr>
          <w:p w14:paraId="7ED7F7D2">
            <w:pPr>
              <w:adjustRightInd w:val="0"/>
              <w:snapToGrid w:val="0"/>
              <w:spacing w:line="440" w:lineRule="exact"/>
              <w:jc w:val="center"/>
              <w:rPr>
                <w:rFonts w:ascii="宋体" w:hAnsi="宋体" w:cs="宋体"/>
                <w:sz w:val="24"/>
              </w:rPr>
            </w:pPr>
            <w:r>
              <w:rPr>
                <w:rFonts w:hint="eastAsia" w:ascii="宋体" w:hAnsi="宋体" w:cs="宋体"/>
                <w:sz w:val="24"/>
              </w:rPr>
              <w:t>西门子、霍尼韦尔、阿自倍尔</w:t>
            </w:r>
          </w:p>
        </w:tc>
        <w:tc>
          <w:tcPr>
            <w:tcW w:w="0" w:type="auto"/>
            <w:tcBorders>
              <w:top w:val="single" w:color="auto" w:sz="4" w:space="0"/>
              <w:left w:val="nil"/>
              <w:bottom w:val="single" w:color="auto" w:sz="4" w:space="0"/>
              <w:right w:val="single" w:color="auto" w:sz="4" w:space="0"/>
            </w:tcBorders>
            <w:vAlign w:val="center"/>
          </w:tcPr>
          <w:p w14:paraId="7B1F2D72">
            <w:pPr>
              <w:rPr>
                <w:rFonts w:ascii="宋体" w:hAnsi="宋体" w:cs="宋体"/>
                <w:sz w:val="24"/>
              </w:rPr>
            </w:pPr>
          </w:p>
        </w:tc>
      </w:tr>
      <w:tr w14:paraId="5DDD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FE9EA">
            <w:pPr>
              <w:adjustRightInd w:val="0"/>
              <w:snapToGrid w:val="0"/>
              <w:spacing w:line="440" w:lineRule="exact"/>
              <w:jc w:val="center"/>
              <w:rPr>
                <w:rFonts w:ascii="宋体" w:hAnsi="宋体" w:cs="宋体"/>
                <w:sz w:val="24"/>
              </w:rPr>
            </w:pPr>
            <w:r>
              <w:rPr>
                <w:rFonts w:hint="eastAsia" w:ascii="宋体" w:hAnsi="宋体" w:cs="宋体"/>
                <w:sz w:val="24"/>
              </w:rPr>
              <w:t>37</w:t>
            </w:r>
          </w:p>
        </w:tc>
        <w:tc>
          <w:tcPr>
            <w:tcW w:w="0" w:type="auto"/>
            <w:tcBorders>
              <w:top w:val="single" w:color="auto" w:sz="4" w:space="0"/>
              <w:left w:val="nil"/>
              <w:bottom w:val="single" w:color="auto" w:sz="4" w:space="0"/>
              <w:right w:val="single" w:color="auto" w:sz="4" w:space="0"/>
            </w:tcBorders>
            <w:vAlign w:val="center"/>
          </w:tcPr>
          <w:p w14:paraId="5BA5343C">
            <w:pPr>
              <w:adjustRightInd w:val="0"/>
              <w:snapToGrid w:val="0"/>
              <w:spacing w:line="440" w:lineRule="exact"/>
              <w:jc w:val="center"/>
              <w:rPr>
                <w:rFonts w:ascii="宋体" w:hAnsi="宋体" w:cs="宋体"/>
                <w:sz w:val="24"/>
              </w:rPr>
            </w:pPr>
            <w:r>
              <w:rPr>
                <w:rFonts w:hint="eastAsia" w:ascii="宋体" w:hAnsi="宋体" w:cs="宋体"/>
                <w:sz w:val="24"/>
              </w:rPr>
              <w:t>空调金属软接</w:t>
            </w:r>
          </w:p>
        </w:tc>
        <w:tc>
          <w:tcPr>
            <w:tcW w:w="0" w:type="auto"/>
            <w:tcBorders>
              <w:top w:val="single" w:color="auto" w:sz="4" w:space="0"/>
              <w:left w:val="nil"/>
              <w:bottom w:val="single" w:color="auto" w:sz="4" w:space="0"/>
              <w:right w:val="single" w:color="auto" w:sz="4" w:space="0"/>
            </w:tcBorders>
            <w:vAlign w:val="center"/>
          </w:tcPr>
          <w:p w14:paraId="798EB802">
            <w:pPr>
              <w:adjustRightInd w:val="0"/>
              <w:snapToGrid w:val="0"/>
              <w:spacing w:line="440" w:lineRule="exact"/>
              <w:jc w:val="center"/>
              <w:rPr>
                <w:rFonts w:ascii="宋体" w:hAnsi="宋体" w:cs="宋体"/>
                <w:sz w:val="24"/>
              </w:rPr>
            </w:pPr>
            <w:r>
              <w:rPr>
                <w:rFonts w:hint="eastAsia" w:ascii="宋体" w:hAnsi="宋体" w:cs="宋体"/>
                <w:sz w:val="24"/>
              </w:rPr>
              <w:t>埃美柯、上海淞江、九峰</w:t>
            </w:r>
          </w:p>
        </w:tc>
        <w:tc>
          <w:tcPr>
            <w:tcW w:w="0" w:type="auto"/>
            <w:tcBorders>
              <w:top w:val="single" w:color="auto" w:sz="4" w:space="0"/>
              <w:left w:val="nil"/>
              <w:bottom w:val="single" w:color="auto" w:sz="4" w:space="0"/>
              <w:right w:val="single" w:color="auto" w:sz="4" w:space="0"/>
            </w:tcBorders>
            <w:vAlign w:val="center"/>
          </w:tcPr>
          <w:p w14:paraId="57F424E6">
            <w:pPr>
              <w:rPr>
                <w:rFonts w:ascii="宋体" w:hAnsi="宋体" w:cs="宋体"/>
                <w:sz w:val="24"/>
              </w:rPr>
            </w:pPr>
            <w:r>
              <w:rPr>
                <w:rFonts w:hint="eastAsia" w:ascii="宋体" w:hAnsi="宋体" w:cs="宋体"/>
                <w:sz w:val="24"/>
              </w:rPr>
              <w:t>不锈钢</w:t>
            </w:r>
          </w:p>
        </w:tc>
      </w:tr>
      <w:tr w14:paraId="1A74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8AB72EF">
            <w:pPr>
              <w:adjustRightInd w:val="0"/>
              <w:snapToGrid w:val="0"/>
              <w:spacing w:line="440" w:lineRule="exact"/>
              <w:jc w:val="center"/>
              <w:rPr>
                <w:rFonts w:ascii="宋体" w:hAnsi="宋体" w:cs="宋体"/>
                <w:sz w:val="24"/>
              </w:rPr>
            </w:pPr>
            <w:r>
              <w:rPr>
                <w:rFonts w:hint="eastAsia" w:ascii="宋体" w:hAnsi="宋体" w:cs="宋体"/>
                <w:sz w:val="24"/>
              </w:rPr>
              <w:t>38</w:t>
            </w:r>
          </w:p>
        </w:tc>
        <w:tc>
          <w:tcPr>
            <w:tcW w:w="0" w:type="auto"/>
            <w:tcBorders>
              <w:top w:val="single" w:color="auto" w:sz="4" w:space="0"/>
              <w:left w:val="nil"/>
              <w:bottom w:val="single" w:color="auto" w:sz="4" w:space="0"/>
              <w:right w:val="single" w:color="auto" w:sz="4" w:space="0"/>
            </w:tcBorders>
            <w:vAlign w:val="center"/>
          </w:tcPr>
          <w:p w14:paraId="553FB5C2">
            <w:pPr>
              <w:adjustRightInd w:val="0"/>
              <w:snapToGrid w:val="0"/>
              <w:spacing w:line="440" w:lineRule="exact"/>
              <w:jc w:val="center"/>
              <w:rPr>
                <w:rFonts w:ascii="宋体" w:hAnsi="宋体" w:cs="宋体"/>
                <w:sz w:val="24"/>
              </w:rPr>
            </w:pPr>
            <w:r>
              <w:rPr>
                <w:rFonts w:hint="eastAsia" w:ascii="宋体" w:hAnsi="宋体" w:cs="宋体"/>
                <w:sz w:val="24"/>
              </w:rPr>
              <w:t>网线、配线架、光缆</w:t>
            </w:r>
          </w:p>
        </w:tc>
        <w:tc>
          <w:tcPr>
            <w:tcW w:w="0" w:type="auto"/>
            <w:tcBorders>
              <w:top w:val="single" w:color="auto" w:sz="4" w:space="0"/>
              <w:left w:val="nil"/>
              <w:bottom w:val="single" w:color="auto" w:sz="4" w:space="0"/>
              <w:right w:val="single" w:color="auto" w:sz="4" w:space="0"/>
            </w:tcBorders>
            <w:vAlign w:val="center"/>
          </w:tcPr>
          <w:p w14:paraId="0C92F701">
            <w:pPr>
              <w:adjustRightInd w:val="0"/>
              <w:snapToGrid w:val="0"/>
              <w:spacing w:line="440" w:lineRule="exact"/>
              <w:jc w:val="center"/>
              <w:rPr>
                <w:rFonts w:ascii="宋体" w:hAnsi="宋体" w:cs="宋体"/>
                <w:b/>
                <w:bCs/>
                <w:sz w:val="24"/>
              </w:rPr>
            </w:pPr>
            <w:r>
              <w:rPr>
                <w:rFonts w:hint="eastAsia" w:ascii="宋体" w:hAnsi="宋体" w:cs="宋体"/>
                <w:sz w:val="24"/>
              </w:rPr>
              <w:t>帝一、安普、天诚</w:t>
            </w:r>
          </w:p>
        </w:tc>
        <w:tc>
          <w:tcPr>
            <w:tcW w:w="0" w:type="auto"/>
            <w:tcBorders>
              <w:top w:val="single" w:color="auto" w:sz="4" w:space="0"/>
              <w:left w:val="nil"/>
              <w:bottom w:val="single" w:color="auto" w:sz="4" w:space="0"/>
              <w:right w:val="single" w:color="auto" w:sz="4" w:space="0"/>
            </w:tcBorders>
            <w:vAlign w:val="center"/>
          </w:tcPr>
          <w:p w14:paraId="5FF920F1">
            <w:pPr>
              <w:rPr>
                <w:rFonts w:ascii="宋体" w:hAnsi="宋体" w:cs="宋体"/>
                <w:sz w:val="24"/>
              </w:rPr>
            </w:pPr>
          </w:p>
        </w:tc>
      </w:tr>
      <w:tr w14:paraId="1EA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98B6A60">
            <w:pPr>
              <w:adjustRightInd w:val="0"/>
              <w:snapToGrid w:val="0"/>
              <w:spacing w:line="440" w:lineRule="exact"/>
              <w:jc w:val="center"/>
              <w:rPr>
                <w:rFonts w:ascii="宋体" w:hAnsi="宋体" w:cs="宋体"/>
                <w:sz w:val="24"/>
              </w:rPr>
            </w:pPr>
            <w:r>
              <w:rPr>
                <w:rFonts w:hint="eastAsia" w:ascii="宋体" w:hAnsi="宋体" w:cs="宋体"/>
                <w:sz w:val="24"/>
              </w:rPr>
              <w:t>39</w:t>
            </w:r>
          </w:p>
        </w:tc>
        <w:tc>
          <w:tcPr>
            <w:tcW w:w="0" w:type="auto"/>
            <w:tcBorders>
              <w:top w:val="single" w:color="auto" w:sz="4" w:space="0"/>
              <w:left w:val="nil"/>
              <w:bottom w:val="single" w:color="auto" w:sz="4" w:space="0"/>
              <w:right w:val="single" w:color="auto" w:sz="4" w:space="0"/>
            </w:tcBorders>
            <w:vAlign w:val="center"/>
          </w:tcPr>
          <w:p w14:paraId="1B62C0D2">
            <w:pPr>
              <w:adjustRightInd w:val="0"/>
              <w:snapToGrid w:val="0"/>
              <w:spacing w:line="440" w:lineRule="exact"/>
              <w:jc w:val="center"/>
              <w:rPr>
                <w:rFonts w:ascii="宋体" w:hAnsi="宋体" w:cs="宋体"/>
                <w:sz w:val="24"/>
              </w:rPr>
            </w:pPr>
            <w:r>
              <w:rPr>
                <w:rFonts w:hint="eastAsia" w:ascii="宋体" w:hAnsi="宋体" w:cs="宋体"/>
                <w:sz w:val="24"/>
              </w:rPr>
              <w:t>多联机空调、新风机</w:t>
            </w:r>
          </w:p>
        </w:tc>
        <w:tc>
          <w:tcPr>
            <w:tcW w:w="0" w:type="auto"/>
            <w:tcBorders>
              <w:top w:val="single" w:color="auto" w:sz="4" w:space="0"/>
              <w:left w:val="nil"/>
              <w:bottom w:val="single" w:color="auto" w:sz="4" w:space="0"/>
              <w:right w:val="single" w:color="auto" w:sz="4" w:space="0"/>
            </w:tcBorders>
            <w:vAlign w:val="center"/>
          </w:tcPr>
          <w:p w14:paraId="52B729FE">
            <w:pPr>
              <w:adjustRightInd w:val="0"/>
              <w:snapToGrid w:val="0"/>
              <w:spacing w:line="440" w:lineRule="exact"/>
              <w:jc w:val="center"/>
              <w:rPr>
                <w:rFonts w:ascii="宋体" w:hAnsi="宋体" w:cs="宋体"/>
                <w:sz w:val="24"/>
              </w:rPr>
            </w:pPr>
            <w:r>
              <w:rPr>
                <w:rFonts w:hint="eastAsia" w:ascii="宋体" w:hAnsi="宋体" w:cs="宋体"/>
                <w:sz w:val="24"/>
              </w:rPr>
              <w:t>格力、海尔（三菱）、富士通</w:t>
            </w:r>
          </w:p>
        </w:tc>
        <w:tc>
          <w:tcPr>
            <w:tcW w:w="0" w:type="auto"/>
            <w:tcBorders>
              <w:top w:val="single" w:color="auto" w:sz="4" w:space="0"/>
              <w:left w:val="nil"/>
              <w:bottom w:val="single" w:color="auto" w:sz="4" w:space="0"/>
              <w:right w:val="single" w:color="auto" w:sz="4" w:space="0"/>
            </w:tcBorders>
            <w:vAlign w:val="center"/>
          </w:tcPr>
          <w:p w14:paraId="066A504D">
            <w:pPr>
              <w:rPr>
                <w:rFonts w:ascii="宋体" w:hAnsi="宋体" w:cs="宋体"/>
                <w:sz w:val="24"/>
              </w:rPr>
            </w:pPr>
            <w:r>
              <w:rPr>
                <w:rFonts w:hint="eastAsia" w:ascii="宋体" w:hAnsi="宋体" w:cs="宋体"/>
                <w:sz w:val="24"/>
              </w:rPr>
              <w:t>低噪声、一级能效、环保冷媒、带集中自控管理系统，开发智能化接口</w:t>
            </w:r>
          </w:p>
        </w:tc>
      </w:tr>
      <w:tr w14:paraId="2F12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C5EB8E5">
            <w:pPr>
              <w:adjustRightInd w:val="0"/>
              <w:snapToGrid w:val="0"/>
              <w:spacing w:line="440" w:lineRule="exact"/>
              <w:jc w:val="center"/>
              <w:rPr>
                <w:rFonts w:ascii="宋体" w:hAnsi="宋体" w:cs="宋体"/>
                <w:sz w:val="24"/>
              </w:rPr>
            </w:pPr>
            <w:r>
              <w:rPr>
                <w:rFonts w:hint="eastAsia" w:ascii="宋体" w:hAnsi="宋体" w:cs="宋体"/>
                <w:sz w:val="24"/>
              </w:rPr>
              <w:t>40</w:t>
            </w:r>
          </w:p>
        </w:tc>
        <w:tc>
          <w:tcPr>
            <w:tcW w:w="0" w:type="auto"/>
            <w:tcBorders>
              <w:top w:val="single" w:color="auto" w:sz="4" w:space="0"/>
              <w:left w:val="nil"/>
              <w:bottom w:val="single" w:color="auto" w:sz="4" w:space="0"/>
              <w:right w:val="single" w:color="auto" w:sz="4" w:space="0"/>
            </w:tcBorders>
            <w:vAlign w:val="center"/>
          </w:tcPr>
          <w:p w14:paraId="31B7B163">
            <w:pPr>
              <w:adjustRightInd w:val="0"/>
              <w:snapToGrid w:val="0"/>
              <w:spacing w:line="440" w:lineRule="exact"/>
              <w:jc w:val="center"/>
              <w:rPr>
                <w:rFonts w:ascii="宋体" w:hAnsi="宋体" w:cs="宋体"/>
                <w:sz w:val="24"/>
              </w:rPr>
            </w:pPr>
            <w:r>
              <w:rPr>
                <w:rFonts w:hint="eastAsia" w:ascii="宋体" w:hAnsi="宋体" w:cs="宋体"/>
                <w:sz w:val="24"/>
              </w:rPr>
              <w:t>中央空调风冷机组（水系统）</w:t>
            </w:r>
          </w:p>
        </w:tc>
        <w:tc>
          <w:tcPr>
            <w:tcW w:w="0" w:type="auto"/>
            <w:tcBorders>
              <w:top w:val="single" w:color="auto" w:sz="4" w:space="0"/>
              <w:left w:val="nil"/>
              <w:bottom w:val="single" w:color="auto" w:sz="4" w:space="0"/>
              <w:right w:val="single" w:color="auto" w:sz="4" w:space="0"/>
            </w:tcBorders>
            <w:vAlign w:val="center"/>
          </w:tcPr>
          <w:p w14:paraId="6DF206C7">
            <w:pPr>
              <w:adjustRightInd w:val="0"/>
              <w:snapToGrid w:val="0"/>
              <w:spacing w:line="440" w:lineRule="exact"/>
              <w:jc w:val="center"/>
              <w:rPr>
                <w:rFonts w:ascii="宋体" w:hAnsi="宋体" w:cs="宋体"/>
                <w:sz w:val="24"/>
              </w:rPr>
            </w:pPr>
            <w:r>
              <w:rPr>
                <w:rFonts w:hint="eastAsia" w:ascii="宋体" w:hAnsi="宋体" w:cs="宋体"/>
                <w:sz w:val="24"/>
              </w:rPr>
              <w:t>约克、特灵、开利</w:t>
            </w:r>
          </w:p>
        </w:tc>
        <w:tc>
          <w:tcPr>
            <w:tcW w:w="0" w:type="auto"/>
            <w:tcBorders>
              <w:top w:val="single" w:color="auto" w:sz="4" w:space="0"/>
              <w:left w:val="nil"/>
              <w:bottom w:val="single" w:color="auto" w:sz="4" w:space="0"/>
              <w:right w:val="single" w:color="auto" w:sz="4" w:space="0"/>
            </w:tcBorders>
            <w:vAlign w:val="center"/>
          </w:tcPr>
          <w:p w14:paraId="50E54836">
            <w:pPr>
              <w:rPr>
                <w:rFonts w:ascii="宋体" w:hAnsi="宋体" w:cs="宋体"/>
                <w:sz w:val="24"/>
              </w:rPr>
            </w:pPr>
            <w:r>
              <w:rPr>
                <w:rFonts w:hint="eastAsia" w:ascii="宋体" w:hAnsi="宋体" w:cs="宋体"/>
                <w:sz w:val="24"/>
              </w:rPr>
              <w:t>低噪声、一级能效、环保冷媒、带集中自控管理系统，开发智能化接口</w:t>
            </w:r>
          </w:p>
        </w:tc>
      </w:tr>
      <w:tr w14:paraId="4DFD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8DB693D">
            <w:pPr>
              <w:adjustRightInd w:val="0"/>
              <w:snapToGrid w:val="0"/>
              <w:spacing w:line="440" w:lineRule="exact"/>
              <w:jc w:val="center"/>
              <w:rPr>
                <w:rFonts w:ascii="宋体" w:hAnsi="宋体" w:cs="宋体"/>
                <w:sz w:val="24"/>
              </w:rPr>
            </w:pPr>
            <w:r>
              <w:rPr>
                <w:rFonts w:hint="eastAsia" w:ascii="宋体" w:hAnsi="宋体" w:cs="宋体"/>
                <w:sz w:val="24"/>
              </w:rPr>
              <w:t>41</w:t>
            </w:r>
          </w:p>
        </w:tc>
        <w:tc>
          <w:tcPr>
            <w:tcW w:w="0" w:type="auto"/>
            <w:tcBorders>
              <w:top w:val="single" w:color="auto" w:sz="4" w:space="0"/>
              <w:left w:val="nil"/>
              <w:bottom w:val="single" w:color="auto" w:sz="4" w:space="0"/>
              <w:right w:val="single" w:color="auto" w:sz="4" w:space="0"/>
            </w:tcBorders>
            <w:vAlign w:val="center"/>
          </w:tcPr>
          <w:p w14:paraId="6DF70D23">
            <w:pPr>
              <w:adjustRightInd w:val="0"/>
              <w:snapToGrid w:val="0"/>
              <w:spacing w:line="440" w:lineRule="exact"/>
              <w:jc w:val="center"/>
              <w:rPr>
                <w:rFonts w:ascii="宋体" w:hAnsi="宋体" w:cs="宋体"/>
                <w:sz w:val="24"/>
              </w:rPr>
            </w:pPr>
            <w:r>
              <w:rPr>
                <w:rFonts w:hint="eastAsia" w:ascii="宋体" w:hAnsi="宋体" w:cs="宋体"/>
                <w:sz w:val="24"/>
              </w:rPr>
              <w:t>电梯</w:t>
            </w:r>
          </w:p>
        </w:tc>
        <w:tc>
          <w:tcPr>
            <w:tcW w:w="0" w:type="auto"/>
            <w:tcBorders>
              <w:top w:val="single" w:color="auto" w:sz="4" w:space="0"/>
              <w:left w:val="nil"/>
              <w:bottom w:val="single" w:color="auto" w:sz="4" w:space="0"/>
              <w:right w:val="single" w:color="auto" w:sz="4" w:space="0"/>
            </w:tcBorders>
            <w:vAlign w:val="center"/>
          </w:tcPr>
          <w:p w14:paraId="0760554B">
            <w:pPr>
              <w:adjustRightInd w:val="0"/>
              <w:snapToGrid w:val="0"/>
              <w:spacing w:line="440" w:lineRule="exact"/>
              <w:jc w:val="center"/>
              <w:rPr>
                <w:rFonts w:ascii="宋体" w:hAnsi="宋体" w:cs="宋体"/>
                <w:sz w:val="24"/>
              </w:rPr>
            </w:pPr>
            <w:r>
              <w:rPr>
                <w:rFonts w:hint="eastAsia" w:ascii="宋体" w:hAnsi="宋体" w:cs="宋体"/>
                <w:sz w:val="24"/>
              </w:rPr>
              <w:t>日立、上海三菱、通力</w:t>
            </w:r>
          </w:p>
        </w:tc>
        <w:tc>
          <w:tcPr>
            <w:tcW w:w="0" w:type="auto"/>
            <w:tcBorders>
              <w:top w:val="single" w:color="auto" w:sz="4" w:space="0"/>
              <w:left w:val="nil"/>
              <w:bottom w:val="single" w:color="auto" w:sz="4" w:space="0"/>
              <w:right w:val="single" w:color="auto" w:sz="4" w:space="0"/>
            </w:tcBorders>
            <w:vAlign w:val="center"/>
          </w:tcPr>
          <w:p w14:paraId="460E50D6">
            <w:pPr>
              <w:rPr>
                <w:rFonts w:ascii="宋体" w:hAnsi="宋体" w:cs="宋体"/>
                <w:sz w:val="24"/>
              </w:rPr>
            </w:pPr>
          </w:p>
        </w:tc>
      </w:tr>
      <w:tr w14:paraId="48E1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7B5D79">
            <w:pPr>
              <w:adjustRightInd w:val="0"/>
              <w:snapToGrid w:val="0"/>
              <w:spacing w:line="440" w:lineRule="exact"/>
              <w:jc w:val="center"/>
              <w:rPr>
                <w:rFonts w:ascii="宋体" w:hAnsi="宋体" w:cs="宋体"/>
                <w:sz w:val="24"/>
              </w:rPr>
            </w:pPr>
            <w:r>
              <w:rPr>
                <w:rFonts w:hint="eastAsia" w:ascii="宋体" w:hAnsi="宋体" w:cs="宋体"/>
                <w:sz w:val="24"/>
              </w:rPr>
              <w:t>42</w:t>
            </w:r>
          </w:p>
        </w:tc>
        <w:tc>
          <w:tcPr>
            <w:tcW w:w="0" w:type="auto"/>
            <w:tcBorders>
              <w:top w:val="single" w:color="auto" w:sz="4" w:space="0"/>
              <w:left w:val="nil"/>
              <w:bottom w:val="single" w:color="auto" w:sz="4" w:space="0"/>
              <w:right w:val="single" w:color="auto" w:sz="4" w:space="0"/>
            </w:tcBorders>
            <w:vAlign w:val="center"/>
          </w:tcPr>
          <w:p w14:paraId="70713A55">
            <w:pPr>
              <w:adjustRightInd w:val="0"/>
              <w:snapToGrid w:val="0"/>
              <w:spacing w:line="440" w:lineRule="exact"/>
              <w:jc w:val="center"/>
              <w:rPr>
                <w:rFonts w:ascii="宋体" w:hAnsi="宋体" w:cs="宋体"/>
                <w:sz w:val="24"/>
              </w:rPr>
            </w:pPr>
            <w:r>
              <w:rPr>
                <w:rFonts w:hint="eastAsia" w:ascii="宋体" w:hAnsi="宋体" w:cs="宋体"/>
                <w:sz w:val="24"/>
              </w:rPr>
              <w:t>弱电机柜</w:t>
            </w:r>
          </w:p>
        </w:tc>
        <w:tc>
          <w:tcPr>
            <w:tcW w:w="0" w:type="auto"/>
            <w:tcBorders>
              <w:top w:val="single" w:color="auto" w:sz="4" w:space="0"/>
              <w:left w:val="nil"/>
              <w:bottom w:val="single" w:color="auto" w:sz="4" w:space="0"/>
              <w:right w:val="single" w:color="auto" w:sz="4" w:space="0"/>
            </w:tcBorders>
            <w:vAlign w:val="center"/>
          </w:tcPr>
          <w:p w14:paraId="03211FEB">
            <w:pPr>
              <w:adjustRightInd w:val="0"/>
              <w:snapToGrid w:val="0"/>
              <w:spacing w:line="440" w:lineRule="exact"/>
              <w:jc w:val="center"/>
              <w:rPr>
                <w:rFonts w:ascii="宋体" w:hAnsi="宋体" w:cs="宋体"/>
                <w:sz w:val="24"/>
              </w:rPr>
            </w:pPr>
            <w:r>
              <w:rPr>
                <w:rFonts w:hint="eastAsia" w:ascii="宋体" w:hAnsi="宋体" w:cs="宋体"/>
                <w:sz w:val="24"/>
              </w:rPr>
              <w:t>图腾、海康威视、大华</w:t>
            </w:r>
          </w:p>
        </w:tc>
        <w:tc>
          <w:tcPr>
            <w:tcW w:w="0" w:type="auto"/>
            <w:tcBorders>
              <w:top w:val="single" w:color="auto" w:sz="4" w:space="0"/>
              <w:left w:val="nil"/>
              <w:bottom w:val="single" w:color="auto" w:sz="4" w:space="0"/>
              <w:right w:val="single" w:color="auto" w:sz="4" w:space="0"/>
            </w:tcBorders>
            <w:vAlign w:val="center"/>
          </w:tcPr>
          <w:p w14:paraId="7114BE12">
            <w:pPr>
              <w:rPr>
                <w:rFonts w:ascii="宋体" w:hAnsi="宋体" w:cs="宋体"/>
                <w:sz w:val="24"/>
              </w:rPr>
            </w:pPr>
          </w:p>
        </w:tc>
      </w:tr>
      <w:tr w14:paraId="4E3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0C01B8B">
            <w:pPr>
              <w:adjustRightInd w:val="0"/>
              <w:snapToGrid w:val="0"/>
              <w:spacing w:line="440" w:lineRule="exact"/>
              <w:jc w:val="center"/>
              <w:rPr>
                <w:rFonts w:ascii="宋体" w:hAnsi="宋体" w:cs="宋体"/>
                <w:sz w:val="24"/>
              </w:rPr>
            </w:pPr>
            <w:r>
              <w:rPr>
                <w:rFonts w:hint="eastAsia" w:ascii="宋体" w:hAnsi="宋体" w:cs="宋体"/>
                <w:sz w:val="24"/>
              </w:rPr>
              <w:t>43</w:t>
            </w:r>
          </w:p>
        </w:tc>
        <w:tc>
          <w:tcPr>
            <w:tcW w:w="0" w:type="auto"/>
            <w:tcBorders>
              <w:top w:val="single" w:color="auto" w:sz="4" w:space="0"/>
              <w:left w:val="nil"/>
              <w:bottom w:val="single" w:color="auto" w:sz="4" w:space="0"/>
              <w:right w:val="single" w:color="auto" w:sz="4" w:space="0"/>
            </w:tcBorders>
            <w:vAlign w:val="center"/>
          </w:tcPr>
          <w:p w14:paraId="452D68D1">
            <w:pPr>
              <w:adjustRightInd w:val="0"/>
              <w:snapToGrid w:val="0"/>
              <w:spacing w:line="440" w:lineRule="exact"/>
              <w:jc w:val="center"/>
              <w:rPr>
                <w:rFonts w:ascii="宋体" w:hAnsi="宋体" w:cs="宋体"/>
                <w:sz w:val="24"/>
              </w:rPr>
            </w:pPr>
            <w:r>
              <w:rPr>
                <w:rFonts w:hint="eastAsia" w:ascii="宋体" w:hAnsi="宋体" w:cs="宋体"/>
                <w:sz w:val="24"/>
              </w:rPr>
              <w:t>远传电表</w:t>
            </w:r>
          </w:p>
        </w:tc>
        <w:tc>
          <w:tcPr>
            <w:tcW w:w="0" w:type="auto"/>
            <w:tcBorders>
              <w:top w:val="single" w:color="auto" w:sz="4" w:space="0"/>
              <w:left w:val="nil"/>
              <w:bottom w:val="single" w:color="auto" w:sz="4" w:space="0"/>
              <w:right w:val="single" w:color="auto" w:sz="4" w:space="0"/>
            </w:tcBorders>
            <w:vAlign w:val="center"/>
          </w:tcPr>
          <w:p w14:paraId="104214C9">
            <w:pPr>
              <w:adjustRightInd w:val="0"/>
              <w:snapToGrid w:val="0"/>
              <w:spacing w:line="440" w:lineRule="exact"/>
              <w:jc w:val="center"/>
              <w:rPr>
                <w:rFonts w:ascii="宋体" w:hAnsi="宋体" w:cs="宋体"/>
                <w:sz w:val="24"/>
              </w:rPr>
            </w:pPr>
            <w:r>
              <w:rPr>
                <w:rFonts w:hint="eastAsia" w:ascii="宋体" w:hAnsi="宋体" w:cs="宋体"/>
                <w:sz w:val="24"/>
              </w:rPr>
              <w:t>安科瑞、新晨、一五</w:t>
            </w:r>
          </w:p>
        </w:tc>
        <w:tc>
          <w:tcPr>
            <w:tcW w:w="0" w:type="auto"/>
            <w:tcBorders>
              <w:top w:val="single" w:color="auto" w:sz="4" w:space="0"/>
              <w:left w:val="nil"/>
              <w:bottom w:val="single" w:color="auto" w:sz="4" w:space="0"/>
              <w:right w:val="single" w:color="auto" w:sz="4" w:space="0"/>
            </w:tcBorders>
            <w:vAlign w:val="center"/>
          </w:tcPr>
          <w:p w14:paraId="0CE1FF0B">
            <w:pPr>
              <w:rPr>
                <w:rFonts w:ascii="宋体" w:hAnsi="宋体" w:cs="宋体"/>
                <w:sz w:val="24"/>
              </w:rPr>
            </w:pPr>
            <w:r>
              <w:rPr>
                <w:rFonts w:hint="eastAsia" w:ascii="宋体" w:hAnsi="宋体" w:cs="宋体"/>
                <w:sz w:val="24"/>
              </w:rPr>
              <w:t>485接口</w:t>
            </w:r>
          </w:p>
        </w:tc>
      </w:tr>
      <w:tr w14:paraId="3257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5368CAA">
            <w:pPr>
              <w:adjustRightInd w:val="0"/>
              <w:snapToGrid w:val="0"/>
              <w:spacing w:line="440" w:lineRule="exact"/>
              <w:jc w:val="center"/>
              <w:rPr>
                <w:rFonts w:ascii="宋体" w:hAnsi="宋体" w:cs="宋体"/>
                <w:sz w:val="24"/>
              </w:rPr>
            </w:pPr>
            <w:r>
              <w:rPr>
                <w:rFonts w:hint="eastAsia" w:ascii="宋体" w:hAnsi="宋体" w:cs="宋体"/>
                <w:sz w:val="24"/>
              </w:rPr>
              <w:t>44</w:t>
            </w:r>
          </w:p>
        </w:tc>
        <w:tc>
          <w:tcPr>
            <w:tcW w:w="0" w:type="auto"/>
            <w:tcBorders>
              <w:top w:val="single" w:color="auto" w:sz="4" w:space="0"/>
              <w:left w:val="nil"/>
              <w:bottom w:val="single" w:color="auto" w:sz="4" w:space="0"/>
              <w:right w:val="single" w:color="auto" w:sz="4" w:space="0"/>
            </w:tcBorders>
            <w:vAlign w:val="center"/>
          </w:tcPr>
          <w:p w14:paraId="09A211FC">
            <w:pPr>
              <w:adjustRightInd w:val="0"/>
              <w:snapToGrid w:val="0"/>
              <w:spacing w:line="440" w:lineRule="exact"/>
              <w:jc w:val="center"/>
              <w:rPr>
                <w:rFonts w:ascii="宋体" w:hAnsi="宋体" w:cs="宋体"/>
                <w:sz w:val="24"/>
              </w:rPr>
            </w:pPr>
            <w:r>
              <w:rPr>
                <w:rFonts w:hint="eastAsia" w:ascii="宋体" w:hAnsi="宋体" w:cs="宋体"/>
                <w:sz w:val="24"/>
              </w:rPr>
              <w:t>油烟净化器</w:t>
            </w:r>
          </w:p>
        </w:tc>
        <w:tc>
          <w:tcPr>
            <w:tcW w:w="0" w:type="auto"/>
            <w:tcBorders>
              <w:top w:val="single" w:color="auto" w:sz="4" w:space="0"/>
              <w:left w:val="nil"/>
              <w:bottom w:val="single" w:color="auto" w:sz="4" w:space="0"/>
              <w:right w:val="single" w:color="auto" w:sz="4" w:space="0"/>
            </w:tcBorders>
            <w:vAlign w:val="center"/>
          </w:tcPr>
          <w:p w14:paraId="142B6754">
            <w:pPr>
              <w:adjustRightInd w:val="0"/>
              <w:snapToGrid w:val="0"/>
              <w:spacing w:line="440" w:lineRule="exact"/>
              <w:jc w:val="center"/>
              <w:rPr>
                <w:rFonts w:ascii="宋体" w:hAnsi="宋体" w:cs="宋体"/>
                <w:sz w:val="24"/>
              </w:rPr>
            </w:pPr>
            <w:r>
              <w:rPr>
                <w:rFonts w:hint="eastAsia" w:ascii="宋体" w:hAnsi="宋体" w:cs="宋体"/>
                <w:sz w:val="24"/>
              </w:rPr>
              <w:t>速八、垂恩、联合空气</w:t>
            </w:r>
          </w:p>
        </w:tc>
        <w:tc>
          <w:tcPr>
            <w:tcW w:w="0" w:type="auto"/>
            <w:tcBorders>
              <w:top w:val="single" w:color="auto" w:sz="4" w:space="0"/>
              <w:left w:val="nil"/>
              <w:bottom w:val="single" w:color="auto" w:sz="4" w:space="0"/>
              <w:right w:val="single" w:color="auto" w:sz="4" w:space="0"/>
            </w:tcBorders>
            <w:vAlign w:val="center"/>
          </w:tcPr>
          <w:p w14:paraId="771ECFCF">
            <w:pPr>
              <w:rPr>
                <w:rFonts w:ascii="宋体" w:hAnsi="宋体" w:cs="宋体"/>
                <w:sz w:val="24"/>
              </w:rPr>
            </w:pPr>
          </w:p>
        </w:tc>
      </w:tr>
      <w:tr w14:paraId="4959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621E23D">
            <w:pPr>
              <w:adjustRightInd w:val="0"/>
              <w:snapToGrid w:val="0"/>
              <w:spacing w:line="440" w:lineRule="exact"/>
              <w:jc w:val="center"/>
              <w:rPr>
                <w:rFonts w:ascii="宋体" w:hAnsi="宋体" w:cs="宋体"/>
                <w:sz w:val="24"/>
              </w:rPr>
            </w:pPr>
            <w:r>
              <w:rPr>
                <w:rFonts w:hint="eastAsia" w:ascii="宋体" w:hAnsi="宋体" w:cs="宋体"/>
                <w:sz w:val="24"/>
              </w:rPr>
              <w:t>45</w:t>
            </w:r>
          </w:p>
        </w:tc>
        <w:tc>
          <w:tcPr>
            <w:tcW w:w="0" w:type="auto"/>
            <w:tcBorders>
              <w:top w:val="single" w:color="auto" w:sz="4" w:space="0"/>
              <w:left w:val="nil"/>
              <w:bottom w:val="single" w:color="auto" w:sz="4" w:space="0"/>
              <w:right w:val="single" w:color="auto" w:sz="4" w:space="0"/>
            </w:tcBorders>
            <w:vAlign w:val="center"/>
          </w:tcPr>
          <w:p w14:paraId="63BB60ED">
            <w:pPr>
              <w:adjustRightInd w:val="0"/>
              <w:snapToGrid w:val="0"/>
              <w:spacing w:line="440" w:lineRule="exact"/>
              <w:jc w:val="center"/>
              <w:rPr>
                <w:rFonts w:ascii="宋体" w:hAnsi="宋体" w:cs="宋体"/>
                <w:sz w:val="24"/>
              </w:rPr>
            </w:pPr>
            <w:r>
              <w:rPr>
                <w:rFonts w:hint="eastAsia" w:ascii="宋体" w:hAnsi="宋体" w:cs="宋体"/>
                <w:sz w:val="24"/>
              </w:rPr>
              <w:t>排油烟风机</w:t>
            </w:r>
          </w:p>
        </w:tc>
        <w:tc>
          <w:tcPr>
            <w:tcW w:w="0" w:type="auto"/>
            <w:tcBorders>
              <w:top w:val="single" w:color="auto" w:sz="4" w:space="0"/>
              <w:left w:val="nil"/>
              <w:bottom w:val="single" w:color="auto" w:sz="4" w:space="0"/>
              <w:right w:val="single" w:color="auto" w:sz="4" w:space="0"/>
            </w:tcBorders>
            <w:vAlign w:val="center"/>
          </w:tcPr>
          <w:p w14:paraId="43A538A5">
            <w:pPr>
              <w:adjustRightInd w:val="0"/>
              <w:snapToGrid w:val="0"/>
              <w:spacing w:line="440" w:lineRule="exact"/>
              <w:jc w:val="center"/>
              <w:rPr>
                <w:rFonts w:ascii="宋体" w:hAnsi="宋体" w:cs="宋体"/>
                <w:sz w:val="24"/>
              </w:rPr>
            </w:pPr>
            <w:r>
              <w:rPr>
                <w:rFonts w:hint="eastAsia" w:ascii="宋体" w:hAnsi="宋体" w:cs="宋体"/>
                <w:sz w:val="24"/>
              </w:rPr>
              <w:t>亿利达、科禄格、施乐百</w:t>
            </w:r>
          </w:p>
        </w:tc>
        <w:tc>
          <w:tcPr>
            <w:tcW w:w="0" w:type="auto"/>
            <w:tcBorders>
              <w:top w:val="single" w:color="auto" w:sz="4" w:space="0"/>
              <w:left w:val="nil"/>
              <w:bottom w:val="single" w:color="auto" w:sz="4" w:space="0"/>
              <w:right w:val="single" w:color="auto" w:sz="4" w:space="0"/>
            </w:tcBorders>
            <w:vAlign w:val="center"/>
          </w:tcPr>
          <w:p w14:paraId="0561DF11">
            <w:pPr>
              <w:rPr>
                <w:rFonts w:ascii="宋体" w:hAnsi="宋体" w:cs="宋体"/>
                <w:sz w:val="24"/>
              </w:rPr>
            </w:pPr>
          </w:p>
        </w:tc>
      </w:tr>
      <w:tr w14:paraId="1441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A6883AA">
            <w:pPr>
              <w:adjustRightInd w:val="0"/>
              <w:snapToGrid w:val="0"/>
              <w:spacing w:line="440" w:lineRule="exact"/>
              <w:jc w:val="center"/>
              <w:rPr>
                <w:rFonts w:ascii="宋体" w:hAnsi="宋体" w:cs="宋体"/>
                <w:sz w:val="24"/>
              </w:rPr>
            </w:pPr>
            <w:r>
              <w:rPr>
                <w:rFonts w:hint="eastAsia" w:ascii="宋体" w:hAnsi="宋体" w:cs="宋体"/>
                <w:sz w:val="24"/>
              </w:rPr>
              <w:t>46</w:t>
            </w:r>
          </w:p>
        </w:tc>
        <w:tc>
          <w:tcPr>
            <w:tcW w:w="0" w:type="auto"/>
            <w:tcBorders>
              <w:top w:val="single" w:color="auto" w:sz="4" w:space="0"/>
              <w:left w:val="nil"/>
              <w:bottom w:val="single" w:color="auto" w:sz="4" w:space="0"/>
              <w:right w:val="single" w:color="auto" w:sz="4" w:space="0"/>
            </w:tcBorders>
            <w:vAlign w:val="center"/>
          </w:tcPr>
          <w:p w14:paraId="1564D779">
            <w:pPr>
              <w:adjustRightInd w:val="0"/>
              <w:snapToGrid w:val="0"/>
              <w:spacing w:line="440" w:lineRule="exact"/>
              <w:jc w:val="center"/>
              <w:rPr>
                <w:rFonts w:ascii="宋体" w:hAnsi="宋体" w:cs="宋体"/>
                <w:sz w:val="24"/>
              </w:rPr>
            </w:pPr>
            <w:r>
              <w:rPr>
                <w:rFonts w:hint="eastAsia" w:ascii="宋体" w:hAnsi="宋体" w:cs="宋体"/>
                <w:sz w:val="24"/>
              </w:rPr>
              <w:t>BA自控设备</w:t>
            </w:r>
          </w:p>
        </w:tc>
        <w:tc>
          <w:tcPr>
            <w:tcW w:w="0" w:type="auto"/>
            <w:tcBorders>
              <w:top w:val="single" w:color="auto" w:sz="4" w:space="0"/>
              <w:left w:val="nil"/>
              <w:bottom w:val="single" w:color="auto" w:sz="4" w:space="0"/>
              <w:right w:val="single" w:color="auto" w:sz="4" w:space="0"/>
            </w:tcBorders>
            <w:vAlign w:val="center"/>
          </w:tcPr>
          <w:p w14:paraId="274EAE20">
            <w:pPr>
              <w:adjustRightInd w:val="0"/>
              <w:snapToGrid w:val="0"/>
              <w:spacing w:line="440" w:lineRule="exact"/>
              <w:jc w:val="center"/>
              <w:rPr>
                <w:rFonts w:ascii="宋体" w:hAnsi="宋体" w:cs="宋体"/>
                <w:sz w:val="24"/>
              </w:rPr>
            </w:pPr>
            <w:r>
              <w:rPr>
                <w:rFonts w:hint="eastAsia" w:ascii="宋体" w:hAnsi="宋体" w:cs="宋体"/>
                <w:sz w:val="24"/>
              </w:rPr>
              <w:t>阿自倍尔、霍尼韦尔、江森</w:t>
            </w:r>
          </w:p>
        </w:tc>
        <w:tc>
          <w:tcPr>
            <w:tcW w:w="0" w:type="auto"/>
            <w:tcBorders>
              <w:top w:val="single" w:color="auto" w:sz="4" w:space="0"/>
              <w:left w:val="nil"/>
              <w:bottom w:val="single" w:color="auto" w:sz="4" w:space="0"/>
              <w:right w:val="single" w:color="auto" w:sz="4" w:space="0"/>
            </w:tcBorders>
            <w:vAlign w:val="center"/>
          </w:tcPr>
          <w:p w14:paraId="426D26A9">
            <w:pPr>
              <w:rPr>
                <w:rFonts w:ascii="宋体" w:hAnsi="宋体" w:cs="宋体"/>
                <w:sz w:val="24"/>
              </w:rPr>
            </w:pPr>
          </w:p>
        </w:tc>
      </w:tr>
      <w:tr w14:paraId="368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BD06CD">
            <w:pPr>
              <w:adjustRightInd w:val="0"/>
              <w:snapToGrid w:val="0"/>
              <w:spacing w:line="440" w:lineRule="exact"/>
              <w:jc w:val="center"/>
              <w:rPr>
                <w:rFonts w:ascii="宋体" w:hAnsi="宋体" w:cs="宋体"/>
                <w:sz w:val="24"/>
              </w:rPr>
            </w:pPr>
            <w:r>
              <w:rPr>
                <w:rFonts w:hint="eastAsia" w:ascii="宋体" w:hAnsi="宋体" w:cs="宋体"/>
                <w:sz w:val="24"/>
              </w:rPr>
              <w:t>47</w:t>
            </w:r>
          </w:p>
        </w:tc>
        <w:tc>
          <w:tcPr>
            <w:tcW w:w="0" w:type="auto"/>
            <w:tcBorders>
              <w:top w:val="single" w:color="auto" w:sz="4" w:space="0"/>
              <w:left w:val="nil"/>
              <w:bottom w:val="single" w:color="auto" w:sz="4" w:space="0"/>
              <w:right w:val="single" w:color="auto" w:sz="4" w:space="0"/>
            </w:tcBorders>
            <w:vAlign w:val="center"/>
          </w:tcPr>
          <w:p w14:paraId="67A01551">
            <w:pPr>
              <w:adjustRightInd w:val="0"/>
              <w:snapToGrid w:val="0"/>
              <w:spacing w:line="440" w:lineRule="exact"/>
              <w:jc w:val="center"/>
              <w:rPr>
                <w:rFonts w:ascii="宋体" w:hAnsi="宋体" w:cs="宋体"/>
                <w:sz w:val="24"/>
              </w:rPr>
            </w:pPr>
            <w:r>
              <w:rPr>
                <w:rFonts w:hint="eastAsia" w:ascii="宋体" w:hAnsi="宋体" w:cs="宋体"/>
                <w:sz w:val="24"/>
              </w:rPr>
              <w:t>板式换热器</w:t>
            </w:r>
          </w:p>
        </w:tc>
        <w:tc>
          <w:tcPr>
            <w:tcW w:w="0" w:type="auto"/>
            <w:tcBorders>
              <w:top w:val="single" w:color="auto" w:sz="4" w:space="0"/>
              <w:left w:val="nil"/>
              <w:bottom w:val="single" w:color="auto" w:sz="4" w:space="0"/>
              <w:right w:val="single" w:color="auto" w:sz="4" w:space="0"/>
            </w:tcBorders>
            <w:vAlign w:val="center"/>
          </w:tcPr>
          <w:p w14:paraId="38AAD377">
            <w:pPr>
              <w:adjustRightInd w:val="0"/>
              <w:snapToGrid w:val="0"/>
              <w:spacing w:line="440" w:lineRule="exact"/>
              <w:jc w:val="center"/>
              <w:rPr>
                <w:rFonts w:ascii="宋体" w:hAnsi="宋体" w:cs="宋体"/>
                <w:sz w:val="24"/>
              </w:rPr>
            </w:pPr>
            <w:r>
              <w:rPr>
                <w:rFonts w:hint="eastAsia" w:ascii="宋体" w:hAnsi="宋体" w:cs="宋体"/>
                <w:sz w:val="24"/>
              </w:rPr>
              <w:t>阿法拉伐、派斯特、艾普尔</w:t>
            </w:r>
          </w:p>
        </w:tc>
        <w:tc>
          <w:tcPr>
            <w:tcW w:w="0" w:type="auto"/>
            <w:tcBorders>
              <w:top w:val="single" w:color="auto" w:sz="4" w:space="0"/>
              <w:left w:val="nil"/>
              <w:bottom w:val="single" w:color="auto" w:sz="4" w:space="0"/>
              <w:right w:val="single" w:color="auto" w:sz="4" w:space="0"/>
            </w:tcBorders>
            <w:vAlign w:val="center"/>
          </w:tcPr>
          <w:p w14:paraId="7BE2C213">
            <w:pPr>
              <w:rPr>
                <w:rFonts w:ascii="宋体" w:hAnsi="宋体" w:cs="宋体"/>
                <w:sz w:val="24"/>
              </w:rPr>
            </w:pPr>
          </w:p>
        </w:tc>
      </w:tr>
      <w:tr w14:paraId="088C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6283F3B">
            <w:pPr>
              <w:adjustRightInd w:val="0"/>
              <w:snapToGrid w:val="0"/>
              <w:spacing w:line="440" w:lineRule="exact"/>
              <w:jc w:val="center"/>
              <w:rPr>
                <w:rFonts w:ascii="宋体" w:hAnsi="宋体" w:cs="宋体"/>
                <w:sz w:val="24"/>
              </w:rPr>
            </w:pPr>
            <w:r>
              <w:rPr>
                <w:rFonts w:hint="eastAsia" w:ascii="宋体" w:hAnsi="宋体" w:cs="宋体"/>
                <w:sz w:val="24"/>
              </w:rPr>
              <w:t>48</w:t>
            </w:r>
          </w:p>
        </w:tc>
        <w:tc>
          <w:tcPr>
            <w:tcW w:w="0" w:type="auto"/>
            <w:tcBorders>
              <w:top w:val="single" w:color="auto" w:sz="4" w:space="0"/>
              <w:left w:val="nil"/>
              <w:bottom w:val="single" w:color="auto" w:sz="4" w:space="0"/>
              <w:right w:val="single" w:color="auto" w:sz="4" w:space="0"/>
            </w:tcBorders>
            <w:vAlign w:val="center"/>
          </w:tcPr>
          <w:p w14:paraId="00EA39A5">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3E0C310B">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1CE304F8">
            <w:pPr>
              <w:rPr>
                <w:rFonts w:ascii="宋体" w:hAnsi="宋体" w:cs="宋体"/>
                <w:sz w:val="24"/>
              </w:rPr>
            </w:pPr>
          </w:p>
        </w:tc>
      </w:tr>
      <w:tr w14:paraId="5CF1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D113970">
            <w:pPr>
              <w:adjustRightInd w:val="0"/>
              <w:snapToGrid w:val="0"/>
              <w:spacing w:line="440" w:lineRule="exact"/>
              <w:jc w:val="center"/>
              <w:rPr>
                <w:rFonts w:ascii="宋体" w:hAnsi="宋体" w:cs="宋体"/>
                <w:sz w:val="24"/>
              </w:rPr>
            </w:pPr>
            <w:r>
              <w:rPr>
                <w:rFonts w:hint="eastAsia" w:ascii="宋体" w:hAnsi="宋体" w:cs="宋体"/>
                <w:sz w:val="24"/>
              </w:rPr>
              <w:t>49</w:t>
            </w:r>
          </w:p>
        </w:tc>
        <w:tc>
          <w:tcPr>
            <w:tcW w:w="0" w:type="auto"/>
            <w:tcBorders>
              <w:top w:val="single" w:color="auto" w:sz="4" w:space="0"/>
              <w:left w:val="nil"/>
              <w:bottom w:val="single" w:color="auto" w:sz="4" w:space="0"/>
              <w:right w:val="single" w:color="auto" w:sz="4" w:space="0"/>
            </w:tcBorders>
            <w:vAlign w:val="center"/>
          </w:tcPr>
          <w:p w14:paraId="1C44C8A4">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52B5DDA1">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3E2744AD">
            <w:pPr>
              <w:rPr>
                <w:rFonts w:ascii="宋体" w:hAnsi="宋体" w:cs="宋体"/>
                <w:sz w:val="24"/>
              </w:rPr>
            </w:pPr>
          </w:p>
        </w:tc>
      </w:tr>
      <w:tr w14:paraId="1A1A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F4F62DA">
            <w:pPr>
              <w:adjustRightInd w:val="0"/>
              <w:snapToGrid w:val="0"/>
              <w:spacing w:line="440" w:lineRule="exact"/>
              <w:jc w:val="center"/>
              <w:rPr>
                <w:rFonts w:ascii="宋体" w:hAnsi="宋体" w:cs="宋体"/>
                <w:sz w:val="24"/>
              </w:rPr>
            </w:pPr>
            <w:r>
              <w:rPr>
                <w:rFonts w:hint="eastAsia" w:ascii="宋体" w:hAnsi="宋体" w:cs="宋体"/>
                <w:sz w:val="24"/>
              </w:rPr>
              <w:t>50</w:t>
            </w:r>
          </w:p>
        </w:tc>
        <w:tc>
          <w:tcPr>
            <w:tcW w:w="0" w:type="auto"/>
            <w:tcBorders>
              <w:top w:val="single" w:color="auto" w:sz="4" w:space="0"/>
              <w:left w:val="nil"/>
              <w:bottom w:val="single" w:color="auto" w:sz="4" w:space="0"/>
              <w:right w:val="single" w:color="auto" w:sz="4" w:space="0"/>
            </w:tcBorders>
            <w:vAlign w:val="center"/>
          </w:tcPr>
          <w:p w14:paraId="3D9C9D25">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77C969DD">
            <w:pPr>
              <w:adjustRightInd w:val="0"/>
              <w:snapToGrid w:val="0"/>
              <w:spacing w:line="440" w:lineRule="exact"/>
              <w:jc w:val="center"/>
              <w:rPr>
                <w:rFonts w:ascii="宋体" w:hAnsi="宋体" w:cs="宋体"/>
                <w:sz w:val="24"/>
              </w:rPr>
            </w:pPr>
          </w:p>
        </w:tc>
        <w:tc>
          <w:tcPr>
            <w:tcW w:w="0" w:type="auto"/>
            <w:tcBorders>
              <w:top w:val="single" w:color="auto" w:sz="4" w:space="0"/>
              <w:left w:val="nil"/>
              <w:bottom w:val="single" w:color="auto" w:sz="4" w:space="0"/>
              <w:right w:val="single" w:color="auto" w:sz="4" w:space="0"/>
            </w:tcBorders>
            <w:vAlign w:val="center"/>
          </w:tcPr>
          <w:p w14:paraId="7976EBC8">
            <w:pPr>
              <w:rPr>
                <w:rFonts w:ascii="宋体" w:hAnsi="宋体" w:cs="宋体"/>
                <w:sz w:val="24"/>
              </w:rPr>
            </w:pPr>
          </w:p>
        </w:tc>
      </w:tr>
    </w:tbl>
    <w:p w14:paraId="306C4150">
      <w:pPr>
        <w:rPr>
          <w:rFonts w:ascii="宋体" w:hAnsi="宋体" w:cs="宋体"/>
          <w:szCs w:val="21"/>
        </w:rPr>
      </w:pPr>
    </w:p>
    <w:sectPr>
      <w:footerReference r:id="rId4"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036190"/>
    </w:sdtPr>
    <w:sdtContent>
      <w:p w14:paraId="0E4665F8">
        <w:pPr>
          <w:pStyle w:val="17"/>
          <w:jc w:val="center"/>
        </w:pPr>
        <w:r>
          <w:fldChar w:fldCharType="begin"/>
        </w:r>
        <w:r>
          <w:instrText xml:space="preserve">PAGE   \* MERGEFORMAT</w:instrText>
        </w:r>
        <w:r>
          <w:fldChar w:fldCharType="separate"/>
        </w:r>
        <w:r>
          <w:rPr>
            <w:lang w:val="zh-CN"/>
          </w:rPr>
          <w:t>3</w:t>
        </w:r>
        <w:r>
          <w:rPr>
            <w:lang w:val="zh-CN"/>
          </w:rPr>
          <w:fldChar w:fldCharType="end"/>
        </w:r>
      </w:p>
    </w:sdtContent>
  </w:sdt>
  <w:p w14:paraId="50FD1C9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15C48FDE">
        <w:pPr>
          <w:pStyle w:val="17"/>
          <w:jc w:val="center"/>
        </w:pPr>
        <w:r>
          <w:fldChar w:fldCharType="begin"/>
        </w:r>
        <w:r>
          <w:instrText xml:space="preserve">PAGE   \* MERGEFORMAT</w:instrText>
        </w:r>
        <w:r>
          <w:fldChar w:fldCharType="separate"/>
        </w:r>
        <w:r>
          <w:rPr>
            <w:lang w:val="zh-CN"/>
          </w:rPr>
          <w:t>2</w:t>
        </w:r>
        <w:r>
          <w:rPr>
            <w:lang w:val="zh-CN"/>
          </w:rPr>
          <w:fldChar w:fldCharType="end"/>
        </w:r>
      </w:p>
    </w:sdtContent>
  </w:sdt>
  <w:p w14:paraId="3DA80C87">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1BFD"/>
    <w:multiLevelType w:val="singleLevel"/>
    <w:tmpl w:val="96D61BFD"/>
    <w:lvl w:ilvl="0" w:tentative="0">
      <w:start w:val="5"/>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2">
    <w:nsid w:val="14E0F544"/>
    <w:multiLevelType w:val="singleLevel"/>
    <w:tmpl w:val="14E0F544"/>
    <w:lvl w:ilvl="0" w:tentative="0">
      <w:start w:val="3"/>
      <w:numFmt w:val="chineseCounting"/>
      <w:suff w:val="nothing"/>
      <w:lvlText w:val="%1、"/>
      <w:lvlJc w:val="left"/>
      <w:rPr>
        <w:rFonts w:hint="eastAsia"/>
      </w:rPr>
    </w:lvl>
  </w:abstractNum>
  <w:abstractNum w:abstractNumId="3">
    <w:nsid w:val="1E09DAB9"/>
    <w:multiLevelType w:val="singleLevel"/>
    <w:tmpl w:val="1E09DAB9"/>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B6C46"/>
    <w:rsid w:val="0000270E"/>
    <w:rsid w:val="00003AF8"/>
    <w:rsid w:val="0000425E"/>
    <w:rsid w:val="000058AF"/>
    <w:rsid w:val="00006F20"/>
    <w:rsid w:val="000077B3"/>
    <w:rsid w:val="00010637"/>
    <w:rsid w:val="000106D7"/>
    <w:rsid w:val="00015063"/>
    <w:rsid w:val="00015440"/>
    <w:rsid w:val="00015CD1"/>
    <w:rsid w:val="000211A7"/>
    <w:rsid w:val="00023EE4"/>
    <w:rsid w:val="000251B0"/>
    <w:rsid w:val="00027A9E"/>
    <w:rsid w:val="000316F0"/>
    <w:rsid w:val="00031B82"/>
    <w:rsid w:val="00031E4A"/>
    <w:rsid w:val="000324B6"/>
    <w:rsid w:val="000342A5"/>
    <w:rsid w:val="0003463E"/>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075B"/>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ACE"/>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1E"/>
    <w:rsid w:val="000E54E5"/>
    <w:rsid w:val="000F0043"/>
    <w:rsid w:val="000F03D5"/>
    <w:rsid w:val="000F10CA"/>
    <w:rsid w:val="000F136E"/>
    <w:rsid w:val="000F4538"/>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1AF7"/>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6C9"/>
    <w:rsid w:val="00172DF4"/>
    <w:rsid w:val="00175320"/>
    <w:rsid w:val="0017657B"/>
    <w:rsid w:val="00176B93"/>
    <w:rsid w:val="00180953"/>
    <w:rsid w:val="001814F0"/>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2310"/>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262C8"/>
    <w:rsid w:val="00231AA9"/>
    <w:rsid w:val="00231B54"/>
    <w:rsid w:val="0023328D"/>
    <w:rsid w:val="002341AA"/>
    <w:rsid w:val="00234664"/>
    <w:rsid w:val="00235F90"/>
    <w:rsid w:val="00237CDE"/>
    <w:rsid w:val="00237F55"/>
    <w:rsid w:val="00240256"/>
    <w:rsid w:val="002410E4"/>
    <w:rsid w:val="002418F2"/>
    <w:rsid w:val="00241B56"/>
    <w:rsid w:val="00242F20"/>
    <w:rsid w:val="00243852"/>
    <w:rsid w:val="00244304"/>
    <w:rsid w:val="002503F2"/>
    <w:rsid w:val="002516AA"/>
    <w:rsid w:val="002534E1"/>
    <w:rsid w:val="00254742"/>
    <w:rsid w:val="002565F3"/>
    <w:rsid w:val="00256FE9"/>
    <w:rsid w:val="00261352"/>
    <w:rsid w:val="002651E3"/>
    <w:rsid w:val="00265EAF"/>
    <w:rsid w:val="00267EB9"/>
    <w:rsid w:val="0027154E"/>
    <w:rsid w:val="00271BCA"/>
    <w:rsid w:val="00273D92"/>
    <w:rsid w:val="00274AF2"/>
    <w:rsid w:val="00275663"/>
    <w:rsid w:val="002801EA"/>
    <w:rsid w:val="002808D4"/>
    <w:rsid w:val="00284D1D"/>
    <w:rsid w:val="00285D3E"/>
    <w:rsid w:val="00285E69"/>
    <w:rsid w:val="00287105"/>
    <w:rsid w:val="00287508"/>
    <w:rsid w:val="0028752B"/>
    <w:rsid w:val="00291B7B"/>
    <w:rsid w:val="00295864"/>
    <w:rsid w:val="0029662C"/>
    <w:rsid w:val="00296FA7"/>
    <w:rsid w:val="002A31E8"/>
    <w:rsid w:val="002A3D2D"/>
    <w:rsid w:val="002A407D"/>
    <w:rsid w:val="002A6103"/>
    <w:rsid w:val="002B115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4D86"/>
    <w:rsid w:val="00306D77"/>
    <w:rsid w:val="003109D2"/>
    <w:rsid w:val="00312325"/>
    <w:rsid w:val="00312D45"/>
    <w:rsid w:val="0032018B"/>
    <w:rsid w:val="00321E1C"/>
    <w:rsid w:val="003221C8"/>
    <w:rsid w:val="0032221B"/>
    <w:rsid w:val="0032304A"/>
    <w:rsid w:val="00326C5C"/>
    <w:rsid w:val="0033073C"/>
    <w:rsid w:val="00330A60"/>
    <w:rsid w:val="00331914"/>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250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4F8D"/>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080D"/>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0ED2"/>
    <w:rsid w:val="003F4E3E"/>
    <w:rsid w:val="003F528E"/>
    <w:rsid w:val="00401318"/>
    <w:rsid w:val="0040419A"/>
    <w:rsid w:val="004067F3"/>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283"/>
    <w:rsid w:val="00481872"/>
    <w:rsid w:val="004818BD"/>
    <w:rsid w:val="00482280"/>
    <w:rsid w:val="004822DF"/>
    <w:rsid w:val="00483498"/>
    <w:rsid w:val="00484905"/>
    <w:rsid w:val="00485F44"/>
    <w:rsid w:val="00486831"/>
    <w:rsid w:val="00486ED1"/>
    <w:rsid w:val="00490046"/>
    <w:rsid w:val="004900F3"/>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3EB0"/>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296F"/>
    <w:rsid w:val="00594A90"/>
    <w:rsid w:val="00595FCA"/>
    <w:rsid w:val="00597339"/>
    <w:rsid w:val="005A1F46"/>
    <w:rsid w:val="005A46E2"/>
    <w:rsid w:val="005A4836"/>
    <w:rsid w:val="005A4FB5"/>
    <w:rsid w:val="005A64E0"/>
    <w:rsid w:val="005B1769"/>
    <w:rsid w:val="005B1CBA"/>
    <w:rsid w:val="005B3EA4"/>
    <w:rsid w:val="005B50B2"/>
    <w:rsid w:val="005B56B3"/>
    <w:rsid w:val="005B594D"/>
    <w:rsid w:val="005B5E0E"/>
    <w:rsid w:val="005C0A63"/>
    <w:rsid w:val="005C214F"/>
    <w:rsid w:val="005C26E5"/>
    <w:rsid w:val="005C3B41"/>
    <w:rsid w:val="005C3C3F"/>
    <w:rsid w:val="005C448B"/>
    <w:rsid w:val="005C5EE9"/>
    <w:rsid w:val="005C6898"/>
    <w:rsid w:val="005D170A"/>
    <w:rsid w:val="005D3026"/>
    <w:rsid w:val="005D3EF0"/>
    <w:rsid w:val="005D4611"/>
    <w:rsid w:val="005D5076"/>
    <w:rsid w:val="005D6928"/>
    <w:rsid w:val="005D719D"/>
    <w:rsid w:val="005D785C"/>
    <w:rsid w:val="005E335A"/>
    <w:rsid w:val="005E36C7"/>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3529"/>
    <w:rsid w:val="006372DD"/>
    <w:rsid w:val="006404AB"/>
    <w:rsid w:val="00642A93"/>
    <w:rsid w:val="00642E38"/>
    <w:rsid w:val="006446AF"/>
    <w:rsid w:val="006463E1"/>
    <w:rsid w:val="0065105A"/>
    <w:rsid w:val="00651D84"/>
    <w:rsid w:val="00651E74"/>
    <w:rsid w:val="00652BE1"/>
    <w:rsid w:val="00653D25"/>
    <w:rsid w:val="00655A80"/>
    <w:rsid w:val="00655B93"/>
    <w:rsid w:val="00656BCD"/>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B7158"/>
    <w:rsid w:val="006C0630"/>
    <w:rsid w:val="006C0F5C"/>
    <w:rsid w:val="006C299E"/>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57F"/>
    <w:rsid w:val="006F3840"/>
    <w:rsid w:val="006F407F"/>
    <w:rsid w:val="006F5A79"/>
    <w:rsid w:val="006F5CCE"/>
    <w:rsid w:val="006F7486"/>
    <w:rsid w:val="006F7DE3"/>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A99"/>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868"/>
    <w:rsid w:val="007D5EEC"/>
    <w:rsid w:val="007D600F"/>
    <w:rsid w:val="007E0AC6"/>
    <w:rsid w:val="007E0DE1"/>
    <w:rsid w:val="007E0F3F"/>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3D7D"/>
    <w:rsid w:val="008353BE"/>
    <w:rsid w:val="00836C39"/>
    <w:rsid w:val="00840605"/>
    <w:rsid w:val="0084344F"/>
    <w:rsid w:val="008440DA"/>
    <w:rsid w:val="0084566E"/>
    <w:rsid w:val="0084760C"/>
    <w:rsid w:val="008553B6"/>
    <w:rsid w:val="00855D60"/>
    <w:rsid w:val="00857508"/>
    <w:rsid w:val="0085763C"/>
    <w:rsid w:val="00857B6E"/>
    <w:rsid w:val="00857E39"/>
    <w:rsid w:val="008605EB"/>
    <w:rsid w:val="00861878"/>
    <w:rsid w:val="00863B97"/>
    <w:rsid w:val="00864932"/>
    <w:rsid w:val="008651A5"/>
    <w:rsid w:val="00872F79"/>
    <w:rsid w:val="00873511"/>
    <w:rsid w:val="008744CC"/>
    <w:rsid w:val="00874D7F"/>
    <w:rsid w:val="00875501"/>
    <w:rsid w:val="0087619D"/>
    <w:rsid w:val="00881A2D"/>
    <w:rsid w:val="00881E5F"/>
    <w:rsid w:val="00882405"/>
    <w:rsid w:val="00882FA7"/>
    <w:rsid w:val="0089184B"/>
    <w:rsid w:val="008921FA"/>
    <w:rsid w:val="00894F7B"/>
    <w:rsid w:val="008964A9"/>
    <w:rsid w:val="008A0747"/>
    <w:rsid w:val="008A0996"/>
    <w:rsid w:val="008A1780"/>
    <w:rsid w:val="008A40EA"/>
    <w:rsid w:val="008A4A1D"/>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C7978"/>
    <w:rsid w:val="008D22C0"/>
    <w:rsid w:val="008D33B7"/>
    <w:rsid w:val="008D3A94"/>
    <w:rsid w:val="008D450B"/>
    <w:rsid w:val="008D7547"/>
    <w:rsid w:val="008D7A4A"/>
    <w:rsid w:val="008D7B5E"/>
    <w:rsid w:val="008E1A4A"/>
    <w:rsid w:val="008E3575"/>
    <w:rsid w:val="008F19F2"/>
    <w:rsid w:val="008F3B22"/>
    <w:rsid w:val="008F421C"/>
    <w:rsid w:val="008F5D67"/>
    <w:rsid w:val="008F77F3"/>
    <w:rsid w:val="00901145"/>
    <w:rsid w:val="009019CE"/>
    <w:rsid w:val="00901E4A"/>
    <w:rsid w:val="00902275"/>
    <w:rsid w:val="00902D37"/>
    <w:rsid w:val="009030DD"/>
    <w:rsid w:val="009045BA"/>
    <w:rsid w:val="00905FAF"/>
    <w:rsid w:val="00906345"/>
    <w:rsid w:val="009070B2"/>
    <w:rsid w:val="00914BF3"/>
    <w:rsid w:val="00915BE5"/>
    <w:rsid w:val="00920CE2"/>
    <w:rsid w:val="00921035"/>
    <w:rsid w:val="00921457"/>
    <w:rsid w:val="00921752"/>
    <w:rsid w:val="00922BD2"/>
    <w:rsid w:val="009234A5"/>
    <w:rsid w:val="0092364B"/>
    <w:rsid w:val="0092373D"/>
    <w:rsid w:val="00924510"/>
    <w:rsid w:val="00925496"/>
    <w:rsid w:val="009303C1"/>
    <w:rsid w:val="009337DA"/>
    <w:rsid w:val="0093404B"/>
    <w:rsid w:val="009349AA"/>
    <w:rsid w:val="00935621"/>
    <w:rsid w:val="00937AC6"/>
    <w:rsid w:val="00940DF1"/>
    <w:rsid w:val="009413FF"/>
    <w:rsid w:val="00941E62"/>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7B9C"/>
    <w:rsid w:val="0098089D"/>
    <w:rsid w:val="00980A5C"/>
    <w:rsid w:val="00981F15"/>
    <w:rsid w:val="009827E0"/>
    <w:rsid w:val="00982F0D"/>
    <w:rsid w:val="00983ABA"/>
    <w:rsid w:val="009848B7"/>
    <w:rsid w:val="00985A7C"/>
    <w:rsid w:val="00985AFD"/>
    <w:rsid w:val="00987050"/>
    <w:rsid w:val="00991CBC"/>
    <w:rsid w:val="0099247C"/>
    <w:rsid w:val="00992E7E"/>
    <w:rsid w:val="00993BEA"/>
    <w:rsid w:val="009944AD"/>
    <w:rsid w:val="009953B4"/>
    <w:rsid w:val="009A46B4"/>
    <w:rsid w:val="009A4AA9"/>
    <w:rsid w:val="009A54BE"/>
    <w:rsid w:val="009A5634"/>
    <w:rsid w:val="009A6A1C"/>
    <w:rsid w:val="009B27AE"/>
    <w:rsid w:val="009B2B65"/>
    <w:rsid w:val="009B3F9E"/>
    <w:rsid w:val="009B61CA"/>
    <w:rsid w:val="009B6859"/>
    <w:rsid w:val="009B7446"/>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E7BA9"/>
    <w:rsid w:val="009F3F1B"/>
    <w:rsid w:val="009F4D26"/>
    <w:rsid w:val="009F53A0"/>
    <w:rsid w:val="009F5EBC"/>
    <w:rsid w:val="00A00CD8"/>
    <w:rsid w:val="00A02DDC"/>
    <w:rsid w:val="00A03559"/>
    <w:rsid w:val="00A049C7"/>
    <w:rsid w:val="00A04A25"/>
    <w:rsid w:val="00A05959"/>
    <w:rsid w:val="00A07CB1"/>
    <w:rsid w:val="00A12F61"/>
    <w:rsid w:val="00A1387A"/>
    <w:rsid w:val="00A1419F"/>
    <w:rsid w:val="00A1434B"/>
    <w:rsid w:val="00A144EA"/>
    <w:rsid w:val="00A14F93"/>
    <w:rsid w:val="00A177DF"/>
    <w:rsid w:val="00A21E95"/>
    <w:rsid w:val="00A2520C"/>
    <w:rsid w:val="00A25910"/>
    <w:rsid w:val="00A27CC5"/>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A6D05"/>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3920"/>
    <w:rsid w:val="00AF5FE1"/>
    <w:rsid w:val="00B010B3"/>
    <w:rsid w:val="00B0169B"/>
    <w:rsid w:val="00B02154"/>
    <w:rsid w:val="00B02932"/>
    <w:rsid w:val="00B070CD"/>
    <w:rsid w:val="00B07805"/>
    <w:rsid w:val="00B07D02"/>
    <w:rsid w:val="00B07D20"/>
    <w:rsid w:val="00B11411"/>
    <w:rsid w:val="00B11628"/>
    <w:rsid w:val="00B1166D"/>
    <w:rsid w:val="00B119B8"/>
    <w:rsid w:val="00B130AC"/>
    <w:rsid w:val="00B13D91"/>
    <w:rsid w:val="00B15347"/>
    <w:rsid w:val="00B2003A"/>
    <w:rsid w:val="00B201FF"/>
    <w:rsid w:val="00B206B1"/>
    <w:rsid w:val="00B208ED"/>
    <w:rsid w:val="00B25B9C"/>
    <w:rsid w:val="00B26DD9"/>
    <w:rsid w:val="00B31E69"/>
    <w:rsid w:val="00B333A7"/>
    <w:rsid w:val="00B34E70"/>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BED"/>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21BB"/>
    <w:rsid w:val="00BF3CD8"/>
    <w:rsid w:val="00BF429A"/>
    <w:rsid w:val="00BF49B3"/>
    <w:rsid w:val="00BF57CA"/>
    <w:rsid w:val="00BF785E"/>
    <w:rsid w:val="00C00330"/>
    <w:rsid w:val="00C0079F"/>
    <w:rsid w:val="00C00D11"/>
    <w:rsid w:val="00C01CC7"/>
    <w:rsid w:val="00C0242F"/>
    <w:rsid w:val="00C046E9"/>
    <w:rsid w:val="00C050D6"/>
    <w:rsid w:val="00C061E3"/>
    <w:rsid w:val="00C0750B"/>
    <w:rsid w:val="00C116BF"/>
    <w:rsid w:val="00C133DB"/>
    <w:rsid w:val="00C14DB6"/>
    <w:rsid w:val="00C1563C"/>
    <w:rsid w:val="00C174C9"/>
    <w:rsid w:val="00C17AFC"/>
    <w:rsid w:val="00C211A6"/>
    <w:rsid w:val="00C213D2"/>
    <w:rsid w:val="00C2166B"/>
    <w:rsid w:val="00C30D4C"/>
    <w:rsid w:val="00C43F09"/>
    <w:rsid w:val="00C44AF6"/>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84A01"/>
    <w:rsid w:val="00C90948"/>
    <w:rsid w:val="00C90D34"/>
    <w:rsid w:val="00C93460"/>
    <w:rsid w:val="00C960CB"/>
    <w:rsid w:val="00C964DA"/>
    <w:rsid w:val="00C969AE"/>
    <w:rsid w:val="00C9724B"/>
    <w:rsid w:val="00C97B38"/>
    <w:rsid w:val="00CA0825"/>
    <w:rsid w:val="00CA246D"/>
    <w:rsid w:val="00CA50D9"/>
    <w:rsid w:val="00CA6FB6"/>
    <w:rsid w:val="00CA7198"/>
    <w:rsid w:val="00CB05D9"/>
    <w:rsid w:val="00CB07EE"/>
    <w:rsid w:val="00CC0F77"/>
    <w:rsid w:val="00CC2626"/>
    <w:rsid w:val="00CC334C"/>
    <w:rsid w:val="00CC3556"/>
    <w:rsid w:val="00CC37AF"/>
    <w:rsid w:val="00CC43D3"/>
    <w:rsid w:val="00CC4F41"/>
    <w:rsid w:val="00CC5E10"/>
    <w:rsid w:val="00CC6CEB"/>
    <w:rsid w:val="00CD0093"/>
    <w:rsid w:val="00CD076A"/>
    <w:rsid w:val="00CD10CB"/>
    <w:rsid w:val="00CD11E8"/>
    <w:rsid w:val="00CD1BC5"/>
    <w:rsid w:val="00CD1E22"/>
    <w:rsid w:val="00CD263F"/>
    <w:rsid w:val="00CD35FF"/>
    <w:rsid w:val="00CD6F70"/>
    <w:rsid w:val="00CE063D"/>
    <w:rsid w:val="00CE065D"/>
    <w:rsid w:val="00CE2F4E"/>
    <w:rsid w:val="00CE407B"/>
    <w:rsid w:val="00CE4DA0"/>
    <w:rsid w:val="00CE79D6"/>
    <w:rsid w:val="00CF0006"/>
    <w:rsid w:val="00CF5571"/>
    <w:rsid w:val="00D01120"/>
    <w:rsid w:val="00D017D3"/>
    <w:rsid w:val="00D03587"/>
    <w:rsid w:val="00D03B81"/>
    <w:rsid w:val="00D048BD"/>
    <w:rsid w:val="00D05A25"/>
    <w:rsid w:val="00D06A81"/>
    <w:rsid w:val="00D109B7"/>
    <w:rsid w:val="00D12AC7"/>
    <w:rsid w:val="00D16089"/>
    <w:rsid w:val="00D160FC"/>
    <w:rsid w:val="00D16867"/>
    <w:rsid w:val="00D20A3E"/>
    <w:rsid w:val="00D21440"/>
    <w:rsid w:val="00D2413C"/>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4DA"/>
    <w:rsid w:val="00D53942"/>
    <w:rsid w:val="00D54F63"/>
    <w:rsid w:val="00D55EF2"/>
    <w:rsid w:val="00D5765E"/>
    <w:rsid w:val="00D604C3"/>
    <w:rsid w:val="00D60F9E"/>
    <w:rsid w:val="00D61C24"/>
    <w:rsid w:val="00D620EB"/>
    <w:rsid w:val="00D62D11"/>
    <w:rsid w:val="00D6447D"/>
    <w:rsid w:val="00D66298"/>
    <w:rsid w:val="00D718DE"/>
    <w:rsid w:val="00D719E8"/>
    <w:rsid w:val="00D71EED"/>
    <w:rsid w:val="00D7391A"/>
    <w:rsid w:val="00D74AAD"/>
    <w:rsid w:val="00D75ABB"/>
    <w:rsid w:val="00D77761"/>
    <w:rsid w:val="00D83EF1"/>
    <w:rsid w:val="00D93A5E"/>
    <w:rsid w:val="00D94C1A"/>
    <w:rsid w:val="00D94F92"/>
    <w:rsid w:val="00D95394"/>
    <w:rsid w:val="00D959B7"/>
    <w:rsid w:val="00D96021"/>
    <w:rsid w:val="00D97308"/>
    <w:rsid w:val="00D97B8A"/>
    <w:rsid w:val="00DA0AA5"/>
    <w:rsid w:val="00DA2A5E"/>
    <w:rsid w:val="00DA4AF6"/>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1776"/>
    <w:rsid w:val="00DF2855"/>
    <w:rsid w:val="00DF3823"/>
    <w:rsid w:val="00E001AC"/>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114"/>
    <w:rsid w:val="00E20BF2"/>
    <w:rsid w:val="00E214D2"/>
    <w:rsid w:val="00E24066"/>
    <w:rsid w:val="00E24C04"/>
    <w:rsid w:val="00E251DA"/>
    <w:rsid w:val="00E258C1"/>
    <w:rsid w:val="00E26F57"/>
    <w:rsid w:val="00E30E33"/>
    <w:rsid w:val="00E31EB5"/>
    <w:rsid w:val="00E32561"/>
    <w:rsid w:val="00E34FAA"/>
    <w:rsid w:val="00E359AA"/>
    <w:rsid w:val="00E36ACB"/>
    <w:rsid w:val="00E36CF7"/>
    <w:rsid w:val="00E51C1D"/>
    <w:rsid w:val="00E57365"/>
    <w:rsid w:val="00E576F5"/>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09E1"/>
    <w:rsid w:val="00E92D4E"/>
    <w:rsid w:val="00E97EFA"/>
    <w:rsid w:val="00EA0B96"/>
    <w:rsid w:val="00EA0BC0"/>
    <w:rsid w:val="00EA1526"/>
    <w:rsid w:val="00EA1767"/>
    <w:rsid w:val="00EA1CD5"/>
    <w:rsid w:val="00EA26C7"/>
    <w:rsid w:val="00EA319C"/>
    <w:rsid w:val="00EA39BB"/>
    <w:rsid w:val="00EA4FC6"/>
    <w:rsid w:val="00EA5103"/>
    <w:rsid w:val="00EA5A0D"/>
    <w:rsid w:val="00EA5B6D"/>
    <w:rsid w:val="00EA6299"/>
    <w:rsid w:val="00EA6403"/>
    <w:rsid w:val="00EA7115"/>
    <w:rsid w:val="00EB0487"/>
    <w:rsid w:val="00EB05C2"/>
    <w:rsid w:val="00EB22DA"/>
    <w:rsid w:val="00EB23DE"/>
    <w:rsid w:val="00EC3264"/>
    <w:rsid w:val="00EC43C5"/>
    <w:rsid w:val="00EC7A92"/>
    <w:rsid w:val="00ED12DE"/>
    <w:rsid w:val="00ED38B9"/>
    <w:rsid w:val="00ED5972"/>
    <w:rsid w:val="00ED60E0"/>
    <w:rsid w:val="00ED7A73"/>
    <w:rsid w:val="00EE0F7C"/>
    <w:rsid w:val="00EE4B0F"/>
    <w:rsid w:val="00EE578E"/>
    <w:rsid w:val="00EF0C5E"/>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0C0E"/>
    <w:rsid w:val="00F43666"/>
    <w:rsid w:val="00F45864"/>
    <w:rsid w:val="00F45B13"/>
    <w:rsid w:val="00F51111"/>
    <w:rsid w:val="00F513A5"/>
    <w:rsid w:val="00F53649"/>
    <w:rsid w:val="00F5422C"/>
    <w:rsid w:val="00F54CD5"/>
    <w:rsid w:val="00F55D9A"/>
    <w:rsid w:val="00F55F5D"/>
    <w:rsid w:val="00F5787A"/>
    <w:rsid w:val="00F57FD4"/>
    <w:rsid w:val="00F60784"/>
    <w:rsid w:val="00F6241B"/>
    <w:rsid w:val="00F62CEF"/>
    <w:rsid w:val="00F638B4"/>
    <w:rsid w:val="00F64500"/>
    <w:rsid w:val="00F6501E"/>
    <w:rsid w:val="00F65CF0"/>
    <w:rsid w:val="00F66C37"/>
    <w:rsid w:val="00F66FEB"/>
    <w:rsid w:val="00F6761C"/>
    <w:rsid w:val="00F70AB3"/>
    <w:rsid w:val="00F71CCC"/>
    <w:rsid w:val="00F73483"/>
    <w:rsid w:val="00F736DB"/>
    <w:rsid w:val="00F7565F"/>
    <w:rsid w:val="00F757AE"/>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F5C"/>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164"/>
    <w:rsid w:val="00FD6D3D"/>
    <w:rsid w:val="00FE0165"/>
    <w:rsid w:val="00FE05F6"/>
    <w:rsid w:val="00FE2AD8"/>
    <w:rsid w:val="00FE335F"/>
    <w:rsid w:val="00FE3B07"/>
    <w:rsid w:val="00FE4C9D"/>
    <w:rsid w:val="00FE704F"/>
    <w:rsid w:val="00FE705E"/>
    <w:rsid w:val="00FE790B"/>
    <w:rsid w:val="00FE7E59"/>
    <w:rsid w:val="00FF0E68"/>
    <w:rsid w:val="00FF1081"/>
    <w:rsid w:val="00FF10FA"/>
    <w:rsid w:val="00FF223A"/>
    <w:rsid w:val="00FF3171"/>
    <w:rsid w:val="01E07299"/>
    <w:rsid w:val="01F3521E"/>
    <w:rsid w:val="01F36FCC"/>
    <w:rsid w:val="020410A9"/>
    <w:rsid w:val="02290C40"/>
    <w:rsid w:val="025649A5"/>
    <w:rsid w:val="028B36A9"/>
    <w:rsid w:val="02A14C7A"/>
    <w:rsid w:val="02B71386"/>
    <w:rsid w:val="02D432A2"/>
    <w:rsid w:val="03041433"/>
    <w:rsid w:val="04387860"/>
    <w:rsid w:val="0475016D"/>
    <w:rsid w:val="06473D8B"/>
    <w:rsid w:val="06562220"/>
    <w:rsid w:val="06E25862"/>
    <w:rsid w:val="07131EBF"/>
    <w:rsid w:val="07443763"/>
    <w:rsid w:val="07A34FF1"/>
    <w:rsid w:val="07BA49ED"/>
    <w:rsid w:val="07C02047"/>
    <w:rsid w:val="0865499C"/>
    <w:rsid w:val="092B7FA2"/>
    <w:rsid w:val="09376339"/>
    <w:rsid w:val="09436A8B"/>
    <w:rsid w:val="09954E0D"/>
    <w:rsid w:val="09E162A4"/>
    <w:rsid w:val="0A7E3AF3"/>
    <w:rsid w:val="0A943317"/>
    <w:rsid w:val="0A984BB5"/>
    <w:rsid w:val="0B043FF8"/>
    <w:rsid w:val="0B8769D7"/>
    <w:rsid w:val="0BC17797"/>
    <w:rsid w:val="0BF57DE5"/>
    <w:rsid w:val="0C4A0131"/>
    <w:rsid w:val="0C523489"/>
    <w:rsid w:val="0C935725"/>
    <w:rsid w:val="0CE00754"/>
    <w:rsid w:val="0DDC300B"/>
    <w:rsid w:val="0E3A41D5"/>
    <w:rsid w:val="0E3E1F17"/>
    <w:rsid w:val="0E4868F2"/>
    <w:rsid w:val="0E6574A4"/>
    <w:rsid w:val="0EA31D7A"/>
    <w:rsid w:val="0F713C26"/>
    <w:rsid w:val="0F747896"/>
    <w:rsid w:val="0FAE4D08"/>
    <w:rsid w:val="10961B97"/>
    <w:rsid w:val="10A818CA"/>
    <w:rsid w:val="11F56CEB"/>
    <w:rsid w:val="12DF0704"/>
    <w:rsid w:val="13B50586"/>
    <w:rsid w:val="13DD188A"/>
    <w:rsid w:val="14123C2A"/>
    <w:rsid w:val="1448764C"/>
    <w:rsid w:val="14534C64"/>
    <w:rsid w:val="14A30D26"/>
    <w:rsid w:val="14D64C58"/>
    <w:rsid w:val="151E215B"/>
    <w:rsid w:val="156C736A"/>
    <w:rsid w:val="160B65B8"/>
    <w:rsid w:val="161812A0"/>
    <w:rsid w:val="16881F81"/>
    <w:rsid w:val="17487963"/>
    <w:rsid w:val="179F790B"/>
    <w:rsid w:val="181B00DE"/>
    <w:rsid w:val="18354B4A"/>
    <w:rsid w:val="1A6F1CDF"/>
    <w:rsid w:val="1AAA261B"/>
    <w:rsid w:val="1AAC634A"/>
    <w:rsid w:val="1AD75285"/>
    <w:rsid w:val="1BB2184F"/>
    <w:rsid w:val="1BF6706B"/>
    <w:rsid w:val="1CF3211F"/>
    <w:rsid w:val="1CF9552A"/>
    <w:rsid w:val="1CFD4BB7"/>
    <w:rsid w:val="1D1E7436"/>
    <w:rsid w:val="1D81772B"/>
    <w:rsid w:val="1D9C27B6"/>
    <w:rsid w:val="1DB47B00"/>
    <w:rsid w:val="1DDC2BB3"/>
    <w:rsid w:val="1E5310C7"/>
    <w:rsid w:val="1E7352C5"/>
    <w:rsid w:val="1E967206"/>
    <w:rsid w:val="1EE97BD3"/>
    <w:rsid w:val="1FAA11BB"/>
    <w:rsid w:val="20473BA3"/>
    <w:rsid w:val="206550E2"/>
    <w:rsid w:val="209D487B"/>
    <w:rsid w:val="20A267E8"/>
    <w:rsid w:val="20A7394C"/>
    <w:rsid w:val="21035972"/>
    <w:rsid w:val="21246D4B"/>
    <w:rsid w:val="212D20A3"/>
    <w:rsid w:val="218A4072"/>
    <w:rsid w:val="21AF0D0A"/>
    <w:rsid w:val="22A00653"/>
    <w:rsid w:val="22C205C9"/>
    <w:rsid w:val="23971A56"/>
    <w:rsid w:val="23D74548"/>
    <w:rsid w:val="23DD1433"/>
    <w:rsid w:val="24194B61"/>
    <w:rsid w:val="247E2C16"/>
    <w:rsid w:val="24903D54"/>
    <w:rsid w:val="24BB79C6"/>
    <w:rsid w:val="252F3F10"/>
    <w:rsid w:val="25F211C5"/>
    <w:rsid w:val="260D5FFF"/>
    <w:rsid w:val="266F6CBA"/>
    <w:rsid w:val="269229A8"/>
    <w:rsid w:val="26A1499A"/>
    <w:rsid w:val="27475E96"/>
    <w:rsid w:val="27871DE1"/>
    <w:rsid w:val="285717B4"/>
    <w:rsid w:val="28902F18"/>
    <w:rsid w:val="29177195"/>
    <w:rsid w:val="293164A9"/>
    <w:rsid w:val="299D58EC"/>
    <w:rsid w:val="29AC0C5F"/>
    <w:rsid w:val="29BF5862"/>
    <w:rsid w:val="2A12478B"/>
    <w:rsid w:val="2AC375D4"/>
    <w:rsid w:val="2B0A6292"/>
    <w:rsid w:val="2B852ADC"/>
    <w:rsid w:val="2BE912BD"/>
    <w:rsid w:val="2C4402A1"/>
    <w:rsid w:val="2C8B2374"/>
    <w:rsid w:val="2CBA67B5"/>
    <w:rsid w:val="2D300825"/>
    <w:rsid w:val="2D6A1F89"/>
    <w:rsid w:val="2E083F3B"/>
    <w:rsid w:val="2EAF0755"/>
    <w:rsid w:val="2ECB1B50"/>
    <w:rsid w:val="2F012479"/>
    <w:rsid w:val="30F6418C"/>
    <w:rsid w:val="31717D8A"/>
    <w:rsid w:val="31AB0563"/>
    <w:rsid w:val="32C40510"/>
    <w:rsid w:val="33BC72B7"/>
    <w:rsid w:val="341E3ACD"/>
    <w:rsid w:val="34237336"/>
    <w:rsid w:val="34733E19"/>
    <w:rsid w:val="350607E9"/>
    <w:rsid w:val="352922AF"/>
    <w:rsid w:val="353115DE"/>
    <w:rsid w:val="35814314"/>
    <w:rsid w:val="35973B37"/>
    <w:rsid w:val="35A95619"/>
    <w:rsid w:val="35C9101D"/>
    <w:rsid w:val="35D46B3A"/>
    <w:rsid w:val="35F8791E"/>
    <w:rsid w:val="36B83D65"/>
    <w:rsid w:val="36E326B9"/>
    <w:rsid w:val="377C4D93"/>
    <w:rsid w:val="38405E56"/>
    <w:rsid w:val="38E56968"/>
    <w:rsid w:val="39180AEB"/>
    <w:rsid w:val="396F26D5"/>
    <w:rsid w:val="39AE1450"/>
    <w:rsid w:val="39C72511"/>
    <w:rsid w:val="3A06128C"/>
    <w:rsid w:val="3A8A3C6B"/>
    <w:rsid w:val="3B2319C9"/>
    <w:rsid w:val="3B312DF4"/>
    <w:rsid w:val="3B8E32E7"/>
    <w:rsid w:val="3C805325"/>
    <w:rsid w:val="3CCB0BE1"/>
    <w:rsid w:val="3D36473D"/>
    <w:rsid w:val="3D9902ED"/>
    <w:rsid w:val="3E0E4BB3"/>
    <w:rsid w:val="3E55633E"/>
    <w:rsid w:val="3E8665B1"/>
    <w:rsid w:val="4004626D"/>
    <w:rsid w:val="40640ABA"/>
    <w:rsid w:val="407C4056"/>
    <w:rsid w:val="40907B01"/>
    <w:rsid w:val="40A47108"/>
    <w:rsid w:val="416E7E42"/>
    <w:rsid w:val="417C1E33"/>
    <w:rsid w:val="41AA2E44"/>
    <w:rsid w:val="41ED07ED"/>
    <w:rsid w:val="41FB36A0"/>
    <w:rsid w:val="423D5A66"/>
    <w:rsid w:val="42B37AD7"/>
    <w:rsid w:val="42DE3341"/>
    <w:rsid w:val="42FC0D47"/>
    <w:rsid w:val="4352109E"/>
    <w:rsid w:val="44823C05"/>
    <w:rsid w:val="473867FC"/>
    <w:rsid w:val="47411B55"/>
    <w:rsid w:val="47D429C9"/>
    <w:rsid w:val="493A2D00"/>
    <w:rsid w:val="498D249B"/>
    <w:rsid w:val="4A1240B3"/>
    <w:rsid w:val="4AAB35AE"/>
    <w:rsid w:val="4B013AD5"/>
    <w:rsid w:val="4C194E4E"/>
    <w:rsid w:val="4C746529"/>
    <w:rsid w:val="4CFC34F9"/>
    <w:rsid w:val="4D1B1AD8"/>
    <w:rsid w:val="4D2A7712"/>
    <w:rsid w:val="4D8E7176"/>
    <w:rsid w:val="4E375A60"/>
    <w:rsid w:val="4E462DBA"/>
    <w:rsid w:val="4F2B257A"/>
    <w:rsid w:val="4F9547EC"/>
    <w:rsid w:val="4FA17635"/>
    <w:rsid w:val="513B5867"/>
    <w:rsid w:val="517E2641"/>
    <w:rsid w:val="523429E2"/>
    <w:rsid w:val="527434F3"/>
    <w:rsid w:val="52BE22AC"/>
    <w:rsid w:val="53281E1B"/>
    <w:rsid w:val="53285977"/>
    <w:rsid w:val="545C1D7C"/>
    <w:rsid w:val="55690BF5"/>
    <w:rsid w:val="557355CF"/>
    <w:rsid w:val="55E069DD"/>
    <w:rsid w:val="55FE375F"/>
    <w:rsid w:val="561548D9"/>
    <w:rsid w:val="56494582"/>
    <w:rsid w:val="56CB31E9"/>
    <w:rsid w:val="5A753B98"/>
    <w:rsid w:val="5A7871E4"/>
    <w:rsid w:val="5B603A70"/>
    <w:rsid w:val="5BF44F90"/>
    <w:rsid w:val="5C62014C"/>
    <w:rsid w:val="5C7D31D8"/>
    <w:rsid w:val="5C835BEE"/>
    <w:rsid w:val="5C8C0757"/>
    <w:rsid w:val="5D163215"/>
    <w:rsid w:val="5D177188"/>
    <w:rsid w:val="5D6D0B56"/>
    <w:rsid w:val="5D8C204C"/>
    <w:rsid w:val="5DD15589"/>
    <w:rsid w:val="5DF03535"/>
    <w:rsid w:val="5E0771FD"/>
    <w:rsid w:val="5EC61DC6"/>
    <w:rsid w:val="5FA6034F"/>
    <w:rsid w:val="5FD749AD"/>
    <w:rsid w:val="606C1599"/>
    <w:rsid w:val="60793CB6"/>
    <w:rsid w:val="60C63657"/>
    <w:rsid w:val="616E7593"/>
    <w:rsid w:val="618D7A19"/>
    <w:rsid w:val="618E553F"/>
    <w:rsid w:val="6242704B"/>
    <w:rsid w:val="62A52B40"/>
    <w:rsid w:val="639F1B94"/>
    <w:rsid w:val="63BA4B07"/>
    <w:rsid w:val="642E6B65"/>
    <w:rsid w:val="64616F3B"/>
    <w:rsid w:val="64777168"/>
    <w:rsid w:val="64A82DBC"/>
    <w:rsid w:val="656E7B61"/>
    <w:rsid w:val="66AA2E1B"/>
    <w:rsid w:val="66AE269A"/>
    <w:rsid w:val="66D460EA"/>
    <w:rsid w:val="6773320D"/>
    <w:rsid w:val="694A2693"/>
    <w:rsid w:val="6990454A"/>
    <w:rsid w:val="69937B96"/>
    <w:rsid w:val="699851AD"/>
    <w:rsid w:val="69C266CE"/>
    <w:rsid w:val="69FA3B9E"/>
    <w:rsid w:val="6B056872"/>
    <w:rsid w:val="6B8C5023"/>
    <w:rsid w:val="6BC93D43"/>
    <w:rsid w:val="6D995997"/>
    <w:rsid w:val="6DCC7B1B"/>
    <w:rsid w:val="6EAB7730"/>
    <w:rsid w:val="6EBF31DC"/>
    <w:rsid w:val="6F4162E7"/>
    <w:rsid w:val="6F715FDB"/>
    <w:rsid w:val="6F795A80"/>
    <w:rsid w:val="6FA026BC"/>
    <w:rsid w:val="6FF670D1"/>
    <w:rsid w:val="70671D7D"/>
    <w:rsid w:val="71015D2D"/>
    <w:rsid w:val="71A45F17"/>
    <w:rsid w:val="71E03B95"/>
    <w:rsid w:val="7236680F"/>
    <w:rsid w:val="72CA0900"/>
    <w:rsid w:val="72DD6326"/>
    <w:rsid w:val="734A47CF"/>
    <w:rsid w:val="734B1181"/>
    <w:rsid w:val="73A0093B"/>
    <w:rsid w:val="73A62BBC"/>
    <w:rsid w:val="742A7248"/>
    <w:rsid w:val="74850A24"/>
    <w:rsid w:val="75A31161"/>
    <w:rsid w:val="75B01AD0"/>
    <w:rsid w:val="75D05CCE"/>
    <w:rsid w:val="763527EB"/>
    <w:rsid w:val="76760624"/>
    <w:rsid w:val="76AC673B"/>
    <w:rsid w:val="77065E4C"/>
    <w:rsid w:val="77302EC9"/>
    <w:rsid w:val="7735228D"/>
    <w:rsid w:val="775213D7"/>
    <w:rsid w:val="775F5EBE"/>
    <w:rsid w:val="77C6382D"/>
    <w:rsid w:val="78654DF4"/>
    <w:rsid w:val="78931961"/>
    <w:rsid w:val="78C91C66"/>
    <w:rsid w:val="78FB2838"/>
    <w:rsid w:val="79A76158"/>
    <w:rsid w:val="7A301431"/>
    <w:rsid w:val="7A3F3423"/>
    <w:rsid w:val="7A6730A5"/>
    <w:rsid w:val="7ABB6F4D"/>
    <w:rsid w:val="7B2F16E9"/>
    <w:rsid w:val="7B3C363D"/>
    <w:rsid w:val="7B7F7F7B"/>
    <w:rsid w:val="7BD77DB7"/>
    <w:rsid w:val="7C2823C0"/>
    <w:rsid w:val="7CB225D2"/>
    <w:rsid w:val="7D851A94"/>
    <w:rsid w:val="7E6C1254"/>
    <w:rsid w:val="7F3B72CE"/>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spacing w:line="360" w:lineRule="auto"/>
      <w:jc w:val="center"/>
      <w:outlineLvl w:val="0"/>
    </w:pPr>
    <w:rPr>
      <w:rFonts w:ascii="宋体" w:hAnsi="宋体" w:cs="宋体"/>
      <w:b/>
      <w:sz w:val="28"/>
      <w:szCs w:val="20"/>
    </w:rPr>
  </w:style>
  <w:style w:type="paragraph" w:styleId="3">
    <w:name w:val="heading 2"/>
    <w:basedOn w:val="1"/>
    <w:next w:val="1"/>
    <w:link w:val="69"/>
    <w:unhideWhenUsed/>
    <w:qFormat/>
    <w:uiPriority w:val="9"/>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4">
    <w:name w:val="heading 3"/>
    <w:basedOn w:val="1"/>
    <w:next w:val="1"/>
    <w:link w:val="34"/>
    <w:unhideWhenUsed/>
    <w:qFormat/>
    <w:uiPriority w:val="9"/>
    <w:pPr>
      <w:keepNext/>
      <w:keepLines/>
      <w:spacing w:before="260" w:after="260" w:line="412" w:lineRule="auto"/>
      <w:outlineLvl w:val="2"/>
    </w:pPr>
    <w:rPr>
      <w:rFonts w:cs="宋体"/>
      <w:b/>
      <w:sz w:val="32"/>
      <w:szCs w:val="20"/>
    </w:rPr>
  </w:style>
  <w:style w:type="paragraph" w:styleId="5">
    <w:name w:val="heading 4"/>
    <w:basedOn w:val="1"/>
    <w:next w:val="1"/>
    <w:link w:val="70"/>
    <w:unhideWhenUsed/>
    <w:qFormat/>
    <w:uiPriority w:val="9"/>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pPr>
  </w:style>
  <w:style w:type="paragraph" w:styleId="7">
    <w:name w:val="annotation text"/>
    <w:basedOn w:val="1"/>
    <w:link w:val="35"/>
    <w:semiHidden/>
    <w:unhideWhenUsed/>
    <w:qFormat/>
    <w:uiPriority w:val="99"/>
    <w:pPr>
      <w:jc w:val="left"/>
    </w:pPr>
  </w:style>
  <w:style w:type="paragraph" w:styleId="8">
    <w:name w:val="Body Text"/>
    <w:basedOn w:val="1"/>
    <w:next w:val="9"/>
    <w:link w:val="39"/>
    <w:semiHidden/>
    <w:unhideWhenUsed/>
    <w:qFormat/>
    <w:uiPriority w:val="99"/>
    <w:pPr>
      <w:jc w:val="left"/>
    </w:pPr>
    <w:rPr>
      <w:rFonts w:ascii="楷体_GB2312" w:hAnsi="华文楷体" w:eastAsia="楷体_GB2312"/>
      <w:sz w:val="28"/>
      <w:szCs w:val="28"/>
    </w:rPr>
  </w:style>
  <w:style w:type="paragraph" w:styleId="9">
    <w:name w:val="Body Text 2"/>
    <w:basedOn w:val="1"/>
    <w:link w:val="61"/>
    <w:semiHidden/>
    <w:unhideWhenUsed/>
    <w:qFormat/>
    <w:uiPriority w:val="99"/>
    <w:pPr>
      <w:spacing w:after="120" w:line="480" w:lineRule="auto"/>
    </w:pPr>
  </w:style>
  <w:style w:type="paragraph" w:styleId="10">
    <w:name w:val="Body Text Indent"/>
    <w:basedOn w:val="1"/>
    <w:link w:val="40"/>
    <w:semiHidden/>
    <w:unhideWhenUsed/>
    <w:qFormat/>
    <w:uiPriority w:val="99"/>
    <w:pPr>
      <w:spacing w:after="120"/>
      <w:ind w:left="420" w:leftChars="200"/>
    </w:pPr>
  </w:style>
  <w:style w:type="paragraph" w:styleId="11">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2">
    <w:name w:val="index 4"/>
    <w:basedOn w:val="1"/>
    <w:next w:val="1"/>
    <w:autoRedefine/>
    <w:unhideWhenUsed/>
    <w:qFormat/>
    <w:uiPriority w:val="99"/>
    <w:pPr>
      <w:ind w:left="600" w:leftChars="600"/>
    </w:pPr>
    <w:rPr>
      <w:rFonts w:ascii="等线" w:hAnsi="等线" w:eastAsia="等线" w:cs="等线"/>
      <w:szCs w:val="21"/>
    </w:rPr>
  </w:style>
  <w:style w:type="paragraph" w:styleId="13">
    <w:name w:val="Plain Text"/>
    <w:basedOn w:val="1"/>
    <w:link w:val="43"/>
    <w:unhideWhenUsed/>
    <w:qFormat/>
    <w:uiPriority w:val="99"/>
    <w:rPr>
      <w:rFonts w:ascii="宋体" w:hAnsi="Courier New" w:cs="Courier New"/>
      <w:szCs w:val="21"/>
    </w:rPr>
  </w:style>
  <w:style w:type="paragraph" w:styleId="14">
    <w:name w:val="Date"/>
    <w:basedOn w:val="1"/>
    <w:next w:val="1"/>
    <w:link w:val="41"/>
    <w:semiHidden/>
    <w:unhideWhenUsed/>
    <w:qFormat/>
    <w:uiPriority w:val="99"/>
    <w:pPr>
      <w:ind w:left="100" w:leftChars="2500"/>
    </w:pPr>
    <w:rPr>
      <w:rFonts w:eastAsia="楷体_GB2312"/>
      <w:b/>
      <w:bCs/>
      <w:sz w:val="32"/>
    </w:rPr>
  </w:style>
  <w:style w:type="paragraph" w:styleId="15">
    <w:name w:val="Body Text Indent 2"/>
    <w:basedOn w:val="1"/>
    <w:link w:val="42"/>
    <w:semiHidden/>
    <w:unhideWhenUsed/>
    <w:qFormat/>
    <w:uiPriority w:val="99"/>
    <w:pPr>
      <w:spacing w:after="120" w:line="480" w:lineRule="auto"/>
      <w:ind w:left="420" w:leftChars="200"/>
    </w:pPr>
  </w:style>
  <w:style w:type="paragraph" w:styleId="16">
    <w:name w:val="Balloon Text"/>
    <w:basedOn w:val="1"/>
    <w:link w:val="45"/>
    <w:semiHidden/>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line="360" w:lineRule="auto"/>
    </w:pPr>
  </w:style>
  <w:style w:type="paragraph" w:styleId="21">
    <w:name w:val="toc 2"/>
    <w:basedOn w:val="1"/>
    <w:next w:val="1"/>
    <w:unhideWhenUsed/>
    <w:qFormat/>
    <w:uiPriority w:val="39"/>
    <w:pPr>
      <w:ind w:left="420" w:leftChars="200"/>
    </w:pPr>
    <w:rPr>
      <w:rFonts w:ascii="Times New Roman" w:hAnsi="Times New Roman"/>
      <w:szCs w:val="22"/>
    </w:rPr>
  </w:style>
  <w:style w:type="paragraph" w:styleId="22">
    <w:name w:val="Normal (Web)"/>
    <w:basedOn w:val="1"/>
    <w:unhideWhenUsed/>
    <w:qFormat/>
    <w:uiPriority w:val="99"/>
    <w:pPr>
      <w:spacing w:before="100" w:beforeAutospacing="1" w:after="100" w:afterAutospacing="1"/>
      <w:jc w:val="left"/>
    </w:pPr>
    <w:rPr>
      <w:kern w:val="0"/>
      <w:sz w:val="24"/>
      <w:szCs w:val="20"/>
    </w:rPr>
  </w:style>
  <w:style w:type="paragraph" w:styleId="23">
    <w:name w:val="Title"/>
    <w:basedOn w:val="1"/>
    <w:link w:val="38"/>
    <w:qFormat/>
    <w:uiPriority w:val="10"/>
    <w:pPr>
      <w:adjustRightInd w:val="0"/>
      <w:spacing w:before="240" w:after="60" w:line="420" w:lineRule="atLeast"/>
      <w:jc w:val="center"/>
      <w:outlineLvl w:val="0"/>
    </w:pPr>
    <w:rPr>
      <w:rFonts w:ascii="Arial" w:hAnsi="Arial"/>
      <w:b/>
      <w:kern w:val="0"/>
      <w:sz w:val="32"/>
      <w:szCs w:val="20"/>
    </w:rPr>
  </w:style>
  <w:style w:type="paragraph" w:styleId="24">
    <w:name w:val="annotation subject"/>
    <w:basedOn w:val="7"/>
    <w:next w:val="7"/>
    <w:link w:val="44"/>
    <w:semiHidden/>
    <w:unhideWhenUsed/>
    <w:qFormat/>
    <w:uiPriority w:val="99"/>
    <w:rPr>
      <w:b/>
      <w:bCs/>
    </w:rPr>
  </w:style>
  <w:style w:type="paragraph" w:styleId="25">
    <w:name w:val="Body Text First Indent 2"/>
    <w:basedOn w:val="10"/>
    <w:qFormat/>
    <w:uiPriority w:val="0"/>
    <w:pPr>
      <w:tabs>
        <w:tab w:val="left" w:pos="0"/>
        <w:tab w:val="left" w:pos="993"/>
        <w:tab w:val="left" w:pos="1134"/>
      </w:tabs>
      <w:ind w:firstLine="420"/>
    </w:pPr>
    <w:rPr>
      <w:rFonts w:ascii="Times New Roman" w:hAnsi="Times New Roman"/>
    </w:r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rPr>
  </w:style>
  <w:style w:type="character" w:styleId="30">
    <w:name w:val="Hyperlink"/>
    <w:unhideWhenUsed/>
    <w:qFormat/>
    <w:uiPriority w:val="99"/>
    <w:rPr>
      <w:color w:val="0000FF"/>
      <w:u w:val="single"/>
    </w:rPr>
  </w:style>
  <w:style w:type="character" w:styleId="31">
    <w:name w:val="annotation reference"/>
    <w:semiHidden/>
    <w:unhideWhenUsed/>
    <w:qFormat/>
    <w:uiPriority w:val="0"/>
    <w:rPr>
      <w:sz w:val="21"/>
      <w:szCs w:val="21"/>
    </w:rPr>
  </w:style>
  <w:style w:type="paragraph" w:customStyle="1" w:styleId="32">
    <w:name w:val="Default"/>
    <w:next w:val="1"/>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3">
    <w:name w:val="标题 1 Char"/>
    <w:basedOn w:val="28"/>
    <w:link w:val="2"/>
    <w:qFormat/>
    <w:uiPriority w:val="9"/>
    <w:rPr>
      <w:rFonts w:ascii="宋体" w:hAnsi="宋体" w:eastAsia="宋体" w:cs="宋体"/>
      <w:b/>
      <w:sz w:val="28"/>
      <w:szCs w:val="20"/>
    </w:rPr>
  </w:style>
  <w:style w:type="character" w:customStyle="1" w:styleId="34">
    <w:name w:val="标题 3 Char"/>
    <w:basedOn w:val="28"/>
    <w:link w:val="4"/>
    <w:qFormat/>
    <w:uiPriority w:val="9"/>
    <w:rPr>
      <w:rFonts w:ascii="Calibri" w:hAnsi="Calibri" w:eastAsia="宋体" w:cs="宋体"/>
      <w:b/>
      <w:sz w:val="32"/>
      <w:szCs w:val="20"/>
    </w:rPr>
  </w:style>
  <w:style w:type="character" w:customStyle="1" w:styleId="35">
    <w:name w:val="批注文字 Char"/>
    <w:basedOn w:val="28"/>
    <w:link w:val="7"/>
    <w:semiHidden/>
    <w:qFormat/>
    <w:uiPriority w:val="99"/>
    <w:rPr>
      <w:rFonts w:ascii="Calibri" w:hAnsi="Calibri" w:eastAsia="宋体" w:cs="Times New Roman"/>
      <w:szCs w:val="24"/>
    </w:rPr>
  </w:style>
  <w:style w:type="character" w:customStyle="1" w:styleId="36">
    <w:name w:val="页眉 Char"/>
    <w:basedOn w:val="28"/>
    <w:link w:val="19"/>
    <w:qFormat/>
    <w:uiPriority w:val="99"/>
    <w:rPr>
      <w:rFonts w:ascii="Calibri" w:hAnsi="Calibri" w:eastAsia="宋体" w:cs="Times New Roman"/>
      <w:sz w:val="18"/>
      <w:szCs w:val="18"/>
    </w:rPr>
  </w:style>
  <w:style w:type="character" w:customStyle="1" w:styleId="37">
    <w:name w:val="页脚 Char"/>
    <w:basedOn w:val="28"/>
    <w:link w:val="17"/>
    <w:qFormat/>
    <w:uiPriority w:val="99"/>
    <w:rPr>
      <w:rFonts w:ascii="Calibri" w:hAnsi="Calibri" w:eastAsia="宋体" w:cs="Times New Roman"/>
      <w:sz w:val="18"/>
      <w:szCs w:val="18"/>
    </w:rPr>
  </w:style>
  <w:style w:type="character" w:customStyle="1" w:styleId="38">
    <w:name w:val="标题 Char"/>
    <w:basedOn w:val="28"/>
    <w:link w:val="23"/>
    <w:qFormat/>
    <w:uiPriority w:val="10"/>
    <w:rPr>
      <w:rFonts w:ascii="Arial" w:hAnsi="Arial" w:eastAsia="宋体" w:cs="Times New Roman"/>
      <w:b/>
      <w:kern w:val="0"/>
      <w:sz w:val="32"/>
      <w:szCs w:val="20"/>
    </w:rPr>
  </w:style>
  <w:style w:type="character" w:customStyle="1" w:styleId="39">
    <w:name w:val="正文文本 Char"/>
    <w:basedOn w:val="28"/>
    <w:link w:val="8"/>
    <w:semiHidden/>
    <w:qFormat/>
    <w:uiPriority w:val="99"/>
    <w:rPr>
      <w:rFonts w:ascii="楷体_GB2312" w:hAnsi="华文楷体" w:eastAsia="楷体_GB2312" w:cs="Times New Roman"/>
      <w:sz w:val="28"/>
      <w:szCs w:val="28"/>
    </w:rPr>
  </w:style>
  <w:style w:type="character" w:customStyle="1" w:styleId="40">
    <w:name w:val="正文文本缩进 Char"/>
    <w:basedOn w:val="28"/>
    <w:link w:val="10"/>
    <w:semiHidden/>
    <w:qFormat/>
    <w:uiPriority w:val="99"/>
    <w:rPr>
      <w:rFonts w:ascii="Calibri" w:hAnsi="Calibri" w:eastAsia="宋体" w:cs="Times New Roman"/>
      <w:szCs w:val="24"/>
    </w:rPr>
  </w:style>
  <w:style w:type="character" w:customStyle="1" w:styleId="41">
    <w:name w:val="日期 Char"/>
    <w:basedOn w:val="28"/>
    <w:link w:val="14"/>
    <w:semiHidden/>
    <w:qFormat/>
    <w:uiPriority w:val="99"/>
    <w:rPr>
      <w:rFonts w:ascii="Calibri" w:hAnsi="Calibri" w:eastAsia="楷体_GB2312" w:cs="Times New Roman"/>
      <w:b/>
      <w:bCs/>
      <w:sz w:val="32"/>
      <w:szCs w:val="24"/>
    </w:rPr>
  </w:style>
  <w:style w:type="character" w:customStyle="1" w:styleId="42">
    <w:name w:val="正文文本缩进 2 Char"/>
    <w:basedOn w:val="28"/>
    <w:link w:val="15"/>
    <w:semiHidden/>
    <w:qFormat/>
    <w:uiPriority w:val="99"/>
    <w:rPr>
      <w:rFonts w:ascii="Calibri" w:hAnsi="Calibri" w:eastAsia="宋体" w:cs="Times New Roman"/>
      <w:szCs w:val="24"/>
    </w:rPr>
  </w:style>
  <w:style w:type="character" w:customStyle="1" w:styleId="43">
    <w:name w:val="纯文本 Char"/>
    <w:basedOn w:val="28"/>
    <w:link w:val="13"/>
    <w:qFormat/>
    <w:uiPriority w:val="99"/>
    <w:rPr>
      <w:rFonts w:ascii="宋体" w:hAnsi="Courier New" w:eastAsia="宋体" w:cs="Courier New"/>
      <w:szCs w:val="21"/>
    </w:rPr>
  </w:style>
  <w:style w:type="character" w:customStyle="1" w:styleId="44">
    <w:name w:val="批注主题 Char"/>
    <w:basedOn w:val="35"/>
    <w:link w:val="24"/>
    <w:semiHidden/>
    <w:qFormat/>
    <w:uiPriority w:val="99"/>
    <w:rPr>
      <w:rFonts w:ascii="Calibri" w:hAnsi="Calibri" w:eastAsia="宋体" w:cs="Times New Roman"/>
      <w:b/>
      <w:bCs/>
      <w:szCs w:val="24"/>
    </w:rPr>
  </w:style>
  <w:style w:type="character" w:customStyle="1" w:styleId="45">
    <w:name w:val="批注框文本 Char"/>
    <w:basedOn w:val="28"/>
    <w:link w:val="16"/>
    <w:semiHidden/>
    <w:qFormat/>
    <w:uiPriority w:val="99"/>
    <w:rPr>
      <w:rFonts w:ascii="Calibri" w:hAnsi="Calibri" w:eastAsia="宋体" w:cs="Times New Roman"/>
      <w:sz w:val="18"/>
      <w:szCs w:val="18"/>
    </w:rPr>
  </w:style>
  <w:style w:type="paragraph" w:styleId="46">
    <w:name w:val="List Paragraph"/>
    <w:basedOn w:val="1"/>
    <w:qFormat/>
    <w:uiPriority w:val="34"/>
    <w:pPr>
      <w:ind w:firstLine="420" w:firstLineChars="200"/>
    </w:pPr>
    <w:rPr>
      <w:szCs w:val="20"/>
    </w:rPr>
  </w:style>
  <w:style w:type="paragraph" w:customStyle="1" w:styleId="47">
    <w:name w:val="Char Char1 Char Char Char Char Char Char"/>
    <w:basedOn w:val="1"/>
    <w:qFormat/>
    <w:uiPriority w:val="99"/>
    <w:pPr>
      <w:widowControl/>
      <w:spacing w:after="160" w:line="240" w:lineRule="exact"/>
      <w:jc w:val="left"/>
    </w:pPr>
    <w:rPr>
      <w:szCs w:val="20"/>
    </w:rPr>
  </w:style>
  <w:style w:type="paragraph" w:customStyle="1" w:styleId="48">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
    <w:name w:val="列出段落1"/>
    <w:basedOn w:val="1"/>
    <w:qFormat/>
    <w:uiPriority w:val="0"/>
    <w:pPr>
      <w:ind w:firstLine="420" w:firstLineChars="200"/>
    </w:pPr>
  </w:style>
  <w:style w:type="paragraph" w:customStyle="1" w:styleId="50">
    <w:name w:val="Char"/>
    <w:basedOn w:val="1"/>
    <w:qFormat/>
    <w:uiPriority w:val="99"/>
    <w:pPr>
      <w:widowControl/>
      <w:spacing w:after="160" w:line="240" w:lineRule="exact"/>
      <w:jc w:val="left"/>
    </w:pPr>
  </w:style>
  <w:style w:type="paragraph" w:customStyle="1" w:styleId="51">
    <w:name w:val="正文_2"/>
    <w:qFormat/>
    <w:uiPriority w:val="99"/>
    <w:rPr>
      <w:rFonts w:ascii="Calibri" w:hAnsi="Calibri" w:eastAsia="宋体" w:cs="Times New Roman"/>
      <w:sz w:val="21"/>
      <w:szCs w:val="22"/>
      <w:lang w:val="en-US" w:eastAsia="zh-CN" w:bidi="ar-SA"/>
    </w:rPr>
  </w:style>
  <w:style w:type="paragraph" w:customStyle="1" w:styleId="52">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3">
    <w:name w:val="标题 Char1"/>
    <w:basedOn w:val="28"/>
    <w:qFormat/>
    <w:uiPriority w:val="10"/>
    <w:rPr>
      <w:rFonts w:hint="default" w:asciiTheme="majorHAnsi" w:hAnsiTheme="majorHAnsi" w:cstheme="majorBidi"/>
      <w:b/>
      <w:bCs/>
      <w:kern w:val="2"/>
      <w:sz w:val="32"/>
      <w:szCs w:val="32"/>
    </w:rPr>
  </w:style>
  <w:style w:type="character" w:customStyle="1" w:styleId="54">
    <w:name w:val="批注文字 Char1"/>
    <w:basedOn w:val="28"/>
    <w:semiHidden/>
    <w:qFormat/>
    <w:uiPriority w:val="99"/>
    <w:rPr>
      <w:kern w:val="2"/>
      <w:sz w:val="21"/>
      <w:szCs w:val="24"/>
    </w:rPr>
  </w:style>
  <w:style w:type="character" w:customStyle="1" w:styleId="55">
    <w:name w:val="批注主题 Char1"/>
    <w:basedOn w:val="54"/>
    <w:semiHidden/>
    <w:qFormat/>
    <w:uiPriority w:val="99"/>
    <w:rPr>
      <w:b/>
      <w:bCs/>
      <w:kern w:val="2"/>
      <w:sz w:val="21"/>
      <w:szCs w:val="24"/>
    </w:rPr>
  </w:style>
  <w:style w:type="paragraph" w:customStyle="1" w:styleId="56">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7">
    <w:name w:val="Blockquote Char Char"/>
    <w:link w:val="58"/>
    <w:qFormat/>
    <w:uiPriority w:val="0"/>
    <w:rPr>
      <w:sz w:val="24"/>
    </w:rPr>
  </w:style>
  <w:style w:type="paragraph" w:customStyle="1" w:styleId="58">
    <w:name w:val="Blockquote"/>
    <w:basedOn w:val="1"/>
    <w:link w:val="57"/>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9">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60">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1">
    <w:name w:val="正文文本 2 Char"/>
    <w:basedOn w:val="28"/>
    <w:link w:val="9"/>
    <w:semiHidden/>
    <w:qFormat/>
    <w:uiPriority w:val="99"/>
    <w:rPr>
      <w:rFonts w:ascii="Calibri" w:hAnsi="Calibri" w:eastAsia="宋体" w:cs="Times New Roman"/>
      <w:kern w:val="2"/>
      <w:sz w:val="21"/>
      <w:szCs w:val="24"/>
    </w:rPr>
  </w:style>
  <w:style w:type="character" w:customStyle="1" w:styleId="62">
    <w:name w:val="NormalCharacter"/>
    <w:qFormat/>
    <w:uiPriority w:val="0"/>
  </w:style>
  <w:style w:type="paragraph" w:customStyle="1" w:styleId="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4">
    <w:name w:val="宋体小四正文"/>
    <w:basedOn w:val="1"/>
    <w:link w:val="65"/>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5">
    <w:name w:val="宋体小四正文 字符"/>
    <w:basedOn w:val="28"/>
    <w:link w:val="64"/>
    <w:qFormat/>
    <w:uiPriority w:val="0"/>
    <w:rPr>
      <w:rFonts w:ascii="宋体" w:hAnsi="宋体" w:eastAsia="宋体"/>
      <w:color w:val="000000" w:themeColor="text1"/>
      <w:kern w:val="2"/>
      <w:sz w:val="24"/>
      <w:szCs w:val="28"/>
    </w:rPr>
  </w:style>
  <w:style w:type="character" w:customStyle="1" w:styleId="66">
    <w:name w:val="font31"/>
    <w:basedOn w:val="28"/>
    <w:qFormat/>
    <w:uiPriority w:val="0"/>
    <w:rPr>
      <w:rFonts w:hint="eastAsia" w:ascii="宋体" w:hAnsi="宋体" w:eastAsia="宋体" w:cs="宋体"/>
      <w:color w:val="000000"/>
      <w:sz w:val="24"/>
      <w:szCs w:val="24"/>
      <w:u w:val="none"/>
    </w:rPr>
  </w:style>
  <w:style w:type="character" w:customStyle="1" w:styleId="67">
    <w:name w:val="font51"/>
    <w:basedOn w:val="28"/>
    <w:qFormat/>
    <w:uiPriority w:val="0"/>
    <w:rPr>
      <w:rFonts w:hint="eastAsia" w:ascii="宋体" w:hAnsi="宋体" w:eastAsia="宋体" w:cs="宋体"/>
      <w:b/>
      <w:bCs/>
      <w:color w:val="000000"/>
      <w:sz w:val="21"/>
      <w:szCs w:val="21"/>
      <w:u w:val="none"/>
    </w:rPr>
  </w:style>
  <w:style w:type="paragraph" w:customStyle="1" w:styleId="68">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69">
    <w:name w:val="标题 2 Char"/>
    <w:basedOn w:val="28"/>
    <w:link w:val="3"/>
    <w:qFormat/>
    <w:uiPriority w:val="9"/>
    <w:rPr>
      <w:rFonts w:ascii="Arial" w:hAnsi="Arial" w:eastAsia="黑体" w:cs="Arial"/>
      <w:b/>
      <w:snapToGrid w:val="0"/>
      <w:color w:val="000000"/>
      <w:sz w:val="32"/>
      <w:szCs w:val="21"/>
    </w:rPr>
  </w:style>
  <w:style w:type="character" w:customStyle="1" w:styleId="70">
    <w:name w:val="标题 4 Char"/>
    <w:basedOn w:val="28"/>
    <w:link w:val="5"/>
    <w:qFormat/>
    <w:uiPriority w:val="9"/>
    <w:rPr>
      <w:rFonts w:ascii="Arial" w:hAnsi="Arial" w:eastAsia="黑体" w:cs="Arial"/>
      <w:b/>
      <w:snapToGrid w:val="0"/>
      <w:color w:val="000000"/>
      <w:sz w:val="28"/>
      <w:szCs w:val="21"/>
    </w:rPr>
  </w:style>
  <w:style w:type="paragraph" w:styleId="71">
    <w:name w:val="No Spacing"/>
    <w:qFormat/>
    <w:uiPriority w:val="1"/>
    <w:rPr>
      <w:rFonts w:ascii="Calibri" w:hAnsi="Calibri" w:eastAsia="宋体" w:cs="Times New Roman"/>
      <w:sz w:val="22"/>
      <w:szCs w:val="22"/>
      <w:lang w:val="en-US" w:eastAsia="zh-CN" w:bidi="ar-SA"/>
    </w:rPr>
  </w:style>
  <w:style w:type="character" w:customStyle="1" w:styleId="72">
    <w:name w:val="font21"/>
    <w:basedOn w:val="28"/>
    <w:qFormat/>
    <w:uiPriority w:val="0"/>
    <w:rPr>
      <w:rFonts w:hint="eastAsia" w:ascii="宋体" w:hAnsi="宋体" w:eastAsia="宋体" w:cs="宋体"/>
      <w:color w:val="000000"/>
      <w:sz w:val="24"/>
      <w:szCs w:val="24"/>
      <w:u w:val="none"/>
    </w:rPr>
  </w:style>
  <w:style w:type="paragraph" w:customStyle="1" w:styleId="73">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4">
    <w:name w:val="表格"/>
    <w:link w:val="75"/>
    <w:qFormat/>
    <w:uiPriority w:val="0"/>
    <w:pPr>
      <w:jc w:val="center"/>
    </w:pPr>
    <w:rPr>
      <w:rFonts w:ascii="Times New Roman" w:hAnsi="Times New Roman" w:eastAsia="仿宋" w:cs="Times New Roman"/>
      <w:kern w:val="2"/>
      <w:sz w:val="21"/>
      <w:szCs w:val="22"/>
      <w:lang w:val="en-US" w:eastAsia="zh-CN" w:bidi="ar-SA"/>
    </w:rPr>
  </w:style>
  <w:style w:type="character" w:customStyle="1" w:styleId="75">
    <w:name w:val="表格 Char"/>
    <w:link w:val="74"/>
    <w:qFormat/>
    <w:uiPriority w:val="0"/>
    <w:rPr>
      <w:rFonts w:ascii="Times New Roman" w:hAnsi="Times New Roman" w:eastAsia="仿宋" w:cs="Times New Roman"/>
      <w:kern w:val="2"/>
      <w:sz w:val="21"/>
      <w:szCs w:val="22"/>
    </w:rPr>
  </w:style>
  <w:style w:type="character" w:customStyle="1" w:styleId="76">
    <w:name w:val="font01"/>
    <w:basedOn w:val="28"/>
    <w:qFormat/>
    <w:uiPriority w:val="0"/>
    <w:rPr>
      <w:rFonts w:hint="eastAsia" w:ascii="等线" w:hAnsi="等线" w:eastAsia="等线" w:cs="等线"/>
      <w:color w:val="000000"/>
      <w:sz w:val="22"/>
      <w:szCs w:val="22"/>
      <w:u w:val="none"/>
    </w:rPr>
  </w:style>
  <w:style w:type="character" w:customStyle="1" w:styleId="77">
    <w:name w:val="font61"/>
    <w:basedOn w:val="28"/>
    <w:qFormat/>
    <w:uiPriority w:val="0"/>
    <w:rPr>
      <w:rFonts w:ascii="Calibri" w:hAnsi="Calibri" w:cs="Calibri"/>
      <w:color w:val="000000"/>
      <w:sz w:val="20"/>
      <w:szCs w:val="20"/>
      <w:u w:val="none"/>
    </w:rPr>
  </w:style>
  <w:style w:type="character" w:customStyle="1" w:styleId="78">
    <w:name w:val="font11"/>
    <w:basedOn w:val="28"/>
    <w:qFormat/>
    <w:uiPriority w:val="0"/>
    <w:rPr>
      <w:rFonts w:hint="eastAsia" w:ascii="宋体" w:hAnsi="宋体" w:eastAsia="宋体" w:cs="宋体"/>
      <w:color w:val="000000"/>
      <w:sz w:val="20"/>
      <w:szCs w:val="20"/>
      <w:u w:val="none"/>
    </w:rPr>
  </w:style>
  <w:style w:type="character" w:customStyle="1" w:styleId="79">
    <w:name w:val="PageNumber"/>
    <w:basedOn w:val="62"/>
    <w:qFormat/>
    <w:uiPriority w:val="0"/>
  </w:style>
  <w:style w:type="character" w:customStyle="1" w:styleId="80">
    <w:name w:val="font71"/>
    <w:basedOn w:val="28"/>
    <w:qFormat/>
    <w:uiPriority w:val="0"/>
    <w:rPr>
      <w:rFonts w:hint="eastAsia" w:ascii="微软雅黑" w:hAnsi="微软雅黑" w:eastAsia="微软雅黑" w:cs="微软雅黑"/>
      <w:b/>
      <w:bCs/>
      <w:color w:val="000000"/>
      <w:sz w:val="24"/>
      <w:szCs w:val="24"/>
      <w:u w:val="none"/>
    </w:rPr>
  </w:style>
  <w:style w:type="paragraph" w:customStyle="1" w:styleId="81">
    <w:name w:val="正文缩进_0"/>
    <w:basedOn w:val="1"/>
    <w:qFormat/>
    <w:uiPriority w:val="0"/>
    <w:pPr>
      <w:widowControl/>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67C7-39F5-4CF1-A4C0-40661A336F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2974</Words>
  <Characters>3325</Characters>
  <Lines>228</Lines>
  <Paragraphs>64</Paragraphs>
  <TotalTime>4</TotalTime>
  <ScaleCrop>false</ScaleCrop>
  <LinksUpToDate>false</LinksUpToDate>
  <CharactersWithSpaces>3374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2025-06-30T10:06:00Z</dcterms:created>
  <dc:creator>未定义</dc:creator>
  <cp:lastModifiedBy>张长君</cp:lastModifiedBy>
  <cp:lastPrinted>2024-12-25T05:57:00Z</cp:lastPrinted>
  <dcterms:modified xsi:type="dcterms:W3CDTF">2025-07-04T09:52:16Z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E36143021E244979A2F7A15CC42BE94B_13</vt:lpwstr>
  </property>
  <property fmtid="{D5CDD505-2E9C-101B-9397-08002B2CF9AE}" pid="4" name="KSOTemplateDocerSaveRecord">
    <vt:lpwstr>eyJoZGlkIjoiN2Y4ZDNhMDVmNDIzOTA1MDMwMTAyNmQxZjFhNzlmNGYiLCJ1c2VySWQiOiIxMjEwNDIxMzA4In0=</vt:lpwstr>
  </property>
</Properties>
</file>