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4" w:line="221" w:lineRule="auto"/>
        <w:ind w:left="1023" w:hanging="1629" w:hangingChars="379"/>
        <w:jc w:val="center"/>
        <w:rPr>
          <w:rFonts w:hint="eastAsia" w:ascii="黑体" w:hAnsi="黑体" w:eastAsia="黑体" w:cs="黑体"/>
          <w:spacing w:val="-5"/>
          <w:sz w:val="44"/>
          <w:szCs w:val="44"/>
          <w:lang w:val="en-US" w:eastAsia="zh-CN"/>
        </w:rPr>
      </w:pPr>
      <w:bookmarkStart w:id="0" w:name="_Toc497145843"/>
      <w:r>
        <w:rPr>
          <w:rFonts w:hint="eastAsia" w:ascii="黑体" w:hAnsi="黑体" w:eastAsia="黑体" w:cs="黑体"/>
          <w:spacing w:val="-5"/>
          <w:sz w:val="44"/>
          <w:szCs w:val="44"/>
          <w:lang w:val="en-US" w:eastAsia="zh-CN"/>
        </w:rPr>
        <w:t>扬州大学附属医院</w:t>
      </w:r>
    </w:p>
    <w:p>
      <w:pPr>
        <w:spacing w:line="360" w:lineRule="auto"/>
        <w:jc w:val="center"/>
        <w:outlineLvl w:val="0"/>
        <w:rPr>
          <w:rFonts w:ascii="宋体" w:hAnsi="宋体"/>
          <w:b/>
          <w:bCs/>
          <w:sz w:val="36"/>
          <w:lang w:eastAsia="zh-CN"/>
        </w:rPr>
      </w:pPr>
      <w:r>
        <w:rPr>
          <w:rFonts w:hint="eastAsia" w:ascii="黑体" w:hAnsi="黑体" w:eastAsia="黑体" w:cs="黑体"/>
          <w:spacing w:val="-5"/>
          <w:sz w:val="44"/>
          <w:szCs w:val="44"/>
          <w:lang w:val="en-US" w:eastAsia="zh-CN"/>
        </w:rPr>
        <w:t>西区老旧</w:t>
      </w:r>
      <w:r>
        <w:rPr>
          <w:rFonts w:hint="eastAsia" w:ascii="黑体" w:hAnsi="黑体" w:eastAsia="黑体" w:cs="黑体"/>
          <w:spacing w:val="-5"/>
          <w:sz w:val="44"/>
          <w:szCs w:val="44"/>
          <w:lang w:eastAsia="zh-CN"/>
        </w:rPr>
        <w:t>电梯</w:t>
      </w:r>
      <w:r>
        <w:rPr>
          <w:rFonts w:hint="eastAsia" w:ascii="黑体" w:hAnsi="黑体" w:eastAsia="黑体" w:cs="黑体"/>
          <w:spacing w:val="-5"/>
          <w:sz w:val="44"/>
          <w:szCs w:val="44"/>
          <w:lang w:val="en-US" w:eastAsia="zh-CN"/>
        </w:rPr>
        <w:t>更换</w:t>
      </w:r>
      <w:r>
        <w:rPr>
          <w:rFonts w:hint="eastAsia" w:ascii="黑体" w:hAnsi="黑体" w:eastAsia="黑体" w:cs="黑体"/>
          <w:spacing w:val="-5"/>
          <w:sz w:val="44"/>
          <w:szCs w:val="44"/>
          <w:lang w:eastAsia="zh-CN"/>
        </w:rPr>
        <w:t>项目</w:t>
      </w:r>
      <w:r>
        <w:rPr>
          <w:rFonts w:hint="eastAsia" w:ascii="黑体" w:hAnsi="黑体" w:eastAsia="黑体" w:cs="黑体"/>
          <w:spacing w:val="-5"/>
          <w:sz w:val="44"/>
          <w:szCs w:val="44"/>
          <w:lang w:val="en-US" w:eastAsia="zh-CN"/>
        </w:rPr>
        <w:t>评分</w:t>
      </w:r>
      <w:r>
        <w:rPr>
          <w:rFonts w:hint="eastAsia" w:ascii="黑体" w:hAnsi="黑体" w:eastAsia="黑体" w:cs="黑体"/>
          <w:spacing w:val="-5"/>
          <w:sz w:val="44"/>
          <w:szCs w:val="44"/>
          <w:lang w:eastAsia="zh-CN"/>
        </w:rPr>
        <w:t>标准</w:t>
      </w:r>
      <w:bookmarkEnd w:id="0"/>
    </w:p>
    <w:tbl>
      <w:tblPr>
        <w:tblStyle w:val="8"/>
        <w:tblW w:w="97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179"/>
        <w:gridCol w:w="6581"/>
        <w:gridCol w:w="569"/>
        <w:gridCol w:w="8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Header/>
          <w:jc w:val="center"/>
        </w:trPr>
        <w:tc>
          <w:tcPr>
            <w:tcW w:w="519" w:type="dxa"/>
            <w:noWrap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79" w:type="dxa"/>
            <w:noWrap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审因素</w:t>
            </w:r>
          </w:p>
        </w:tc>
        <w:tc>
          <w:tcPr>
            <w:tcW w:w="6581" w:type="dxa"/>
            <w:noWrap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审细则</w:t>
            </w:r>
          </w:p>
        </w:tc>
        <w:tc>
          <w:tcPr>
            <w:tcW w:w="569" w:type="dxa"/>
            <w:noWrap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值</w:t>
            </w:r>
          </w:p>
        </w:tc>
        <w:tc>
          <w:tcPr>
            <w:tcW w:w="881" w:type="dxa"/>
            <w:noWrap/>
          </w:tcPr>
          <w:p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729" w:type="dxa"/>
            <w:gridSpan w:val="5"/>
            <w:noWrap/>
          </w:tcPr>
          <w:p>
            <w:pPr>
              <w:spacing w:before="122" w:line="288" w:lineRule="auto"/>
              <w:ind w:left="11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4"/>
                <w:szCs w:val="24"/>
              </w:rPr>
              <w:t>1.价</w:t>
            </w:r>
            <w:r>
              <w:rPr>
                <w:rFonts w:hint="eastAsia" w:ascii="宋体" w:hAnsi="宋体" w:cs="宋体"/>
                <w:b/>
                <w:bCs/>
                <w:spacing w:val="-2"/>
                <w:sz w:val="24"/>
                <w:szCs w:val="24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</w:rPr>
              <w:t>.1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8" w:line="288" w:lineRule="auto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价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格分</w:t>
            </w:r>
          </w:p>
        </w:tc>
        <w:tc>
          <w:tcPr>
            <w:tcW w:w="6581" w:type="dxa"/>
            <w:noWrap/>
            <w:vAlign w:val="center"/>
          </w:tcPr>
          <w:p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以</w:t>
            </w:r>
            <w:r>
              <w:rPr>
                <w:rFonts w:hint="eastAsia"/>
                <w:sz w:val="21"/>
                <w:szCs w:val="21"/>
                <w:lang w:eastAsia="zh-CN"/>
              </w:rPr>
              <w:t>满足招标文件要求的最低投标报价为评标基准价，得满分30分，其他投标报价=（基准价/其他投标报价）×30×100%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before="69" w:line="288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258" w:line="288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价</w:t>
            </w:r>
            <w:r>
              <w:rPr>
                <w:rFonts w:hint="eastAsia" w:ascii="宋体" w:hAnsi="宋体" w:cs="宋体"/>
                <w:sz w:val="22"/>
                <w:szCs w:val="22"/>
              </w:rPr>
              <w:t>格分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729" w:type="dxa"/>
            <w:gridSpan w:val="5"/>
            <w:noWrap/>
          </w:tcPr>
          <w:p>
            <w:pPr>
              <w:spacing w:before="123" w:line="288" w:lineRule="auto"/>
              <w:ind w:left="1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2"/>
                <w:szCs w:val="22"/>
              </w:rPr>
              <w:t>2.技术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8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2.1</w:t>
            </w:r>
          </w:p>
        </w:tc>
        <w:tc>
          <w:tcPr>
            <w:tcW w:w="1179" w:type="dxa"/>
            <w:noWrap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技术响应</w:t>
            </w:r>
          </w:p>
        </w:tc>
        <w:tc>
          <w:tcPr>
            <w:tcW w:w="6581" w:type="dxa"/>
            <w:noWrap/>
            <w:vAlign w:val="center"/>
          </w:tcPr>
          <w:p>
            <w:pPr>
              <w:spacing w:line="440" w:lineRule="exact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2.1</w:t>
            </w:r>
            <w:r>
              <w:rPr>
                <w:rFonts w:hint="eastAsia"/>
                <w:color w:val="auto"/>
                <w:sz w:val="22"/>
                <w:szCs w:val="22"/>
              </w:rPr>
              <w:t>投标产品对招标文件具体需求的响应程度：全部响应即满足招标文件项目需求的得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</w:rPr>
              <w:t>分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标注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★</w:t>
            </w:r>
            <w:r>
              <w:rPr>
                <w:rFonts w:hint="eastAsia"/>
                <w:color w:val="auto"/>
                <w:sz w:val="22"/>
                <w:szCs w:val="22"/>
              </w:rPr>
              <w:t>的参数为实质性响应要求，有一项负偏离即为未实质性响应，作无效投标；</w:t>
            </w:r>
          </w:p>
          <w:p>
            <w:pPr>
              <w:spacing w:line="44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前面标注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▲</w:t>
            </w:r>
            <w:r>
              <w:rPr>
                <w:rFonts w:hint="eastAsia"/>
                <w:color w:val="auto"/>
                <w:sz w:val="22"/>
                <w:szCs w:val="22"/>
              </w:rPr>
              <w:t>的技术要求中的每项负偏离项扣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</w:rPr>
              <w:t>分，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sz w:val="22"/>
                <w:szCs w:val="22"/>
              </w:rPr>
              <w:t>技术要求中的每项负偏离项扣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分，扣完为止。（投标人需按照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采购文件</w:t>
            </w:r>
            <w:r>
              <w:rPr>
                <w:rFonts w:hint="eastAsia"/>
                <w:color w:val="auto"/>
                <w:sz w:val="22"/>
                <w:szCs w:val="22"/>
              </w:rPr>
              <w:t>具体功能技术要求和商务要求等，在“技术参数响应及偏离表”以及“商务条款响应及偏离表”中如实详细填列所投产品的参数及商务承诺，并按采购文件要求提供相应证明材料并在投标文件中醒目标识）。（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/>
                <w:color w:val="auto"/>
                <w:sz w:val="22"/>
                <w:szCs w:val="22"/>
              </w:rPr>
              <w:t>分）</w:t>
            </w:r>
          </w:p>
          <w:p>
            <w:pPr>
              <w:spacing w:line="440" w:lineRule="exac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2.2所有垂直电梯核心部件：客梯曳引机、控制柜、控制器、调速器、轿门门锁、厅门门锁、安全钳、限速器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、轿厢缓冲器、对重缓冲器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spacing w:val="-4"/>
                <w:sz w:val="22"/>
                <w:szCs w:val="22"/>
                <w:lang w:eastAsia="zh-CN"/>
              </w:rPr>
              <w:t>门保护光幕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为投标品牌厂商原厂生产，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0"/>
                <w:lang w:val="en-US" w:eastAsia="zh-CN"/>
              </w:rPr>
              <w:t>所有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扶梯：驱动主机、附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加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制动器、控制</w:t>
            </w:r>
            <w:bookmarkStart w:id="1" w:name="_GoBack"/>
            <w:bookmarkEnd w:id="1"/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系统为投标品牌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厂商原厂生产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完全符合的得满分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分，有一项不符合的扣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</w:rPr>
              <w:t>分，扣完为止。（提供整机型式试验报告，加盖公章）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。</w:t>
            </w:r>
            <w:r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2"/>
                <w:szCs w:val="22"/>
              </w:rPr>
              <w:t>分）</w:t>
            </w:r>
          </w:p>
          <w:p>
            <w:pPr>
              <w:spacing w:line="440" w:lineRule="exact"/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.3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所投品牌制造商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应提供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垂直电梯控制柜按GB/T17626.5-2019的试验要求进行浪涌（冲击）抗扰度试验，针对抗雷击浪涌干扰能力进行测评的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）≥±10KV且＜±15KV的得1分，</w:t>
            </w:r>
          </w:p>
          <w:p>
            <w:pPr>
              <w:spacing w:line="440" w:lineRule="exact"/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（2）≥±15KV且≤±20KV的加1分（共计2分）；</w:t>
            </w:r>
          </w:p>
          <w:p>
            <w:pPr>
              <w:spacing w:line="440" w:lineRule="exact"/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）＞±20KV的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加3分（共计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4分）。</w:t>
            </w:r>
          </w:p>
          <w:p>
            <w:pPr>
              <w:spacing w:line="440" w:lineRule="exact"/>
              <w:rPr>
                <w:rFonts w:ascii="宋体" w:hAnsi="宋体" w:cs="宋体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（提供型式（委托）试验报告或带CMA标识的检验报告，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加盖公章有效；未提供上述报告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得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分。）（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0"/>
                <w:lang w:eastAsia="zh-CN"/>
              </w:rPr>
              <w:t>）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客</w:t>
            </w: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9729" w:type="dxa"/>
            <w:gridSpan w:val="5"/>
            <w:noWrap/>
            <w:vAlign w:val="center"/>
          </w:tcPr>
          <w:p>
            <w:pPr>
              <w:spacing w:before="68" w:line="288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2"/>
                <w:szCs w:val="20"/>
              </w:rPr>
              <w:t>项目实施及质量控制方案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3.1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实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施方案</w:t>
            </w:r>
          </w:p>
        </w:tc>
        <w:tc>
          <w:tcPr>
            <w:tcW w:w="6581" w:type="dxa"/>
            <w:noWrap/>
            <w:vAlign w:val="center"/>
          </w:tcPr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评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委根据投标人提供的实施方案(包括本项目人员配置，进度安排、组织架构，进度控制、风险控制管理、质量保障措施、安全管理措施、文档管理措施、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电</w:t>
            </w:r>
            <w:r>
              <w:rPr>
                <w:rFonts w:hint="eastAsia" w:ascii="宋体" w:hAnsi="宋体" w:cs="宋体"/>
                <w:spacing w:val="-2"/>
                <w:sz w:val="22"/>
                <w:szCs w:val="22"/>
                <w:lang w:eastAsia="zh-CN"/>
              </w:rPr>
              <w:t>梯拆除安装技术方案、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质保维保方案等)进行评分：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1）方案科学、合理、操作性强的，得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分； 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br w:type="textWrapping" w:clear="all"/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（2）方案较科学、较合理、操作性较强的，得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分；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3）方案基本科学、基本合理、具备一定的可操作性，得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分； 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br w:type="textWrapping" w:clear="all"/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（4）方案不合理、不具可操作性或未提供的不得分。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729" w:type="dxa"/>
            <w:gridSpan w:val="5"/>
            <w:noWrap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val="en-US" w:eastAsia="zh-CN"/>
              </w:rPr>
              <w:t>业绩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4.1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9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投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标人业绩</w:t>
            </w:r>
          </w:p>
        </w:tc>
        <w:tc>
          <w:tcPr>
            <w:tcW w:w="6581" w:type="dxa"/>
            <w:noWrap/>
            <w:vAlign w:val="center"/>
          </w:tcPr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投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标人或所投品牌制造商自2022年1月1日（含）以来（时间以竣工验收时间为准）类似电梯项目的业绩，每提供1个得1分，最多得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分。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 w:bidi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以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上业绩证明材料包含：提供合同复印件加盖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公章，以合同签订日期为准，同一业主单位不重复计分。提供的业绩证明材料必须反映出相关数据和内容。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客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9729" w:type="dxa"/>
            <w:gridSpan w:val="5"/>
            <w:noWrap/>
          </w:tcPr>
          <w:p>
            <w:pPr>
              <w:spacing w:before="123" w:line="288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2"/>
                <w:szCs w:val="22"/>
              </w:rPr>
              <w:t>5.履约能力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5.1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9" w:line="288" w:lineRule="auto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履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约能力</w:t>
            </w:r>
          </w:p>
        </w:tc>
        <w:tc>
          <w:tcPr>
            <w:tcW w:w="6581" w:type="dxa"/>
            <w:noWrap/>
            <w:vAlign w:val="center"/>
          </w:tcPr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1.</w:t>
            </w:r>
            <w:r>
              <w:rPr>
                <w:rFonts w:hint="eastAsia"/>
                <w:sz w:val="22"/>
                <w:szCs w:val="22"/>
              </w:rPr>
              <w:t>投标品牌制造商获得电梯（不包括自动扶梯）安全性方面发明专利每有1个得1分，本项最高得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分，其余不得分。（提供专利证书复印件，专利证书应体现安全性要求）。</w:t>
            </w:r>
          </w:p>
          <w:p>
            <w:pPr>
              <w:pStyle w:val="7"/>
              <w:ind w:left="0" w:leftChars="0" w:firstLine="0" w:firstLineChars="0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3. 所投品牌电梯制造商具有国家认定企业技术中心的得</w:t>
            </w:r>
            <w:r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分；省级认定企业技术中心的得1分，没有不得分。（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证明文件，否则不得分。）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客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5.2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9" w:line="288" w:lineRule="auto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售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后服务</w:t>
            </w:r>
          </w:p>
        </w:tc>
        <w:tc>
          <w:tcPr>
            <w:tcW w:w="6581" w:type="dxa"/>
            <w:noWrap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1.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质保期满后的维保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费率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整机质保及维保，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费率最低的厂家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得3分，</w:t>
            </w:r>
            <w:r>
              <w:rPr>
                <w:rFonts w:hint="eastAsia"/>
                <w:sz w:val="22"/>
                <w:szCs w:val="22"/>
                <w:lang w:eastAsia="zh-CN"/>
              </w:rPr>
              <w:t>其他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厂家得分</w:t>
            </w:r>
            <w:r>
              <w:rPr>
                <w:rFonts w:hint="eastAsia"/>
                <w:sz w:val="22"/>
                <w:szCs w:val="22"/>
                <w:lang w:eastAsia="zh-CN"/>
              </w:rPr>
              <w:t>=（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最低费率</w:t>
            </w:r>
            <w:r>
              <w:rPr>
                <w:rFonts w:hint="eastAsia"/>
                <w:sz w:val="22"/>
                <w:szCs w:val="22"/>
                <w:lang w:eastAsia="zh-CN"/>
              </w:rPr>
              <w:t>/其他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厂家费率</w:t>
            </w:r>
            <w:r>
              <w:rPr>
                <w:rFonts w:hint="eastAsia"/>
                <w:sz w:val="22"/>
                <w:szCs w:val="22"/>
                <w:lang w:eastAsia="zh-CN"/>
              </w:rPr>
              <w:t>）×3×100%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2.提供厂家购买的《公众责任险》保单扫描件盖投标人公章，本项2分。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 w:line="288" w:lineRule="auto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客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729" w:type="dxa"/>
            <w:gridSpan w:val="5"/>
            <w:noWrap/>
            <w:vAlign w:val="center"/>
          </w:tcPr>
          <w:p>
            <w:pPr>
              <w:spacing w:before="68"/>
              <w:rPr>
                <w:rFonts w:ascii="宋体" w:hAnsi="宋体" w:cs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pacing w:val="-6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</w:rPr>
              <w:t>.医院梯控系统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before="68"/>
              <w:jc w:val="center"/>
              <w:rPr>
                <w:rFonts w:ascii="宋体" w:hAnsi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.1</w:t>
            </w:r>
          </w:p>
        </w:tc>
        <w:tc>
          <w:tcPr>
            <w:tcW w:w="1179" w:type="dxa"/>
            <w:noWrap/>
            <w:vAlign w:val="center"/>
          </w:tcPr>
          <w:p>
            <w:pPr>
              <w:spacing w:before="69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智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慧管理</w:t>
            </w:r>
          </w:p>
        </w:tc>
        <w:tc>
          <w:tcPr>
            <w:tcW w:w="6581" w:type="dxa"/>
            <w:noWrap/>
            <w:vAlign w:val="center"/>
          </w:tcPr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投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标品牌制造商电梯功能设置具备高度智能化、场景化的综合管理体系，通过融合多模态身份验证、动态权限分配、应急响应机制及数据分析能力，优化医疗流程与患者体验，同时能实现电脑、手机、平板等多终端电梯智慧管理，同时电梯物联网获得信息系统安全高等级保护认证,根据医院梯控系统描述先进性、安全性及与本项目匹配度综合评分。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1）方案具有针对性，科学合理，切实可行的，得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分；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2）方案有针对性较强，较科学合理，较切实可行的，得3分；</w:t>
            </w:r>
          </w:p>
          <w:p>
            <w:pPr>
              <w:spacing w:line="288" w:lineRule="auto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3）方案具有一定的针对性、基本科学合理、基本可行的，得2分；</w:t>
            </w:r>
          </w:p>
          <w:p>
            <w:pPr>
              <w:pStyle w:val="2"/>
              <w:ind w:left="0" w:leftChars="0" w:firstLine="0" w:firstLineChars="0"/>
              <w:rPr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4）方案不合理、不具针对性、可行性或未提供的不得分。</w:t>
            </w:r>
          </w:p>
        </w:tc>
        <w:tc>
          <w:tcPr>
            <w:tcW w:w="56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dxa"/>
            <w:noWrap/>
            <w:vAlign w:val="center"/>
          </w:tcPr>
          <w:p>
            <w:pPr>
              <w:spacing w:before="68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观分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合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</w:rPr>
              <w:t>计</w:t>
            </w:r>
          </w:p>
        </w:tc>
        <w:tc>
          <w:tcPr>
            <w:tcW w:w="7760" w:type="dxa"/>
            <w:gridSpan w:val="2"/>
            <w:noWrap/>
            <w:vAlign w:val="center"/>
          </w:tcPr>
          <w:p>
            <w:pPr>
              <w:spacing w:before="123" w:line="288" w:lineRule="auto"/>
              <w:ind w:left="172"/>
              <w:jc w:val="center"/>
              <w:rPr>
                <w:rFonts w:ascii="宋体" w:hAnsi="宋体" w:cs="宋体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1"/>
                <w:sz w:val="24"/>
                <w:szCs w:val="24"/>
              </w:rPr>
              <w:t>100分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5C88076B"/>
    <w:rsid w:val="006E05BE"/>
    <w:rsid w:val="05023CEB"/>
    <w:rsid w:val="06614769"/>
    <w:rsid w:val="077A5DF3"/>
    <w:rsid w:val="10B72947"/>
    <w:rsid w:val="2D4936B5"/>
    <w:rsid w:val="33586FF5"/>
    <w:rsid w:val="3AE864C2"/>
    <w:rsid w:val="3DF16B75"/>
    <w:rsid w:val="40E95ED5"/>
    <w:rsid w:val="4FF44FDD"/>
    <w:rsid w:val="56135103"/>
    <w:rsid w:val="5C88076B"/>
    <w:rsid w:val="5D1F4458"/>
    <w:rsid w:val="5FD56E87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line="360" w:lineRule="auto"/>
      <w:ind w:left="420" w:leftChars="200" w:firstLine="200" w:firstLineChars="200"/>
    </w:pPr>
    <w:rPr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0">
    <w:name w:val="普通正文"/>
    <w:basedOn w:val="1"/>
    <w:autoRedefine/>
    <w:qFormat/>
    <w:uiPriority w:val="0"/>
    <w:pPr>
      <w:spacing w:before="120" w:after="120" w:line="360" w:lineRule="auto"/>
      <w:ind w:firstLine="480"/>
    </w:pPr>
    <w:rPr>
      <w:rFonts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1629</Characters>
  <Lines>0</Lines>
  <Paragraphs>0</Paragraphs>
  <TotalTime>41</TotalTime>
  <ScaleCrop>false</ScaleCrop>
  <LinksUpToDate>false</LinksUpToDate>
  <CharactersWithSpaces>1632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2025-06-20T00:20:00Z</dcterms:created>
  <dc:creator>胡永田</dc:creator>
  <cp:lastModifiedBy>胡永田</cp:lastModifiedBy>
  <cp:lastPrinted>2025-07-10T01:37:00Z</cp:lastPrinted>
  <dcterms:modified xsi:type="dcterms:W3CDTF">2025-07-11T03:20:37Z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C8C6B82434B947D4A0BA65C5849CE1CD_13</vt:lpwstr>
  </property>
  <property fmtid="{D5CDD505-2E9C-101B-9397-08002B2CF9AE}" pid="4" name="KSOTemplateDocerSaveRecord">
    <vt:lpwstr>eyJoZGlkIjoiZjNhMTQ4OTMxMGUzNjg1Zjk5YjZlYTQyODE4OTgxYTMiLCJ1c2VySWQiOiIyNzAyNDk4OTgifQ==</vt:lpwstr>
  </property>
</Properties>
</file>