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3B422">
      <w:pPr>
        <w:adjustRightInd w:val="0"/>
        <w:snapToGrid w:val="0"/>
        <w:spacing w:line="560" w:lineRule="exact"/>
        <w:jc w:val="center"/>
        <w:rPr>
          <w:rFonts w:hint="eastAsia" w:ascii="宋体" w:hAnsi="宋体" w:cs="宋体"/>
          <w:b/>
          <w:bCs/>
          <w:sz w:val="44"/>
          <w:szCs w:val="48"/>
        </w:rPr>
      </w:pPr>
    </w:p>
    <w:p w14:paraId="5BF2FB53">
      <w:pPr>
        <w:adjustRightInd w:val="0"/>
        <w:snapToGrid w:val="0"/>
        <w:spacing w:line="560" w:lineRule="exact"/>
        <w:jc w:val="center"/>
        <w:rPr>
          <w:rFonts w:hint="eastAsia" w:ascii="宋体" w:hAnsi="宋体" w:cs="宋体"/>
          <w:b/>
          <w:bCs/>
          <w:sz w:val="44"/>
          <w:szCs w:val="48"/>
        </w:rPr>
      </w:pPr>
      <w:r>
        <w:rPr>
          <w:rFonts w:hint="eastAsia" w:ascii="宋体" w:hAnsi="宋体" w:cs="宋体"/>
          <w:b/>
          <w:bCs/>
          <w:sz w:val="44"/>
          <w:szCs w:val="48"/>
        </w:rPr>
        <w:t>扬州大学附属医院</w:t>
      </w:r>
    </w:p>
    <w:p w14:paraId="3969706C">
      <w:pPr>
        <w:adjustRightInd w:val="0"/>
        <w:snapToGrid w:val="0"/>
        <w:spacing w:line="560" w:lineRule="exact"/>
        <w:jc w:val="center"/>
        <w:rPr>
          <w:rFonts w:hint="eastAsia" w:ascii="宋体" w:hAnsi="宋体" w:cs="宋体"/>
          <w:b/>
          <w:bCs/>
          <w:sz w:val="44"/>
          <w:szCs w:val="48"/>
        </w:rPr>
      </w:pPr>
      <w:r>
        <w:rPr>
          <w:rFonts w:hint="eastAsia" w:ascii="宋体" w:hAnsi="宋体" w:cs="宋体"/>
          <w:b/>
          <w:bCs/>
          <w:sz w:val="44"/>
          <w:szCs w:val="48"/>
          <w:lang w:val="en-US" w:eastAsia="zh-CN"/>
        </w:rPr>
        <w:t>实验室精密仪器移机及校准服务</w:t>
      </w:r>
      <w:r>
        <w:rPr>
          <w:rFonts w:hint="eastAsia" w:ascii="宋体" w:hAnsi="宋体" w:cs="宋体"/>
          <w:b/>
          <w:bCs/>
          <w:sz w:val="44"/>
          <w:szCs w:val="48"/>
        </w:rPr>
        <w:t>项目</w:t>
      </w:r>
    </w:p>
    <w:p w14:paraId="7D253193">
      <w:pPr>
        <w:adjustRightInd w:val="0"/>
        <w:snapToGrid w:val="0"/>
        <w:spacing w:line="560" w:lineRule="exact"/>
        <w:jc w:val="center"/>
        <w:rPr>
          <w:rFonts w:hint="eastAsia" w:ascii="宋体" w:hAnsi="宋体" w:cs="宋体"/>
          <w:b/>
          <w:bCs/>
          <w:sz w:val="44"/>
          <w:szCs w:val="48"/>
        </w:rPr>
      </w:pPr>
      <w:r>
        <w:rPr>
          <w:rFonts w:hint="eastAsia" w:ascii="宋体" w:hAnsi="宋体" w:cs="宋体"/>
          <w:b/>
          <w:bCs/>
          <w:sz w:val="44"/>
          <w:szCs w:val="48"/>
        </w:rPr>
        <w:t>院内公开谈判文件</w:t>
      </w:r>
    </w:p>
    <w:p w14:paraId="10B4BBA4">
      <w:pPr>
        <w:pStyle w:val="15"/>
        <w:rPr>
          <w:rFonts w:hint="eastAsia"/>
        </w:rPr>
      </w:pPr>
    </w:p>
    <w:p w14:paraId="16EBD069">
      <w:pPr>
        <w:adjustRightInd w:val="0"/>
        <w:snapToGrid w:val="0"/>
        <w:spacing w:line="360" w:lineRule="auto"/>
        <w:jc w:val="center"/>
        <w:rPr>
          <w:rFonts w:eastAsia="黑体"/>
          <w:b/>
          <w:snapToGrid w:val="0"/>
          <w:sz w:val="72"/>
        </w:rPr>
      </w:pPr>
      <w:r>
        <w:drawing>
          <wp:inline distT="0" distB="0" distL="114300" distR="114300">
            <wp:extent cx="5480685" cy="4157345"/>
            <wp:effectExtent l="0" t="0" r="5715" b="14605"/>
            <wp:docPr id="1" name="图片 1" descr="9808345747129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808345747129441"/>
                    <pic:cNvPicPr>
                      <a:picLocks noChangeAspect="1"/>
                    </pic:cNvPicPr>
                  </pic:nvPicPr>
                  <pic:blipFill>
                    <a:blip r:embed="rId8" cstate="print"/>
                    <a:stretch>
                      <a:fillRect/>
                    </a:stretch>
                  </pic:blipFill>
                  <pic:spPr>
                    <a:xfrm>
                      <a:off x="0" y="0"/>
                      <a:ext cx="5480685" cy="4157345"/>
                    </a:xfrm>
                    <a:prstGeom prst="rect">
                      <a:avLst/>
                    </a:prstGeom>
                    <a:noFill/>
                    <a:ln>
                      <a:noFill/>
                    </a:ln>
                  </pic:spPr>
                </pic:pic>
              </a:graphicData>
            </a:graphic>
          </wp:inline>
        </w:drawing>
      </w:r>
    </w:p>
    <w:p w14:paraId="6FA7174C">
      <w:pPr>
        <w:spacing w:line="360" w:lineRule="auto"/>
        <w:ind w:firstLine="848" w:firstLineChars="265"/>
        <w:jc w:val="center"/>
        <w:rPr>
          <w:rFonts w:hint="eastAsia" w:ascii="宋体" w:hAnsi="宋体" w:cs="宋体"/>
          <w:sz w:val="32"/>
          <w:szCs w:val="32"/>
        </w:rPr>
      </w:pPr>
    </w:p>
    <w:p w14:paraId="5713F181">
      <w:pPr>
        <w:keepNext w:val="0"/>
        <w:keepLines w:val="0"/>
        <w:pageBreakBefore w:val="0"/>
        <w:widowControl w:val="0"/>
        <w:kinsoku/>
        <w:wordWrap/>
        <w:overflowPunct/>
        <w:topLinePunct w:val="0"/>
        <w:autoSpaceDE/>
        <w:autoSpaceDN/>
        <w:bidi w:val="0"/>
        <w:adjustRightInd/>
        <w:snapToGrid/>
        <w:spacing w:line="360" w:lineRule="auto"/>
        <w:ind w:firstLine="1760" w:firstLineChars="550"/>
        <w:jc w:val="both"/>
        <w:textAlignment w:val="auto"/>
        <w:rPr>
          <w:rFonts w:ascii="宋体" w:hAnsi="宋体" w:cs="宋体"/>
          <w:b w:val="0"/>
          <w:bCs w:val="0"/>
          <w:sz w:val="32"/>
          <w:szCs w:val="32"/>
        </w:rPr>
      </w:pPr>
      <w:r>
        <w:rPr>
          <w:rFonts w:hint="eastAsia" w:ascii="宋体" w:hAnsi="宋体" w:cs="宋体"/>
          <w:b w:val="0"/>
          <w:bCs w:val="0"/>
          <w:sz w:val="32"/>
          <w:szCs w:val="32"/>
        </w:rPr>
        <w:t>采   购  人：扬州大学附属医院</w:t>
      </w:r>
    </w:p>
    <w:p w14:paraId="00215435">
      <w:pPr>
        <w:keepNext w:val="0"/>
        <w:keepLines w:val="0"/>
        <w:pageBreakBefore w:val="0"/>
        <w:widowControl w:val="0"/>
        <w:kinsoku/>
        <w:wordWrap/>
        <w:overflowPunct/>
        <w:topLinePunct w:val="0"/>
        <w:autoSpaceDE/>
        <w:autoSpaceDN/>
        <w:bidi w:val="0"/>
        <w:adjustRightInd/>
        <w:snapToGrid/>
        <w:spacing w:line="360" w:lineRule="auto"/>
        <w:ind w:firstLine="1760" w:firstLineChars="550"/>
        <w:jc w:val="both"/>
        <w:textAlignment w:val="auto"/>
        <w:rPr>
          <w:rFonts w:hint="default" w:ascii="宋体" w:hAnsi="宋体" w:cs="宋体"/>
          <w:b w:val="0"/>
          <w:bCs w:val="0"/>
          <w:sz w:val="32"/>
          <w:szCs w:val="32"/>
          <w:lang w:val="en-US"/>
        </w:rPr>
      </w:pPr>
      <w:r>
        <w:rPr>
          <w:rFonts w:hint="eastAsia" w:ascii="宋体" w:hAnsi="宋体" w:cs="宋体"/>
          <w:b w:val="0"/>
          <w:bCs w:val="0"/>
          <w:sz w:val="32"/>
          <w:szCs w:val="32"/>
          <w:lang w:val="en-US" w:eastAsia="zh-CN"/>
        </w:rPr>
        <w:t>项 目 编 号：CGZX2026ZB1169</w:t>
      </w:r>
    </w:p>
    <w:p w14:paraId="2513651D">
      <w:pPr>
        <w:keepNext w:val="0"/>
        <w:keepLines w:val="0"/>
        <w:pageBreakBefore w:val="0"/>
        <w:widowControl w:val="0"/>
        <w:kinsoku/>
        <w:wordWrap/>
        <w:overflowPunct/>
        <w:topLinePunct w:val="0"/>
        <w:autoSpaceDE/>
        <w:autoSpaceDN/>
        <w:bidi w:val="0"/>
        <w:adjustRightInd/>
        <w:snapToGrid/>
        <w:spacing w:line="360" w:lineRule="auto"/>
        <w:ind w:firstLine="1760" w:firstLineChars="550"/>
        <w:jc w:val="both"/>
        <w:textAlignment w:val="auto"/>
        <w:rPr>
          <w:rFonts w:hint="default" w:ascii="宋体" w:hAnsi="宋体" w:eastAsia="宋体" w:cs="宋体"/>
          <w:b w:val="0"/>
          <w:bCs w:val="0"/>
          <w:color w:val="auto"/>
          <w:sz w:val="32"/>
          <w:szCs w:val="32"/>
          <w:lang w:val="en-US" w:eastAsia="zh-CN"/>
        </w:rPr>
      </w:pPr>
      <w:r>
        <w:rPr>
          <w:rFonts w:hint="eastAsia" w:ascii="宋体" w:hAnsi="宋体" w:cs="宋体"/>
          <w:b w:val="0"/>
          <w:bCs w:val="0"/>
          <w:color w:val="auto"/>
          <w:sz w:val="32"/>
          <w:szCs w:val="32"/>
        </w:rPr>
        <w:t>发 放 日 期：</w:t>
      </w:r>
      <w:bookmarkStart w:id="0" w:name="EB59c3faf64f2a4bd092a206fb1d0c3c03"/>
      <w:r>
        <w:rPr>
          <w:rFonts w:hint="eastAsia" w:ascii="宋体" w:hAnsi="宋体" w:cs="宋体"/>
          <w:b w:val="0"/>
          <w:bCs w:val="0"/>
          <w:color w:val="auto"/>
          <w:sz w:val="32"/>
          <w:szCs w:val="32"/>
        </w:rPr>
        <w:t>202</w:t>
      </w:r>
      <w:r>
        <w:rPr>
          <w:rFonts w:ascii="宋体" w:hAnsi="宋体" w:cs="宋体"/>
          <w:b w:val="0"/>
          <w:bCs w:val="0"/>
          <w:color w:val="auto"/>
          <w:sz w:val="32"/>
          <w:szCs w:val="32"/>
        </w:rPr>
        <w:t>6</w:t>
      </w:r>
      <w:r>
        <w:rPr>
          <w:rFonts w:hint="eastAsia" w:ascii="宋体" w:hAnsi="宋体" w:cs="宋体"/>
          <w:b w:val="0"/>
          <w:bCs w:val="0"/>
          <w:color w:val="auto"/>
          <w:sz w:val="32"/>
          <w:szCs w:val="32"/>
        </w:rPr>
        <w:t>年</w:t>
      </w:r>
      <w:r>
        <w:rPr>
          <w:rFonts w:hint="eastAsia" w:ascii="宋体" w:hAnsi="宋体" w:cs="宋体"/>
          <w:b w:val="0"/>
          <w:bCs w:val="0"/>
          <w:color w:val="auto"/>
          <w:sz w:val="32"/>
          <w:szCs w:val="32"/>
          <w:highlight w:val="none"/>
          <w:lang w:val="en-US" w:eastAsia="zh-CN"/>
        </w:rPr>
        <w:t>9</w:t>
      </w:r>
      <w:r>
        <w:rPr>
          <w:rFonts w:hint="eastAsia" w:ascii="宋体" w:hAnsi="宋体" w:cs="宋体"/>
          <w:b w:val="0"/>
          <w:bCs w:val="0"/>
          <w:color w:val="auto"/>
          <w:sz w:val="32"/>
          <w:szCs w:val="32"/>
          <w:highlight w:val="none"/>
        </w:rPr>
        <w:t>月</w:t>
      </w:r>
      <w:bookmarkEnd w:id="0"/>
      <w:r>
        <w:rPr>
          <w:rFonts w:hint="eastAsia" w:ascii="宋体" w:hAnsi="宋体" w:cs="宋体"/>
          <w:b w:val="0"/>
          <w:bCs w:val="0"/>
          <w:color w:val="auto"/>
          <w:sz w:val="32"/>
          <w:szCs w:val="32"/>
          <w:highlight w:val="none"/>
          <w:lang w:val="en-US" w:eastAsia="zh-CN"/>
        </w:rPr>
        <w:t>7日</w:t>
      </w:r>
    </w:p>
    <w:p w14:paraId="24C6A717">
      <w:pPr>
        <w:jc w:val="center"/>
        <w:rPr>
          <w:rFonts w:hint="eastAsia" w:ascii="宋体" w:hAnsi="宋体"/>
          <w:b/>
          <w:bCs/>
          <w:sz w:val="48"/>
          <w:szCs w:val="48"/>
        </w:rPr>
      </w:pPr>
    </w:p>
    <w:p w14:paraId="57ADEC72">
      <w:pPr>
        <w:spacing w:line="360" w:lineRule="auto"/>
        <w:ind w:firstLine="5060" w:firstLineChars="1400"/>
        <w:rPr>
          <w:rFonts w:hint="eastAsia" w:ascii="宋体" w:hAnsi="宋体"/>
          <w:b/>
          <w:bCs/>
          <w:sz w:val="36"/>
          <w:szCs w:val="36"/>
        </w:rPr>
        <w:sectPr>
          <w:pgSz w:w="11906" w:h="16838"/>
          <w:pgMar w:top="1440" w:right="1080" w:bottom="1440" w:left="1080" w:header="851" w:footer="992" w:gutter="0"/>
          <w:pgNumType w:fmt="decimal" w:start="0"/>
          <w:cols w:space="425" w:num="1"/>
          <w:titlePg/>
          <w:docGrid w:type="lines" w:linePitch="312" w:charSpace="0"/>
        </w:sectPr>
      </w:pPr>
    </w:p>
    <w:p w14:paraId="4EDAFFEF">
      <w:pPr>
        <w:spacing w:line="360" w:lineRule="auto"/>
        <w:ind w:firstLine="5060" w:firstLineChars="1400"/>
        <w:rPr>
          <w:rFonts w:hint="eastAsia" w:ascii="宋体" w:hAnsi="宋体"/>
          <w:b/>
          <w:bCs/>
          <w:sz w:val="36"/>
          <w:szCs w:val="36"/>
        </w:rPr>
      </w:pPr>
      <w:r>
        <w:rPr>
          <w:rFonts w:hint="eastAsia" w:ascii="宋体" w:hAnsi="宋体"/>
          <w:b/>
          <w:bCs/>
          <w:sz w:val="36"/>
          <w:szCs w:val="36"/>
        </w:rPr>
        <w:t>目  录</w:t>
      </w:r>
    </w:p>
    <w:p w14:paraId="42995E86">
      <w:pPr>
        <w:pStyle w:val="10"/>
        <w:ind w:firstLine="630" w:firstLineChars="300"/>
      </w:pPr>
    </w:p>
    <w:p w14:paraId="10CC0756">
      <w:pPr>
        <w:pStyle w:val="10"/>
        <w:ind w:firstLine="240" w:firstLineChars="100"/>
        <w:contextualSpacing/>
        <w:jc w:val="left"/>
        <w:rPr>
          <w:rFonts w:hint="eastAsia" w:asciiTheme="minorEastAsia" w:hAnsiTheme="minorEastAsia" w:eastAsiaTheme="minorEastAsia"/>
          <w:color w:val="auto"/>
          <w:sz w:val="24"/>
          <w:lang w:eastAsia="zh-CN"/>
        </w:rPr>
      </w:pPr>
      <w:r>
        <w:rPr>
          <w:rFonts w:asciiTheme="minorEastAsia" w:hAnsiTheme="minorEastAsia" w:eastAsiaTheme="minorEastAsia"/>
          <w:sz w:val="24"/>
        </w:rPr>
        <w:t>一、</w:t>
      </w:r>
      <w:r>
        <w:rPr>
          <w:rFonts w:hint="eastAsia" w:asciiTheme="minorEastAsia" w:hAnsiTheme="minorEastAsia" w:eastAsiaTheme="minorEastAsia"/>
          <w:sz w:val="24"/>
          <w:lang w:val="en-US" w:eastAsia="zh-CN"/>
        </w:rPr>
        <w:t>谈判</w:t>
      </w:r>
      <w:r>
        <w:rPr>
          <w:rFonts w:hint="eastAsia" w:asciiTheme="minorEastAsia" w:hAnsiTheme="minorEastAsia" w:eastAsiaTheme="minorEastAsia"/>
          <w:sz w:val="24"/>
        </w:rPr>
        <w:t>邀请</w:t>
      </w:r>
      <w:r>
        <w:rPr>
          <w:rFonts w:asciiTheme="minorEastAsia" w:hAnsiTheme="minorEastAsia" w:eastAsiaTheme="minorEastAsia"/>
          <w:sz w:val="24"/>
        </w:rPr>
        <w:t>………………………………………………………………</w:t>
      </w:r>
      <w:r>
        <w:rPr>
          <w:rFonts w:asciiTheme="minorEastAsia" w:hAnsiTheme="minorEastAsia" w:eastAsiaTheme="minorEastAsia"/>
          <w:color w:val="auto"/>
          <w:sz w:val="24"/>
        </w:rPr>
        <w:t>………</w:t>
      </w:r>
      <w:r>
        <w:rPr>
          <w:rFonts w:hint="eastAsia" w:asciiTheme="minorEastAsia" w:hAnsiTheme="minorEastAsia" w:eastAsiaTheme="minorEastAsia"/>
          <w:color w:val="auto"/>
          <w:sz w:val="24"/>
          <w:lang w:val="en-US" w:eastAsia="zh-CN"/>
        </w:rPr>
        <w:t>1</w:t>
      </w:r>
    </w:p>
    <w:p w14:paraId="7E421ABF">
      <w:pPr>
        <w:spacing w:line="360" w:lineRule="auto"/>
        <w:ind w:firstLine="240" w:firstLineChars="100"/>
        <w:contextualSpacing/>
        <w:jc w:val="left"/>
        <w:rPr>
          <w:rFonts w:hint="eastAsia" w:asciiTheme="minorEastAsia" w:hAnsiTheme="minorEastAsia" w:eastAsiaTheme="minorEastAsia"/>
          <w:color w:val="auto"/>
          <w:sz w:val="24"/>
          <w:lang w:eastAsia="zh-CN"/>
        </w:rPr>
      </w:pPr>
      <w:r>
        <w:rPr>
          <w:rFonts w:hint="eastAsia" w:asciiTheme="minorEastAsia" w:hAnsiTheme="minorEastAsia" w:eastAsiaTheme="minorEastAsia"/>
          <w:color w:val="auto"/>
          <w:sz w:val="24"/>
        </w:rPr>
        <w:t>二、项目需求</w:t>
      </w:r>
      <w:r>
        <w:rPr>
          <w:rFonts w:asciiTheme="minorEastAsia" w:hAnsiTheme="minorEastAsia" w:eastAsiaTheme="minorEastAsia"/>
          <w:color w:val="auto"/>
          <w:sz w:val="24"/>
        </w:rPr>
        <w:t>………………………………………………………………………</w:t>
      </w:r>
      <w:r>
        <w:rPr>
          <w:rFonts w:hint="eastAsia" w:asciiTheme="minorEastAsia" w:hAnsiTheme="minorEastAsia" w:eastAsiaTheme="minorEastAsia"/>
          <w:color w:val="auto"/>
          <w:sz w:val="24"/>
          <w:lang w:val="en-US" w:eastAsia="zh-CN"/>
        </w:rPr>
        <w:t>2</w:t>
      </w:r>
    </w:p>
    <w:p w14:paraId="49090D8B">
      <w:pPr>
        <w:spacing w:line="360" w:lineRule="auto"/>
        <w:ind w:firstLine="240" w:firstLineChars="100"/>
        <w:contextualSpacing/>
        <w:jc w:val="left"/>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rPr>
        <w:t>三、</w:t>
      </w:r>
      <w:r>
        <w:rPr>
          <w:rFonts w:asciiTheme="minorEastAsia" w:hAnsiTheme="minorEastAsia" w:eastAsiaTheme="minorEastAsia"/>
          <w:color w:val="auto"/>
          <w:sz w:val="24"/>
        </w:rPr>
        <w:t>投标人须知……………………………………………………………………</w:t>
      </w:r>
      <w:r>
        <w:rPr>
          <w:rFonts w:hint="eastAsia" w:asciiTheme="minorEastAsia" w:hAnsiTheme="minorEastAsia" w:eastAsiaTheme="minorEastAsia"/>
          <w:color w:val="auto"/>
          <w:sz w:val="24"/>
          <w:lang w:val="en-US" w:eastAsia="zh-CN"/>
        </w:rPr>
        <w:t>6</w:t>
      </w:r>
    </w:p>
    <w:p w14:paraId="7B596695">
      <w:pPr>
        <w:spacing w:line="360" w:lineRule="auto"/>
        <w:ind w:firstLine="240" w:firstLineChars="100"/>
        <w:contextualSpacing/>
        <w:jc w:val="left"/>
        <w:rPr>
          <w:rFonts w:hint="default" w:ascii="宋体" w:hAnsi="宋体" w:eastAsia="宋体"/>
          <w:bCs/>
          <w:color w:val="auto"/>
          <w:sz w:val="24"/>
          <w:lang w:val="en-US" w:eastAsia="zh-CN"/>
        </w:rPr>
      </w:pPr>
      <w:r>
        <w:rPr>
          <w:rFonts w:hint="eastAsia" w:ascii="宋体" w:hAnsi="宋体"/>
          <w:bCs/>
          <w:color w:val="auto"/>
          <w:sz w:val="24"/>
        </w:rPr>
        <w:t>四、投标文件格式及附件要求</w:t>
      </w:r>
      <w:r>
        <w:rPr>
          <w:rFonts w:ascii="宋体" w:hAnsi="宋体"/>
          <w:bCs/>
          <w:color w:val="auto"/>
          <w:sz w:val="24"/>
        </w:rPr>
        <w:t>……………………………………………………</w:t>
      </w:r>
      <w:r>
        <w:rPr>
          <w:rFonts w:hint="eastAsia" w:ascii="宋体" w:hAnsi="宋体"/>
          <w:bCs/>
          <w:color w:val="auto"/>
          <w:sz w:val="24"/>
          <w:lang w:val="en-US" w:eastAsia="zh-CN"/>
        </w:rPr>
        <w:t>9</w:t>
      </w:r>
    </w:p>
    <w:p w14:paraId="28BB0A7E">
      <w:pPr>
        <w:spacing w:line="360" w:lineRule="auto"/>
        <w:contextualSpacing/>
        <w:jc w:val="center"/>
        <w:rPr>
          <w:rFonts w:hint="eastAsia" w:ascii="宋体" w:hAnsi="宋体"/>
          <w:bCs/>
          <w:sz w:val="24"/>
        </w:rPr>
      </w:pPr>
    </w:p>
    <w:p w14:paraId="2A8E4E41">
      <w:pPr>
        <w:rPr>
          <w:rFonts w:hint="eastAsia" w:ascii="宋体" w:hAnsi="宋体"/>
          <w:sz w:val="30"/>
          <w:szCs w:val="30"/>
        </w:rPr>
      </w:pPr>
    </w:p>
    <w:p w14:paraId="305CDC38">
      <w:pPr>
        <w:spacing w:line="360" w:lineRule="auto"/>
        <w:jc w:val="center"/>
      </w:pPr>
      <w:bookmarkStart w:id="1" w:name="_Toc39744251"/>
    </w:p>
    <w:p w14:paraId="75792A8E">
      <w:pPr>
        <w:spacing w:line="360" w:lineRule="auto"/>
        <w:jc w:val="center"/>
      </w:pPr>
    </w:p>
    <w:p w14:paraId="44627E19">
      <w:pPr>
        <w:spacing w:line="360" w:lineRule="auto"/>
        <w:jc w:val="center"/>
      </w:pPr>
    </w:p>
    <w:p w14:paraId="118C704F">
      <w:pPr>
        <w:spacing w:line="360" w:lineRule="auto"/>
        <w:jc w:val="center"/>
      </w:pPr>
    </w:p>
    <w:p w14:paraId="53BD3767">
      <w:pPr>
        <w:spacing w:line="360" w:lineRule="auto"/>
        <w:jc w:val="center"/>
      </w:pPr>
    </w:p>
    <w:p w14:paraId="1D0346CF">
      <w:pPr>
        <w:spacing w:line="360" w:lineRule="auto"/>
        <w:jc w:val="center"/>
      </w:pPr>
    </w:p>
    <w:p w14:paraId="21C02541">
      <w:pPr>
        <w:spacing w:line="360" w:lineRule="auto"/>
        <w:jc w:val="center"/>
      </w:pPr>
    </w:p>
    <w:p w14:paraId="6361EEFA">
      <w:pPr>
        <w:spacing w:line="360" w:lineRule="auto"/>
        <w:jc w:val="center"/>
      </w:pPr>
    </w:p>
    <w:p w14:paraId="3F19C7C9">
      <w:pPr>
        <w:spacing w:line="360" w:lineRule="auto"/>
        <w:jc w:val="center"/>
      </w:pPr>
    </w:p>
    <w:p w14:paraId="5B123120">
      <w:pPr>
        <w:spacing w:line="360" w:lineRule="auto"/>
        <w:jc w:val="center"/>
      </w:pPr>
    </w:p>
    <w:p w14:paraId="63F380EC">
      <w:pPr>
        <w:spacing w:line="360" w:lineRule="auto"/>
        <w:jc w:val="center"/>
      </w:pPr>
    </w:p>
    <w:p w14:paraId="0FA5D7F2">
      <w:pPr>
        <w:spacing w:line="360" w:lineRule="auto"/>
        <w:jc w:val="center"/>
      </w:pPr>
    </w:p>
    <w:p w14:paraId="685A1C34">
      <w:pPr>
        <w:spacing w:line="360" w:lineRule="auto"/>
        <w:jc w:val="center"/>
      </w:pPr>
    </w:p>
    <w:p w14:paraId="63F8E70E">
      <w:pPr>
        <w:spacing w:line="360" w:lineRule="auto"/>
        <w:jc w:val="center"/>
      </w:pPr>
    </w:p>
    <w:p w14:paraId="5EC50111">
      <w:pPr>
        <w:spacing w:line="360" w:lineRule="auto"/>
        <w:jc w:val="center"/>
      </w:pPr>
    </w:p>
    <w:p w14:paraId="46C6C21E">
      <w:pPr>
        <w:spacing w:line="360" w:lineRule="auto"/>
        <w:jc w:val="center"/>
      </w:pPr>
    </w:p>
    <w:p w14:paraId="5211C3AD">
      <w:pPr>
        <w:spacing w:line="360" w:lineRule="auto"/>
        <w:jc w:val="center"/>
      </w:pPr>
    </w:p>
    <w:p w14:paraId="0E8CA854">
      <w:pPr>
        <w:spacing w:line="360" w:lineRule="auto"/>
        <w:jc w:val="center"/>
      </w:pPr>
    </w:p>
    <w:p w14:paraId="1188131F">
      <w:pPr>
        <w:pStyle w:val="15"/>
      </w:pPr>
    </w:p>
    <w:p w14:paraId="4522683F">
      <w:pPr>
        <w:spacing w:line="360" w:lineRule="auto"/>
        <w:jc w:val="center"/>
        <w:rPr>
          <w:rFonts w:hint="eastAsia" w:ascii="宋体" w:hAnsi="宋体" w:cs="宋体"/>
          <w:b/>
          <w:sz w:val="28"/>
          <w:szCs w:val="20"/>
        </w:rPr>
      </w:pPr>
    </w:p>
    <w:p w14:paraId="3EC7DE11">
      <w:pPr>
        <w:jc w:val="center"/>
        <w:rPr>
          <w:rFonts w:hint="eastAsia"/>
          <w:b/>
          <w:sz w:val="32"/>
          <w:szCs w:val="32"/>
        </w:rPr>
        <w:sectPr>
          <w:footerReference r:id="rId4" w:type="first"/>
          <w:footerReference r:id="rId3" w:type="default"/>
          <w:pgSz w:w="11906" w:h="16838"/>
          <w:pgMar w:top="1440" w:right="1080" w:bottom="1440" w:left="1080" w:header="851" w:footer="992" w:gutter="0"/>
          <w:pgNumType w:fmt="decimal" w:start="1"/>
          <w:cols w:space="425" w:num="1"/>
          <w:titlePg/>
          <w:docGrid w:type="lines" w:linePitch="312" w:charSpace="0"/>
        </w:sectPr>
      </w:pPr>
    </w:p>
    <w:p w14:paraId="54060889">
      <w:pPr>
        <w:jc w:val="center"/>
        <w:rPr>
          <w:b/>
          <w:sz w:val="32"/>
          <w:szCs w:val="32"/>
        </w:rPr>
      </w:pPr>
      <w:r>
        <w:rPr>
          <w:rFonts w:hint="eastAsia"/>
          <w:b/>
          <w:sz w:val="32"/>
          <w:szCs w:val="32"/>
        </w:rPr>
        <w:t>一、</w:t>
      </w:r>
      <w:bookmarkEnd w:id="1"/>
      <w:r>
        <w:rPr>
          <w:rFonts w:hint="eastAsia"/>
          <w:b/>
          <w:sz w:val="32"/>
          <w:szCs w:val="32"/>
          <w:lang w:val="en-US" w:eastAsia="zh-CN"/>
        </w:rPr>
        <w:t>谈判</w:t>
      </w:r>
      <w:r>
        <w:rPr>
          <w:rFonts w:hint="eastAsia"/>
          <w:b/>
          <w:sz w:val="32"/>
          <w:szCs w:val="32"/>
        </w:rPr>
        <w:t>邀请</w:t>
      </w:r>
    </w:p>
    <w:tbl>
      <w:tblPr>
        <w:tblStyle w:val="12"/>
        <w:tblW w:w="4871" w:type="pct"/>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5"/>
        <w:gridCol w:w="2537"/>
        <w:gridCol w:w="1009"/>
        <w:gridCol w:w="708"/>
        <w:gridCol w:w="276"/>
        <w:gridCol w:w="3440"/>
      </w:tblGrid>
      <w:tr w14:paraId="1FB0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4" w:type="pct"/>
            <w:tcBorders>
              <w:top w:val="single" w:color="auto" w:sz="4" w:space="0"/>
              <w:left w:val="single" w:color="auto" w:sz="4" w:space="0"/>
              <w:bottom w:val="single" w:color="auto" w:sz="4" w:space="0"/>
              <w:right w:val="single" w:color="auto" w:sz="4" w:space="0"/>
            </w:tcBorders>
            <w:vAlign w:val="center"/>
          </w:tcPr>
          <w:p w14:paraId="06824CD6">
            <w:pPr>
              <w:jc w:val="center"/>
              <w:rPr>
                <w:rFonts w:hint="eastAsia" w:ascii="宋体" w:hAnsi="宋体"/>
                <w:szCs w:val="21"/>
              </w:rPr>
            </w:pPr>
            <w:r>
              <w:rPr>
                <w:rFonts w:hint="eastAsia" w:ascii="宋体" w:hAnsi="宋体"/>
                <w:szCs w:val="21"/>
              </w:rPr>
              <w:t>项目名称</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4FCA51C8">
            <w:pPr>
              <w:spacing w:line="360" w:lineRule="auto"/>
              <w:rPr>
                <w:rFonts w:hint="eastAsia" w:ascii="宋体" w:hAnsi="宋体"/>
                <w:szCs w:val="21"/>
              </w:rPr>
            </w:pPr>
            <w:r>
              <w:rPr>
                <w:rFonts w:hint="eastAsia" w:cs="宋体"/>
              </w:rPr>
              <w:t>扬州大学附属医院</w:t>
            </w:r>
            <w:r>
              <w:rPr>
                <w:rFonts w:hint="eastAsia" w:cs="宋体"/>
                <w:lang w:val="en-US" w:eastAsia="zh-CN"/>
              </w:rPr>
              <w:t>实验室精密仪器移机及校准服务</w:t>
            </w:r>
            <w:r>
              <w:rPr>
                <w:rFonts w:hint="eastAsia" w:cs="宋体"/>
              </w:rPr>
              <w:t>项目</w:t>
            </w:r>
          </w:p>
        </w:tc>
      </w:tr>
      <w:tr w14:paraId="5F3DE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4" w:type="pct"/>
            <w:tcBorders>
              <w:top w:val="single" w:color="auto" w:sz="4" w:space="0"/>
              <w:left w:val="single" w:color="auto" w:sz="4" w:space="0"/>
              <w:bottom w:val="single" w:color="auto" w:sz="4" w:space="0"/>
              <w:right w:val="single" w:color="auto" w:sz="4" w:space="0"/>
            </w:tcBorders>
            <w:vAlign w:val="center"/>
          </w:tcPr>
          <w:p w14:paraId="49A0045E">
            <w:pPr>
              <w:jc w:val="center"/>
              <w:rPr>
                <w:rFonts w:hint="eastAsia" w:ascii="宋体" w:hAnsi="宋体"/>
                <w:szCs w:val="21"/>
              </w:rPr>
            </w:pPr>
            <w:r>
              <w:rPr>
                <w:rFonts w:hint="eastAsia" w:ascii="宋体" w:hAnsi="宋体"/>
                <w:szCs w:val="21"/>
              </w:rPr>
              <w:t>服务地点</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1AD457ED">
            <w:pPr>
              <w:rPr>
                <w:rFonts w:hint="eastAsia" w:ascii="宋体" w:hAnsi="宋体"/>
                <w:b/>
                <w:szCs w:val="21"/>
              </w:rPr>
            </w:pPr>
            <w:r>
              <w:rPr>
                <w:rFonts w:hint="eastAsia" w:ascii="宋体" w:hAnsi="宋体"/>
              </w:rPr>
              <w:t>扬州大学附属医院（西区医院）</w:t>
            </w:r>
          </w:p>
        </w:tc>
      </w:tr>
      <w:tr w14:paraId="0238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894" w:type="pct"/>
            <w:tcBorders>
              <w:top w:val="single" w:color="auto" w:sz="4" w:space="0"/>
              <w:left w:val="single" w:color="auto" w:sz="4" w:space="0"/>
              <w:bottom w:val="single" w:color="auto" w:sz="4" w:space="0"/>
              <w:right w:val="single" w:color="auto" w:sz="4" w:space="0"/>
            </w:tcBorders>
            <w:vAlign w:val="center"/>
          </w:tcPr>
          <w:p w14:paraId="64E33F1F">
            <w:pPr>
              <w:jc w:val="center"/>
              <w:rPr>
                <w:rFonts w:hint="eastAsia" w:ascii="宋体" w:hAnsi="宋体"/>
                <w:szCs w:val="21"/>
              </w:rPr>
            </w:pPr>
            <w:r>
              <w:rPr>
                <w:rFonts w:hint="eastAsia" w:ascii="宋体" w:hAnsi="宋体"/>
                <w:szCs w:val="21"/>
              </w:rPr>
              <w:t>承包方式</w:t>
            </w:r>
          </w:p>
        </w:tc>
        <w:tc>
          <w:tcPr>
            <w:tcW w:w="1307" w:type="pct"/>
            <w:tcBorders>
              <w:top w:val="single" w:color="auto" w:sz="4" w:space="0"/>
              <w:left w:val="single" w:color="auto" w:sz="4" w:space="0"/>
              <w:bottom w:val="single" w:color="auto" w:sz="4" w:space="0"/>
              <w:right w:val="single" w:color="auto" w:sz="4" w:space="0"/>
            </w:tcBorders>
            <w:vAlign w:val="center"/>
          </w:tcPr>
          <w:p w14:paraId="7CF966E5">
            <w:pPr>
              <w:spacing w:line="320" w:lineRule="exact"/>
              <w:jc w:val="center"/>
              <w:rPr>
                <w:rFonts w:hint="eastAsia" w:ascii="宋体" w:hAnsi="宋体"/>
                <w:szCs w:val="21"/>
              </w:rPr>
            </w:pPr>
            <w:r>
              <w:rPr>
                <w:rFonts w:hint="eastAsia" w:ascii="宋体" w:hAnsi="宋体"/>
                <w:szCs w:val="21"/>
              </w:rPr>
              <w:t>/</w:t>
            </w:r>
          </w:p>
        </w:tc>
        <w:tc>
          <w:tcPr>
            <w:tcW w:w="885" w:type="pct"/>
            <w:gridSpan w:val="2"/>
            <w:tcBorders>
              <w:top w:val="single" w:color="auto" w:sz="4" w:space="0"/>
              <w:left w:val="single" w:color="auto" w:sz="4" w:space="0"/>
              <w:bottom w:val="single" w:color="auto" w:sz="4" w:space="0"/>
              <w:right w:val="single" w:color="auto" w:sz="4" w:space="0"/>
            </w:tcBorders>
            <w:vAlign w:val="center"/>
          </w:tcPr>
          <w:p w14:paraId="06ED48D8">
            <w:pPr>
              <w:jc w:val="center"/>
              <w:rPr>
                <w:rFonts w:hint="eastAsia" w:ascii="宋体" w:hAnsi="宋体"/>
                <w:szCs w:val="21"/>
              </w:rPr>
            </w:pPr>
            <w:r>
              <w:rPr>
                <w:rFonts w:hint="eastAsia" w:ascii="宋体" w:hAnsi="宋体"/>
                <w:szCs w:val="21"/>
              </w:rPr>
              <w:t>质量标准</w:t>
            </w:r>
          </w:p>
        </w:tc>
        <w:tc>
          <w:tcPr>
            <w:tcW w:w="1914" w:type="pct"/>
            <w:gridSpan w:val="2"/>
            <w:tcBorders>
              <w:top w:val="single" w:color="auto" w:sz="4" w:space="0"/>
              <w:left w:val="single" w:color="auto" w:sz="4" w:space="0"/>
              <w:bottom w:val="single" w:color="auto" w:sz="4" w:space="0"/>
              <w:right w:val="single" w:color="auto" w:sz="4" w:space="0"/>
            </w:tcBorders>
            <w:vAlign w:val="center"/>
          </w:tcPr>
          <w:p w14:paraId="58103E70">
            <w:pPr>
              <w:jc w:val="center"/>
              <w:rPr>
                <w:rFonts w:hint="eastAsia" w:ascii="宋体" w:hAnsi="宋体"/>
                <w:szCs w:val="21"/>
              </w:rPr>
            </w:pPr>
            <w:r>
              <w:rPr>
                <w:rFonts w:hint="eastAsia" w:ascii="宋体" w:hAnsi="宋体"/>
                <w:szCs w:val="21"/>
              </w:rPr>
              <w:t>合 格，</w:t>
            </w:r>
            <w:r>
              <w:rPr>
                <w:rFonts w:hint="eastAsia" w:ascii="宋体" w:hAnsi="宋体"/>
              </w:rPr>
              <w:t>符合国家行业标准及招标人技术规范要求</w:t>
            </w:r>
          </w:p>
        </w:tc>
      </w:tr>
      <w:tr w14:paraId="7E855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trPr>
        <w:tc>
          <w:tcPr>
            <w:tcW w:w="894" w:type="pct"/>
            <w:tcBorders>
              <w:top w:val="single" w:color="auto" w:sz="4" w:space="0"/>
              <w:left w:val="single" w:color="auto" w:sz="4" w:space="0"/>
              <w:bottom w:val="single" w:color="auto" w:sz="4" w:space="0"/>
              <w:right w:val="single" w:color="auto" w:sz="4" w:space="0"/>
            </w:tcBorders>
            <w:vAlign w:val="center"/>
          </w:tcPr>
          <w:p w14:paraId="34C24C8E">
            <w:pPr>
              <w:jc w:val="center"/>
              <w:rPr>
                <w:rFonts w:hint="eastAsia" w:ascii="宋体" w:hAnsi="宋体"/>
                <w:szCs w:val="21"/>
              </w:rPr>
            </w:pPr>
            <w:r>
              <w:rPr>
                <w:rFonts w:hint="eastAsia" w:ascii="宋体" w:hAnsi="宋体"/>
                <w:szCs w:val="21"/>
              </w:rPr>
              <w:t>院内公开谈判</w:t>
            </w:r>
          </w:p>
          <w:p w14:paraId="43688752">
            <w:pPr>
              <w:jc w:val="center"/>
              <w:rPr>
                <w:rFonts w:hint="eastAsia" w:ascii="宋体" w:hAnsi="宋体"/>
                <w:szCs w:val="21"/>
              </w:rPr>
            </w:pPr>
            <w:r>
              <w:rPr>
                <w:rFonts w:hint="eastAsia" w:ascii="宋体" w:hAnsi="宋体"/>
                <w:szCs w:val="21"/>
              </w:rPr>
              <w:t>预算价</w:t>
            </w:r>
          </w:p>
        </w:tc>
        <w:tc>
          <w:tcPr>
            <w:tcW w:w="1307" w:type="pct"/>
            <w:tcBorders>
              <w:top w:val="single" w:color="auto" w:sz="4" w:space="0"/>
              <w:left w:val="single" w:color="auto" w:sz="4" w:space="0"/>
              <w:bottom w:val="single" w:color="auto" w:sz="4" w:space="0"/>
              <w:right w:val="single" w:color="auto" w:sz="4" w:space="0"/>
            </w:tcBorders>
            <w:vAlign w:val="center"/>
          </w:tcPr>
          <w:p w14:paraId="1C1C397F">
            <w:pPr>
              <w:spacing w:line="320" w:lineRule="exact"/>
              <w:jc w:val="center"/>
              <w:rPr>
                <w:rFonts w:hint="eastAsia" w:ascii="宋体" w:hAnsi="宋体"/>
                <w:szCs w:val="21"/>
              </w:rPr>
            </w:pPr>
            <w:r>
              <w:rPr>
                <w:rFonts w:hint="eastAsia" w:ascii="宋体" w:hAnsi="宋体"/>
                <w:b/>
                <w:bCs/>
                <w:szCs w:val="21"/>
                <w:lang w:val="en-US" w:eastAsia="zh-CN"/>
              </w:rPr>
              <w:t>4.9</w:t>
            </w:r>
            <w:r>
              <w:rPr>
                <w:rFonts w:hint="eastAsia" w:ascii="宋体" w:hAnsi="宋体"/>
                <w:b/>
                <w:bCs/>
                <w:szCs w:val="21"/>
              </w:rPr>
              <w:t>万元</w:t>
            </w:r>
          </w:p>
        </w:tc>
        <w:tc>
          <w:tcPr>
            <w:tcW w:w="885" w:type="pct"/>
            <w:gridSpan w:val="2"/>
            <w:tcBorders>
              <w:top w:val="single" w:color="auto" w:sz="4" w:space="0"/>
              <w:left w:val="single" w:color="auto" w:sz="4" w:space="0"/>
              <w:right w:val="single" w:color="auto" w:sz="4" w:space="0"/>
            </w:tcBorders>
            <w:vAlign w:val="center"/>
          </w:tcPr>
          <w:p w14:paraId="01D68C6A">
            <w:pPr>
              <w:jc w:val="center"/>
              <w:rPr>
                <w:rFonts w:hint="eastAsia" w:ascii="宋体" w:hAnsi="宋体"/>
                <w:szCs w:val="21"/>
              </w:rPr>
            </w:pPr>
            <w:r>
              <w:rPr>
                <w:rFonts w:hint="eastAsia" w:ascii="宋体" w:hAnsi="宋体"/>
                <w:szCs w:val="21"/>
              </w:rPr>
              <w:t>标书工本费</w:t>
            </w:r>
          </w:p>
        </w:tc>
        <w:tc>
          <w:tcPr>
            <w:tcW w:w="1914" w:type="pct"/>
            <w:gridSpan w:val="2"/>
            <w:tcBorders>
              <w:top w:val="single" w:color="auto" w:sz="4" w:space="0"/>
              <w:left w:val="single" w:color="auto" w:sz="4" w:space="0"/>
              <w:bottom w:val="single" w:color="auto" w:sz="4" w:space="0"/>
              <w:right w:val="single" w:color="auto" w:sz="4" w:space="0"/>
            </w:tcBorders>
            <w:vAlign w:val="center"/>
          </w:tcPr>
          <w:p w14:paraId="1ED578BB">
            <w:pPr>
              <w:jc w:val="center"/>
              <w:rPr>
                <w:rFonts w:hint="eastAsia" w:ascii="宋体" w:hAnsi="宋体"/>
                <w:szCs w:val="21"/>
              </w:rPr>
            </w:pPr>
            <w:r>
              <w:rPr>
                <w:rFonts w:hint="eastAsia" w:ascii="宋体" w:hAnsi="宋体"/>
                <w:szCs w:val="21"/>
              </w:rPr>
              <w:t>/</w:t>
            </w:r>
          </w:p>
        </w:tc>
      </w:tr>
      <w:tr w14:paraId="1DF53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4" w:type="pct"/>
            <w:tcBorders>
              <w:top w:val="single" w:color="auto" w:sz="4" w:space="0"/>
              <w:left w:val="single" w:color="auto" w:sz="4" w:space="0"/>
              <w:bottom w:val="single" w:color="auto" w:sz="4" w:space="0"/>
              <w:right w:val="single" w:color="auto" w:sz="4" w:space="0"/>
            </w:tcBorders>
            <w:vAlign w:val="center"/>
          </w:tcPr>
          <w:p w14:paraId="5C5768E5">
            <w:pPr>
              <w:jc w:val="center"/>
              <w:rPr>
                <w:rFonts w:hint="eastAsia" w:ascii="宋体" w:hAnsi="宋体"/>
                <w:szCs w:val="21"/>
              </w:rPr>
            </w:pPr>
            <w:r>
              <w:rPr>
                <w:rFonts w:hint="eastAsia"/>
                <w:szCs w:val="21"/>
              </w:rPr>
              <w:t>投标文件要求</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20600038">
            <w:pPr>
              <w:spacing w:line="360" w:lineRule="auto"/>
              <w:rPr>
                <w:rFonts w:hint="eastAsia" w:ascii="宋体" w:hAnsi="宋体"/>
                <w:szCs w:val="21"/>
              </w:rPr>
            </w:pPr>
            <w:r>
              <w:rPr>
                <w:rFonts w:hint="eastAsia" w:ascii="宋体" w:hAnsi="宋体"/>
                <w:szCs w:val="21"/>
              </w:rPr>
              <w:t>投标文件正本1份，副本4份；所有投标文件的封面及封袋上都必须加盖投标单位法人公章及其法定代表人或授权委托人的签字。</w:t>
            </w:r>
          </w:p>
        </w:tc>
      </w:tr>
      <w:tr w14:paraId="5D060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94" w:type="pct"/>
            <w:tcBorders>
              <w:top w:val="single" w:color="auto" w:sz="4" w:space="0"/>
              <w:left w:val="single" w:color="auto" w:sz="4" w:space="0"/>
              <w:bottom w:val="single" w:color="auto" w:sz="4" w:space="0"/>
              <w:right w:val="single" w:color="auto" w:sz="4" w:space="0"/>
            </w:tcBorders>
            <w:vAlign w:val="center"/>
          </w:tcPr>
          <w:p w14:paraId="62F812E9">
            <w:pPr>
              <w:spacing w:line="360" w:lineRule="auto"/>
              <w:jc w:val="center"/>
              <w:rPr>
                <w:rFonts w:hint="eastAsia" w:ascii="宋体" w:hAnsi="宋体"/>
                <w:szCs w:val="21"/>
              </w:rPr>
            </w:pPr>
            <w:r>
              <w:rPr>
                <w:rFonts w:hint="eastAsia" w:ascii="宋体" w:hAnsi="宋体"/>
                <w:szCs w:val="21"/>
              </w:rPr>
              <w:t>报名截止时间</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61FA5E71">
            <w:pPr>
              <w:spacing w:line="360" w:lineRule="auto"/>
              <w:rPr>
                <w:rFonts w:hint="eastAsia" w:ascii="宋体" w:hAnsi="宋体"/>
                <w:szCs w:val="21"/>
                <w:highlight w:val="yellow"/>
              </w:rPr>
            </w:pPr>
            <w:r>
              <w:rPr>
                <w:rFonts w:hint="eastAsia" w:ascii="宋体" w:hAnsi="宋体"/>
                <w:b/>
                <w:bCs/>
                <w:color w:val="FF0000"/>
                <w:szCs w:val="21"/>
              </w:rPr>
              <w:t>202</w:t>
            </w:r>
            <w:r>
              <w:rPr>
                <w:rFonts w:hint="eastAsia" w:ascii="宋体" w:hAnsi="宋体"/>
                <w:b/>
                <w:bCs/>
                <w:color w:val="FF0000"/>
                <w:szCs w:val="21"/>
                <w:lang w:val="en-US" w:eastAsia="zh-CN"/>
              </w:rPr>
              <w:t>6</w:t>
            </w:r>
            <w:r>
              <w:rPr>
                <w:rFonts w:hint="eastAsia" w:ascii="宋体" w:hAnsi="宋体"/>
                <w:b/>
                <w:bCs/>
                <w:color w:val="FF0000"/>
                <w:szCs w:val="21"/>
              </w:rPr>
              <w:t>年</w:t>
            </w:r>
            <w:r>
              <w:rPr>
                <w:rFonts w:hint="eastAsia" w:ascii="宋体" w:hAnsi="宋体"/>
                <w:b/>
                <w:bCs/>
                <w:color w:val="FF0000"/>
                <w:szCs w:val="21"/>
                <w:lang w:val="en-US" w:eastAsia="zh-CN"/>
              </w:rPr>
              <w:t>9</w:t>
            </w:r>
            <w:r>
              <w:rPr>
                <w:rFonts w:hint="eastAsia" w:ascii="宋体" w:hAnsi="宋体"/>
                <w:b/>
                <w:bCs/>
                <w:color w:val="FF0000"/>
                <w:szCs w:val="21"/>
              </w:rPr>
              <w:t>月</w:t>
            </w:r>
            <w:r>
              <w:rPr>
                <w:rFonts w:hint="eastAsia" w:ascii="宋体" w:hAnsi="宋体"/>
                <w:b/>
                <w:bCs/>
                <w:color w:val="FF0000"/>
                <w:szCs w:val="21"/>
                <w:lang w:val="en-US" w:eastAsia="zh-CN"/>
              </w:rPr>
              <w:t>13</w:t>
            </w:r>
            <w:r>
              <w:rPr>
                <w:rFonts w:hint="eastAsia" w:ascii="宋体" w:hAnsi="宋体"/>
                <w:b/>
                <w:bCs/>
                <w:color w:val="FF0000"/>
                <w:szCs w:val="21"/>
              </w:rPr>
              <w:t>日1</w:t>
            </w:r>
            <w:r>
              <w:rPr>
                <w:rFonts w:hint="eastAsia" w:ascii="宋体" w:hAnsi="宋体"/>
                <w:b/>
                <w:bCs/>
                <w:color w:val="FF0000"/>
                <w:szCs w:val="21"/>
                <w:lang w:val="en-US" w:eastAsia="zh-CN"/>
              </w:rPr>
              <w:t>7</w:t>
            </w:r>
            <w:r>
              <w:rPr>
                <w:rFonts w:hint="eastAsia" w:ascii="宋体" w:hAnsi="宋体"/>
                <w:b/>
                <w:bCs/>
                <w:color w:val="FF0000"/>
                <w:szCs w:val="21"/>
              </w:rPr>
              <w:t>：00</w:t>
            </w:r>
          </w:p>
        </w:tc>
      </w:tr>
      <w:tr w14:paraId="0495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894" w:type="pct"/>
            <w:tcBorders>
              <w:top w:val="single" w:color="auto" w:sz="4" w:space="0"/>
              <w:left w:val="single" w:color="auto" w:sz="4" w:space="0"/>
              <w:bottom w:val="single" w:color="auto" w:sz="4" w:space="0"/>
              <w:right w:val="single" w:color="auto" w:sz="4" w:space="0"/>
            </w:tcBorders>
            <w:vAlign w:val="center"/>
          </w:tcPr>
          <w:p w14:paraId="4A67D2F2">
            <w:pPr>
              <w:spacing w:line="360" w:lineRule="auto"/>
              <w:jc w:val="center"/>
              <w:rPr>
                <w:rFonts w:hint="eastAsia" w:ascii="宋体" w:hAnsi="宋体"/>
                <w:szCs w:val="21"/>
              </w:rPr>
            </w:pPr>
            <w:r>
              <w:rPr>
                <w:rFonts w:hint="eastAsia" w:ascii="宋体" w:hAnsi="宋体"/>
                <w:szCs w:val="21"/>
              </w:rPr>
              <w:t>文件递交地址</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0C145F37">
            <w:pPr>
              <w:spacing w:line="360" w:lineRule="auto"/>
              <w:rPr>
                <w:rFonts w:hint="eastAsia" w:ascii="宋体" w:hAnsi="宋体"/>
                <w:szCs w:val="21"/>
              </w:rPr>
            </w:pPr>
            <w:r>
              <w:rPr>
                <w:rFonts w:hint="eastAsia" w:ascii="宋体" w:hAnsi="宋体"/>
                <w:szCs w:val="21"/>
              </w:rPr>
              <w:t>扬大附院西区行政楼40</w:t>
            </w:r>
            <w:r>
              <w:rPr>
                <w:rFonts w:hint="eastAsia" w:ascii="宋体" w:hAnsi="宋体"/>
                <w:szCs w:val="21"/>
                <w:lang w:val="en-US" w:eastAsia="zh-CN"/>
              </w:rPr>
              <w:t>6</w:t>
            </w:r>
            <w:r>
              <w:rPr>
                <w:rFonts w:hint="eastAsia" w:ascii="宋体" w:hAnsi="宋体"/>
                <w:szCs w:val="21"/>
              </w:rPr>
              <w:t>办公室</w:t>
            </w:r>
          </w:p>
        </w:tc>
      </w:tr>
      <w:tr w14:paraId="2EB23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4" w:type="pct"/>
            <w:tcBorders>
              <w:top w:val="single" w:color="auto" w:sz="4" w:space="0"/>
              <w:left w:val="single" w:color="auto" w:sz="4" w:space="0"/>
              <w:bottom w:val="single" w:color="auto" w:sz="4" w:space="0"/>
              <w:right w:val="single" w:color="auto" w:sz="4" w:space="0"/>
            </w:tcBorders>
            <w:vAlign w:val="center"/>
          </w:tcPr>
          <w:p w14:paraId="751758DF">
            <w:pPr>
              <w:spacing w:line="360" w:lineRule="auto"/>
              <w:jc w:val="center"/>
              <w:rPr>
                <w:rFonts w:hint="eastAsia" w:ascii="宋体" w:hAnsi="宋体" w:eastAsia="微软雅黑"/>
                <w:szCs w:val="21"/>
              </w:rPr>
            </w:pPr>
            <w:r>
              <w:rPr>
                <w:rFonts w:hint="eastAsia" w:ascii="宋体" w:hAnsi="宋体"/>
                <w:szCs w:val="21"/>
              </w:rPr>
              <w:t>谈判时间</w:t>
            </w:r>
          </w:p>
        </w:tc>
        <w:tc>
          <w:tcPr>
            <w:tcW w:w="1827" w:type="pct"/>
            <w:gridSpan w:val="2"/>
            <w:tcBorders>
              <w:top w:val="single" w:color="auto" w:sz="4" w:space="0"/>
              <w:left w:val="single" w:color="auto" w:sz="4" w:space="0"/>
              <w:bottom w:val="single" w:color="auto" w:sz="4" w:space="0"/>
              <w:right w:val="single" w:color="auto" w:sz="4" w:space="0"/>
            </w:tcBorders>
            <w:vAlign w:val="center"/>
          </w:tcPr>
          <w:p w14:paraId="1BB95342">
            <w:pPr>
              <w:spacing w:line="360" w:lineRule="auto"/>
              <w:jc w:val="center"/>
              <w:rPr>
                <w:rFonts w:hint="default" w:ascii="宋体" w:hAnsi="宋体" w:eastAsia="宋体"/>
                <w:b/>
                <w:szCs w:val="21"/>
                <w:lang w:val="en-US" w:eastAsia="zh-CN"/>
              </w:rPr>
            </w:pPr>
            <w:r>
              <w:rPr>
                <w:rFonts w:hint="eastAsia" w:ascii="宋体" w:hAnsi="宋体"/>
                <w:b/>
                <w:szCs w:val="21"/>
                <w:lang w:val="en-US" w:eastAsia="zh-CN"/>
              </w:rPr>
              <w:t>2026年9月14日14:15</w:t>
            </w:r>
          </w:p>
        </w:tc>
        <w:tc>
          <w:tcPr>
            <w:tcW w:w="507" w:type="pct"/>
            <w:gridSpan w:val="2"/>
            <w:tcBorders>
              <w:top w:val="single" w:color="auto" w:sz="4" w:space="0"/>
              <w:left w:val="single" w:color="auto" w:sz="4" w:space="0"/>
              <w:bottom w:val="single" w:color="auto" w:sz="4" w:space="0"/>
              <w:right w:val="single" w:color="auto" w:sz="4" w:space="0"/>
            </w:tcBorders>
            <w:vAlign w:val="center"/>
          </w:tcPr>
          <w:p w14:paraId="2FBBC25A">
            <w:pPr>
              <w:spacing w:line="360" w:lineRule="auto"/>
              <w:jc w:val="center"/>
              <w:rPr>
                <w:rFonts w:hint="eastAsia" w:ascii="宋体" w:hAnsi="宋体"/>
                <w:szCs w:val="21"/>
              </w:rPr>
            </w:pPr>
            <w:r>
              <w:rPr>
                <w:rFonts w:hint="eastAsia" w:ascii="宋体" w:hAnsi="宋体"/>
                <w:szCs w:val="21"/>
              </w:rPr>
              <w:t>地点</w:t>
            </w:r>
          </w:p>
        </w:tc>
        <w:tc>
          <w:tcPr>
            <w:tcW w:w="1772" w:type="pct"/>
            <w:tcBorders>
              <w:top w:val="single" w:color="auto" w:sz="4" w:space="0"/>
              <w:left w:val="single" w:color="auto" w:sz="4" w:space="0"/>
              <w:bottom w:val="single" w:color="auto" w:sz="4" w:space="0"/>
              <w:right w:val="single" w:color="auto" w:sz="4" w:space="0"/>
            </w:tcBorders>
            <w:vAlign w:val="center"/>
          </w:tcPr>
          <w:p w14:paraId="511BB316">
            <w:pPr>
              <w:spacing w:line="360" w:lineRule="auto"/>
              <w:jc w:val="center"/>
              <w:rPr>
                <w:rFonts w:hint="eastAsia" w:asciiTheme="minorEastAsia" w:hAnsiTheme="minorEastAsia" w:eastAsiaTheme="minorEastAsia"/>
                <w:szCs w:val="21"/>
              </w:rPr>
            </w:pPr>
            <w:r>
              <w:rPr>
                <w:rFonts w:hint="eastAsia" w:ascii="宋体" w:hAnsi="宋体"/>
                <w:b/>
                <w:szCs w:val="21"/>
              </w:rPr>
              <w:t>扬大附院西区行政楼407会议室</w:t>
            </w:r>
          </w:p>
        </w:tc>
      </w:tr>
      <w:tr w14:paraId="4261E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4" w:type="pct"/>
            <w:tcBorders>
              <w:top w:val="single" w:color="auto" w:sz="4" w:space="0"/>
              <w:left w:val="single" w:color="auto" w:sz="4" w:space="0"/>
              <w:bottom w:val="single" w:color="auto" w:sz="4" w:space="0"/>
              <w:right w:val="single" w:color="auto" w:sz="4" w:space="0"/>
            </w:tcBorders>
            <w:vAlign w:val="center"/>
          </w:tcPr>
          <w:p w14:paraId="06BEDE6A">
            <w:pPr>
              <w:spacing w:line="360" w:lineRule="auto"/>
              <w:jc w:val="center"/>
              <w:rPr>
                <w:rFonts w:hint="eastAsia" w:ascii="宋体" w:hAnsi="宋体"/>
                <w:szCs w:val="21"/>
              </w:rPr>
            </w:pPr>
            <w:r>
              <w:rPr>
                <w:rFonts w:hint="eastAsia" w:ascii="宋体" w:hAnsi="宋体"/>
                <w:szCs w:val="21"/>
              </w:rPr>
              <w:t>联系方式</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201F6A18">
            <w:pPr>
              <w:adjustRightInd w:val="0"/>
              <w:snapToGrid w:val="0"/>
              <w:spacing w:line="360" w:lineRule="auto"/>
              <w:contextualSpacing/>
              <w:rPr>
                <w:rFonts w:hint="default" w:ascii="宋体" w:hAnsi="宋体" w:eastAsia="宋体" w:cs="宋体"/>
                <w:snapToGrid w:val="0"/>
                <w:szCs w:val="21"/>
                <w:highlight w:val="none"/>
                <w:lang w:val="en-US" w:eastAsia="zh-CN"/>
              </w:rPr>
            </w:pPr>
            <w:r>
              <w:rPr>
                <w:rFonts w:hint="eastAsia" w:ascii="宋体" w:hAnsi="宋体" w:cs="宋体"/>
                <w:snapToGrid w:val="0"/>
                <w:szCs w:val="21"/>
                <w:highlight w:val="none"/>
              </w:rPr>
              <w:t>联系人：</w:t>
            </w:r>
            <w:r>
              <w:rPr>
                <w:rFonts w:hint="eastAsia" w:ascii="宋体" w:hAnsi="宋体" w:cs="宋体"/>
                <w:snapToGrid w:val="0"/>
                <w:szCs w:val="21"/>
                <w:highlight w:val="none"/>
                <w:lang w:val="en-US" w:eastAsia="zh-CN"/>
              </w:rPr>
              <w:t>周</w:t>
            </w:r>
            <w:r>
              <w:rPr>
                <w:rFonts w:hint="eastAsia" w:ascii="宋体" w:hAnsi="宋体" w:cs="宋体"/>
                <w:snapToGrid w:val="0"/>
                <w:szCs w:val="21"/>
                <w:highlight w:val="none"/>
              </w:rPr>
              <w:t>老师   联系电话：0514-8</w:t>
            </w:r>
            <w:r>
              <w:rPr>
                <w:rFonts w:hint="eastAsia" w:ascii="宋体" w:hAnsi="宋体" w:cs="宋体"/>
                <w:snapToGrid w:val="0"/>
                <w:szCs w:val="21"/>
                <w:highlight w:val="none"/>
                <w:lang w:val="en-US" w:eastAsia="zh-CN"/>
              </w:rPr>
              <w:t>0319750</w:t>
            </w:r>
          </w:p>
          <w:p w14:paraId="1EC6FEC7">
            <w:pPr>
              <w:adjustRightInd w:val="0"/>
              <w:snapToGrid w:val="0"/>
              <w:spacing w:line="360" w:lineRule="auto"/>
              <w:contextualSpacing/>
              <w:rPr>
                <w:rFonts w:hint="eastAsia" w:ascii="宋体" w:hAnsi="宋体" w:cs="宋体"/>
                <w:snapToGrid w:val="0"/>
                <w:szCs w:val="21"/>
              </w:rPr>
            </w:pPr>
            <w:r>
              <w:rPr>
                <w:rFonts w:hint="eastAsia" w:ascii="宋体" w:hAnsi="宋体" w:cs="宋体"/>
                <w:snapToGrid w:val="0"/>
                <w:szCs w:val="21"/>
                <w:highlight w:val="none"/>
              </w:rPr>
              <w:t>地址：扬大附院西区行政楼40</w:t>
            </w:r>
            <w:r>
              <w:rPr>
                <w:rFonts w:hint="eastAsia" w:ascii="宋体" w:hAnsi="宋体" w:cs="宋体"/>
                <w:snapToGrid w:val="0"/>
                <w:szCs w:val="21"/>
                <w:highlight w:val="none"/>
                <w:lang w:val="en-US" w:eastAsia="zh-CN"/>
              </w:rPr>
              <w:t>6</w:t>
            </w:r>
            <w:r>
              <w:rPr>
                <w:rFonts w:hint="eastAsia" w:ascii="宋体" w:hAnsi="宋体" w:cs="宋体"/>
                <w:snapToGrid w:val="0"/>
                <w:szCs w:val="21"/>
                <w:highlight w:val="none"/>
              </w:rPr>
              <w:t>办公室</w:t>
            </w:r>
          </w:p>
        </w:tc>
      </w:tr>
      <w:tr w14:paraId="1880B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4" w:type="pct"/>
            <w:tcBorders>
              <w:top w:val="single" w:color="auto" w:sz="4" w:space="0"/>
              <w:left w:val="single" w:color="auto" w:sz="4" w:space="0"/>
              <w:bottom w:val="single" w:color="auto" w:sz="4" w:space="0"/>
              <w:right w:val="single" w:color="auto" w:sz="4" w:space="0"/>
            </w:tcBorders>
            <w:vAlign w:val="center"/>
          </w:tcPr>
          <w:p w14:paraId="414BB8EC">
            <w:pPr>
              <w:spacing w:line="360" w:lineRule="auto"/>
              <w:jc w:val="center"/>
              <w:rPr>
                <w:rFonts w:hint="eastAsia" w:ascii="宋体" w:hAnsi="宋体"/>
                <w:szCs w:val="21"/>
              </w:rPr>
            </w:pPr>
            <w:r>
              <w:rPr>
                <w:rFonts w:hint="eastAsia" w:ascii="宋体" w:hAnsi="宋体"/>
                <w:szCs w:val="21"/>
              </w:rPr>
              <w:t>备注</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110218DE">
            <w:pPr>
              <w:spacing w:line="360" w:lineRule="auto"/>
              <w:jc w:val="left"/>
              <w:rPr>
                <w:rFonts w:hint="eastAsia" w:ascii="宋体" w:hAnsi="宋体" w:cs="宋体"/>
                <w:szCs w:val="21"/>
              </w:rPr>
            </w:pPr>
            <w:r>
              <w:rPr>
                <w:rFonts w:hint="eastAsia" w:ascii="宋体" w:hAnsi="宋体" w:cs="宋体"/>
                <w:b/>
                <w:bCs/>
                <w:szCs w:val="21"/>
              </w:rPr>
              <w:t>本项目不接受联合体投标，不允许转包、分包</w:t>
            </w:r>
            <w:r>
              <w:rPr>
                <w:rFonts w:hint="eastAsia" w:ascii="宋体" w:hAnsi="宋体" w:cs="宋体"/>
                <w:b/>
                <w:bCs/>
                <w:szCs w:val="21"/>
                <w:lang w:eastAsia="zh-CN"/>
              </w:rPr>
              <w:t>；</w:t>
            </w:r>
            <w:r>
              <w:rPr>
                <w:rFonts w:hint="eastAsia" w:ascii="宋体" w:hAnsi="宋体" w:cs="宋体"/>
                <w:b/>
                <w:bCs/>
                <w:szCs w:val="21"/>
              </w:rPr>
              <w:t>未提供格式的投标人自拟。</w:t>
            </w:r>
          </w:p>
        </w:tc>
      </w:tr>
    </w:tbl>
    <w:p w14:paraId="6194E6CD">
      <w:pPr>
        <w:autoSpaceDE w:val="0"/>
        <w:autoSpaceDN w:val="0"/>
        <w:adjustRightInd w:val="0"/>
        <w:snapToGrid w:val="0"/>
        <w:spacing w:line="440" w:lineRule="exact"/>
        <w:ind w:left="422" w:leftChars="201" w:right="531" w:rightChars="253" w:firstLine="371" w:firstLineChars="177"/>
        <w:contextualSpacing/>
        <w:rPr>
          <w:rFonts w:hint="eastAsia" w:ascii="宋体" w:hAnsi="宋体" w:eastAsia="宋体"/>
          <w:szCs w:val="21"/>
          <w:lang w:val="en-US" w:eastAsia="zh-CN"/>
        </w:rPr>
      </w:pPr>
      <w:bookmarkStart w:id="2" w:name="_Toc39744253"/>
    </w:p>
    <w:p w14:paraId="28674268">
      <w:pPr>
        <w:pStyle w:val="15"/>
        <w:rPr>
          <w:rFonts w:hint="eastAsia"/>
        </w:rPr>
      </w:pPr>
    </w:p>
    <w:p w14:paraId="1C6B53E5">
      <w:pPr>
        <w:pStyle w:val="15"/>
        <w:rPr>
          <w:rFonts w:hint="eastAsia"/>
        </w:rPr>
      </w:pPr>
    </w:p>
    <w:p w14:paraId="0083B5B7">
      <w:pPr>
        <w:rPr>
          <w:rFonts w:hint="eastAsia"/>
          <w:b/>
          <w:sz w:val="32"/>
          <w:szCs w:val="32"/>
        </w:rPr>
      </w:pPr>
      <w:r>
        <w:rPr>
          <w:rFonts w:hint="eastAsia"/>
          <w:b/>
          <w:sz w:val="32"/>
          <w:szCs w:val="32"/>
        </w:rPr>
        <w:br w:type="page"/>
      </w:r>
    </w:p>
    <w:p w14:paraId="5C7E2FF0">
      <w:pPr>
        <w:pageBreakBefore w:val="0"/>
        <w:widowControl w:val="0"/>
        <w:kinsoku/>
        <w:wordWrap/>
        <w:overflowPunct/>
        <w:topLinePunct w:val="0"/>
        <w:autoSpaceDE/>
        <w:autoSpaceDN/>
        <w:bidi w:val="0"/>
        <w:adjustRightInd/>
        <w:snapToGrid/>
        <w:spacing w:line="360" w:lineRule="auto"/>
        <w:ind w:firstLine="4176" w:firstLineChars="1300"/>
        <w:textAlignment w:val="auto"/>
        <w:rPr>
          <w:rFonts w:cs="宋体"/>
          <w:b/>
          <w:i/>
          <w:u w:val="single"/>
        </w:rPr>
      </w:pPr>
      <w:r>
        <w:rPr>
          <w:rFonts w:hint="eastAsia"/>
          <w:b/>
          <w:sz w:val="32"/>
          <w:szCs w:val="32"/>
        </w:rPr>
        <w:t>二、项目需求</w:t>
      </w:r>
    </w:p>
    <w:p w14:paraId="7001E96B">
      <w:pPr>
        <w:pStyle w:val="2"/>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（一）实验室物资标准化打包配套服务</w:t>
      </w:r>
    </w:p>
    <w:p w14:paraId="19B464E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 w:val="21"/>
          <w:szCs w:val="21"/>
        </w:rPr>
      </w:pPr>
      <w:r>
        <w:rPr>
          <w:rFonts w:hint="eastAsia" w:ascii="宋体" w:hAnsi="宋体" w:cs="宋体"/>
          <w:color w:val="000000"/>
          <w:sz w:val="21"/>
          <w:szCs w:val="21"/>
        </w:rPr>
        <w:t>服务商需根据科室</w:t>
      </w:r>
      <w:r>
        <w:rPr>
          <w:rFonts w:hint="eastAsia" w:ascii="宋体" w:hAnsi="宋体" w:cs="宋体"/>
          <w:color w:val="000000"/>
          <w:sz w:val="21"/>
          <w:szCs w:val="21"/>
          <w:lang w:val="en-US" w:eastAsia="zh-CN"/>
        </w:rPr>
        <w:t>移机及校准服务</w:t>
      </w:r>
      <w:r>
        <w:rPr>
          <w:rFonts w:hint="eastAsia" w:ascii="宋体" w:hAnsi="宋体" w:cs="宋体"/>
          <w:color w:val="000000"/>
          <w:sz w:val="21"/>
          <w:szCs w:val="21"/>
        </w:rPr>
        <w:t>需求，免费全套提供实验室</w:t>
      </w:r>
      <w:r>
        <w:rPr>
          <w:rFonts w:hint="eastAsia" w:ascii="宋体" w:hAnsi="宋体" w:cs="宋体"/>
          <w:color w:val="000000"/>
          <w:sz w:val="21"/>
          <w:szCs w:val="21"/>
          <w:lang w:val="en-US" w:eastAsia="zh-CN"/>
        </w:rPr>
        <w:t>设备移机及校准</w:t>
      </w:r>
      <w:r>
        <w:rPr>
          <w:rFonts w:hint="eastAsia" w:ascii="宋体" w:hAnsi="宋体" w:cs="宋体"/>
          <w:color w:val="000000"/>
          <w:sz w:val="21"/>
          <w:szCs w:val="21"/>
        </w:rPr>
        <w:t>专用打包物料，包含但不限于：多规格加厚纸箱、防震泡沫、防撞缓冲垫、缠绕膜、防水膜、封箱胶带、标签标识纸、分类标识贴、固定绑带等全部耗材</w:t>
      </w:r>
      <w:r>
        <w:rPr>
          <w:rFonts w:hint="eastAsia" w:ascii="宋体" w:hAnsi="宋体"/>
          <w:sz w:val="21"/>
          <w:szCs w:val="21"/>
        </w:rPr>
        <w:t>。</w:t>
      </w:r>
    </w:p>
    <w:p w14:paraId="7DBE77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（二）搬迁后设备质保服务要求</w:t>
      </w:r>
    </w:p>
    <w:p w14:paraId="1253DD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sz w:val="21"/>
          <w:szCs w:val="21"/>
          <w:lang w:eastAsia="zh-CN"/>
        </w:rPr>
      </w:pPr>
      <w:r>
        <w:rPr>
          <w:rFonts w:hint="eastAsia" w:ascii="宋体" w:hAnsi="宋体" w:cs="宋体"/>
          <w:color w:val="000000"/>
          <w:sz w:val="21"/>
          <w:szCs w:val="21"/>
        </w:rPr>
        <w:t>本次</w:t>
      </w:r>
      <w:r>
        <w:rPr>
          <w:rFonts w:hint="eastAsia" w:ascii="宋体" w:hAnsi="宋体" w:cs="宋体"/>
          <w:color w:val="000000"/>
          <w:sz w:val="21"/>
          <w:szCs w:val="21"/>
          <w:lang w:val="en-US" w:eastAsia="zh-CN"/>
        </w:rPr>
        <w:t>移机及校准</w:t>
      </w:r>
      <w:r>
        <w:rPr>
          <w:rFonts w:hint="eastAsia" w:ascii="宋体" w:hAnsi="宋体" w:cs="宋体"/>
          <w:color w:val="000000"/>
          <w:sz w:val="21"/>
          <w:szCs w:val="21"/>
        </w:rPr>
        <w:t>所有仪器设备、设施物资完成搬运、就位、安装、调试工作后，服务商需提供</w:t>
      </w:r>
      <w:r>
        <w:rPr>
          <w:rFonts w:hint="eastAsia" w:ascii="宋体" w:hAnsi="宋体" w:cs="宋体"/>
          <w:b/>
          <w:bCs/>
          <w:color w:val="000000"/>
          <w:sz w:val="21"/>
          <w:szCs w:val="21"/>
        </w:rPr>
        <w:t>为期一个月</w:t>
      </w:r>
      <w:r>
        <w:rPr>
          <w:rFonts w:hint="eastAsia" w:ascii="宋体" w:hAnsi="宋体" w:cs="宋体"/>
          <w:color w:val="000000"/>
          <w:sz w:val="21"/>
          <w:szCs w:val="21"/>
        </w:rPr>
        <w:t>的专项质保服务。质保期内，因搬迁运输、拆装移位、安装调试原因导致的设备异响、故障、移位、运行异常、功能失效等全部问题，均由服务商免费负责检修、调试、复原、更换配件，承担全部责任与费用，确保设备恢复正常工作状态</w:t>
      </w:r>
      <w:r>
        <w:rPr>
          <w:rFonts w:hint="eastAsia" w:ascii="宋体" w:hAnsi="宋体" w:cs="宋体"/>
          <w:color w:val="000000"/>
          <w:sz w:val="21"/>
          <w:szCs w:val="21"/>
          <w:lang w:eastAsia="zh-CN"/>
        </w:rPr>
        <w:t>。</w:t>
      </w:r>
    </w:p>
    <w:p w14:paraId="4B26FA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（三）搬迁后设备整机保养、校准及报告出具要求</w:t>
      </w:r>
    </w:p>
    <w:p w14:paraId="4FFFC18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sz w:val="21"/>
          <w:szCs w:val="21"/>
          <w:lang w:eastAsia="zh-CN"/>
        </w:rPr>
      </w:pPr>
      <w:r>
        <w:rPr>
          <w:rFonts w:hint="eastAsia" w:ascii="宋体" w:hAnsi="宋体" w:cs="宋体"/>
          <w:color w:val="000000"/>
          <w:sz w:val="21"/>
          <w:szCs w:val="21"/>
        </w:rPr>
        <w:t>全部设备</w:t>
      </w:r>
      <w:r>
        <w:rPr>
          <w:rFonts w:hint="eastAsia" w:ascii="宋体" w:hAnsi="宋体" w:cs="宋体"/>
          <w:color w:val="000000"/>
          <w:sz w:val="21"/>
          <w:szCs w:val="21"/>
          <w:lang w:val="en-US" w:eastAsia="zh-CN"/>
        </w:rPr>
        <w:t>移机</w:t>
      </w:r>
      <w:r>
        <w:rPr>
          <w:rFonts w:hint="eastAsia" w:ascii="宋体" w:hAnsi="宋体" w:cs="宋体"/>
          <w:color w:val="000000"/>
          <w:sz w:val="21"/>
          <w:szCs w:val="21"/>
        </w:rPr>
        <w:t>就位完成后，服务商需对清单内所有实验设备统一开展一次全面专业保养、性能校准与精度核验工作，完成全套设备</w:t>
      </w:r>
      <w:r>
        <w:rPr>
          <w:rFonts w:hint="eastAsia" w:ascii="宋体" w:hAnsi="宋体" w:cs="宋体"/>
          <w:color w:val="000000"/>
          <w:sz w:val="21"/>
          <w:szCs w:val="21"/>
          <w:lang w:val="en-US" w:eastAsia="zh-CN"/>
        </w:rPr>
        <w:t>移机</w:t>
      </w:r>
      <w:r>
        <w:rPr>
          <w:rFonts w:hint="eastAsia" w:ascii="宋体" w:hAnsi="宋体" w:cs="宋体"/>
          <w:color w:val="000000"/>
          <w:sz w:val="21"/>
          <w:szCs w:val="21"/>
        </w:rPr>
        <w:t>后性能复原作业，并出具正式纸质版保养、校准验收报告，留存归档</w:t>
      </w:r>
      <w:r>
        <w:rPr>
          <w:rFonts w:hint="eastAsia" w:ascii="宋体" w:hAnsi="宋体" w:cs="宋体"/>
          <w:color w:val="000000"/>
          <w:sz w:val="21"/>
          <w:szCs w:val="21"/>
          <w:lang w:eastAsia="zh-CN"/>
        </w:rPr>
        <w:t>。</w:t>
      </w:r>
    </w:p>
    <w:p w14:paraId="585A03B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（四）具体服务内容</w:t>
      </w:r>
    </w:p>
    <w:p w14:paraId="22EBB21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 w:val="21"/>
          <w:szCs w:val="21"/>
        </w:rPr>
      </w:pPr>
      <w:r>
        <w:rPr>
          <w:rFonts w:hint="eastAsia" w:ascii="宋体" w:hAnsi="宋体" w:cs="宋体"/>
          <w:color w:val="000000"/>
          <w:sz w:val="21"/>
          <w:szCs w:val="21"/>
        </w:rPr>
        <w:t>1.低温存储类设备（超低温冰箱、冷藏柜等）：完成整机清洁、除冰除霜、密封条清洁保养、风道清理、压缩机运行检测与常规保养，校准设备温控参数，核查整机运行状态、启停工况及保温性能。</w:t>
      </w:r>
    </w:p>
    <w:p w14:paraId="21610E2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 w:val="21"/>
          <w:szCs w:val="21"/>
        </w:rPr>
      </w:pPr>
      <w:r>
        <w:rPr>
          <w:rFonts w:hint="eastAsia" w:ascii="宋体" w:hAnsi="宋体" w:cs="宋体"/>
          <w:color w:val="000000"/>
          <w:sz w:val="21"/>
          <w:szCs w:val="21"/>
        </w:rPr>
        <w:t>2.生物安全柜：完成柜体清洁除锈、夹层清洁处理、风速检测校准、气密性核查、工作区洁净度核验、运行参数校准，确保符合实验室安全使用标准。</w:t>
      </w:r>
    </w:p>
    <w:p w14:paraId="3DBF09D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 w:val="21"/>
          <w:szCs w:val="21"/>
        </w:rPr>
      </w:pPr>
      <w:r>
        <w:rPr>
          <w:rFonts w:hint="eastAsia" w:ascii="宋体" w:hAnsi="宋体" w:cs="宋体"/>
          <w:color w:val="000000"/>
          <w:sz w:val="21"/>
          <w:szCs w:val="21"/>
        </w:rPr>
        <w:t>3.培养箱类设备：完成整机深度除菌清洁、温度校准、湿度校准、气体浓度参数校准、内胆消毒保养，保证设备培养环境精准稳定。</w:t>
      </w:r>
    </w:p>
    <w:p w14:paraId="43B6955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 w:val="21"/>
          <w:szCs w:val="21"/>
        </w:rPr>
      </w:pPr>
      <w:r>
        <w:rPr>
          <w:rFonts w:hint="eastAsia" w:ascii="宋体" w:hAnsi="宋体" w:cs="宋体"/>
          <w:color w:val="000000"/>
          <w:sz w:val="21"/>
          <w:szCs w:val="21"/>
        </w:rPr>
        <w:t>4.离心机类设备：完成整机清洁保养、轴承润滑加注、机身水平平衡校准、转速精度核验、运行震动检测、制动系统检查，确保设备平稳、安全、合规运行。</w:t>
      </w:r>
    </w:p>
    <w:p w14:paraId="57C5626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sz w:val="21"/>
          <w:szCs w:val="21"/>
        </w:rPr>
      </w:pPr>
      <w:r>
        <w:rPr>
          <w:rFonts w:hint="eastAsia" w:ascii="宋体" w:hAnsi="宋体" w:cs="宋体"/>
          <w:color w:val="000000"/>
          <w:sz w:val="21"/>
          <w:szCs w:val="21"/>
        </w:rPr>
        <w:t>5.光学、检测类仪器：完成光路自检校准、核心参数精度校准、整机性能复原、关键模块工况检测，确保设备检测精度、实验数据准确性符合原厂技术标准。</w:t>
      </w:r>
    </w:p>
    <w:p w14:paraId="70E0713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sz w:val="21"/>
          <w:szCs w:val="21"/>
          <w:lang w:eastAsia="zh-CN"/>
        </w:rPr>
      </w:pPr>
      <w:r>
        <w:rPr>
          <w:rFonts w:hint="eastAsia" w:ascii="宋体" w:hAnsi="宋体" w:cs="宋体"/>
          <w:color w:val="000000"/>
          <w:sz w:val="21"/>
          <w:szCs w:val="21"/>
        </w:rPr>
        <w:t>所有保养、校准工作完成后，服务商须统一整理出具完整纸质版保养和校准记录报告，供科室及医院存档备查</w:t>
      </w:r>
      <w:r>
        <w:rPr>
          <w:rFonts w:hint="eastAsia" w:ascii="宋体" w:hAnsi="宋体" w:cs="宋体"/>
          <w:color w:val="000000"/>
          <w:sz w:val="21"/>
          <w:szCs w:val="21"/>
          <w:lang w:eastAsia="zh-CN"/>
        </w:rPr>
        <w:t>。</w:t>
      </w:r>
    </w:p>
    <w:p w14:paraId="7E3E51D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（五）中心实验室移机及校准服务设备清单</w:t>
      </w:r>
    </w:p>
    <w:tbl>
      <w:tblPr>
        <w:tblStyle w:val="12"/>
        <w:tblW w:w="96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8"/>
        <w:gridCol w:w="2196"/>
        <w:gridCol w:w="2086"/>
        <w:gridCol w:w="698"/>
        <w:gridCol w:w="1316"/>
        <w:gridCol w:w="2691"/>
      </w:tblGrid>
      <w:tr w14:paraId="029E3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9660" w:type="dxa"/>
            <w:gridSpan w:val="6"/>
            <w:tcBorders>
              <w:top w:val="nil"/>
              <w:left w:val="nil"/>
              <w:bottom w:val="nil"/>
              <w:right w:val="nil"/>
            </w:tcBorders>
            <w:shd w:val="clear" w:color="auto" w:fill="auto"/>
            <w:noWrap/>
            <w:vAlign w:val="center"/>
          </w:tcPr>
          <w:p w14:paraId="1A71687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中心实验室科教综合楼搬迁物资登记表</w:t>
            </w:r>
          </w:p>
        </w:tc>
      </w:tr>
      <w:tr w14:paraId="3E2AB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E471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2AE2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物资名称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F73E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尺寸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8012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9EEF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现在位置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24E2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拟搬迁位置</w:t>
            </w:r>
          </w:p>
        </w:tc>
      </w:tr>
      <w:tr w14:paraId="28CBD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8FB3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0A7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电热恒温鼓风干燥箱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6B0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62*65*105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23E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8AB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洗消间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D13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901 </w:t>
            </w:r>
            <w:r>
              <w:rPr>
                <w:rStyle w:val="20"/>
                <w:lang w:val="en-US" w:eastAsia="zh-CN" w:bidi="ar"/>
              </w:rPr>
              <w:t>洗消室</w:t>
            </w:r>
          </w:p>
        </w:tc>
      </w:tr>
      <w:tr w14:paraId="525A2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5EC8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F66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制冰机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E19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90*60*126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C2E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6C7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洗消间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FD1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902 </w:t>
            </w:r>
            <w:r>
              <w:rPr>
                <w:rStyle w:val="20"/>
                <w:lang w:val="en-US" w:eastAsia="zh-CN" w:bidi="ar"/>
              </w:rPr>
              <w:t>分子生物学实验室</w:t>
            </w:r>
          </w:p>
        </w:tc>
      </w:tr>
      <w:tr w14:paraId="24987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CAD3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E7C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培养箱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93E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43*45*67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9F5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761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洗消间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077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1019 </w:t>
            </w:r>
            <w:r>
              <w:rPr>
                <w:rStyle w:val="20"/>
                <w:lang w:val="en-US" w:eastAsia="zh-CN" w:bidi="ar"/>
              </w:rPr>
              <w:t>微生物实验室</w:t>
            </w:r>
          </w:p>
        </w:tc>
      </w:tr>
      <w:tr w14:paraId="452A6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A175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2DE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4A2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73*68*105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13D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955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洗消间走廊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82F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901 </w:t>
            </w:r>
            <w:r>
              <w:rPr>
                <w:rStyle w:val="20"/>
                <w:lang w:val="en-US" w:eastAsia="zh-CN" w:bidi="ar"/>
              </w:rPr>
              <w:t>洗消室</w:t>
            </w:r>
          </w:p>
        </w:tc>
      </w:tr>
      <w:tr w14:paraId="59F07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9CE4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E2F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冷冻台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419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B3E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58E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病理间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C32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1021</w:t>
            </w:r>
            <w:r>
              <w:rPr>
                <w:rStyle w:val="20"/>
                <w:lang w:val="en-US" w:eastAsia="zh-CN" w:bidi="ar"/>
              </w:rPr>
              <w:t>形态学实验室</w:t>
            </w:r>
          </w:p>
        </w:tc>
      </w:tr>
      <w:tr w14:paraId="21BAB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2B1F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24E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超净台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955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246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314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细菌间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C1F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1019</w:t>
            </w:r>
            <w:r>
              <w:rPr>
                <w:rStyle w:val="20"/>
                <w:lang w:val="en-US" w:eastAsia="zh-CN" w:bidi="ar"/>
              </w:rPr>
              <w:t>微生物实验室</w:t>
            </w:r>
          </w:p>
        </w:tc>
      </w:tr>
      <w:tr w14:paraId="7F2EE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3A2A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A27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全温振荡培养箱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0F5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85*70*123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91A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CDA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细菌间门口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2D7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1019</w:t>
            </w:r>
            <w:r>
              <w:rPr>
                <w:rStyle w:val="20"/>
                <w:lang w:val="en-US" w:eastAsia="zh-CN" w:bidi="ar"/>
              </w:rPr>
              <w:t>微生物实验室</w:t>
            </w:r>
          </w:p>
        </w:tc>
      </w:tr>
      <w:tr w14:paraId="35FA8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58DE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66A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超净台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D60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B00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6A4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细菌间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8AA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1019</w:t>
            </w:r>
            <w:r>
              <w:rPr>
                <w:rStyle w:val="20"/>
                <w:lang w:val="en-US" w:eastAsia="zh-CN" w:bidi="ar"/>
              </w:rPr>
              <w:t>微生物实验室</w:t>
            </w:r>
          </w:p>
        </w:tc>
      </w:tr>
      <w:tr w14:paraId="2168C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F66C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226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激光共聚焦显微镜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434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1200*800+1600*700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08B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9F8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精密仪器间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B6E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919</w:t>
            </w:r>
            <w:r>
              <w:rPr>
                <w:rStyle w:val="21"/>
                <w:lang w:val="en-US" w:eastAsia="zh-CN" w:bidi="ar"/>
              </w:rPr>
              <w:t>精密仪器室</w:t>
            </w:r>
          </w:p>
        </w:tc>
      </w:tr>
      <w:tr w14:paraId="28805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1DCD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F71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液相色谱仪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9E5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160*100*77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ABD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5E3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PCR</w:t>
            </w:r>
            <w:r>
              <w:rPr>
                <w:rStyle w:val="21"/>
                <w:lang w:val="en-US" w:eastAsia="zh-CN" w:bidi="ar"/>
              </w:rPr>
              <w:t>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7E6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918</w:t>
            </w:r>
            <w:r>
              <w:rPr>
                <w:rStyle w:val="21"/>
                <w:lang w:val="en-US" w:eastAsia="zh-CN" w:bidi="ar"/>
              </w:rPr>
              <w:t>精密仪器室</w:t>
            </w:r>
          </w:p>
        </w:tc>
      </w:tr>
      <w:tr w14:paraId="76055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7E1D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044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E364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477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4669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270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918</w:t>
            </w:r>
            <w:r>
              <w:rPr>
                <w:rStyle w:val="21"/>
                <w:lang w:val="en-US" w:eastAsia="zh-CN" w:bidi="ar"/>
              </w:rPr>
              <w:t>精密仪器室</w:t>
            </w:r>
          </w:p>
        </w:tc>
      </w:tr>
      <w:tr w14:paraId="6E8DE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5F62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0FE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低温冰箱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FAA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110*100*195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556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270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走廊</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DD7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915 -80℃冰箱室放2台，1008放1台</w:t>
            </w:r>
          </w:p>
        </w:tc>
      </w:tr>
      <w:tr w14:paraId="58D34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A178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E67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低温保存箱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DF1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75*72*112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A4C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4D0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走廊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32B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1008 -80℃冰箱室</w:t>
            </w:r>
          </w:p>
        </w:tc>
      </w:tr>
      <w:tr w14:paraId="1A4CF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0162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4C3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超低温保存箱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9E0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90*85*112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A95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6F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走廊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9DB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915 -80℃冰箱室</w:t>
            </w:r>
          </w:p>
        </w:tc>
      </w:tr>
      <w:tr w14:paraId="121AA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3D23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844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超低温保存箱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010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1030*995*1980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E24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D88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走廊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D66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1008 -80℃冰箱室</w:t>
            </w:r>
          </w:p>
        </w:tc>
      </w:tr>
      <w:tr w14:paraId="2C164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0DDB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AB6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低温保存箱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73F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95*85*186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C67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FC8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走廊</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6FA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902 分子生物学实验室 1005 分子生物学实验室2 各一台</w:t>
            </w:r>
          </w:p>
        </w:tc>
      </w:tr>
      <w:tr w14:paraId="743F0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A8C7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914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冰箱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57B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90*64*175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972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7AA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走廊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162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902 分子生物学实验室</w:t>
            </w:r>
          </w:p>
        </w:tc>
      </w:tr>
      <w:tr w14:paraId="4C4B9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059D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FD9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冰箱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B21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90*69*175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5F9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AA7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走廊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700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1005 分子生物学实验室2</w:t>
            </w:r>
          </w:p>
        </w:tc>
      </w:tr>
      <w:tr w14:paraId="5A013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24F4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CED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冰箱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7A6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90*74*175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788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281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走廊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5AE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902 分子生物学实验室</w:t>
            </w:r>
          </w:p>
        </w:tc>
      </w:tr>
      <w:tr w14:paraId="6F1F7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2D1F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73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冰箱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559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90*74*175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D59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565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走廊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38A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902 分子生物学实验室</w:t>
            </w:r>
          </w:p>
        </w:tc>
      </w:tr>
      <w:tr w14:paraId="4C72E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991D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98D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冰箱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84E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91*70*175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8F9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AF5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走廊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8B9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902 分子生物学实验室</w:t>
            </w:r>
          </w:p>
        </w:tc>
      </w:tr>
      <w:tr w14:paraId="5ABF8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3515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23A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冰箱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3B5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83*60*175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AD5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CB2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走廊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E65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902 分子生物学实验室</w:t>
            </w:r>
          </w:p>
        </w:tc>
      </w:tr>
      <w:tr w14:paraId="7B3DA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A341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256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冰箱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27C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90*69*175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794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A64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走廊</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1C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1005 分子生物学实验室2</w:t>
            </w:r>
          </w:p>
        </w:tc>
      </w:tr>
      <w:tr w14:paraId="02709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1AA4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28B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冷藏箱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D57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122*82*175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5A7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730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走廊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A87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902 分子生物学实验室</w:t>
            </w:r>
          </w:p>
        </w:tc>
      </w:tr>
      <w:tr w14:paraId="1F36B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816F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627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超低温保存箱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A40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110*90*190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3F5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527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生化间1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FB1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915 -80℃冰箱室</w:t>
            </w:r>
          </w:p>
        </w:tc>
      </w:tr>
      <w:tr w14:paraId="25CFD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47E8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B7B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纯水仪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D2E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37.5*50*62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424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E47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生化间1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A47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902 分子生物学实验室</w:t>
            </w:r>
          </w:p>
        </w:tc>
      </w:tr>
      <w:tr w14:paraId="4071B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6701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427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低温保存箱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C57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60*61.5*198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D82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DBB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生化间2</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418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1005 分子生物学实验室2</w:t>
            </w:r>
          </w:p>
        </w:tc>
      </w:tr>
      <w:tr w14:paraId="70742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AC7B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0C1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药品保存箱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86C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60*61.5*198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0C2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5A8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生化间1</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E90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1005 分子生物学实验室2</w:t>
            </w:r>
          </w:p>
        </w:tc>
      </w:tr>
      <w:tr w14:paraId="61804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948E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A5C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医用低温保存箱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33F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90*83*187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67D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A3A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生化间2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FFA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902 分子生物学实验室</w:t>
            </w:r>
          </w:p>
        </w:tc>
      </w:tr>
      <w:tr w14:paraId="5142F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07A1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96D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低温保存箱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1B0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60*61.5*198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573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A48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生化间1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76A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902 分子生物学实验室</w:t>
            </w:r>
          </w:p>
        </w:tc>
      </w:tr>
      <w:tr w14:paraId="6FEC3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44DC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A57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超洁净工作台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E73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103*75*87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4FF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798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细胞间1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A06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 细胞培养室4</w:t>
            </w:r>
          </w:p>
        </w:tc>
      </w:tr>
      <w:tr w14:paraId="0BD94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92A1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C20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洁净工作台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7F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150*73*160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C7D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E53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细胞间1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D4A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 细胞培养室4</w:t>
            </w:r>
          </w:p>
        </w:tc>
      </w:tr>
      <w:tr w14:paraId="62C75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530E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71D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397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170*65*190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722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614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细胞间1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396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 细胞培养室4</w:t>
            </w:r>
          </w:p>
        </w:tc>
      </w:tr>
      <w:tr w14:paraId="3D4D3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E881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D26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二氧化碳培养箱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BEE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67*61*94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856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E3D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细胞间1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96F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 细胞培养室4</w:t>
            </w:r>
          </w:p>
        </w:tc>
      </w:tr>
      <w:tr w14:paraId="211AD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495F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A49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低氧培养箱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BC6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66.8*100.3*63.5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D44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473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细胞间1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27F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 细胞培养室4</w:t>
            </w:r>
          </w:p>
        </w:tc>
      </w:tr>
      <w:tr w14:paraId="796B2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3EB4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EDE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医用冷藏设备</w:t>
            </w:r>
            <w:r>
              <w:rPr>
                <w:rStyle w:val="22"/>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694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67*66*200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0DC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CF0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细胞间1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D50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 细胞培养室4</w:t>
            </w:r>
          </w:p>
        </w:tc>
      </w:tr>
      <w:tr w14:paraId="6FD26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9A53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5B8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医用冷藏设备-20°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E78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60*60*175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E02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ED3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细胞间1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8AF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 细胞培养室4</w:t>
            </w:r>
          </w:p>
        </w:tc>
      </w:tr>
      <w:tr w14:paraId="6C9AC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0A85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071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水浴锅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F11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592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638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细胞间1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72F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 细胞培养室4</w:t>
            </w:r>
          </w:p>
        </w:tc>
      </w:tr>
      <w:tr w14:paraId="22D30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87E8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531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3B9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136*79*220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B41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9FE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细胞间2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7AC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 细胞培养室3</w:t>
            </w:r>
          </w:p>
        </w:tc>
      </w:tr>
      <w:tr w14:paraId="2D237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BC53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144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A37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136*79*220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D4E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20A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细胞间2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54E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 细胞培养室3</w:t>
            </w:r>
          </w:p>
        </w:tc>
      </w:tr>
      <w:tr w14:paraId="68547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BA50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C12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培养箱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C03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66.8*100.3*63.5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762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C8E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细胞间1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296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 细胞培养室3</w:t>
            </w:r>
          </w:p>
        </w:tc>
      </w:tr>
      <w:tr w14:paraId="63190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8CDE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B7F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医用冷藏设备</w:t>
            </w:r>
            <w:r>
              <w:rPr>
                <w:rStyle w:val="22"/>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096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65*62.4*190.2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C61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F7E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细胞间2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1CB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 细胞培养室3</w:t>
            </w:r>
          </w:p>
        </w:tc>
      </w:tr>
      <w:tr w14:paraId="6F9C7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92F1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250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医用冷藏设备</w:t>
            </w:r>
            <w:r>
              <w:rPr>
                <w:rStyle w:val="22"/>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4F2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65.9*60*169.4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FAA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549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细胞间2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4AE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 细胞培养室3</w:t>
            </w:r>
          </w:p>
        </w:tc>
      </w:tr>
      <w:tr w14:paraId="0B9A9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F640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3AF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610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136*79*220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293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EAD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细胞间2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263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 细胞培养室2</w:t>
            </w:r>
          </w:p>
        </w:tc>
      </w:tr>
      <w:tr w14:paraId="0CA25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842B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A25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C3C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140*70*200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CE7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C51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细胞间1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A58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 细胞培养室2</w:t>
            </w:r>
          </w:p>
        </w:tc>
      </w:tr>
      <w:tr w14:paraId="2A054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93E9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B8B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培养箱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944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66.8*100.3*63.5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92A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3AF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细胞间1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DBA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 细胞培养室2</w:t>
            </w:r>
          </w:p>
        </w:tc>
      </w:tr>
      <w:tr w14:paraId="503C2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5204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B7F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2BB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110*77*190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08C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489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细胞间1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404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 细胞培养室1</w:t>
            </w:r>
          </w:p>
        </w:tc>
      </w:tr>
      <w:tr w14:paraId="55C6F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676B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7A4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培养箱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0FB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66.8*100.3*63.5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4F6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433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细胞间2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A59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 细胞培养室1</w:t>
            </w:r>
          </w:p>
        </w:tc>
      </w:tr>
      <w:tr w14:paraId="03C91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B5FA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A7D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培养箱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628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66.8*100.3*63.5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F64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3A1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细胞间2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95F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 细胞培养室1</w:t>
            </w:r>
          </w:p>
        </w:tc>
      </w:tr>
    </w:tbl>
    <w:p w14:paraId="5CD2402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（六）评标方法</w:t>
      </w:r>
    </w:p>
    <w:p w14:paraId="4272477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 w:val="21"/>
          <w:szCs w:val="21"/>
        </w:rPr>
      </w:pPr>
      <w:r>
        <w:rPr>
          <w:rFonts w:hint="eastAsia" w:ascii="宋体" w:hAnsi="宋体" w:cs="宋体"/>
          <w:color w:val="000000"/>
          <w:sz w:val="21"/>
          <w:szCs w:val="21"/>
        </w:rPr>
        <w:t>采用综合评分法的，评标结果按评审后得分由高到低顺序排列。得分相同的，按投标报价由低到高顺序排列。得分且投标报价相同的并列。投标文件满足</w:t>
      </w:r>
      <w:r>
        <w:rPr>
          <w:rFonts w:hint="eastAsia" w:ascii="宋体" w:hAnsi="宋体" w:cs="宋体"/>
          <w:color w:val="000000"/>
          <w:sz w:val="21"/>
          <w:szCs w:val="21"/>
          <w:lang w:val="en-US" w:eastAsia="zh-CN"/>
        </w:rPr>
        <w:t>谈判</w:t>
      </w:r>
      <w:r>
        <w:rPr>
          <w:rFonts w:hint="eastAsia" w:ascii="宋体" w:hAnsi="宋体" w:cs="宋体"/>
          <w:color w:val="000000"/>
          <w:sz w:val="21"/>
          <w:szCs w:val="21"/>
        </w:rPr>
        <w:t>文件全部实质性要求，且按照评审因素的量化指标评审得分最高的投标人为排名第一的中标候选人。</w:t>
      </w:r>
    </w:p>
    <w:tbl>
      <w:tblPr>
        <w:tblStyle w:val="12"/>
        <w:tblW w:w="974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4"/>
        <w:gridCol w:w="1077"/>
        <w:gridCol w:w="615"/>
        <w:gridCol w:w="7087"/>
      </w:tblGrid>
      <w:tr w14:paraId="0FAD0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6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E42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评审</w:t>
            </w:r>
          </w:p>
          <w:p w14:paraId="1869D1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维度</w:t>
            </w:r>
          </w:p>
        </w:tc>
        <w:tc>
          <w:tcPr>
            <w:tcW w:w="10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216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评审内容</w:t>
            </w: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EACA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708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9C1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评分标准</w:t>
            </w:r>
          </w:p>
        </w:tc>
      </w:tr>
      <w:tr w14:paraId="3744B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AB83E">
            <w:pPr>
              <w:jc w:val="center"/>
              <w:rPr>
                <w:rFonts w:hint="eastAsia" w:ascii="宋体" w:hAnsi="宋体" w:eastAsia="宋体" w:cs="宋体"/>
                <w:i w:val="0"/>
                <w:iCs w:val="0"/>
                <w:color w:val="000000"/>
                <w:sz w:val="20"/>
                <w:szCs w:val="20"/>
                <w:u w:val="none"/>
              </w:rPr>
            </w:pP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C7279">
            <w:pPr>
              <w:jc w:val="center"/>
              <w:rPr>
                <w:rFonts w:hint="eastAsia" w:ascii="宋体" w:hAnsi="宋体" w:eastAsia="宋体" w:cs="宋体"/>
                <w:i w:val="0"/>
                <w:iCs w:val="0"/>
                <w:color w:val="000000"/>
                <w:sz w:val="20"/>
                <w:szCs w:val="20"/>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8E438">
            <w:pPr>
              <w:jc w:val="center"/>
              <w:rPr>
                <w:rFonts w:hint="eastAsia" w:ascii="宋体" w:hAnsi="宋体" w:eastAsia="宋体" w:cs="宋体"/>
                <w:i w:val="0"/>
                <w:iCs w:val="0"/>
                <w:color w:val="000000"/>
                <w:sz w:val="20"/>
                <w:szCs w:val="20"/>
                <w:u w:val="none"/>
              </w:rPr>
            </w:pPr>
          </w:p>
        </w:tc>
        <w:tc>
          <w:tcPr>
            <w:tcW w:w="70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8B5B2">
            <w:pPr>
              <w:jc w:val="center"/>
              <w:rPr>
                <w:rFonts w:hint="eastAsia" w:ascii="宋体" w:hAnsi="宋体" w:eastAsia="宋体" w:cs="宋体"/>
                <w:i w:val="0"/>
                <w:iCs w:val="0"/>
                <w:color w:val="000000"/>
                <w:sz w:val="20"/>
                <w:szCs w:val="20"/>
                <w:u w:val="none"/>
              </w:rPr>
            </w:pPr>
          </w:p>
        </w:tc>
      </w:tr>
      <w:tr w14:paraId="7DF9E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15"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9D4C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价格</w:t>
            </w:r>
          </w:p>
          <w:p w14:paraId="65D01C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（25分）</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A4B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价格</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D59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975B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评分公式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评标基准价=满足招标文件全部实质性要求的最低有效投标报价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投标报价得分=（评标基准价÷投标报价）×25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价格评审规则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（1）投标报价超过本项目预算控制价的，作无效投标处理；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（2）投标报价明显低于市场合理成本、存在恶性低价嫌疑的，评标委员会有权要求投标人提供书面说明及成本佐证材料；无法合理解释的，作无效投标处理；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（3）报价缺项、漏项、分项不合理的，酌情扣分或按无效投标处理。</w:t>
            </w:r>
          </w:p>
        </w:tc>
      </w:tr>
      <w:tr w14:paraId="613B9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trPr>
        <w:tc>
          <w:tcPr>
            <w:tcW w:w="9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C3C63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整体搬迁技术实施方案</w:t>
            </w:r>
          </w:p>
          <w:p w14:paraId="69F43D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（20分）</w:t>
            </w:r>
          </w:p>
        </w:tc>
        <w:tc>
          <w:tcPr>
            <w:tcW w:w="1077" w:type="dxa"/>
            <w:tcBorders>
              <w:top w:val="single" w:color="000000" w:sz="4" w:space="0"/>
              <w:left w:val="single" w:color="000000" w:sz="4" w:space="0"/>
              <w:bottom w:val="nil"/>
              <w:right w:val="single" w:color="000000" w:sz="4" w:space="0"/>
            </w:tcBorders>
            <w:shd w:val="clear" w:color="auto" w:fill="auto"/>
            <w:vAlign w:val="center"/>
          </w:tcPr>
          <w:p w14:paraId="03F226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整体搬迁规划方案</w:t>
            </w:r>
          </w:p>
        </w:tc>
        <w:tc>
          <w:tcPr>
            <w:tcW w:w="615" w:type="dxa"/>
            <w:tcBorders>
              <w:top w:val="single" w:color="000000" w:sz="4" w:space="0"/>
              <w:left w:val="single" w:color="000000" w:sz="4" w:space="0"/>
              <w:bottom w:val="nil"/>
              <w:right w:val="single" w:color="000000" w:sz="4" w:space="0"/>
            </w:tcBorders>
            <w:shd w:val="clear" w:color="auto" w:fill="auto"/>
            <w:vAlign w:val="center"/>
          </w:tcPr>
          <w:p w14:paraId="12FDE8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4B6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包含现场勘查、搬迁规划、搬迁顺序、新旧实验室对接流程、设备进场排布规划、分批次搬迁方案，内容完整、逻辑清晰、贴合医院实际场地情况得满分；内容缺项、简单描述酌情扣2–8分。</w:t>
            </w:r>
          </w:p>
        </w:tc>
      </w:tr>
      <w:tr w14:paraId="18CA2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0" w:hRule="atLeast"/>
        </w:trPr>
        <w:tc>
          <w:tcPr>
            <w:tcW w:w="9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8EF29">
            <w:pPr>
              <w:jc w:val="center"/>
              <w:rPr>
                <w:rFonts w:hint="eastAsia" w:ascii="宋体" w:hAnsi="宋体" w:eastAsia="宋体" w:cs="宋体"/>
                <w:i w:val="0"/>
                <w:iCs w:val="0"/>
                <w:color w:val="000000"/>
                <w:sz w:val="20"/>
                <w:szCs w:val="20"/>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70A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精密仪器专项搬迁方案</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9B1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C66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针对激光共聚焦显微镜、离心机、培养箱、低温冰箱、分析仪器等高精密、高价值、敏感设备，提供专项拆解、断电、校准、防震、防尘、防倾斜转运方案，方案专业完善得满分；缺少精密设备专项保护措施扣2－8分。</w:t>
            </w:r>
          </w:p>
        </w:tc>
      </w:tr>
      <w:tr w14:paraId="32A27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9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70C28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搬迁安全、质量及防护保障体系</w:t>
            </w:r>
          </w:p>
          <w:p w14:paraId="5FB5C4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（25分）</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928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设备防护、防震、防潮、防损措施</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AD7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345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提供专业打包材料、防震缓冲、固定捆绑、整车减震运输、仪器角度控制、防倾倒措施、低温设备不间断控温方案，措施完善得满分。</w:t>
            </w:r>
          </w:p>
        </w:tc>
      </w:tr>
      <w:tr w14:paraId="07857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9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9D5E4">
            <w:pPr>
              <w:jc w:val="center"/>
              <w:rPr>
                <w:rFonts w:hint="eastAsia" w:ascii="宋体" w:hAnsi="宋体" w:eastAsia="宋体" w:cs="宋体"/>
                <w:i w:val="0"/>
                <w:iCs w:val="0"/>
                <w:color w:val="000000"/>
                <w:sz w:val="20"/>
                <w:szCs w:val="20"/>
                <w:u w:val="none"/>
              </w:rPr>
            </w:pPr>
          </w:p>
        </w:tc>
        <w:tc>
          <w:tcPr>
            <w:tcW w:w="1077" w:type="dxa"/>
            <w:tcBorders>
              <w:top w:val="nil"/>
              <w:left w:val="single" w:color="000000" w:sz="4" w:space="0"/>
              <w:bottom w:val="nil"/>
              <w:right w:val="single" w:color="000000" w:sz="4" w:space="0"/>
            </w:tcBorders>
            <w:shd w:val="clear" w:color="auto" w:fill="auto"/>
            <w:vAlign w:val="center"/>
          </w:tcPr>
          <w:p w14:paraId="75FFD8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安全生产与院感安全保障</w:t>
            </w:r>
          </w:p>
        </w:tc>
        <w:tc>
          <w:tcPr>
            <w:tcW w:w="615" w:type="dxa"/>
            <w:tcBorders>
              <w:top w:val="single" w:color="000000" w:sz="4" w:space="0"/>
              <w:left w:val="single" w:color="000000" w:sz="4" w:space="0"/>
              <w:bottom w:val="nil"/>
              <w:right w:val="single" w:color="000000" w:sz="4" w:space="0"/>
            </w:tcBorders>
            <w:shd w:val="clear" w:color="auto" w:fill="auto"/>
            <w:vAlign w:val="center"/>
          </w:tcPr>
          <w:p w14:paraId="5C4F86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4E2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具备完善的现场安全管理制度、人员安全作业规范、消防安全、用电安全、院感防控、噪音管控、现场保洁管理，制度齐全规范得满分。</w:t>
            </w:r>
          </w:p>
        </w:tc>
      </w:tr>
      <w:tr w14:paraId="0C6FD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9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53E15">
            <w:pPr>
              <w:jc w:val="center"/>
              <w:rPr>
                <w:rFonts w:hint="eastAsia" w:ascii="宋体" w:hAnsi="宋体" w:eastAsia="宋体" w:cs="宋体"/>
                <w:i w:val="0"/>
                <w:iCs w:val="0"/>
                <w:color w:val="000000"/>
                <w:sz w:val="20"/>
                <w:szCs w:val="20"/>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391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搬迁风险预判及风险规避方案</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5E0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93F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对搬迁中设备损坏、样本失效、断电风险、磕碰风险、场地通道受限风险做全面预判，并提供对应应急处置方案，内容全面得满分。</w:t>
            </w:r>
          </w:p>
        </w:tc>
      </w:tr>
      <w:tr w14:paraId="5EA4D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964" w:type="dxa"/>
            <w:tcBorders>
              <w:top w:val="nil"/>
              <w:left w:val="single" w:color="000000" w:sz="4" w:space="0"/>
              <w:bottom w:val="single" w:color="000000" w:sz="4" w:space="0"/>
              <w:right w:val="single" w:color="000000" w:sz="4" w:space="0"/>
            </w:tcBorders>
            <w:shd w:val="clear" w:color="auto" w:fill="auto"/>
            <w:vAlign w:val="center"/>
          </w:tcPr>
          <w:p w14:paraId="0241106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业绩</w:t>
            </w:r>
          </w:p>
          <w:p w14:paraId="282EE2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（10分）</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4EA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同类三甲医院搬迁业绩</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BCB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730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提供近3年三甲医院、高校附属医院、科研实验室精密仪器搬迁合同、验收证明。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同类大型医院实验室搬迁业绩越多、规模越大得分越高；无三甲医院同类业绩不得分。</w:t>
            </w:r>
          </w:p>
        </w:tc>
      </w:tr>
      <w:tr w14:paraId="331B7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964" w:type="dxa"/>
            <w:tcBorders>
              <w:top w:val="nil"/>
              <w:left w:val="single" w:color="000000" w:sz="4" w:space="0"/>
              <w:bottom w:val="single" w:color="000000" w:sz="4" w:space="0"/>
              <w:right w:val="single" w:color="000000" w:sz="4" w:space="0"/>
            </w:tcBorders>
            <w:shd w:val="clear" w:color="auto" w:fill="auto"/>
            <w:vAlign w:val="center"/>
          </w:tcPr>
          <w:p w14:paraId="561E33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工期保障、进度管控方案（8分）</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ED1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工期保障、进度管控方案</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A61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16A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提供详细搬迁进度计划表、分区分日作业计划、错峰搬迁方案、不影响医院正常诊疗工作的搬迁方案。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具备工期延误预防措施、加班保障机制、进度纠偏机制，方案完善得满分。</w:t>
            </w:r>
          </w:p>
        </w:tc>
      </w:tr>
      <w:tr w14:paraId="219AF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964" w:type="dxa"/>
            <w:vMerge w:val="restart"/>
            <w:tcBorders>
              <w:top w:val="nil"/>
              <w:left w:val="single" w:color="000000" w:sz="4" w:space="0"/>
              <w:right w:val="single" w:color="000000" w:sz="4" w:space="0"/>
            </w:tcBorders>
            <w:shd w:val="clear" w:color="auto" w:fill="auto"/>
            <w:vAlign w:val="center"/>
          </w:tcPr>
          <w:p w14:paraId="425BB2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应急保障、售后、质保服务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（12分）</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0FF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设备搬迁损坏质保承诺</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12F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B10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承诺搬迁造成的设备磕碰、移位、故障、精度偏差由服务商免费修复、免费校准、承担全部损失，承诺明确、条款严谨得满分。</w:t>
            </w:r>
          </w:p>
        </w:tc>
      </w:tr>
      <w:tr w14:paraId="2CE12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964" w:type="dxa"/>
            <w:vMerge w:val="continue"/>
            <w:tcBorders>
              <w:left w:val="single" w:color="000000" w:sz="4" w:space="0"/>
              <w:right w:val="single" w:color="000000" w:sz="4" w:space="0"/>
            </w:tcBorders>
            <w:shd w:val="clear" w:color="auto" w:fill="auto"/>
            <w:vAlign w:val="center"/>
          </w:tcPr>
          <w:p w14:paraId="47C92C20">
            <w:pPr>
              <w:jc w:val="center"/>
              <w:rPr>
                <w:rFonts w:hint="eastAsia" w:ascii="宋体" w:hAnsi="宋体" w:eastAsia="宋体" w:cs="宋体"/>
                <w:i w:val="0"/>
                <w:iCs w:val="0"/>
                <w:color w:val="000000"/>
                <w:sz w:val="20"/>
                <w:szCs w:val="20"/>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F6A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24小时应急响应机制</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0AC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B9A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提供搬迁期间及搬迁完成后应急抢修、设备调试应急、低温设备故障应急、样本保全应急方案。</w:t>
            </w:r>
          </w:p>
        </w:tc>
      </w:tr>
      <w:tr w14:paraId="3401F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964" w:type="dxa"/>
            <w:vMerge w:val="continue"/>
            <w:tcBorders>
              <w:left w:val="single" w:color="000000" w:sz="4" w:space="0"/>
              <w:bottom w:val="single" w:color="000000" w:sz="4" w:space="0"/>
              <w:right w:val="single" w:color="000000" w:sz="4" w:space="0"/>
            </w:tcBorders>
            <w:shd w:val="clear" w:color="auto" w:fill="auto"/>
            <w:vAlign w:val="center"/>
          </w:tcPr>
          <w:p w14:paraId="5FD4D285">
            <w:pPr>
              <w:jc w:val="center"/>
              <w:rPr>
                <w:rFonts w:hint="eastAsia" w:ascii="宋体" w:hAnsi="宋体" w:eastAsia="宋体" w:cs="宋体"/>
                <w:i w:val="0"/>
                <w:iCs w:val="0"/>
                <w:color w:val="000000"/>
                <w:sz w:val="20"/>
                <w:szCs w:val="20"/>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874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搬迁后调试、复位、校准服务</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142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560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包含设备归位、水平调试、通电检测、功能复位、整机试运行、现场验收交付服务，服务齐全得满分。</w:t>
            </w:r>
          </w:p>
        </w:tc>
      </w:tr>
    </w:tbl>
    <w:p w14:paraId="542DC312">
      <w:pPr>
        <w:jc w:val="center"/>
        <w:rPr>
          <w:rFonts w:hint="eastAsia"/>
          <w:b/>
          <w:sz w:val="32"/>
          <w:szCs w:val="32"/>
        </w:rPr>
      </w:pPr>
    </w:p>
    <w:p w14:paraId="691BAE45">
      <w:pPr>
        <w:rPr>
          <w:rFonts w:hint="eastAsia"/>
          <w:b/>
          <w:sz w:val="32"/>
          <w:szCs w:val="32"/>
        </w:rPr>
      </w:pPr>
      <w:r>
        <w:rPr>
          <w:rFonts w:hint="eastAsia"/>
          <w:b/>
          <w:sz w:val="32"/>
          <w:szCs w:val="32"/>
        </w:rPr>
        <w:br w:type="page"/>
      </w:r>
    </w:p>
    <w:p w14:paraId="0F8F276C">
      <w:pPr>
        <w:jc w:val="center"/>
        <w:rPr>
          <w:b/>
          <w:sz w:val="32"/>
          <w:szCs w:val="32"/>
        </w:rPr>
      </w:pPr>
      <w:r>
        <w:rPr>
          <w:rFonts w:hint="eastAsia"/>
          <w:b/>
          <w:sz w:val="32"/>
          <w:szCs w:val="32"/>
        </w:rPr>
        <w:t>三、投标人须知</w:t>
      </w:r>
      <w:bookmarkEnd w:id="2"/>
    </w:p>
    <w:p w14:paraId="3681F8B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rPr>
          <w:b/>
          <w:sz w:val="24"/>
          <w:szCs w:val="24"/>
        </w:rPr>
      </w:pPr>
      <w:bookmarkStart w:id="3" w:name="_Toc39744256"/>
      <w:r>
        <w:rPr>
          <w:rFonts w:hint="eastAsia"/>
          <w:b/>
          <w:sz w:val="24"/>
          <w:szCs w:val="24"/>
        </w:rPr>
        <w:t>（一）编制要求</w:t>
      </w:r>
    </w:p>
    <w:p w14:paraId="63083ED8">
      <w:pPr>
        <w:keepNext w:val="0"/>
        <w:keepLines w:val="0"/>
        <w:pageBreakBefore w:val="0"/>
        <w:widowControl w:val="0"/>
        <w:tabs>
          <w:tab w:val="left" w:pos="9214"/>
        </w:tabs>
        <w:kinsoku/>
        <w:wordWrap/>
        <w:overflowPunct/>
        <w:topLinePunct w:val="0"/>
        <w:autoSpaceDE/>
        <w:autoSpaceDN/>
        <w:bidi w:val="0"/>
        <w:adjustRightInd w:val="0"/>
        <w:snapToGrid w:val="0"/>
        <w:spacing w:line="360" w:lineRule="auto"/>
        <w:ind w:left="0" w:leftChars="0" w:right="0" w:rightChars="0" w:firstLine="420" w:firstLineChars="200"/>
        <w:contextualSpacing/>
        <w:jc w:val="both"/>
        <w:textAlignment w:val="auto"/>
        <w:rPr>
          <w:rFonts w:ascii="宋体" w:hAnsi="宋体"/>
          <w:sz w:val="21"/>
          <w:szCs w:val="21"/>
        </w:rPr>
      </w:pPr>
      <w:r>
        <w:rPr>
          <w:rFonts w:hint="eastAsia" w:ascii="宋体" w:hAnsi="宋体"/>
          <w:sz w:val="21"/>
          <w:szCs w:val="21"/>
        </w:rPr>
        <w:t>1、投标人应在仔细阅读谈判文件的基础上，按招标方要求认真编写投标文件，并加盖投标单位公章。投标人提供的投标文件必须真实、详尽。所有投标文件须有总目录和总页码，每份标书从起始页依次插入连续的页码。投标文件袋须密封良好并加盖骑缝印章，送达指定地点，逾时送交的材料概不接受。</w:t>
      </w:r>
    </w:p>
    <w:p w14:paraId="4E5FCF04">
      <w:pPr>
        <w:keepNext w:val="0"/>
        <w:keepLines w:val="0"/>
        <w:pageBreakBefore w:val="0"/>
        <w:widowControl w:val="0"/>
        <w:tabs>
          <w:tab w:val="left" w:pos="9214"/>
        </w:tabs>
        <w:kinsoku/>
        <w:wordWrap/>
        <w:overflowPunct/>
        <w:topLinePunct w:val="0"/>
        <w:autoSpaceDE/>
        <w:autoSpaceDN/>
        <w:bidi w:val="0"/>
        <w:adjustRightInd w:val="0"/>
        <w:snapToGrid w:val="0"/>
        <w:spacing w:line="360" w:lineRule="auto"/>
        <w:ind w:left="0" w:leftChars="0" w:right="0" w:rightChars="0" w:firstLine="420" w:firstLineChars="200"/>
        <w:contextualSpacing/>
        <w:jc w:val="both"/>
        <w:textAlignment w:val="auto"/>
        <w:rPr>
          <w:rFonts w:ascii="宋体" w:hAnsi="宋体"/>
          <w:sz w:val="21"/>
          <w:szCs w:val="21"/>
        </w:rPr>
      </w:pPr>
      <w:r>
        <w:rPr>
          <w:rFonts w:hint="eastAsia" w:ascii="宋体" w:hAnsi="宋体"/>
          <w:sz w:val="21"/>
          <w:szCs w:val="21"/>
        </w:rPr>
        <w:t>2、投标人在收到谈判文件后，若有疑问应以书面形式（包括书面文字、传真、电子邮件等）在规定时间前向招标人提出。招标人将所有问题集中后在统一答复所有投标人。</w:t>
      </w:r>
    </w:p>
    <w:p w14:paraId="4C95B188">
      <w:pPr>
        <w:keepNext w:val="0"/>
        <w:keepLines w:val="0"/>
        <w:pageBreakBefore w:val="0"/>
        <w:widowControl w:val="0"/>
        <w:tabs>
          <w:tab w:val="left" w:pos="9214"/>
        </w:tabs>
        <w:kinsoku/>
        <w:wordWrap/>
        <w:overflowPunct/>
        <w:topLinePunct w:val="0"/>
        <w:autoSpaceDE/>
        <w:autoSpaceDN/>
        <w:bidi w:val="0"/>
        <w:adjustRightInd w:val="0"/>
        <w:snapToGrid w:val="0"/>
        <w:spacing w:line="360" w:lineRule="auto"/>
        <w:ind w:left="0" w:leftChars="0" w:right="0" w:rightChars="0" w:firstLine="420" w:firstLineChars="200"/>
        <w:contextualSpacing/>
        <w:jc w:val="both"/>
        <w:textAlignment w:val="auto"/>
        <w:rPr>
          <w:rFonts w:ascii="宋体" w:hAnsi="宋体"/>
          <w:sz w:val="21"/>
          <w:szCs w:val="21"/>
        </w:rPr>
      </w:pPr>
      <w:r>
        <w:rPr>
          <w:rFonts w:hint="eastAsia" w:ascii="宋体" w:hAnsi="宋体"/>
          <w:sz w:val="21"/>
          <w:szCs w:val="21"/>
        </w:rPr>
        <w:t>3、明确标明“正本”或“副本”字样，一旦正本和副本有差异，以正本为准。所有投标资料均需A4纸打印，按照谈判文件规定的顺序装订。</w:t>
      </w:r>
    </w:p>
    <w:bookmarkEnd w:id="3"/>
    <w:p w14:paraId="3E26157D">
      <w:pPr>
        <w:keepNext w:val="0"/>
        <w:keepLines w:val="0"/>
        <w:pageBreakBefore w:val="0"/>
        <w:widowControl w:val="0"/>
        <w:kinsoku/>
        <w:wordWrap/>
        <w:overflowPunct/>
        <w:topLinePunct w:val="0"/>
        <w:bidi w:val="0"/>
        <w:spacing w:line="360" w:lineRule="auto"/>
        <w:ind w:left="0" w:leftChars="0" w:right="0" w:rightChars="0" w:firstLine="0" w:firstLineChars="0"/>
        <w:jc w:val="both"/>
        <w:textAlignment w:val="auto"/>
        <w:rPr>
          <w:b/>
          <w:sz w:val="24"/>
          <w:szCs w:val="24"/>
        </w:rPr>
      </w:pPr>
      <w:bookmarkStart w:id="4" w:name="_Toc39744257"/>
      <w:r>
        <w:rPr>
          <w:rFonts w:hint="eastAsia"/>
          <w:b/>
          <w:sz w:val="24"/>
          <w:szCs w:val="24"/>
        </w:rPr>
        <w:t>（二）资格审查要求</w:t>
      </w:r>
    </w:p>
    <w:p w14:paraId="1950885D">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22" w:firstLineChars="200"/>
        <w:contextualSpacing/>
        <w:jc w:val="both"/>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color w:val="FF0000"/>
          <w:sz w:val="21"/>
          <w:szCs w:val="21"/>
        </w:rPr>
        <w:t>202</w:t>
      </w:r>
      <w:r>
        <w:rPr>
          <w:rFonts w:hint="eastAsia" w:asciiTheme="minorEastAsia" w:hAnsiTheme="minorEastAsia" w:eastAsiaTheme="minorEastAsia" w:cstheme="minorEastAsia"/>
          <w:b/>
          <w:color w:val="FF0000"/>
          <w:sz w:val="21"/>
          <w:szCs w:val="21"/>
          <w:lang w:val="en-US" w:eastAsia="zh-CN"/>
        </w:rPr>
        <w:t>6</w:t>
      </w:r>
      <w:r>
        <w:rPr>
          <w:rFonts w:hint="eastAsia" w:asciiTheme="minorEastAsia" w:hAnsiTheme="minorEastAsia" w:eastAsiaTheme="minorEastAsia" w:cstheme="minorEastAsia"/>
          <w:b/>
          <w:color w:val="FF0000"/>
          <w:sz w:val="21"/>
          <w:szCs w:val="21"/>
        </w:rPr>
        <w:t>年</w:t>
      </w:r>
      <w:r>
        <w:rPr>
          <w:rFonts w:hint="eastAsia" w:asciiTheme="minorEastAsia" w:hAnsiTheme="minorEastAsia" w:eastAsiaTheme="minorEastAsia" w:cstheme="minorEastAsia"/>
          <w:b/>
          <w:color w:val="FF0000"/>
          <w:sz w:val="21"/>
          <w:szCs w:val="21"/>
          <w:lang w:val="en-US" w:eastAsia="zh-CN"/>
        </w:rPr>
        <w:t>9</w:t>
      </w:r>
      <w:r>
        <w:rPr>
          <w:rFonts w:hint="eastAsia" w:asciiTheme="minorEastAsia" w:hAnsiTheme="minorEastAsia" w:eastAsiaTheme="minorEastAsia" w:cstheme="minorEastAsia"/>
          <w:b/>
          <w:color w:val="FF0000"/>
          <w:sz w:val="21"/>
          <w:szCs w:val="21"/>
        </w:rPr>
        <w:t>月</w:t>
      </w:r>
      <w:r>
        <w:rPr>
          <w:rFonts w:hint="eastAsia" w:asciiTheme="minorEastAsia" w:hAnsiTheme="minorEastAsia" w:eastAsiaTheme="minorEastAsia" w:cstheme="minorEastAsia"/>
          <w:b/>
          <w:color w:val="FF0000"/>
          <w:sz w:val="21"/>
          <w:szCs w:val="21"/>
          <w:lang w:val="en-US" w:eastAsia="zh-CN"/>
        </w:rPr>
        <w:t>13</w:t>
      </w:r>
      <w:r>
        <w:rPr>
          <w:rFonts w:hint="eastAsia" w:asciiTheme="minorEastAsia" w:hAnsiTheme="minorEastAsia" w:eastAsiaTheme="minorEastAsia" w:cstheme="minorEastAsia"/>
          <w:b/>
          <w:color w:val="FF0000"/>
          <w:sz w:val="21"/>
          <w:szCs w:val="21"/>
        </w:rPr>
        <w:t>日17：00</w:t>
      </w:r>
      <w:r>
        <w:rPr>
          <w:rFonts w:hint="eastAsia" w:asciiTheme="minorEastAsia" w:hAnsiTheme="minorEastAsia" w:eastAsiaTheme="minorEastAsia" w:cstheme="minorEastAsia"/>
          <w:b/>
          <w:sz w:val="21"/>
          <w:szCs w:val="21"/>
        </w:rPr>
        <w:t>前须向招标人提供法人授权委托书、供应商参加谈判确认函、营业执照复印件扫描件发送电子邮箱，该授权委托代理为</w:t>
      </w:r>
      <w:r>
        <w:rPr>
          <w:rFonts w:hint="eastAsia" w:asciiTheme="minorEastAsia" w:hAnsiTheme="minorEastAsia" w:eastAsiaTheme="minorEastAsia" w:cstheme="minorEastAsia"/>
          <w:b/>
          <w:sz w:val="21"/>
          <w:szCs w:val="21"/>
          <w:lang w:val="en-US" w:eastAsia="zh-CN"/>
        </w:rPr>
        <w:t>该</w:t>
      </w:r>
      <w:r>
        <w:rPr>
          <w:rFonts w:hint="eastAsia" w:asciiTheme="minorEastAsia" w:hAnsiTheme="minorEastAsia" w:eastAsiaTheme="minorEastAsia" w:cstheme="minorEastAsia"/>
          <w:b/>
          <w:sz w:val="21"/>
          <w:szCs w:val="21"/>
        </w:rPr>
        <w:t>项目指定联系人。</w:t>
      </w:r>
    </w:p>
    <w:p w14:paraId="418C117B">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20" w:firstLineChars="200"/>
        <w:contextualSpacing/>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投标人</w:t>
      </w:r>
      <w:r>
        <w:rPr>
          <w:rFonts w:hint="eastAsia" w:asciiTheme="minorEastAsia" w:hAnsiTheme="minorEastAsia" w:eastAsiaTheme="minorEastAsia" w:cstheme="minorEastAsia"/>
          <w:sz w:val="21"/>
          <w:szCs w:val="21"/>
          <w:lang w:val="en-US" w:eastAsia="zh-CN"/>
        </w:rPr>
        <w:t>基本资格条件</w:t>
      </w:r>
    </w:p>
    <w:p w14:paraId="6765978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baseline"/>
        <w:rPr>
          <w:rFonts w:hint="eastAsia" w:asciiTheme="minorEastAsia" w:hAnsiTheme="minorEastAsia" w:eastAsiaTheme="minorEastAsia" w:cstheme="minorEastAsia"/>
          <w:i w:val="0"/>
          <w:iCs w:val="0"/>
          <w:caps w:val="0"/>
          <w:color w:val="auto"/>
          <w:spacing w:val="0"/>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rPr>
        <w:t>满足《中华人民共和国政府采购法》第二十二条规定，并提供下列材料：</w:t>
      </w:r>
    </w:p>
    <w:p w14:paraId="264A890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baseline"/>
        <w:rPr>
          <w:rFonts w:hint="eastAsia" w:asciiTheme="minorEastAsia" w:hAnsiTheme="minorEastAsia" w:eastAsiaTheme="minorEastAsia" w:cstheme="minorEastAsia"/>
          <w:i w:val="0"/>
          <w:iCs w:val="0"/>
          <w:caps w:val="0"/>
          <w:color w:val="auto"/>
          <w:spacing w:val="0"/>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eastAsia="zh-CN"/>
        </w:rPr>
        <w:t>（</w:t>
      </w: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1</w:t>
      </w:r>
      <w:r>
        <w:rPr>
          <w:rFonts w:hint="eastAsia" w:asciiTheme="minorEastAsia" w:hAnsiTheme="minorEastAsia" w:eastAsiaTheme="minorEastAsia" w:cstheme="minorEastAsia"/>
          <w:i w:val="0"/>
          <w:iCs w:val="0"/>
          <w:caps w:val="0"/>
          <w:color w:val="auto"/>
          <w:spacing w:val="0"/>
          <w:sz w:val="21"/>
          <w:szCs w:val="21"/>
          <w:shd w:val="clear" w:fill="FFFFFF"/>
          <w:vertAlign w:val="baseline"/>
          <w:lang w:eastAsia="zh-CN"/>
        </w:rPr>
        <w:t>）</w:t>
      </w:r>
      <w:r>
        <w:rPr>
          <w:rFonts w:hint="eastAsia" w:asciiTheme="minorEastAsia" w:hAnsiTheme="minorEastAsia" w:eastAsiaTheme="minorEastAsia" w:cstheme="minorEastAsia"/>
          <w:i w:val="0"/>
          <w:iCs w:val="0"/>
          <w:caps w:val="0"/>
          <w:color w:val="auto"/>
          <w:spacing w:val="0"/>
          <w:sz w:val="21"/>
          <w:szCs w:val="21"/>
          <w:shd w:val="clear" w:fill="FFFFFF"/>
          <w:vertAlign w:val="baseline"/>
        </w:rPr>
        <w:t>法人或者其他组织的营业执照等证明文件，自然人的身份证明；</w:t>
      </w:r>
    </w:p>
    <w:p w14:paraId="64D5F95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baseline"/>
        <w:rPr>
          <w:rFonts w:hint="eastAsia" w:asciiTheme="minorEastAsia" w:hAnsiTheme="minorEastAsia" w:eastAsiaTheme="minorEastAsia" w:cstheme="minorEastAsia"/>
          <w:i w:val="0"/>
          <w:iCs w:val="0"/>
          <w:caps w:val="0"/>
          <w:color w:val="auto"/>
          <w:spacing w:val="0"/>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eastAsia="zh-CN"/>
        </w:rPr>
        <w:t>（</w:t>
      </w: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2</w:t>
      </w:r>
      <w:r>
        <w:rPr>
          <w:rFonts w:hint="eastAsia" w:asciiTheme="minorEastAsia" w:hAnsiTheme="minorEastAsia" w:eastAsiaTheme="minorEastAsia" w:cstheme="minorEastAsia"/>
          <w:i w:val="0"/>
          <w:iCs w:val="0"/>
          <w:caps w:val="0"/>
          <w:color w:val="auto"/>
          <w:spacing w:val="0"/>
          <w:sz w:val="21"/>
          <w:szCs w:val="21"/>
          <w:shd w:val="clear" w:fill="FFFFFF"/>
          <w:vertAlign w:val="baseline"/>
          <w:lang w:eastAsia="zh-CN"/>
        </w:rPr>
        <w:t>）</w:t>
      </w:r>
      <w:r>
        <w:rPr>
          <w:rFonts w:hint="eastAsia" w:asciiTheme="minorEastAsia" w:hAnsiTheme="minorEastAsia" w:eastAsiaTheme="minorEastAsia" w:cstheme="minorEastAsia"/>
          <w:i w:val="0"/>
          <w:iCs w:val="0"/>
          <w:caps w:val="0"/>
          <w:color w:val="auto"/>
          <w:spacing w:val="0"/>
          <w:sz w:val="21"/>
          <w:szCs w:val="21"/>
          <w:shd w:val="clear" w:fill="FFFFFF"/>
          <w:vertAlign w:val="baseline"/>
        </w:rPr>
        <w:t>依法缴纳职工社会保障资金的证明材料(税务、银行或社会保险基金管理部门出具的近三个月内任意一个月缴纳职工社会保障资金的缴款凭证</w:t>
      </w:r>
      <w:bookmarkStart w:id="6" w:name="_GoBack"/>
      <w:bookmarkEnd w:id="6"/>
      <w:r>
        <w:rPr>
          <w:rFonts w:hint="eastAsia" w:asciiTheme="minorEastAsia" w:hAnsiTheme="minorEastAsia" w:eastAsiaTheme="minorEastAsia" w:cstheme="minorEastAsia"/>
          <w:i w:val="0"/>
          <w:iCs w:val="0"/>
          <w:caps w:val="0"/>
          <w:color w:val="auto"/>
          <w:spacing w:val="0"/>
          <w:sz w:val="21"/>
          <w:szCs w:val="21"/>
          <w:shd w:val="clear" w:fill="FFFFFF"/>
          <w:vertAlign w:val="baseline"/>
        </w:rPr>
        <w:t>或缴款证明)（供应商依法享受缓缴、免缴的提供证明材料）；</w:t>
      </w:r>
    </w:p>
    <w:p w14:paraId="456BB2A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baseline"/>
        <w:rPr>
          <w:rFonts w:hint="eastAsia" w:asciiTheme="minorEastAsia" w:hAnsiTheme="minorEastAsia" w:eastAsiaTheme="minorEastAsia" w:cstheme="minorEastAsia"/>
          <w:i w:val="0"/>
          <w:iCs w:val="0"/>
          <w:caps w:val="0"/>
          <w:color w:val="auto"/>
          <w:spacing w:val="0"/>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eastAsia="zh-CN"/>
        </w:rPr>
        <w:t>（</w:t>
      </w: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3</w:t>
      </w:r>
      <w:r>
        <w:rPr>
          <w:rFonts w:hint="eastAsia" w:asciiTheme="minorEastAsia" w:hAnsiTheme="minorEastAsia" w:eastAsiaTheme="minorEastAsia" w:cstheme="minorEastAsia"/>
          <w:i w:val="0"/>
          <w:iCs w:val="0"/>
          <w:caps w:val="0"/>
          <w:color w:val="auto"/>
          <w:spacing w:val="0"/>
          <w:sz w:val="21"/>
          <w:szCs w:val="21"/>
          <w:shd w:val="clear" w:fill="FFFFFF"/>
          <w:vertAlign w:val="baseline"/>
          <w:lang w:eastAsia="zh-CN"/>
        </w:rPr>
        <w:t>）</w:t>
      </w:r>
      <w:r>
        <w:rPr>
          <w:rFonts w:hint="eastAsia" w:asciiTheme="minorEastAsia" w:hAnsiTheme="minorEastAsia" w:eastAsiaTheme="minorEastAsia" w:cstheme="minorEastAsia"/>
          <w:i w:val="0"/>
          <w:iCs w:val="0"/>
          <w:caps w:val="0"/>
          <w:color w:val="auto"/>
          <w:spacing w:val="0"/>
          <w:sz w:val="21"/>
          <w:szCs w:val="21"/>
          <w:shd w:val="clear" w:fill="FFFFFF"/>
          <w:vertAlign w:val="baseline"/>
        </w:rPr>
        <w:t>上一年度的财务报告情况（成立不满一年不需提供）；</w:t>
      </w:r>
    </w:p>
    <w:p w14:paraId="7630C49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baseline"/>
        <w:rPr>
          <w:rFonts w:hint="eastAsia" w:asciiTheme="minorEastAsia" w:hAnsiTheme="minorEastAsia" w:eastAsiaTheme="minorEastAsia" w:cstheme="minorEastAsia"/>
          <w:i w:val="0"/>
          <w:iCs w:val="0"/>
          <w:caps w:val="0"/>
          <w:color w:val="auto"/>
          <w:spacing w:val="0"/>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eastAsia="zh-CN"/>
        </w:rPr>
        <w:t>（</w:t>
      </w: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4</w:t>
      </w:r>
      <w:r>
        <w:rPr>
          <w:rFonts w:hint="eastAsia" w:asciiTheme="minorEastAsia" w:hAnsiTheme="minorEastAsia" w:eastAsiaTheme="minorEastAsia" w:cstheme="minorEastAsia"/>
          <w:i w:val="0"/>
          <w:iCs w:val="0"/>
          <w:caps w:val="0"/>
          <w:color w:val="auto"/>
          <w:spacing w:val="0"/>
          <w:sz w:val="21"/>
          <w:szCs w:val="21"/>
          <w:shd w:val="clear" w:fill="FFFFFF"/>
          <w:vertAlign w:val="baseline"/>
          <w:lang w:eastAsia="zh-CN"/>
        </w:rPr>
        <w:t>）</w:t>
      </w:r>
      <w:r>
        <w:rPr>
          <w:rFonts w:hint="eastAsia" w:asciiTheme="minorEastAsia" w:hAnsiTheme="minorEastAsia" w:eastAsiaTheme="minorEastAsia" w:cstheme="minorEastAsia"/>
          <w:i w:val="0"/>
          <w:iCs w:val="0"/>
          <w:caps w:val="0"/>
          <w:color w:val="auto"/>
          <w:spacing w:val="0"/>
          <w:sz w:val="21"/>
          <w:szCs w:val="21"/>
          <w:shd w:val="clear" w:fill="FFFFFF"/>
          <w:vertAlign w:val="baseline"/>
        </w:rPr>
        <w:t>具备履行合同所必需的设备和专业技术能力的证明材料（投标人各类资质证书材料复印件并加盖公章）；</w:t>
      </w:r>
    </w:p>
    <w:p w14:paraId="6B5AC98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baseline"/>
        <w:rPr>
          <w:rFonts w:hint="eastAsia" w:asciiTheme="minorEastAsia" w:hAnsiTheme="minorEastAsia" w:eastAsiaTheme="minorEastAsia" w:cstheme="minorEastAsia"/>
          <w:i w:val="0"/>
          <w:iCs w:val="0"/>
          <w:caps w:val="0"/>
          <w:color w:val="auto"/>
          <w:spacing w:val="0"/>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eastAsia="zh-CN"/>
        </w:rPr>
        <w:t>（</w:t>
      </w: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5</w:t>
      </w:r>
      <w:r>
        <w:rPr>
          <w:rFonts w:hint="eastAsia" w:asciiTheme="minorEastAsia" w:hAnsiTheme="minorEastAsia" w:eastAsiaTheme="minorEastAsia" w:cstheme="minorEastAsia"/>
          <w:i w:val="0"/>
          <w:iCs w:val="0"/>
          <w:caps w:val="0"/>
          <w:color w:val="auto"/>
          <w:spacing w:val="0"/>
          <w:sz w:val="21"/>
          <w:szCs w:val="21"/>
          <w:shd w:val="clear" w:fill="FFFFFF"/>
          <w:vertAlign w:val="baseline"/>
          <w:lang w:eastAsia="zh-CN"/>
        </w:rPr>
        <w:t>）</w:t>
      </w:r>
      <w:r>
        <w:rPr>
          <w:rFonts w:hint="eastAsia" w:asciiTheme="minorEastAsia" w:hAnsiTheme="minorEastAsia" w:eastAsiaTheme="minorEastAsia" w:cstheme="minorEastAsia"/>
          <w:i w:val="0"/>
          <w:iCs w:val="0"/>
          <w:caps w:val="0"/>
          <w:color w:val="auto"/>
          <w:spacing w:val="0"/>
          <w:sz w:val="21"/>
          <w:szCs w:val="21"/>
          <w:shd w:val="clear" w:fill="FFFFFF"/>
          <w:vertAlign w:val="baseline"/>
        </w:rPr>
        <w:t>参加本次采购活动前3年内在经营活动中没有重大违法记录的书面声明；</w:t>
      </w:r>
    </w:p>
    <w:p w14:paraId="3640B11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baseline"/>
        <w:rPr>
          <w:rFonts w:hint="eastAsia" w:asciiTheme="minorEastAsia" w:hAnsiTheme="minorEastAsia" w:eastAsiaTheme="minorEastAsia" w:cstheme="minorEastAsia"/>
          <w:i w:val="0"/>
          <w:iCs w:val="0"/>
          <w:caps w:val="0"/>
          <w:color w:val="auto"/>
          <w:spacing w:val="0"/>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eastAsia="zh-CN"/>
        </w:rPr>
        <w:t>（</w:t>
      </w: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6</w:t>
      </w:r>
      <w:r>
        <w:rPr>
          <w:rFonts w:hint="eastAsia" w:asciiTheme="minorEastAsia" w:hAnsiTheme="minorEastAsia" w:eastAsiaTheme="minorEastAsia" w:cstheme="minorEastAsia"/>
          <w:i w:val="0"/>
          <w:iCs w:val="0"/>
          <w:caps w:val="0"/>
          <w:color w:val="auto"/>
          <w:spacing w:val="0"/>
          <w:sz w:val="21"/>
          <w:szCs w:val="21"/>
          <w:shd w:val="clear" w:fill="FFFFFF"/>
          <w:vertAlign w:val="baseline"/>
          <w:lang w:eastAsia="zh-CN"/>
        </w:rPr>
        <w:t>）</w:t>
      </w:r>
      <w:r>
        <w:rPr>
          <w:rFonts w:hint="eastAsia" w:asciiTheme="minorEastAsia" w:hAnsiTheme="minorEastAsia" w:eastAsiaTheme="minorEastAsia" w:cstheme="minorEastAsia"/>
          <w:i w:val="0"/>
          <w:iCs w:val="0"/>
          <w:caps w:val="0"/>
          <w:color w:val="auto"/>
          <w:spacing w:val="0"/>
          <w:sz w:val="21"/>
          <w:szCs w:val="21"/>
          <w:shd w:val="clear" w:fill="FFFFFF"/>
          <w:vertAlign w:val="baseline"/>
        </w:rPr>
        <w:t>未被“信用中国”网站（www.creditchina.gov.cn）、“中国政府采购网</w:t>
      </w:r>
      <w:r>
        <w:rPr>
          <w:rFonts w:hint="eastAsia" w:asciiTheme="minorEastAsia" w:hAnsiTheme="minorEastAsia" w:eastAsiaTheme="minorEastAsia" w:cstheme="minorEastAsia"/>
          <w:i w:val="0"/>
          <w:iCs w:val="0"/>
          <w:caps w:val="0"/>
          <w:color w:val="auto"/>
          <w:spacing w:val="0"/>
          <w:sz w:val="21"/>
          <w:szCs w:val="21"/>
          <w:shd w:val="clear" w:fill="FFFFFF"/>
          <w:vertAlign w:val="baseline"/>
          <w:lang w:eastAsia="zh-CN"/>
        </w:rPr>
        <w:t>”</w:t>
      </w:r>
      <w:r>
        <w:rPr>
          <w:rFonts w:hint="eastAsia" w:asciiTheme="minorEastAsia" w:hAnsiTheme="minorEastAsia" w:eastAsiaTheme="minorEastAsia" w:cstheme="minorEastAsia"/>
          <w:i w:val="0"/>
          <w:iCs w:val="0"/>
          <w:caps w:val="0"/>
          <w:color w:val="auto"/>
          <w:spacing w:val="0"/>
          <w:sz w:val="21"/>
          <w:szCs w:val="21"/>
          <w:shd w:val="clear" w:fill="FFFFFF"/>
          <w:vertAlign w:val="baseline"/>
        </w:rPr>
        <w:t>(www.ccgp.gov.cn)列入失信被执行人、重大税收违法案件当事人名单、政府采购严重违法失信行为记录名单（提供网页截图，加盖公章）；</w:t>
      </w:r>
    </w:p>
    <w:p w14:paraId="29FC600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baseline"/>
        <w:rPr>
          <w:rFonts w:hint="eastAsia" w:asciiTheme="minorEastAsia" w:hAnsiTheme="minorEastAsia" w:eastAsiaTheme="minorEastAsia" w:cstheme="minorEastAsia"/>
          <w:i w:val="0"/>
          <w:iCs w:val="0"/>
          <w:caps w:val="0"/>
          <w:color w:val="auto"/>
          <w:spacing w:val="0"/>
          <w:sz w:val="21"/>
          <w:szCs w:val="21"/>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eastAsia="zh-CN"/>
        </w:rPr>
        <w:t>（</w:t>
      </w: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7</w:t>
      </w:r>
      <w:r>
        <w:rPr>
          <w:rFonts w:hint="eastAsia" w:asciiTheme="minorEastAsia" w:hAnsiTheme="minorEastAsia" w:eastAsiaTheme="minorEastAsia" w:cstheme="minorEastAsia"/>
          <w:i w:val="0"/>
          <w:iCs w:val="0"/>
          <w:caps w:val="0"/>
          <w:color w:val="auto"/>
          <w:spacing w:val="0"/>
          <w:sz w:val="21"/>
          <w:szCs w:val="21"/>
          <w:shd w:val="clear" w:fill="FFFFFF"/>
          <w:vertAlign w:val="baseline"/>
          <w:lang w:eastAsia="zh-CN"/>
        </w:rPr>
        <w:t>）</w:t>
      </w:r>
      <w:r>
        <w:rPr>
          <w:rFonts w:hint="eastAsia" w:asciiTheme="minorEastAsia" w:hAnsiTheme="minorEastAsia" w:eastAsiaTheme="minorEastAsia" w:cstheme="minorEastAsia"/>
          <w:i w:val="0"/>
          <w:iCs w:val="0"/>
          <w:caps w:val="0"/>
          <w:color w:val="auto"/>
          <w:spacing w:val="0"/>
          <w:sz w:val="21"/>
          <w:szCs w:val="21"/>
          <w:shd w:val="clear" w:fill="FFFFFF"/>
          <w:vertAlign w:val="baseline"/>
        </w:rPr>
        <w:t>供应商信用承诺函；</w:t>
      </w:r>
    </w:p>
    <w:p w14:paraId="04ACCCBE">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20" w:firstLineChars="200"/>
        <w:contextualSpacing/>
        <w:jc w:val="both"/>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i w:val="0"/>
          <w:iCs w:val="0"/>
          <w:caps w:val="0"/>
          <w:color w:val="auto"/>
          <w:spacing w:val="0"/>
          <w:sz w:val="21"/>
          <w:szCs w:val="21"/>
          <w:shd w:val="clear" w:fill="FFFFFF"/>
          <w:vertAlign w:val="baseline"/>
          <w:lang w:eastAsia="zh-CN"/>
        </w:rPr>
        <w:t>（</w:t>
      </w:r>
      <w:r>
        <w:rPr>
          <w:rFonts w:hint="eastAsia" w:asciiTheme="minorEastAsia" w:hAnsiTheme="minorEastAsia" w:eastAsiaTheme="minorEastAsia" w:cstheme="minorEastAsia"/>
          <w:i w:val="0"/>
          <w:iCs w:val="0"/>
          <w:caps w:val="0"/>
          <w:color w:val="auto"/>
          <w:spacing w:val="0"/>
          <w:sz w:val="21"/>
          <w:szCs w:val="21"/>
          <w:shd w:val="clear" w:fill="FFFFFF"/>
          <w:vertAlign w:val="baseline"/>
          <w:lang w:val="en-US" w:eastAsia="zh-CN"/>
        </w:rPr>
        <w:t>8</w:t>
      </w:r>
      <w:r>
        <w:rPr>
          <w:rFonts w:hint="eastAsia" w:asciiTheme="minorEastAsia" w:hAnsiTheme="minorEastAsia" w:eastAsiaTheme="minorEastAsia" w:cstheme="minorEastAsia"/>
          <w:i w:val="0"/>
          <w:iCs w:val="0"/>
          <w:caps w:val="0"/>
          <w:color w:val="auto"/>
          <w:spacing w:val="0"/>
          <w:sz w:val="21"/>
          <w:szCs w:val="21"/>
          <w:shd w:val="clear" w:fill="FFFFFF"/>
          <w:vertAlign w:val="baseline"/>
          <w:lang w:eastAsia="zh-CN"/>
        </w:rPr>
        <w:t>）</w:t>
      </w:r>
      <w:r>
        <w:rPr>
          <w:rFonts w:hint="eastAsia" w:asciiTheme="minorEastAsia" w:hAnsiTheme="minorEastAsia" w:eastAsiaTheme="minorEastAsia" w:cstheme="minorEastAsia"/>
          <w:i w:val="0"/>
          <w:iCs w:val="0"/>
          <w:caps w:val="0"/>
          <w:color w:val="auto"/>
          <w:spacing w:val="0"/>
          <w:sz w:val="21"/>
          <w:szCs w:val="21"/>
          <w:shd w:val="clear" w:fill="FFFFFF"/>
          <w:vertAlign w:val="baseline"/>
        </w:rPr>
        <w:t>详见谈判文件，供应商认为需要提供的其他材料，未提供的格式自拟</w:t>
      </w:r>
      <w:r>
        <w:rPr>
          <w:rFonts w:hint="eastAsia" w:asciiTheme="minorEastAsia" w:hAnsiTheme="minorEastAsia" w:eastAsiaTheme="minorEastAsia" w:cstheme="minorEastAsia"/>
          <w:sz w:val="21"/>
          <w:szCs w:val="21"/>
          <w:lang w:eastAsia="zh-CN"/>
        </w:rPr>
        <w:t>。</w:t>
      </w:r>
    </w:p>
    <w:p w14:paraId="74374905">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20" w:firstLineChars="200"/>
        <w:contextualSpacing/>
        <w:jc w:val="both"/>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2、本项目特定资格条件（★实质性要求）</w:t>
      </w:r>
    </w:p>
    <w:p w14:paraId="666E74A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baseline"/>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本项目包含激光共聚焦显微镜、二氧化碳培养箱等高精度贵重设备搬迁，为保障设备搬迁后性能、精度不受影响，降低设备损坏风险，要求：</w:t>
      </w:r>
    </w:p>
    <w:p w14:paraId="46EE9E3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baseline"/>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（1）★投标人须提供激光共聚焦显微镜原厂（或原厂授权的国内总代理）出具的搬迁服务授权/确认文件，明确认可投标人可开展该设备的搬迁、拆装、复位作业；</w:t>
      </w:r>
    </w:p>
    <w:p w14:paraId="60E1F2CB">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baseline"/>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（2）★投标人须提供二氧化碳培养箱原厂（或原厂授权的国内总代理）出具的搬迁服务授权/确认文件，明确认可投标人可开展该设备的搬迁、拆装、复位作业。</w:t>
      </w:r>
    </w:p>
    <w:p w14:paraId="7D28624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baseline"/>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说明：授权文件须加盖原厂/总代理公章，文件中需明确针对扬州大学附属医院实验室精密仪器移机及校准服务项目，授权范围包含设备搬迁、拆机、移位、复位调试；若为代理商转授权，须同时提供原厂对该代理商的授权佐证材料。</w:t>
      </w:r>
    </w:p>
    <w:p w14:paraId="52E0438E">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20" w:firstLineChars="200"/>
        <w:contextualSpacing/>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（3）投标人须具备实验室精密仪器搬迁相关作业经验，须提供近3年内三甲医院实验室精密设备搬迁业绩（合同及验收证明复印件加盖公章）。</w:t>
      </w:r>
    </w:p>
    <w:bookmarkEnd w:id="4"/>
    <w:p w14:paraId="23ACFB0F">
      <w:pPr>
        <w:keepNext w:val="0"/>
        <w:keepLines w:val="0"/>
        <w:pageBreakBefore w:val="0"/>
        <w:widowControl w:val="0"/>
        <w:kinsoku/>
        <w:overflowPunct/>
        <w:topLinePunct w:val="0"/>
        <w:bidi w:val="0"/>
        <w:adjustRightInd w:val="0"/>
        <w:snapToGrid w:val="0"/>
        <w:spacing w:line="360" w:lineRule="auto"/>
        <w:ind w:left="0" w:leftChars="0" w:right="0" w:rightChars="0" w:firstLine="0" w:firstLineChars="0"/>
        <w:contextualSpacing/>
        <w:jc w:val="both"/>
        <w:textAlignment w:val="auto"/>
        <w:rPr>
          <w:b/>
          <w:sz w:val="24"/>
          <w:szCs w:val="24"/>
        </w:rPr>
      </w:pPr>
      <w:bookmarkStart w:id="5" w:name="_Toc39744258"/>
      <w:r>
        <w:rPr>
          <w:rFonts w:hint="eastAsia"/>
          <w:b/>
          <w:sz w:val="24"/>
          <w:szCs w:val="24"/>
        </w:rPr>
        <w:t>（三）投标文件要求</w:t>
      </w:r>
    </w:p>
    <w:p w14:paraId="1502333B">
      <w:pPr>
        <w:keepNext w:val="0"/>
        <w:keepLines w:val="0"/>
        <w:pageBreakBefore w:val="0"/>
        <w:widowControl w:val="0"/>
        <w:kinsoku/>
        <w:wordWrap/>
        <w:overflowPunct/>
        <w:topLinePunct w:val="0"/>
        <w:bidi w:val="0"/>
        <w:adjustRightInd w:val="0"/>
        <w:snapToGrid w:val="0"/>
        <w:spacing w:line="360" w:lineRule="auto"/>
        <w:ind w:left="0" w:leftChars="0" w:right="0" w:rightChars="0" w:firstLine="420" w:firstLineChars="200"/>
        <w:contextualSpacing/>
        <w:jc w:val="both"/>
        <w:textAlignment w:val="auto"/>
        <w:rPr>
          <w:rFonts w:ascii="宋体" w:hAnsi="宋体"/>
          <w:sz w:val="21"/>
          <w:szCs w:val="21"/>
        </w:rPr>
      </w:pPr>
      <w:r>
        <w:rPr>
          <w:rFonts w:hint="eastAsia" w:ascii="宋体" w:hAnsi="宋体"/>
          <w:sz w:val="21"/>
          <w:szCs w:val="21"/>
        </w:rPr>
        <w:t>1、</w:t>
      </w:r>
      <w:r>
        <w:rPr>
          <w:rFonts w:hint="eastAsia" w:ascii="宋体" w:hAnsi="宋体"/>
          <w:b/>
          <w:sz w:val="21"/>
          <w:szCs w:val="21"/>
        </w:rPr>
        <w:t>投标文件的组成</w:t>
      </w:r>
      <w:r>
        <w:rPr>
          <w:rFonts w:hint="eastAsia" w:ascii="宋体" w:hAnsi="宋体"/>
          <w:sz w:val="21"/>
          <w:szCs w:val="21"/>
        </w:rPr>
        <w:t>：</w:t>
      </w:r>
    </w:p>
    <w:p w14:paraId="69D03E92">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20" w:firstLineChars="200"/>
        <w:contextualSpacing/>
        <w:jc w:val="both"/>
        <w:textAlignment w:val="auto"/>
        <w:rPr>
          <w:rFonts w:ascii="宋体" w:hAnsi="宋体"/>
          <w:sz w:val="21"/>
          <w:szCs w:val="21"/>
        </w:rPr>
      </w:pPr>
      <w:r>
        <w:rPr>
          <w:rFonts w:hint="eastAsia" w:ascii="宋体" w:hAnsi="宋体"/>
          <w:sz w:val="21"/>
          <w:szCs w:val="21"/>
          <w:lang w:eastAsia="zh-CN"/>
        </w:rPr>
        <w:t>（</w:t>
      </w:r>
      <w:r>
        <w:rPr>
          <w:rFonts w:hint="eastAsia" w:ascii="宋体" w:hAnsi="宋体"/>
          <w:sz w:val="21"/>
          <w:szCs w:val="21"/>
          <w:lang w:val="en-US" w:eastAsia="zh-CN"/>
        </w:rPr>
        <w:t>1</w:t>
      </w:r>
      <w:r>
        <w:rPr>
          <w:rFonts w:hint="eastAsia" w:ascii="宋体" w:hAnsi="宋体"/>
          <w:sz w:val="21"/>
          <w:szCs w:val="21"/>
          <w:lang w:eastAsia="zh-CN"/>
        </w:rPr>
        <w:t>）</w:t>
      </w:r>
      <w:r>
        <w:rPr>
          <w:rFonts w:hint="eastAsia" w:ascii="宋体" w:hAnsi="宋体"/>
          <w:sz w:val="21"/>
          <w:szCs w:val="21"/>
        </w:rPr>
        <w:t>资格审查文件，所有复印件需加盖公章：</w:t>
      </w:r>
    </w:p>
    <w:p w14:paraId="26B2B11D">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20" w:firstLineChars="200"/>
        <w:contextualSpacing/>
        <w:jc w:val="both"/>
        <w:textAlignment w:val="auto"/>
        <w:rPr>
          <w:rFonts w:ascii="宋体" w:hAnsi="宋体"/>
          <w:sz w:val="21"/>
          <w:szCs w:val="21"/>
        </w:rPr>
      </w:pPr>
      <w:r>
        <w:rPr>
          <w:rFonts w:hint="eastAsia" w:ascii="宋体" w:hAnsi="宋体"/>
          <w:sz w:val="21"/>
          <w:szCs w:val="21"/>
          <w:lang w:val="en-US" w:eastAsia="zh-CN"/>
        </w:rPr>
        <w:t>①</w:t>
      </w:r>
      <w:r>
        <w:rPr>
          <w:rFonts w:hint="eastAsia" w:ascii="宋体" w:hAnsi="宋体"/>
          <w:sz w:val="21"/>
          <w:szCs w:val="21"/>
        </w:rPr>
        <w:t>针对本项目谈判的授权委托书；</w:t>
      </w:r>
    </w:p>
    <w:p w14:paraId="5F6B933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firstLine="420" w:firstLineChars="200"/>
        <w:contextualSpacing/>
        <w:jc w:val="both"/>
        <w:textAlignment w:val="auto"/>
        <w:rPr>
          <w:rFonts w:ascii="宋体" w:hAnsi="宋体"/>
          <w:sz w:val="21"/>
          <w:szCs w:val="21"/>
        </w:rPr>
      </w:pPr>
      <w:r>
        <w:rPr>
          <w:rFonts w:hint="eastAsia" w:ascii="宋体" w:hAnsi="宋体"/>
          <w:sz w:val="21"/>
          <w:szCs w:val="21"/>
          <w:lang w:val="en-US" w:eastAsia="zh-CN"/>
        </w:rPr>
        <w:t>②</w:t>
      </w:r>
      <w:r>
        <w:rPr>
          <w:rFonts w:hint="eastAsia" w:ascii="宋体" w:hAnsi="宋体"/>
          <w:sz w:val="21"/>
          <w:szCs w:val="21"/>
        </w:rPr>
        <w:t>企业法人营业执照；</w:t>
      </w:r>
    </w:p>
    <w:p w14:paraId="0A99B8D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firstLine="420" w:firstLineChars="200"/>
        <w:contextualSpacing/>
        <w:jc w:val="both"/>
        <w:textAlignment w:val="auto"/>
        <w:rPr>
          <w:rFonts w:ascii="宋体" w:hAnsi="宋体"/>
          <w:sz w:val="21"/>
          <w:szCs w:val="21"/>
        </w:rPr>
      </w:pPr>
      <w:r>
        <w:rPr>
          <w:rFonts w:hint="eastAsia" w:ascii="宋体" w:hAnsi="宋体"/>
          <w:sz w:val="21"/>
          <w:szCs w:val="21"/>
          <w:lang w:val="en-US" w:eastAsia="zh-CN"/>
        </w:rPr>
        <w:t>③</w:t>
      </w:r>
      <w:r>
        <w:rPr>
          <w:rFonts w:hint="eastAsia" w:ascii="宋体" w:hAnsi="宋体"/>
          <w:sz w:val="21"/>
          <w:szCs w:val="21"/>
        </w:rPr>
        <w:t>企业资质证书</w:t>
      </w:r>
      <w:r>
        <w:rPr>
          <w:rFonts w:hint="eastAsia" w:ascii="宋体"/>
          <w:sz w:val="21"/>
          <w:szCs w:val="21"/>
        </w:rPr>
        <w:t>；</w:t>
      </w:r>
    </w:p>
    <w:p w14:paraId="03058A6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firstLine="420" w:firstLineChars="200"/>
        <w:contextualSpacing/>
        <w:jc w:val="both"/>
        <w:textAlignment w:val="auto"/>
        <w:rPr>
          <w:rFonts w:hint="eastAsia" w:ascii="宋体" w:hAnsi="宋体" w:eastAsia="宋体"/>
          <w:sz w:val="21"/>
          <w:szCs w:val="21"/>
          <w:lang w:eastAsia="zh-CN"/>
        </w:rPr>
      </w:pPr>
      <w:r>
        <w:rPr>
          <w:rFonts w:hint="eastAsia" w:ascii="宋体" w:hAnsi="宋体"/>
          <w:sz w:val="21"/>
          <w:szCs w:val="21"/>
          <w:lang w:val="en-US" w:eastAsia="zh-CN"/>
        </w:rPr>
        <w:t>④</w:t>
      </w:r>
      <w:r>
        <w:rPr>
          <w:rFonts w:hint="eastAsia" w:ascii="宋体" w:hAnsi="宋体"/>
          <w:sz w:val="21"/>
          <w:szCs w:val="21"/>
        </w:rPr>
        <w:t>由社保部门出具的投标人</w:t>
      </w:r>
      <w:r>
        <w:rPr>
          <w:rFonts w:hint="eastAsia" w:ascii="宋体" w:hAnsi="宋体"/>
          <w:sz w:val="21"/>
          <w:szCs w:val="21"/>
          <w:highlight w:val="none"/>
        </w:rPr>
        <w:t>为授权委托人及谈判经办人缴纳的</w:t>
      </w:r>
      <w:r>
        <w:rPr>
          <w:rFonts w:hint="eastAsia" w:ascii="宋体" w:hAnsi="宋体"/>
          <w:b/>
          <w:bCs/>
          <w:sz w:val="21"/>
          <w:szCs w:val="21"/>
          <w:highlight w:val="none"/>
          <w:lang w:val="en-US" w:eastAsia="zh-CN"/>
        </w:rPr>
        <w:t>近三个月中任意一个月</w:t>
      </w:r>
      <w:r>
        <w:rPr>
          <w:rFonts w:hint="eastAsia" w:ascii="宋体" w:hAnsi="宋体"/>
          <w:sz w:val="21"/>
          <w:szCs w:val="21"/>
          <w:highlight w:val="none"/>
          <w:lang w:val="en-US" w:eastAsia="zh-CN"/>
        </w:rPr>
        <w:t>的</w:t>
      </w:r>
      <w:r>
        <w:rPr>
          <w:rFonts w:hint="eastAsia" w:ascii="宋体" w:hAnsi="宋体"/>
          <w:sz w:val="21"/>
          <w:szCs w:val="21"/>
          <w:highlight w:val="none"/>
        </w:rPr>
        <w:t>养老保险费用的证明</w:t>
      </w:r>
      <w:r>
        <w:rPr>
          <w:rFonts w:hint="eastAsia" w:ascii="宋体" w:hAnsi="宋体"/>
          <w:sz w:val="21"/>
          <w:szCs w:val="21"/>
        </w:rPr>
        <w:t>材料</w:t>
      </w:r>
      <w:r>
        <w:rPr>
          <w:rFonts w:hint="eastAsia" w:ascii="宋体" w:hAnsi="宋体"/>
          <w:sz w:val="21"/>
          <w:szCs w:val="21"/>
          <w:lang w:eastAsia="zh-CN"/>
        </w:rPr>
        <w:t>。</w:t>
      </w:r>
    </w:p>
    <w:p w14:paraId="3B4EF4EA">
      <w:pPr>
        <w:keepNext w:val="0"/>
        <w:keepLines w:val="0"/>
        <w:pageBreakBefore w:val="0"/>
        <w:widowControl w:val="0"/>
        <w:kinsoku/>
        <w:wordWrap/>
        <w:overflowPunct/>
        <w:topLinePunct w:val="0"/>
        <w:bidi w:val="0"/>
        <w:adjustRightInd w:val="0"/>
        <w:snapToGrid w:val="0"/>
        <w:spacing w:line="360" w:lineRule="auto"/>
        <w:ind w:left="0" w:leftChars="0" w:right="0" w:rightChars="0" w:firstLine="422" w:firstLineChars="200"/>
        <w:contextualSpacing/>
        <w:jc w:val="both"/>
        <w:textAlignment w:val="auto"/>
        <w:rPr>
          <w:rFonts w:ascii="宋体" w:hAnsi="宋体"/>
          <w:sz w:val="21"/>
          <w:szCs w:val="21"/>
        </w:rPr>
      </w:pPr>
      <w:r>
        <w:rPr>
          <w:rFonts w:hint="eastAsia" w:ascii="宋体" w:hAnsi="宋体"/>
          <w:b/>
          <w:sz w:val="21"/>
          <w:szCs w:val="21"/>
          <w:lang w:val="en-US" w:eastAsia="zh-CN"/>
        </w:rPr>
        <w:t>2、</w:t>
      </w:r>
      <w:r>
        <w:rPr>
          <w:rFonts w:hint="eastAsia" w:ascii="宋体" w:hAnsi="宋体"/>
          <w:b/>
          <w:sz w:val="21"/>
          <w:szCs w:val="21"/>
        </w:rPr>
        <w:t>报价文件</w:t>
      </w:r>
      <w:r>
        <w:rPr>
          <w:rFonts w:hint="eastAsia" w:ascii="宋体" w:hAnsi="宋体"/>
          <w:sz w:val="21"/>
          <w:szCs w:val="21"/>
        </w:rPr>
        <w:t>（须</w:t>
      </w:r>
      <w:r>
        <w:rPr>
          <w:rFonts w:hint="eastAsia" w:ascii="宋体" w:hAnsi="宋体"/>
          <w:b/>
          <w:bCs/>
          <w:sz w:val="21"/>
          <w:szCs w:val="21"/>
        </w:rPr>
        <w:t>单独装订</w:t>
      </w:r>
      <w:r>
        <w:rPr>
          <w:rFonts w:hint="eastAsia" w:ascii="宋体" w:hAnsi="宋体"/>
          <w:sz w:val="21"/>
          <w:szCs w:val="21"/>
        </w:rPr>
        <w:t>编页码做目录，A4纸打印并在封面注明“报价文件”）</w:t>
      </w:r>
    </w:p>
    <w:p w14:paraId="508EC7D8">
      <w:pPr>
        <w:keepNext w:val="0"/>
        <w:keepLines w:val="0"/>
        <w:pageBreakBefore w:val="0"/>
        <w:widowControl w:val="0"/>
        <w:kinsoku/>
        <w:wordWrap/>
        <w:overflowPunct/>
        <w:topLinePunct w:val="0"/>
        <w:bidi w:val="0"/>
        <w:adjustRightInd w:val="0"/>
        <w:snapToGrid w:val="0"/>
        <w:spacing w:line="360" w:lineRule="auto"/>
        <w:ind w:left="0" w:leftChars="0" w:right="0" w:rightChars="0" w:firstLine="420" w:firstLineChars="200"/>
        <w:contextualSpacing/>
        <w:jc w:val="both"/>
        <w:textAlignment w:val="auto"/>
        <w:rPr>
          <w:rFonts w:ascii="宋体" w:hAnsi="宋体"/>
          <w:bCs/>
          <w:sz w:val="21"/>
          <w:szCs w:val="21"/>
        </w:rPr>
      </w:pPr>
      <w:r>
        <w:rPr>
          <w:rFonts w:hint="eastAsia" w:ascii="宋体" w:hAnsi="宋体"/>
          <w:bCs/>
          <w:sz w:val="21"/>
          <w:szCs w:val="21"/>
        </w:rPr>
        <w:t>（1）投标函</w:t>
      </w:r>
    </w:p>
    <w:p w14:paraId="0F51AE3E">
      <w:pPr>
        <w:keepNext w:val="0"/>
        <w:keepLines w:val="0"/>
        <w:pageBreakBefore w:val="0"/>
        <w:widowControl w:val="0"/>
        <w:kinsoku/>
        <w:wordWrap/>
        <w:overflowPunct/>
        <w:topLinePunct w:val="0"/>
        <w:bidi w:val="0"/>
        <w:adjustRightInd w:val="0"/>
        <w:snapToGrid w:val="0"/>
        <w:spacing w:line="360" w:lineRule="auto"/>
        <w:ind w:left="0" w:leftChars="0" w:right="0" w:rightChars="0" w:firstLine="420" w:firstLineChars="200"/>
        <w:contextualSpacing/>
        <w:jc w:val="both"/>
        <w:textAlignment w:val="auto"/>
        <w:rPr>
          <w:rFonts w:ascii="宋体" w:hAnsi="宋体"/>
          <w:bCs/>
          <w:sz w:val="21"/>
          <w:szCs w:val="21"/>
        </w:rPr>
      </w:pPr>
      <w:r>
        <w:rPr>
          <w:rFonts w:hint="eastAsia" w:ascii="宋体" w:hAnsi="宋体"/>
          <w:bCs/>
          <w:sz w:val="21"/>
          <w:szCs w:val="21"/>
        </w:rPr>
        <w:t>（2）授权委托书</w:t>
      </w:r>
    </w:p>
    <w:p w14:paraId="085C5D16">
      <w:pPr>
        <w:keepNext w:val="0"/>
        <w:keepLines w:val="0"/>
        <w:pageBreakBefore w:val="0"/>
        <w:widowControl w:val="0"/>
        <w:kinsoku/>
        <w:wordWrap/>
        <w:overflowPunct/>
        <w:topLinePunct w:val="0"/>
        <w:bidi w:val="0"/>
        <w:adjustRightInd w:val="0"/>
        <w:snapToGrid w:val="0"/>
        <w:spacing w:line="360" w:lineRule="auto"/>
        <w:ind w:left="0" w:leftChars="0" w:right="0" w:rightChars="0" w:firstLine="420" w:firstLineChars="200"/>
        <w:contextualSpacing/>
        <w:jc w:val="both"/>
        <w:textAlignment w:val="auto"/>
        <w:rPr>
          <w:rFonts w:ascii="宋体" w:hAnsi="宋体"/>
          <w:color w:val="FF0000"/>
          <w:sz w:val="21"/>
          <w:szCs w:val="21"/>
        </w:rPr>
      </w:pPr>
      <w:r>
        <w:rPr>
          <w:rFonts w:hint="eastAsia" w:ascii="宋体" w:hAnsi="宋体"/>
          <w:bCs/>
          <w:sz w:val="21"/>
          <w:szCs w:val="21"/>
        </w:rPr>
        <w:t>（3）</w:t>
      </w:r>
      <w:r>
        <w:rPr>
          <w:rFonts w:hint="eastAsia" w:ascii="宋体" w:hAnsi="宋体"/>
          <w:sz w:val="21"/>
          <w:szCs w:val="21"/>
        </w:rPr>
        <w:t>投标报价</w:t>
      </w:r>
    </w:p>
    <w:p w14:paraId="5136902D">
      <w:pPr>
        <w:keepNext w:val="0"/>
        <w:keepLines w:val="0"/>
        <w:pageBreakBefore w:val="0"/>
        <w:widowControl w:val="0"/>
        <w:kinsoku/>
        <w:wordWrap/>
        <w:overflowPunct/>
        <w:topLinePunct w:val="0"/>
        <w:bidi w:val="0"/>
        <w:adjustRightInd w:val="0"/>
        <w:snapToGrid w:val="0"/>
        <w:spacing w:line="360" w:lineRule="auto"/>
        <w:ind w:left="0" w:leftChars="0" w:right="0" w:rightChars="0" w:firstLine="422" w:firstLineChars="200"/>
        <w:contextualSpacing/>
        <w:jc w:val="both"/>
        <w:textAlignment w:val="auto"/>
        <w:rPr>
          <w:rFonts w:ascii="宋体" w:hAnsi="宋体"/>
          <w:b/>
          <w:sz w:val="21"/>
          <w:szCs w:val="21"/>
        </w:rPr>
      </w:pPr>
      <w:r>
        <w:rPr>
          <w:rFonts w:hint="eastAsia" w:ascii="宋体" w:hAnsi="宋体"/>
          <w:b/>
          <w:sz w:val="21"/>
          <w:szCs w:val="21"/>
        </w:rPr>
        <w:t>以上投标文件组成及报价要求将作为否决投标单位标书的重要条件。</w:t>
      </w:r>
    </w:p>
    <w:p w14:paraId="3C0DB50F">
      <w:pPr>
        <w:keepNext w:val="0"/>
        <w:keepLines w:val="0"/>
        <w:pageBreakBefore w:val="0"/>
        <w:widowControl w:val="0"/>
        <w:kinsoku/>
        <w:overflowPunct/>
        <w:topLinePunct w:val="0"/>
        <w:bidi w:val="0"/>
        <w:spacing w:line="360" w:lineRule="auto"/>
        <w:ind w:left="0" w:leftChars="0" w:right="0" w:rightChars="0" w:firstLine="0" w:firstLineChars="0"/>
        <w:jc w:val="both"/>
        <w:textAlignment w:val="auto"/>
        <w:rPr>
          <w:b/>
          <w:sz w:val="24"/>
          <w:szCs w:val="24"/>
        </w:rPr>
      </w:pPr>
      <w:r>
        <w:rPr>
          <w:rFonts w:hint="eastAsia"/>
          <w:b/>
          <w:sz w:val="24"/>
          <w:szCs w:val="24"/>
        </w:rPr>
        <w:t>（四）开标、评标</w:t>
      </w:r>
    </w:p>
    <w:p w14:paraId="39F4137C">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20" w:firstLineChars="200"/>
        <w:contextualSpacing/>
        <w:jc w:val="both"/>
        <w:textAlignment w:val="auto"/>
        <w:rPr>
          <w:rFonts w:ascii="宋体" w:hAnsi="宋体"/>
          <w:sz w:val="21"/>
          <w:szCs w:val="21"/>
        </w:rPr>
      </w:pPr>
      <w:r>
        <w:rPr>
          <w:rFonts w:hint="eastAsia" w:ascii="宋体" w:hAnsi="宋体"/>
          <w:sz w:val="21"/>
          <w:szCs w:val="21"/>
        </w:rPr>
        <w:t>1、开标时，招标方代表或监管部门或投标单位检查投标文件的密封情况，在确认无误后拆封读标。投标文件一经开封不得进行改动。</w:t>
      </w:r>
    </w:p>
    <w:p w14:paraId="7FC528E4">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20" w:firstLineChars="200"/>
        <w:contextualSpacing/>
        <w:jc w:val="both"/>
        <w:textAlignment w:val="auto"/>
        <w:rPr>
          <w:rFonts w:ascii="宋体" w:hAnsi="宋体"/>
          <w:sz w:val="21"/>
          <w:szCs w:val="21"/>
        </w:rPr>
      </w:pPr>
      <w:r>
        <w:rPr>
          <w:rFonts w:hint="eastAsia" w:ascii="宋体" w:hAnsi="宋体"/>
          <w:sz w:val="21"/>
          <w:szCs w:val="21"/>
        </w:rPr>
        <w:t>2、初步评审要求：开标后，招标方将组织审查投标文件是否完整；是否有计算错误。投标文件出现下列情形之一的，将作为无效投标文件：</w:t>
      </w:r>
    </w:p>
    <w:p w14:paraId="700F0CDF">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20" w:firstLineChars="200"/>
        <w:contextualSpacing/>
        <w:jc w:val="both"/>
        <w:textAlignment w:val="auto"/>
        <w:rPr>
          <w:rFonts w:ascii="宋体" w:hAnsi="宋体"/>
          <w:sz w:val="21"/>
          <w:szCs w:val="21"/>
        </w:rPr>
      </w:pPr>
      <w:r>
        <w:rPr>
          <w:rFonts w:hint="eastAsia" w:ascii="宋体" w:hAnsi="宋体"/>
          <w:sz w:val="21"/>
          <w:szCs w:val="21"/>
        </w:rPr>
        <w:t>（1）投标文件不响应谈判文件要求的；</w:t>
      </w:r>
    </w:p>
    <w:p w14:paraId="505C4123">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20" w:firstLineChars="200"/>
        <w:contextualSpacing/>
        <w:jc w:val="both"/>
        <w:textAlignment w:val="auto"/>
        <w:rPr>
          <w:rFonts w:ascii="宋体" w:hAnsi="宋体"/>
          <w:sz w:val="21"/>
          <w:szCs w:val="21"/>
        </w:rPr>
      </w:pPr>
      <w:r>
        <w:rPr>
          <w:rFonts w:hint="eastAsia" w:ascii="宋体" w:hAnsi="宋体"/>
          <w:sz w:val="21"/>
          <w:szCs w:val="21"/>
        </w:rPr>
        <w:t>（2）投标函未盖投标人的企业及企业法定代表人印章并签字的，或者企业法定代表人委托代理人没有合法、有效的委托书（原件）及委托代理人印章并签字的；</w:t>
      </w:r>
    </w:p>
    <w:p w14:paraId="0D4001B9">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20" w:firstLineChars="200"/>
        <w:contextualSpacing/>
        <w:jc w:val="both"/>
        <w:textAlignment w:val="auto"/>
        <w:rPr>
          <w:rFonts w:hint="eastAsia" w:ascii="宋体" w:hAnsi="宋体" w:eastAsia="宋体"/>
          <w:sz w:val="21"/>
          <w:szCs w:val="21"/>
          <w:lang w:eastAsia="zh-CN"/>
        </w:rPr>
      </w:pPr>
      <w:r>
        <w:rPr>
          <w:rFonts w:hint="eastAsia" w:ascii="宋体" w:hAnsi="宋体"/>
          <w:sz w:val="21"/>
          <w:szCs w:val="21"/>
        </w:rPr>
        <w:t>（3）投标文件的关键内容模糊、无法辨认的</w:t>
      </w:r>
      <w:r>
        <w:rPr>
          <w:rFonts w:hint="eastAsia" w:ascii="宋体" w:hAnsi="宋体"/>
          <w:sz w:val="21"/>
          <w:szCs w:val="21"/>
          <w:lang w:eastAsia="zh-CN"/>
        </w:rPr>
        <w:t>。</w:t>
      </w:r>
    </w:p>
    <w:p w14:paraId="705B2509">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20" w:firstLineChars="200"/>
        <w:contextualSpacing/>
        <w:jc w:val="both"/>
        <w:textAlignment w:val="auto"/>
        <w:rPr>
          <w:rFonts w:ascii="宋体" w:hAnsi="宋体"/>
          <w:sz w:val="21"/>
          <w:szCs w:val="21"/>
        </w:rPr>
      </w:pPr>
      <w:r>
        <w:rPr>
          <w:rFonts w:hint="eastAsia" w:ascii="宋体" w:hAnsi="宋体"/>
          <w:sz w:val="21"/>
          <w:szCs w:val="21"/>
        </w:rPr>
        <w:t>3、评标小组先评审技术文件，后评审报价文件。</w:t>
      </w:r>
    </w:p>
    <w:p w14:paraId="6B1C0C5A">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20" w:firstLineChars="200"/>
        <w:contextualSpacing/>
        <w:jc w:val="both"/>
        <w:textAlignment w:val="auto"/>
        <w:rPr>
          <w:rFonts w:ascii="宋体" w:hAnsi="宋体"/>
          <w:sz w:val="21"/>
          <w:szCs w:val="21"/>
        </w:rPr>
      </w:pPr>
      <w:r>
        <w:rPr>
          <w:rFonts w:hint="eastAsia" w:ascii="宋体" w:hAnsi="宋体"/>
          <w:sz w:val="21"/>
          <w:szCs w:val="21"/>
        </w:rPr>
        <w:t>4、严格按照扬州大学附属医院采购管理暂行办法，组成项目评标小组。严格按招标文件，公平、公正、科学、严谨地对投标文件进行综合评定。</w:t>
      </w:r>
    </w:p>
    <w:p w14:paraId="724A5F67">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20" w:firstLineChars="200"/>
        <w:contextualSpacing/>
        <w:jc w:val="both"/>
        <w:textAlignment w:val="auto"/>
        <w:rPr>
          <w:rFonts w:ascii="宋体" w:hAnsi="宋体"/>
          <w:sz w:val="21"/>
          <w:szCs w:val="21"/>
        </w:rPr>
      </w:pPr>
      <w:r>
        <w:rPr>
          <w:rFonts w:hint="eastAsia" w:ascii="宋体" w:hAnsi="宋体"/>
          <w:sz w:val="21"/>
          <w:szCs w:val="21"/>
        </w:rPr>
        <w:t>5、谈判程序：</w:t>
      </w:r>
    </w:p>
    <w:p w14:paraId="1932D51C">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22" w:firstLineChars="200"/>
        <w:contextualSpacing/>
        <w:jc w:val="both"/>
        <w:textAlignment w:val="auto"/>
        <w:rPr>
          <w:rFonts w:ascii="宋体" w:hAnsi="宋体"/>
          <w:b/>
          <w:sz w:val="21"/>
          <w:szCs w:val="21"/>
        </w:rPr>
      </w:pPr>
      <w:r>
        <w:rPr>
          <w:rFonts w:hint="eastAsia" w:ascii="宋体" w:hAnsi="宋体"/>
          <w:b/>
          <w:sz w:val="21"/>
          <w:szCs w:val="21"/>
        </w:rPr>
        <w:t>（1）资格审查；（2）投标单位自我介绍</w:t>
      </w:r>
      <w:r>
        <w:rPr>
          <w:rFonts w:hint="eastAsia" w:ascii="宋体" w:hAnsi="宋体"/>
          <w:b/>
          <w:sz w:val="21"/>
          <w:szCs w:val="21"/>
          <w:lang w:val="en-US" w:eastAsia="zh-CN"/>
        </w:rPr>
        <w:t>及产品介绍</w:t>
      </w:r>
      <w:r>
        <w:rPr>
          <w:rFonts w:hint="eastAsia" w:ascii="宋体" w:hAnsi="宋体"/>
          <w:b/>
          <w:sz w:val="21"/>
          <w:szCs w:val="21"/>
        </w:rPr>
        <w:t>；（3）</w:t>
      </w:r>
      <w:r>
        <w:rPr>
          <w:rFonts w:hint="eastAsia" w:ascii="宋体" w:hAnsi="宋体"/>
          <w:b/>
          <w:sz w:val="21"/>
          <w:szCs w:val="21"/>
          <w:lang w:val="en-US" w:eastAsia="zh-CN"/>
        </w:rPr>
        <w:t>二轮报价</w:t>
      </w:r>
      <w:r>
        <w:rPr>
          <w:rFonts w:hint="eastAsia" w:ascii="宋体" w:hAnsi="宋体"/>
          <w:b/>
          <w:sz w:val="21"/>
          <w:szCs w:val="21"/>
        </w:rPr>
        <w:t>谈判。</w:t>
      </w:r>
    </w:p>
    <w:p w14:paraId="5A93115E">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20" w:firstLineChars="200"/>
        <w:contextualSpacing/>
        <w:jc w:val="both"/>
        <w:textAlignment w:val="auto"/>
        <w:rPr>
          <w:rFonts w:ascii="宋体" w:hAnsi="宋体"/>
          <w:sz w:val="21"/>
          <w:szCs w:val="21"/>
        </w:rPr>
      </w:pPr>
      <w:r>
        <w:rPr>
          <w:rFonts w:hint="eastAsia" w:ascii="宋体" w:hAnsi="宋体"/>
          <w:sz w:val="21"/>
          <w:szCs w:val="21"/>
        </w:rPr>
        <w:t>6、定标</w:t>
      </w:r>
    </w:p>
    <w:p w14:paraId="2648BDF9">
      <w:pPr>
        <w:keepNext w:val="0"/>
        <w:keepLines w:val="0"/>
        <w:pageBreakBefore w:val="0"/>
        <w:widowControl w:val="0"/>
        <w:kinsoku/>
        <w:wordWrap w:val="0"/>
        <w:overflowPunct/>
        <w:topLinePunct w:val="0"/>
        <w:autoSpaceDE/>
        <w:autoSpaceDN/>
        <w:bidi w:val="0"/>
        <w:spacing w:line="360" w:lineRule="auto"/>
        <w:ind w:left="0" w:leftChars="0" w:right="0" w:rightChars="0" w:firstLine="420" w:firstLineChars="200"/>
        <w:contextualSpacing/>
        <w:jc w:val="both"/>
        <w:textAlignment w:val="auto"/>
        <w:rPr>
          <w:sz w:val="21"/>
          <w:szCs w:val="21"/>
        </w:rPr>
      </w:pPr>
      <w:r>
        <w:rPr>
          <w:rFonts w:hint="eastAsia" w:ascii="宋体" w:hAnsi="宋体"/>
          <w:sz w:val="21"/>
          <w:szCs w:val="21"/>
        </w:rPr>
        <w:t>根据综合评分进行排序，排名第一为中标单位。</w:t>
      </w:r>
    </w:p>
    <w:p w14:paraId="284FB6C8">
      <w:pPr>
        <w:pStyle w:val="15"/>
        <w:rPr>
          <w:rFonts w:hint="eastAsia"/>
        </w:rPr>
      </w:pPr>
    </w:p>
    <w:p w14:paraId="6486FAFC">
      <w:pPr>
        <w:pStyle w:val="15"/>
        <w:rPr>
          <w:rFonts w:hint="eastAsia"/>
        </w:rPr>
      </w:pPr>
    </w:p>
    <w:p w14:paraId="49CEA380">
      <w:pPr>
        <w:rPr>
          <w:rFonts w:hint="eastAsia"/>
          <w:b/>
          <w:sz w:val="32"/>
          <w:szCs w:val="32"/>
        </w:rPr>
      </w:pPr>
      <w:r>
        <w:rPr>
          <w:rFonts w:hint="eastAsia"/>
          <w:b/>
          <w:sz w:val="32"/>
          <w:szCs w:val="32"/>
        </w:rPr>
        <w:br w:type="page"/>
      </w:r>
    </w:p>
    <w:p w14:paraId="29578138">
      <w:pPr>
        <w:wordWrap w:val="0"/>
        <w:spacing w:line="440" w:lineRule="exact"/>
        <w:ind w:left="424" w:leftChars="202" w:right="531" w:rightChars="253" w:firstLine="553" w:firstLineChars="172"/>
        <w:contextualSpacing/>
        <w:jc w:val="center"/>
        <w:rPr>
          <w:rFonts w:hint="eastAsia" w:asciiTheme="minorEastAsia" w:hAnsiTheme="minorEastAsia" w:eastAsiaTheme="minorEastAsia"/>
          <w:b/>
          <w:sz w:val="32"/>
          <w:szCs w:val="32"/>
        </w:rPr>
      </w:pPr>
      <w:r>
        <w:rPr>
          <w:rFonts w:hint="eastAsia"/>
          <w:b/>
          <w:sz w:val="32"/>
          <w:szCs w:val="32"/>
        </w:rPr>
        <w:t>四、投标文件格式及附件要求</w:t>
      </w:r>
      <w:bookmarkEnd w:id="5"/>
    </w:p>
    <w:p w14:paraId="1D051BDC">
      <w:pPr>
        <w:jc w:val="center"/>
        <w:rPr>
          <w:b/>
          <w:sz w:val="36"/>
          <w:szCs w:val="36"/>
        </w:rPr>
      </w:pPr>
    </w:p>
    <w:p w14:paraId="680A8A94">
      <w:pPr>
        <w:jc w:val="center"/>
        <w:rPr>
          <w:rFonts w:hint="eastAsia" w:ascii="宋体" w:hAnsi="宋体"/>
          <w:b/>
          <w:sz w:val="36"/>
          <w:szCs w:val="36"/>
          <w:u w:val="single"/>
        </w:rPr>
      </w:pPr>
      <w:r>
        <w:rPr>
          <w:rFonts w:hint="eastAsia"/>
          <w:b/>
          <w:sz w:val="36"/>
          <w:szCs w:val="36"/>
        </w:rPr>
        <w:t>目录</w:t>
      </w:r>
    </w:p>
    <w:p w14:paraId="60D2D40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（一）资格审查</w:t>
      </w:r>
    </w:p>
    <w:p w14:paraId="131C1FB4">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1、针对本项目的授权委托书原件；</w:t>
      </w:r>
    </w:p>
    <w:p w14:paraId="38F9011A">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2、企业法人营业执照；</w:t>
      </w:r>
    </w:p>
    <w:p w14:paraId="43AC0B93">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3、企业资质证书；</w:t>
      </w:r>
    </w:p>
    <w:p w14:paraId="3A44EB08">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color w:val="auto"/>
          <w:sz w:val="24"/>
          <w:szCs w:val="24"/>
        </w:rPr>
      </w:pPr>
      <w:r>
        <w:rPr>
          <w:rFonts w:hint="eastAsia" w:asciiTheme="majorEastAsia" w:hAnsiTheme="majorEastAsia" w:eastAsiaTheme="majorEastAsia" w:cstheme="majorEastAsia"/>
          <w:snapToGrid w:val="0"/>
          <w:sz w:val="24"/>
          <w:szCs w:val="24"/>
          <w:highlight w:val="none"/>
        </w:rPr>
        <w:t>4、由社保部</w:t>
      </w:r>
      <w:r>
        <w:rPr>
          <w:rFonts w:hint="eastAsia" w:asciiTheme="majorEastAsia" w:hAnsiTheme="majorEastAsia" w:eastAsiaTheme="majorEastAsia" w:cstheme="majorEastAsia"/>
          <w:snapToGrid w:val="0"/>
          <w:color w:val="auto"/>
          <w:sz w:val="24"/>
          <w:szCs w:val="24"/>
          <w:highlight w:val="none"/>
        </w:rPr>
        <w:t>门出具的投标人为经办人及投标报名项目负责人缴纳的</w:t>
      </w:r>
      <w:r>
        <w:rPr>
          <w:rFonts w:hint="eastAsia" w:asciiTheme="majorEastAsia" w:hAnsiTheme="majorEastAsia" w:eastAsiaTheme="majorEastAsia" w:cstheme="majorEastAsia"/>
          <w:snapToGrid w:val="0"/>
          <w:color w:val="auto"/>
          <w:sz w:val="24"/>
          <w:szCs w:val="24"/>
          <w:highlight w:val="none"/>
          <w:lang w:val="en-US" w:eastAsia="zh-CN"/>
        </w:rPr>
        <w:t>近三个月任意一个月</w:t>
      </w:r>
      <w:r>
        <w:rPr>
          <w:rFonts w:hint="eastAsia" w:asciiTheme="majorEastAsia" w:hAnsiTheme="majorEastAsia" w:eastAsiaTheme="majorEastAsia" w:cstheme="majorEastAsia"/>
          <w:snapToGrid w:val="0"/>
          <w:color w:val="auto"/>
          <w:sz w:val="24"/>
          <w:szCs w:val="24"/>
          <w:highlight w:val="none"/>
        </w:rPr>
        <w:t>养老保险费用</w:t>
      </w:r>
      <w:r>
        <w:rPr>
          <w:rFonts w:hint="eastAsia" w:asciiTheme="majorEastAsia" w:hAnsiTheme="majorEastAsia" w:eastAsiaTheme="majorEastAsia" w:cstheme="majorEastAsia"/>
          <w:snapToGrid w:val="0"/>
          <w:color w:val="auto"/>
          <w:sz w:val="24"/>
          <w:szCs w:val="24"/>
        </w:rPr>
        <w:t>的证明材料；</w:t>
      </w:r>
    </w:p>
    <w:p w14:paraId="00F96994">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color w:val="auto"/>
          <w:sz w:val="24"/>
          <w:szCs w:val="24"/>
        </w:rPr>
        <w:t>5、投标单位不在供</w:t>
      </w:r>
      <w:r>
        <w:rPr>
          <w:rFonts w:hint="eastAsia" w:asciiTheme="majorEastAsia" w:hAnsiTheme="majorEastAsia" w:eastAsiaTheme="majorEastAsia" w:cstheme="majorEastAsia"/>
          <w:snapToGrid w:val="0"/>
          <w:sz w:val="24"/>
          <w:szCs w:val="24"/>
        </w:rPr>
        <w:t>应商被“信用中国”网站（www.creditchina.gov.cn）、“中国政府采购网</w:t>
      </w:r>
      <w:r>
        <w:rPr>
          <w:rFonts w:hint="eastAsia" w:asciiTheme="majorEastAsia" w:hAnsiTheme="majorEastAsia" w:eastAsiaTheme="majorEastAsia" w:cstheme="majorEastAsia"/>
          <w:snapToGrid w:val="0"/>
          <w:sz w:val="24"/>
          <w:szCs w:val="24"/>
          <w:lang w:eastAsia="zh-CN"/>
        </w:rPr>
        <w:t>”</w:t>
      </w:r>
      <w:r>
        <w:rPr>
          <w:rFonts w:hint="eastAsia" w:asciiTheme="majorEastAsia" w:hAnsiTheme="majorEastAsia" w:eastAsiaTheme="majorEastAsia" w:cstheme="majorEastAsia"/>
          <w:snapToGrid w:val="0"/>
          <w:sz w:val="24"/>
          <w:szCs w:val="24"/>
        </w:rPr>
        <w:t>(www.ccgp.gov.cn)列入失信被执行人、重大税收违法案件当事人名单、政府采购严重违法失信行为记录名单的截图，并盖章。</w:t>
      </w:r>
    </w:p>
    <w:p w14:paraId="16AE4887">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6、需求响应表（格式自拟）；</w:t>
      </w:r>
    </w:p>
    <w:p w14:paraId="37213098">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7、投标人认为需要提供的其他材料。</w:t>
      </w:r>
    </w:p>
    <w:p w14:paraId="7B53F3C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（二）报价文件</w:t>
      </w:r>
    </w:p>
    <w:p w14:paraId="5EBD2A02">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1、投标函</w:t>
      </w:r>
    </w:p>
    <w:p w14:paraId="1A0183FE">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2、授权委托书</w:t>
      </w:r>
    </w:p>
    <w:p w14:paraId="47316504">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lang w:val="en-US" w:eastAsia="zh-CN"/>
        </w:rPr>
        <w:t>3</w:t>
      </w:r>
      <w:r>
        <w:rPr>
          <w:rFonts w:hint="eastAsia" w:asciiTheme="majorEastAsia" w:hAnsiTheme="majorEastAsia" w:eastAsiaTheme="majorEastAsia" w:cstheme="majorEastAsia"/>
          <w:snapToGrid w:val="0"/>
          <w:sz w:val="24"/>
          <w:szCs w:val="24"/>
        </w:rPr>
        <w:t>、投标报价</w:t>
      </w:r>
    </w:p>
    <w:p w14:paraId="4CFD17B4">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lang w:val="en-US" w:eastAsia="zh-CN"/>
        </w:rPr>
        <w:t>4</w:t>
      </w:r>
      <w:r>
        <w:rPr>
          <w:rFonts w:hint="eastAsia" w:asciiTheme="majorEastAsia" w:hAnsiTheme="majorEastAsia" w:eastAsiaTheme="majorEastAsia" w:cstheme="majorEastAsia"/>
          <w:snapToGrid w:val="0"/>
          <w:sz w:val="24"/>
          <w:szCs w:val="24"/>
        </w:rPr>
        <w:t>、供应商廉洁自律承诺书</w:t>
      </w:r>
    </w:p>
    <w:p w14:paraId="1665914C">
      <w:pPr>
        <w:pStyle w:val="15"/>
        <w:rPr>
          <w:rFonts w:hint="eastAsia"/>
        </w:rPr>
      </w:pPr>
    </w:p>
    <w:p w14:paraId="14F32F3F">
      <w:pPr>
        <w:pStyle w:val="15"/>
        <w:rPr>
          <w:rFonts w:hint="eastAsia"/>
        </w:rPr>
      </w:pPr>
    </w:p>
    <w:p w14:paraId="506840A7">
      <w:pPr>
        <w:adjustRightInd w:val="0"/>
        <w:snapToGrid w:val="0"/>
        <w:spacing w:line="440" w:lineRule="exact"/>
        <w:ind w:left="424" w:leftChars="202" w:firstLine="371" w:firstLineChars="177"/>
        <w:contextualSpacing/>
        <w:rPr>
          <w:rFonts w:hint="eastAsia" w:ascii="宋体" w:hAnsi="宋体"/>
          <w:bCs/>
          <w:szCs w:val="21"/>
        </w:rPr>
      </w:pPr>
    </w:p>
    <w:p w14:paraId="4A852C6C">
      <w:pPr>
        <w:tabs>
          <w:tab w:val="left" w:pos="1300"/>
          <w:tab w:val="left" w:pos="1600"/>
        </w:tabs>
        <w:spacing w:line="560" w:lineRule="exact"/>
        <w:ind w:firstLine="420" w:firstLineChars="200"/>
        <w:rPr>
          <w:rFonts w:hint="eastAsia" w:ascii="宋体" w:hAnsi="宋体"/>
          <w:bCs/>
          <w:szCs w:val="21"/>
        </w:rPr>
      </w:pPr>
    </w:p>
    <w:p w14:paraId="7205F855">
      <w:pPr>
        <w:tabs>
          <w:tab w:val="left" w:pos="1300"/>
          <w:tab w:val="left" w:pos="1600"/>
        </w:tabs>
        <w:spacing w:line="560" w:lineRule="exact"/>
        <w:ind w:firstLine="420" w:firstLineChars="200"/>
        <w:rPr>
          <w:rFonts w:hint="eastAsia" w:ascii="宋体" w:hAnsi="宋体"/>
          <w:bCs/>
          <w:szCs w:val="21"/>
        </w:rPr>
      </w:pPr>
    </w:p>
    <w:p w14:paraId="6A14D18F">
      <w:pPr>
        <w:tabs>
          <w:tab w:val="left" w:pos="1300"/>
          <w:tab w:val="left" w:pos="1600"/>
        </w:tabs>
        <w:spacing w:line="560" w:lineRule="exact"/>
        <w:ind w:firstLine="480" w:firstLineChars="200"/>
        <w:rPr>
          <w:rFonts w:hint="eastAsia" w:ascii="宋体" w:hAnsi="宋体"/>
          <w:snapToGrid w:val="0"/>
          <w:sz w:val="24"/>
        </w:rPr>
      </w:pPr>
    </w:p>
    <w:p w14:paraId="3BB83E61">
      <w:pPr>
        <w:pStyle w:val="5"/>
        <w:rPr>
          <w:rFonts w:ascii="黑体" w:hAnsi="Times New Roman" w:eastAsia="黑体"/>
          <w:b/>
          <w:sz w:val="36"/>
        </w:rPr>
      </w:pPr>
    </w:p>
    <w:p w14:paraId="263DEA81">
      <w:pPr>
        <w:pStyle w:val="5"/>
        <w:rPr>
          <w:rFonts w:ascii="黑体" w:hAnsi="Times New Roman" w:eastAsia="黑体"/>
          <w:b/>
          <w:sz w:val="36"/>
        </w:rPr>
      </w:pPr>
    </w:p>
    <w:p w14:paraId="0580656F">
      <w:pPr>
        <w:pStyle w:val="5"/>
        <w:rPr>
          <w:rFonts w:ascii="黑体" w:hAnsi="Times New Roman" w:eastAsia="黑体"/>
          <w:b/>
          <w:sz w:val="36"/>
        </w:rPr>
      </w:pPr>
    </w:p>
    <w:p w14:paraId="28874FA8">
      <w:pPr>
        <w:spacing w:line="360" w:lineRule="auto"/>
        <w:ind w:firstLine="3975" w:firstLineChars="1100"/>
        <w:rPr>
          <w:rFonts w:ascii="宋体" w:hAnsi="宋体"/>
          <w:b/>
          <w:sz w:val="36"/>
          <w:szCs w:val="36"/>
        </w:rPr>
      </w:pPr>
      <w:r>
        <w:rPr>
          <w:rFonts w:hint="eastAsia" w:hAnsi="宋体"/>
          <w:b/>
          <w:sz w:val="36"/>
        </w:rPr>
        <w:t xml:space="preserve">  </w:t>
      </w:r>
      <w:r>
        <w:rPr>
          <w:rFonts w:hint="eastAsia" w:ascii="宋体" w:hAnsi="宋体"/>
          <w:b/>
          <w:sz w:val="36"/>
          <w:szCs w:val="36"/>
        </w:rPr>
        <w:t>投标函</w:t>
      </w:r>
    </w:p>
    <w:p w14:paraId="1E664F6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contextualSpacing/>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招标人：</w:t>
      </w:r>
      <w:r>
        <w:rPr>
          <w:rFonts w:hint="eastAsia" w:asciiTheme="minorEastAsia" w:hAnsiTheme="minorEastAsia" w:eastAsiaTheme="minorEastAsia" w:cstheme="minorEastAsia"/>
          <w:sz w:val="24"/>
          <w:szCs w:val="24"/>
          <w:u w:val="single"/>
        </w:rPr>
        <w:t xml:space="preserve">扬州大学附属医院 </w:t>
      </w:r>
    </w:p>
    <w:p w14:paraId="4009B4E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contextualSpacing/>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根据已收到贵方的</w:t>
      </w:r>
      <w:r>
        <w:rPr>
          <w:rFonts w:hint="eastAsia" w:asciiTheme="minorEastAsia" w:hAnsiTheme="minorEastAsia" w:eastAsiaTheme="minorEastAsia" w:cstheme="minorEastAsia"/>
          <w:b/>
          <w:bCs/>
          <w:sz w:val="24"/>
          <w:szCs w:val="24"/>
          <w:u w:val="single"/>
        </w:rPr>
        <w:t xml:space="preserve">                                </w:t>
      </w:r>
      <w:r>
        <w:rPr>
          <w:rFonts w:hint="eastAsia" w:asciiTheme="minorEastAsia" w:hAnsiTheme="minorEastAsia" w:eastAsiaTheme="minorEastAsia" w:cstheme="minorEastAsia"/>
          <w:bCs/>
          <w:sz w:val="24"/>
          <w:szCs w:val="24"/>
        </w:rPr>
        <w:t>项目的院内公开谈判文件，遵照扬州大学采购管理暂行办法，我单位经研究上述院内公开谈判文件的投标须知、合同条件、技术规范、和其他有关文件后，我方投标报价为</w:t>
      </w:r>
    </w:p>
    <w:p w14:paraId="11487A1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contextualSpacing/>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u w:val="single"/>
        </w:rPr>
        <w:t xml:space="preserve">    </w:t>
      </w:r>
      <w:r>
        <w:rPr>
          <w:rFonts w:hint="eastAsia" w:asciiTheme="minorEastAsia" w:hAnsiTheme="minorEastAsia" w:eastAsiaTheme="minorEastAsia" w:cstheme="minorEastAsia"/>
          <w:bCs/>
          <w:sz w:val="24"/>
          <w:szCs w:val="24"/>
          <w:u w:val="single"/>
          <w:lang w:val="en-US" w:eastAsia="zh-CN"/>
        </w:rPr>
        <w:t xml:space="preserve"> </w:t>
      </w:r>
      <w:r>
        <w:rPr>
          <w:rFonts w:hint="eastAsia" w:asciiTheme="minorEastAsia" w:hAnsiTheme="minorEastAsia" w:eastAsiaTheme="minorEastAsia" w:cstheme="minorEastAsia"/>
          <w:bCs/>
          <w:sz w:val="24"/>
          <w:szCs w:val="24"/>
          <w:u w:val="single"/>
        </w:rPr>
        <w:t xml:space="preserve">          </w:t>
      </w:r>
      <w:r>
        <w:rPr>
          <w:rFonts w:hint="eastAsia" w:asciiTheme="minorEastAsia" w:hAnsiTheme="minorEastAsia" w:eastAsiaTheme="minorEastAsia" w:cstheme="minorEastAsia"/>
          <w:bCs/>
          <w:sz w:val="24"/>
          <w:szCs w:val="24"/>
          <w:u w:val="single"/>
          <w:lang w:val="en-US" w:eastAsia="zh-CN"/>
        </w:rPr>
        <w:t xml:space="preserve">   </w:t>
      </w:r>
      <w:r>
        <w:rPr>
          <w:rFonts w:hint="eastAsia" w:asciiTheme="minorEastAsia" w:hAnsiTheme="minorEastAsia" w:eastAsiaTheme="minorEastAsia" w:cstheme="minorEastAsia"/>
          <w:bCs/>
          <w:sz w:val="24"/>
          <w:szCs w:val="24"/>
          <w:u w:val="single"/>
        </w:rPr>
        <w:t>万元</w:t>
      </w:r>
      <w:r>
        <w:rPr>
          <w:rFonts w:hint="eastAsia" w:asciiTheme="minorEastAsia" w:hAnsiTheme="minorEastAsia" w:eastAsiaTheme="minorEastAsia" w:cstheme="minorEastAsia"/>
          <w:bCs/>
          <w:sz w:val="24"/>
          <w:szCs w:val="24"/>
        </w:rPr>
        <w:t>。</w:t>
      </w:r>
    </w:p>
    <w:p w14:paraId="7732BFEC">
      <w:pPr>
        <w:keepNext w:val="0"/>
        <w:keepLines w:val="0"/>
        <w:pageBreakBefore w:val="0"/>
        <w:widowControl w:val="0"/>
        <w:kinsoku/>
        <w:wordWrap/>
        <w:overflowPunct/>
        <w:topLinePunct w:val="0"/>
        <w:autoSpaceDE/>
        <w:autoSpaceDN/>
        <w:bidi w:val="0"/>
        <w:spacing w:line="360" w:lineRule="auto"/>
        <w:ind w:left="0" w:leftChars="0" w:right="0" w:rightChars="0" w:firstLine="0" w:firstLineChars="0"/>
        <w:textAlignment w:val="auto"/>
        <w:rPr>
          <w:rFonts w:hint="eastAsia" w:asciiTheme="minorEastAsia" w:hAnsiTheme="minorEastAsia" w:eastAsiaTheme="minorEastAsia" w:cstheme="minorEastAsia"/>
          <w:bCs/>
          <w:sz w:val="24"/>
          <w:szCs w:val="24"/>
        </w:rPr>
      </w:pPr>
    </w:p>
    <w:p w14:paraId="651034D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contextualSpacing/>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投标人（盖章）：</w:t>
      </w:r>
    </w:p>
    <w:p w14:paraId="1E5207EA">
      <w:pPr>
        <w:pStyle w:val="15"/>
        <w:rPr>
          <w:rFonts w:hint="eastAsia"/>
        </w:rPr>
      </w:pPr>
    </w:p>
    <w:p w14:paraId="738D9EB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contextualSpacing/>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法定代表人或授权委托人（签字）：</w:t>
      </w:r>
    </w:p>
    <w:p w14:paraId="4ED79E1F">
      <w:pPr>
        <w:pStyle w:val="15"/>
        <w:rPr>
          <w:rFonts w:hint="eastAsia"/>
        </w:rPr>
      </w:pPr>
    </w:p>
    <w:p w14:paraId="0C878A3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contextualSpacing/>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日  期：</w:t>
      </w:r>
    </w:p>
    <w:p w14:paraId="39EC2E82">
      <w:pPr>
        <w:rPr>
          <w:rFonts w:hint="eastAsia" w:hAnsi="宋体"/>
          <w:b/>
          <w:sz w:val="36"/>
        </w:rPr>
      </w:pPr>
      <w:r>
        <w:rPr>
          <w:rFonts w:hint="eastAsia" w:hAnsi="宋体"/>
          <w:b/>
          <w:sz w:val="36"/>
        </w:rPr>
        <w:br w:type="page"/>
      </w:r>
    </w:p>
    <w:p w14:paraId="443C95E4">
      <w:pPr>
        <w:pStyle w:val="5"/>
        <w:jc w:val="center"/>
        <w:rPr>
          <w:rFonts w:hAnsi="宋体"/>
          <w:b/>
          <w:sz w:val="36"/>
        </w:rPr>
      </w:pPr>
      <w:r>
        <w:rPr>
          <w:rFonts w:hint="eastAsia" w:hAnsi="宋体"/>
          <w:b/>
          <w:sz w:val="36"/>
        </w:rPr>
        <w:t>授权</w:t>
      </w:r>
      <w:r>
        <w:rPr>
          <w:rFonts w:hint="eastAsia" w:hAnsi="宋体"/>
          <w:b/>
          <w:sz w:val="36"/>
          <w:lang w:val="en-US" w:eastAsia="zh-CN"/>
        </w:rPr>
        <w:t>委托</w:t>
      </w:r>
      <w:r>
        <w:rPr>
          <w:rFonts w:hint="eastAsia" w:hAnsi="宋体"/>
          <w:b/>
          <w:sz w:val="36"/>
        </w:rPr>
        <w:t>书</w:t>
      </w:r>
    </w:p>
    <w:p w14:paraId="634F19FA">
      <w:pPr>
        <w:pStyle w:val="5"/>
        <w:jc w:val="center"/>
        <w:rPr>
          <w:rFonts w:hAnsi="宋体"/>
          <w:b/>
          <w:sz w:val="24"/>
          <w:szCs w:val="24"/>
        </w:rPr>
      </w:pPr>
    </w:p>
    <w:p w14:paraId="5501123D">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sz w:val="24"/>
          <w:szCs w:val="24"/>
        </w:rPr>
      </w:pPr>
      <w:r>
        <w:rPr>
          <w:rFonts w:hint="eastAsia" w:hAnsi="宋体"/>
          <w:sz w:val="24"/>
          <w:szCs w:val="24"/>
        </w:rPr>
        <w:t>本授权委托书声明：我</w:t>
      </w:r>
      <w:r>
        <w:rPr>
          <w:rFonts w:hAnsi="宋体"/>
          <w:sz w:val="24"/>
          <w:szCs w:val="24"/>
        </w:rPr>
        <w:t>(</w:t>
      </w:r>
      <w:r>
        <w:rPr>
          <w:rFonts w:hint="eastAsia" w:hAnsi="宋体"/>
          <w:sz w:val="24"/>
          <w:szCs w:val="24"/>
        </w:rPr>
        <w:t>姓名</w:t>
      </w:r>
      <w:r>
        <w:rPr>
          <w:rFonts w:hAnsi="宋体"/>
          <w:sz w:val="24"/>
          <w:szCs w:val="24"/>
        </w:rPr>
        <w:t>)</w:t>
      </w:r>
      <w:r>
        <w:rPr>
          <w:rFonts w:hint="eastAsia" w:hAnsi="宋体"/>
          <w:sz w:val="24"/>
          <w:szCs w:val="24"/>
          <w:u w:val="single"/>
        </w:rPr>
        <w:t xml:space="preserve">          </w:t>
      </w:r>
      <w:r>
        <w:rPr>
          <w:rFonts w:hint="eastAsia" w:hAnsi="宋体"/>
          <w:sz w:val="24"/>
          <w:szCs w:val="24"/>
        </w:rPr>
        <w:t>系</w:t>
      </w:r>
      <w:r>
        <w:rPr>
          <w:rFonts w:hAnsi="宋体"/>
          <w:sz w:val="24"/>
          <w:szCs w:val="24"/>
        </w:rPr>
        <w:t>(</w:t>
      </w:r>
      <w:r>
        <w:rPr>
          <w:rFonts w:hint="eastAsia" w:hAnsi="宋体"/>
          <w:sz w:val="24"/>
          <w:szCs w:val="24"/>
        </w:rPr>
        <w:t>投标人名称</w:t>
      </w:r>
      <w:r>
        <w:rPr>
          <w:rFonts w:hAnsi="宋体"/>
          <w:sz w:val="24"/>
          <w:szCs w:val="24"/>
        </w:rPr>
        <w:t>)</w:t>
      </w:r>
      <w:r>
        <w:rPr>
          <w:rFonts w:hint="eastAsia" w:hAnsi="宋体"/>
          <w:sz w:val="24"/>
          <w:szCs w:val="24"/>
          <w:u w:val="single"/>
        </w:rPr>
        <w:t xml:space="preserve">    </w:t>
      </w:r>
      <w:r>
        <w:rPr>
          <w:rFonts w:hint="eastAsia" w:hAnsi="宋体"/>
          <w:sz w:val="24"/>
          <w:szCs w:val="24"/>
          <w:u w:val="single"/>
          <w:lang w:val="en-US" w:eastAsia="zh-CN"/>
        </w:rPr>
        <w:t xml:space="preserve">         </w:t>
      </w:r>
      <w:r>
        <w:rPr>
          <w:rFonts w:hint="eastAsia" w:hAnsi="宋体"/>
          <w:sz w:val="24"/>
          <w:szCs w:val="24"/>
          <w:u w:val="single"/>
        </w:rPr>
        <w:t xml:space="preserve">      </w:t>
      </w:r>
      <w:r>
        <w:rPr>
          <w:rFonts w:hint="eastAsia" w:hAnsi="宋体"/>
          <w:sz w:val="24"/>
          <w:szCs w:val="24"/>
        </w:rPr>
        <w:t>的法定代表人，现授权委托我单位的(姓名)</w:t>
      </w:r>
      <w:r>
        <w:rPr>
          <w:rFonts w:hint="eastAsia" w:hAnsi="宋体"/>
          <w:sz w:val="24"/>
          <w:szCs w:val="24"/>
          <w:u w:val="single"/>
        </w:rPr>
        <w:t xml:space="preserve">          </w:t>
      </w:r>
      <w:r>
        <w:rPr>
          <w:rFonts w:hint="eastAsia" w:hAnsi="宋体"/>
          <w:sz w:val="24"/>
          <w:szCs w:val="24"/>
        </w:rPr>
        <w:t>为我公司代理人。代理人在</w:t>
      </w:r>
    </w:p>
    <w:p w14:paraId="6CA476F7">
      <w:pPr>
        <w:pStyle w:val="5"/>
        <w:keepNext w:val="0"/>
        <w:keepLines w:val="0"/>
        <w:pageBreakBefore w:val="0"/>
        <w:widowControl w:val="0"/>
        <w:kinsoku/>
        <w:wordWrap/>
        <w:overflowPunct/>
        <w:topLinePunct w:val="0"/>
        <w:autoSpaceDE/>
        <w:autoSpaceDN/>
        <w:bidi w:val="0"/>
        <w:adjustRightInd/>
        <w:snapToGrid/>
        <w:spacing w:line="360" w:lineRule="auto"/>
        <w:textAlignment w:val="auto"/>
        <w:rPr>
          <w:rFonts w:hAnsi="宋体"/>
          <w:sz w:val="24"/>
          <w:szCs w:val="24"/>
          <w:u w:val="single"/>
        </w:rPr>
      </w:pPr>
      <w:r>
        <w:rPr>
          <w:rFonts w:hint="eastAsia" w:hAnsi="宋体"/>
          <w:sz w:val="24"/>
          <w:szCs w:val="24"/>
          <w:u w:val="single"/>
        </w:rPr>
        <w:t xml:space="preserve">                       </w:t>
      </w:r>
      <w:r>
        <w:rPr>
          <w:rFonts w:hint="eastAsia" w:hAnsi="宋体"/>
          <w:sz w:val="24"/>
          <w:szCs w:val="24"/>
        </w:rPr>
        <w:t>项目院内公开谈判活动中所签署的一切文件和处理与之有关的一切事务，我均予以承认。</w:t>
      </w:r>
    </w:p>
    <w:p w14:paraId="7C74D830">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sz w:val="24"/>
          <w:szCs w:val="24"/>
        </w:rPr>
      </w:pPr>
      <w:r>
        <w:rPr>
          <w:rFonts w:hint="eastAsia" w:hAnsi="宋体"/>
          <w:sz w:val="24"/>
          <w:szCs w:val="24"/>
        </w:rPr>
        <w:t>代理人无转委权。特此委托。</w:t>
      </w:r>
    </w:p>
    <w:p w14:paraId="24D4DFBB">
      <w:pPr>
        <w:pStyle w:val="5"/>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hAnsi="宋体"/>
          <w:sz w:val="24"/>
          <w:szCs w:val="24"/>
        </w:rPr>
      </w:pPr>
    </w:p>
    <w:p w14:paraId="2996B063">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sz w:val="24"/>
          <w:szCs w:val="24"/>
        </w:rPr>
      </w:pPr>
      <w:r>
        <w:rPr>
          <w:rFonts w:hint="eastAsia" w:hAnsi="宋体"/>
          <w:sz w:val="24"/>
          <w:szCs w:val="24"/>
        </w:rPr>
        <w:t>投标人：</w:t>
      </w:r>
      <w:r>
        <w:rPr>
          <w:rFonts w:hAnsi="宋体"/>
          <w:sz w:val="24"/>
          <w:szCs w:val="24"/>
        </w:rPr>
        <w:t>(</w:t>
      </w:r>
      <w:r>
        <w:rPr>
          <w:rFonts w:hint="eastAsia" w:hAnsi="宋体"/>
          <w:sz w:val="24"/>
          <w:szCs w:val="24"/>
        </w:rPr>
        <w:t>盖章</w:t>
      </w:r>
      <w:r>
        <w:rPr>
          <w:rFonts w:hAnsi="宋体"/>
          <w:sz w:val="24"/>
          <w:szCs w:val="24"/>
        </w:rPr>
        <w:t>)</w:t>
      </w:r>
    </w:p>
    <w:p w14:paraId="082B8992">
      <w:pPr>
        <w:pStyle w:val="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Ansi="宋体"/>
          <w:sz w:val="24"/>
          <w:szCs w:val="24"/>
        </w:rPr>
      </w:pPr>
    </w:p>
    <w:p w14:paraId="14F97EB0">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sz w:val="24"/>
          <w:szCs w:val="24"/>
        </w:rPr>
      </w:pPr>
      <w:r>
        <w:rPr>
          <w:rFonts w:hint="eastAsia" w:hAnsi="宋体"/>
          <w:sz w:val="24"/>
          <w:szCs w:val="24"/>
        </w:rPr>
        <w:t>法定代表人：</w:t>
      </w:r>
      <w:r>
        <w:rPr>
          <w:rFonts w:hAnsi="宋体"/>
          <w:sz w:val="24"/>
          <w:szCs w:val="24"/>
        </w:rPr>
        <w:t>(</w:t>
      </w:r>
      <w:r>
        <w:rPr>
          <w:rFonts w:hint="eastAsia" w:hAnsi="宋体"/>
          <w:sz w:val="24"/>
          <w:szCs w:val="24"/>
        </w:rPr>
        <w:t>签字</w:t>
      </w:r>
      <w:r>
        <w:rPr>
          <w:rFonts w:hAnsi="宋体"/>
          <w:sz w:val="24"/>
          <w:szCs w:val="24"/>
        </w:rPr>
        <w:t>)</w:t>
      </w:r>
    </w:p>
    <w:p w14:paraId="427DECAC">
      <w:pPr>
        <w:pStyle w:val="5"/>
        <w:spacing w:line="480" w:lineRule="auto"/>
        <w:ind w:firstLine="360" w:firstLineChars="150"/>
        <w:rPr>
          <w:rFonts w:hAnsi="宋体"/>
          <w:sz w:val="24"/>
          <w:szCs w:val="24"/>
        </w:rPr>
      </w:pPr>
    </w:p>
    <w:p w14:paraId="73ED47F1">
      <w:pPr>
        <w:pStyle w:val="5"/>
        <w:spacing w:line="480" w:lineRule="auto"/>
        <w:ind w:firstLine="6600" w:firstLineChars="2750"/>
        <w:rPr>
          <w:rFonts w:hAnsi="宋体"/>
          <w:sz w:val="24"/>
          <w:szCs w:val="24"/>
        </w:rPr>
      </w:pPr>
      <w:r>
        <w:rPr>
          <w:rFonts w:hint="eastAsia" w:hAnsi="宋体"/>
          <w:sz w:val="24"/>
          <w:szCs w:val="24"/>
        </w:rPr>
        <w:t xml:space="preserve">日期： </w:t>
      </w:r>
      <w:r>
        <w:rPr>
          <w:rFonts w:hint="eastAsia" w:hAnsi="宋体"/>
          <w:sz w:val="24"/>
          <w:szCs w:val="24"/>
          <w:lang w:val="en-US" w:eastAsia="zh-CN"/>
        </w:rPr>
        <w:t xml:space="preserve">  </w:t>
      </w:r>
      <w:r>
        <w:rPr>
          <w:rFonts w:hint="eastAsia" w:hAnsi="宋体"/>
          <w:sz w:val="24"/>
          <w:szCs w:val="24"/>
        </w:rPr>
        <w:t>年   月    日</w:t>
      </w:r>
    </w:p>
    <w:p w14:paraId="5EE3923D">
      <w:pPr>
        <w:pStyle w:val="5"/>
        <w:spacing w:line="480" w:lineRule="auto"/>
        <w:rPr>
          <w:rFonts w:hint="eastAsia" w:hAnsi="宋体"/>
          <w:sz w:val="24"/>
          <w:szCs w:val="24"/>
        </w:rPr>
      </w:pPr>
    </w:p>
    <w:p w14:paraId="6E77CEEE">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sz w:val="24"/>
          <w:szCs w:val="24"/>
        </w:rPr>
      </w:pPr>
      <w:r>
        <w:rPr>
          <w:rFonts w:hint="eastAsia" w:hAnsi="宋体"/>
          <w:sz w:val="24"/>
          <w:szCs w:val="24"/>
        </w:rPr>
        <w:t>代理人姓名：签字：</w:t>
      </w:r>
    </w:p>
    <w:p w14:paraId="5FDE7D7B">
      <w:pPr>
        <w:pStyle w:val="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Ansi="宋体"/>
          <w:sz w:val="24"/>
          <w:szCs w:val="24"/>
        </w:rPr>
      </w:pPr>
    </w:p>
    <w:p w14:paraId="054A69E4">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sz w:val="24"/>
          <w:szCs w:val="24"/>
        </w:rPr>
      </w:pPr>
      <w:r>
        <w:rPr>
          <w:rFonts w:hint="eastAsia" w:hAnsi="宋体"/>
          <w:sz w:val="24"/>
          <w:szCs w:val="24"/>
        </w:rPr>
        <w:t>身份证复印件：</w:t>
      </w:r>
    </w:p>
    <w:p w14:paraId="12CCF2D3">
      <w:pPr>
        <w:spacing w:line="400" w:lineRule="exact"/>
        <w:ind w:firstLine="480" w:firstLineChars="200"/>
        <w:rPr>
          <w:rFonts w:ascii="宋体" w:hAnsi="宋体"/>
          <w:sz w:val="24"/>
        </w:rPr>
      </w:pPr>
    </w:p>
    <w:p w14:paraId="5B8C3575">
      <w:pPr>
        <w:spacing w:line="400" w:lineRule="exact"/>
        <w:rPr>
          <w:rFonts w:ascii="宋体" w:hAnsi="宋体"/>
          <w:sz w:val="28"/>
        </w:rPr>
      </w:pPr>
    </w:p>
    <w:p w14:paraId="2CEBBB2C">
      <w:pPr>
        <w:spacing w:line="400" w:lineRule="exact"/>
        <w:rPr>
          <w:rFonts w:ascii="宋体" w:hAnsi="宋体"/>
          <w:sz w:val="28"/>
        </w:rPr>
      </w:pPr>
    </w:p>
    <w:p w14:paraId="6A784F83">
      <w:pPr>
        <w:spacing w:line="500" w:lineRule="exact"/>
        <w:jc w:val="center"/>
        <w:rPr>
          <w:rFonts w:ascii="黑体" w:eastAsia="黑体"/>
          <w:b/>
          <w:bCs/>
          <w:sz w:val="36"/>
          <w:szCs w:val="36"/>
        </w:rPr>
      </w:pPr>
    </w:p>
    <w:p w14:paraId="248F4E33">
      <w:pPr>
        <w:pStyle w:val="5"/>
        <w:jc w:val="center"/>
        <w:rPr>
          <w:rFonts w:ascii="黑体" w:hAnsi="Times New Roman" w:eastAsia="黑体"/>
          <w:b/>
          <w:sz w:val="36"/>
        </w:rPr>
      </w:pPr>
    </w:p>
    <w:p w14:paraId="28B7CCCD">
      <w:pPr>
        <w:pStyle w:val="5"/>
        <w:jc w:val="center"/>
        <w:rPr>
          <w:rFonts w:ascii="黑体" w:hAnsi="Times New Roman" w:eastAsia="黑体"/>
          <w:b/>
          <w:sz w:val="36"/>
        </w:rPr>
      </w:pPr>
    </w:p>
    <w:p w14:paraId="2E3898E2">
      <w:pPr>
        <w:pStyle w:val="5"/>
        <w:jc w:val="center"/>
        <w:rPr>
          <w:rFonts w:ascii="黑体" w:hAnsi="Times New Roman" w:eastAsia="黑体"/>
          <w:b/>
          <w:sz w:val="36"/>
        </w:rPr>
      </w:pPr>
    </w:p>
    <w:p w14:paraId="4C4DE9B9">
      <w:pPr>
        <w:pStyle w:val="5"/>
        <w:rPr>
          <w:rFonts w:ascii="黑体" w:eastAsia="黑体"/>
          <w:b/>
          <w:bCs/>
          <w:sz w:val="36"/>
          <w:szCs w:val="36"/>
        </w:rPr>
      </w:pPr>
    </w:p>
    <w:p w14:paraId="640C2CF4">
      <w:pPr>
        <w:pStyle w:val="6"/>
        <w:widowControl/>
        <w:spacing w:line="540" w:lineRule="exact"/>
        <w:ind w:left="0" w:leftChars="0"/>
        <w:jc w:val="center"/>
        <w:rPr>
          <w:rFonts w:ascii="宋体" w:hAnsi="宋体" w:eastAsia="宋体"/>
          <w:sz w:val="36"/>
          <w:szCs w:val="36"/>
        </w:rPr>
      </w:pPr>
      <w:r>
        <w:rPr>
          <w:rFonts w:hint="eastAsia" w:ascii="宋体" w:hAnsi="宋体"/>
          <w:b w:val="0"/>
          <w:bCs w:val="0"/>
          <w:szCs w:val="32"/>
        </w:rPr>
        <w:br w:type="page"/>
      </w:r>
      <w:r>
        <w:rPr>
          <w:rFonts w:hint="eastAsia" w:ascii="宋体" w:hAnsi="宋体" w:eastAsia="宋体"/>
          <w:sz w:val="36"/>
          <w:szCs w:val="36"/>
        </w:rPr>
        <w:t>承诺书(一)</w:t>
      </w:r>
    </w:p>
    <w:p w14:paraId="4225892C">
      <w:pPr>
        <w:spacing w:line="540" w:lineRule="exact"/>
      </w:pPr>
    </w:p>
    <w:p w14:paraId="350C327B">
      <w:pPr>
        <w:adjustRightInd w:val="0"/>
        <w:snapToGrid w:val="0"/>
        <w:spacing w:line="440" w:lineRule="exact"/>
        <w:ind w:left="424" w:leftChars="202" w:right="531" w:rightChars="253" w:firstLine="424" w:firstLineChars="177"/>
        <w:contextualSpacing/>
        <w:rPr>
          <w:sz w:val="24"/>
        </w:rPr>
      </w:pPr>
      <w:r>
        <w:rPr>
          <w:rFonts w:hint="eastAsia"/>
          <w:sz w:val="24"/>
        </w:rPr>
        <w:t>致：</w:t>
      </w:r>
      <w:r>
        <w:rPr>
          <w:rFonts w:hint="eastAsia"/>
          <w:sz w:val="24"/>
          <w:u w:val="single"/>
        </w:rPr>
        <w:t>扬州大学附属医院</w:t>
      </w:r>
      <w:r>
        <w:rPr>
          <w:rFonts w:hint="eastAsia"/>
          <w:sz w:val="24"/>
        </w:rPr>
        <w:t>（招标人名称）</w:t>
      </w:r>
    </w:p>
    <w:p w14:paraId="2FF955D4">
      <w:pPr>
        <w:adjustRightInd w:val="0"/>
        <w:snapToGrid w:val="0"/>
        <w:spacing w:line="440" w:lineRule="exact"/>
        <w:ind w:left="424" w:leftChars="202" w:right="531" w:rightChars="253" w:firstLine="424" w:firstLineChars="177"/>
        <w:contextualSpacing/>
        <w:rPr>
          <w:rFonts w:ascii="宋体" w:hAnsi="宋体"/>
          <w:sz w:val="24"/>
        </w:rPr>
      </w:pPr>
      <w:r>
        <w:rPr>
          <w:rFonts w:hint="eastAsia" w:ascii="宋体" w:hAnsi="宋体"/>
          <w:sz w:val="24"/>
        </w:rPr>
        <w:t>我公司自愿参加贵单位</w:t>
      </w:r>
      <w:r>
        <w:rPr>
          <w:rFonts w:hint="eastAsia" w:ascii="宋体" w:hAnsi="宋体"/>
          <w:b/>
          <w:sz w:val="24"/>
          <w:u w:val="single"/>
        </w:rPr>
        <w:t xml:space="preserve">                        </w:t>
      </w:r>
      <w:r>
        <w:rPr>
          <w:rFonts w:hint="eastAsia" w:ascii="宋体" w:hAnsi="宋体"/>
          <w:sz w:val="24"/>
        </w:rPr>
        <w:t>项目的院内公开谈判，并接受对我公司的资格审查，我公司承诺：根据贵单位提出的资格审查合格条件标准和要求，本公司没有因骗取中标或者严重违约以及发生重大工程质量、安全生产事故等问题，被有关部门暂停投标资格并在暂停期内。</w:t>
      </w:r>
    </w:p>
    <w:p w14:paraId="0B5E61E3">
      <w:pPr>
        <w:adjustRightInd w:val="0"/>
        <w:snapToGrid w:val="0"/>
        <w:spacing w:line="440" w:lineRule="exact"/>
        <w:ind w:left="424" w:leftChars="202" w:right="531" w:rightChars="253" w:firstLine="424" w:firstLineChars="177"/>
        <w:contextualSpacing/>
        <w:rPr>
          <w:sz w:val="24"/>
        </w:rPr>
      </w:pPr>
      <w:r>
        <w:rPr>
          <w:rFonts w:hint="eastAsia" w:ascii="宋体" w:hAnsi="宋体"/>
          <w:sz w:val="24"/>
        </w:rPr>
        <w:t>本公司递交的资格审查申请书中的内容没有隐瞒、虚假、伪造等弄虚作假行为。</w:t>
      </w:r>
    </w:p>
    <w:p w14:paraId="3EDDF9F6">
      <w:pPr>
        <w:pStyle w:val="6"/>
        <w:widowControl/>
        <w:adjustRightInd w:val="0"/>
        <w:snapToGrid w:val="0"/>
        <w:spacing w:line="440" w:lineRule="exact"/>
        <w:ind w:left="424" w:leftChars="202" w:right="531" w:rightChars="253" w:firstLine="426" w:firstLineChars="177"/>
        <w:contextualSpacing/>
        <w:jc w:val="left"/>
        <w:rPr>
          <w:rFonts w:ascii="宋体" w:hAnsi="宋体" w:eastAsia="宋体"/>
          <w:sz w:val="24"/>
        </w:rPr>
      </w:pPr>
    </w:p>
    <w:p w14:paraId="64CB2A8E">
      <w:pPr>
        <w:pStyle w:val="6"/>
        <w:widowControl/>
        <w:adjustRightInd w:val="0"/>
        <w:snapToGrid w:val="0"/>
        <w:spacing w:line="700" w:lineRule="exact"/>
        <w:ind w:left="424" w:leftChars="202" w:right="531" w:rightChars="253" w:firstLine="424" w:firstLineChars="177"/>
        <w:contextualSpacing/>
        <w:jc w:val="left"/>
        <w:rPr>
          <w:rFonts w:ascii="宋体" w:hAnsi="宋体" w:eastAsia="宋体" w:cs="宋体"/>
          <w:b w:val="0"/>
          <w:sz w:val="24"/>
        </w:rPr>
      </w:pPr>
      <w:r>
        <w:rPr>
          <w:rFonts w:hint="eastAsia" w:ascii="宋体" w:hAnsi="宋体" w:eastAsia="宋体" w:cs="宋体"/>
          <w:b w:val="0"/>
          <w:sz w:val="24"/>
        </w:rPr>
        <w:t>单位：（公章）</w:t>
      </w:r>
    </w:p>
    <w:p w14:paraId="612C81C5">
      <w:pPr>
        <w:pStyle w:val="6"/>
        <w:widowControl/>
        <w:adjustRightInd w:val="0"/>
        <w:snapToGrid w:val="0"/>
        <w:spacing w:line="700" w:lineRule="exact"/>
        <w:ind w:left="424" w:leftChars="202" w:right="531" w:rightChars="253" w:firstLine="424" w:firstLineChars="177"/>
        <w:contextualSpacing/>
        <w:jc w:val="left"/>
        <w:rPr>
          <w:rFonts w:ascii="宋体" w:hAnsi="宋体" w:eastAsia="宋体" w:cs="宋体"/>
          <w:b w:val="0"/>
          <w:sz w:val="24"/>
        </w:rPr>
      </w:pPr>
      <w:r>
        <w:rPr>
          <w:rFonts w:hint="eastAsia" w:ascii="宋体" w:hAnsi="宋体" w:eastAsia="宋体" w:cs="宋体"/>
          <w:b w:val="0"/>
          <w:sz w:val="24"/>
        </w:rPr>
        <w:t>法定代表人签字：</w:t>
      </w:r>
    </w:p>
    <w:p w14:paraId="037B49E6">
      <w:pPr>
        <w:adjustRightInd w:val="0"/>
        <w:snapToGrid w:val="0"/>
        <w:spacing w:line="700" w:lineRule="exact"/>
        <w:ind w:left="424" w:leftChars="202" w:right="531" w:rightChars="253" w:firstLine="424" w:firstLineChars="177"/>
        <w:contextualSpacing/>
        <w:jc w:val="left"/>
        <w:rPr>
          <w:rFonts w:ascii="宋体" w:hAnsi="宋体" w:cs="宋体"/>
          <w:bCs/>
          <w:sz w:val="24"/>
        </w:rPr>
      </w:pPr>
      <w:r>
        <w:rPr>
          <w:rFonts w:hint="eastAsia" w:ascii="宋体" w:hAnsi="宋体" w:cs="宋体"/>
          <w:bCs/>
          <w:sz w:val="24"/>
        </w:rPr>
        <w:t>项目负责人签名：</w:t>
      </w:r>
    </w:p>
    <w:p w14:paraId="2BCE9C2D">
      <w:pPr>
        <w:adjustRightInd w:val="0"/>
        <w:snapToGrid w:val="0"/>
        <w:spacing w:line="700" w:lineRule="exact"/>
        <w:ind w:left="424" w:leftChars="202" w:right="531" w:rightChars="253" w:firstLine="424" w:firstLineChars="177"/>
        <w:contextualSpacing/>
        <w:rPr>
          <w:rFonts w:ascii="宋体" w:hAnsi="宋体"/>
          <w:sz w:val="24"/>
        </w:rPr>
      </w:pPr>
    </w:p>
    <w:p w14:paraId="304A36DA">
      <w:pPr>
        <w:adjustRightInd w:val="0"/>
        <w:snapToGrid w:val="0"/>
        <w:spacing w:line="440" w:lineRule="exact"/>
        <w:ind w:left="424" w:leftChars="202" w:right="531" w:rightChars="253" w:firstLine="424" w:firstLineChars="177"/>
        <w:contextualSpacing/>
        <w:rPr>
          <w:rFonts w:ascii="宋体" w:hAnsi="宋体"/>
          <w:sz w:val="24"/>
        </w:rPr>
      </w:pPr>
      <w:r>
        <w:rPr>
          <w:rFonts w:hint="eastAsia" w:ascii="宋体" w:hAnsi="宋体"/>
          <w:sz w:val="24"/>
        </w:rPr>
        <w:t xml:space="preserve">                                                      年   月   日</w:t>
      </w:r>
    </w:p>
    <w:p w14:paraId="2A270E22">
      <w:pPr>
        <w:pStyle w:val="6"/>
        <w:widowControl/>
        <w:spacing w:line="540" w:lineRule="exact"/>
        <w:ind w:left="5250" w:leftChars="0"/>
        <w:jc w:val="center"/>
        <w:rPr>
          <w:rFonts w:hAnsi="宋体"/>
          <w:szCs w:val="32"/>
        </w:rPr>
      </w:pPr>
    </w:p>
    <w:p w14:paraId="3755E606">
      <w:pPr>
        <w:pStyle w:val="6"/>
        <w:widowControl/>
        <w:spacing w:line="540" w:lineRule="exact"/>
        <w:ind w:left="5250" w:leftChars="0"/>
        <w:jc w:val="center"/>
        <w:rPr>
          <w:rFonts w:ascii="宋体" w:hAnsi="宋体" w:eastAsia="宋体"/>
          <w:szCs w:val="32"/>
        </w:rPr>
      </w:pPr>
    </w:p>
    <w:p w14:paraId="75664C71">
      <w:pPr>
        <w:pStyle w:val="6"/>
        <w:widowControl/>
        <w:spacing w:line="540" w:lineRule="exact"/>
        <w:ind w:left="5250" w:leftChars="0"/>
        <w:jc w:val="center"/>
        <w:rPr>
          <w:rFonts w:ascii="宋体" w:hAnsi="宋体" w:eastAsia="宋体"/>
          <w:szCs w:val="32"/>
        </w:rPr>
      </w:pPr>
    </w:p>
    <w:p w14:paraId="708F8A34">
      <w:pPr>
        <w:pStyle w:val="6"/>
        <w:widowControl/>
        <w:spacing w:line="540" w:lineRule="exact"/>
        <w:ind w:left="5250" w:leftChars="0"/>
        <w:jc w:val="center"/>
        <w:rPr>
          <w:rFonts w:ascii="宋体" w:hAnsi="宋体" w:eastAsia="宋体"/>
          <w:szCs w:val="32"/>
        </w:rPr>
      </w:pPr>
    </w:p>
    <w:p w14:paraId="4DB5D02C">
      <w:pPr>
        <w:pStyle w:val="6"/>
        <w:widowControl/>
        <w:spacing w:line="540" w:lineRule="exact"/>
        <w:ind w:left="5250" w:leftChars="0"/>
        <w:jc w:val="center"/>
        <w:rPr>
          <w:rFonts w:ascii="宋体" w:hAnsi="宋体" w:eastAsia="宋体"/>
          <w:szCs w:val="32"/>
        </w:rPr>
      </w:pPr>
    </w:p>
    <w:p w14:paraId="52FFF562">
      <w:pPr>
        <w:pStyle w:val="6"/>
        <w:widowControl/>
        <w:spacing w:line="540" w:lineRule="exact"/>
        <w:ind w:left="5250" w:leftChars="0"/>
        <w:jc w:val="center"/>
        <w:rPr>
          <w:rFonts w:ascii="宋体" w:hAnsi="宋体" w:eastAsia="宋体"/>
          <w:szCs w:val="32"/>
        </w:rPr>
      </w:pPr>
    </w:p>
    <w:p w14:paraId="4075A2CB">
      <w:pPr>
        <w:rPr>
          <w:rFonts w:ascii="宋体" w:hAnsi="宋体"/>
          <w:szCs w:val="32"/>
        </w:rPr>
      </w:pPr>
      <w:r>
        <w:rPr>
          <w:rFonts w:hint="eastAsia" w:ascii="宋体" w:hAnsi="宋体"/>
          <w:szCs w:val="32"/>
        </w:rPr>
        <w:br w:type="page"/>
      </w:r>
    </w:p>
    <w:p w14:paraId="5E851CAB">
      <w:pPr>
        <w:jc w:val="center"/>
        <w:rPr>
          <w:rFonts w:ascii="宋体" w:hAnsi="宋体"/>
          <w:b/>
          <w:sz w:val="36"/>
          <w:szCs w:val="36"/>
        </w:rPr>
      </w:pPr>
      <w:r>
        <w:rPr>
          <w:rFonts w:hint="eastAsia" w:ascii="宋体" w:hAnsi="宋体"/>
          <w:b/>
          <w:sz w:val="36"/>
          <w:szCs w:val="36"/>
        </w:rPr>
        <w:t>投标报价</w:t>
      </w:r>
    </w:p>
    <w:p w14:paraId="33A9AF1A">
      <w:pPr>
        <w:jc w:val="center"/>
        <w:rPr>
          <w:rFonts w:ascii="宋体" w:hAnsi="宋体"/>
          <w:b/>
          <w:sz w:val="24"/>
        </w:rPr>
      </w:pPr>
    </w:p>
    <w:tbl>
      <w:tblPr>
        <w:tblStyle w:val="12"/>
        <w:tblW w:w="4483" w:type="pct"/>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2642"/>
        <w:gridCol w:w="2890"/>
        <w:gridCol w:w="2550"/>
      </w:tblGrid>
      <w:tr w14:paraId="0B3B2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76" w:type="pct"/>
            <w:tcBorders>
              <w:top w:val="single" w:color="auto" w:sz="4" w:space="0"/>
              <w:left w:val="single" w:color="auto" w:sz="4" w:space="0"/>
              <w:bottom w:val="single" w:color="auto" w:sz="4" w:space="0"/>
              <w:right w:val="single" w:color="auto" w:sz="4" w:space="0"/>
            </w:tcBorders>
            <w:vAlign w:val="center"/>
          </w:tcPr>
          <w:p w14:paraId="0FAF5044">
            <w:pPr>
              <w:jc w:val="center"/>
              <w:rPr>
                <w:rFonts w:ascii="宋体" w:hAnsi="宋体"/>
                <w:b/>
                <w:sz w:val="28"/>
                <w:szCs w:val="28"/>
              </w:rPr>
            </w:pPr>
            <w:r>
              <w:rPr>
                <w:rFonts w:hint="eastAsia" w:ascii="宋体" w:hAnsi="宋体"/>
                <w:b/>
                <w:sz w:val="28"/>
                <w:szCs w:val="28"/>
              </w:rPr>
              <w:t>序号</w:t>
            </w:r>
          </w:p>
        </w:tc>
        <w:tc>
          <w:tcPr>
            <w:tcW w:w="1479" w:type="pct"/>
            <w:tcBorders>
              <w:top w:val="single" w:color="auto" w:sz="4" w:space="0"/>
              <w:left w:val="single" w:color="auto" w:sz="4" w:space="0"/>
              <w:bottom w:val="single" w:color="auto" w:sz="4" w:space="0"/>
              <w:right w:val="single" w:color="auto" w:sz="4" w:space="0"/>
            </w:tcBorders>
            <w:vAlign w:val="center"/>
          </w:tcPr>
          <w:p w14:paraId="53A6EFAF">
            <w:pPr>
              <w:jc w:val="center"/>
              <w:rPr>
                <w:rFonts w:ascii="宋体" w:hAnsi="宋体"/>
                <w:b/>
                <w:sz w:val="28"/>
                <w:szCs w:val="28"/>
              </w:rPr>
            </w:pPr>
            <w:r>
              <w:rPr>
                <w:rFonts w:hint="eastAsia" w:ascii="宋体" w:hAnsi="宋体"/>
                <w:b/>
                <w:sz w:val="28"/>
                <w:szCs w:val="28"/>
              </w:rPr>
              <w:t>项目内容</w:t>
            </w:r>
          </w:p>
        </w:tc>
        <w:tc>
          <w:tcPr>
            <w:tcW w:w="1618" w:type="pct"/>
            <w:tcBorders>
              <w:top w:val="single" w:color="auto" w:sz="4" w:space="0"/>
              <w:left w:val="single" w:color="auto" w:sz="4" w:space="0"/>
              <w:bottom w:val="single" w:color="auto" w:sz="4" w:space="0"/>
              <w:right w:val="single" w:color="auto" w:sz="4" w:space="0"/>
            </w:tcBorders>
            <w:vAlign w:val="center"/>
          </w:tcPr>
          <w:p w14:paraId="4645E224">
            <w:pPr>
              <w:jc w:val="center"/>
              <w:rPr>
                <w:rFonts w:ascii="宋体" w:hAnsi="宋体"/>
                <w:b/>
                <w:sz w:val="28"/>
                <w:szCs w:val="28"/>
              </w:rPr>
            </w:pPr>
            <w:r>
              <w:rPr>
                <w:rFonts w:hint="eastAsia" w:ascii="宋体" w:hAnsi="宋体"/>
                <w:b/>
                <w:sz w:val="28"/>
                <w:szCs w:val="28"/>
              </w:rPr>
              <w:t>投标内容</w:t>
            </w:r>
          </w:p>
        </w:tc>
        <w:tc>
          <w:tcPr>
            <w:tcW w:w="1428" w:type="pct"/>
            <w:tcBorders>
              <w:top w:val="single" w:color="auto" w:sz="4" w:space="0"/>
              <w:left w:val="single" w:color="auto" w:sz="4" w:space="0"/>
              <w:bottom w:val="single" w:color="auto" w:sz="4" w:space="0"/>
              <w:right w:val="single" w:color="auto" w:sz="4" w:space="0"/>
            </w:tcBorders>
            <w:vAlign w:val="center"/>
          </w:tcPr>
          <w:p w14:paraId="0201698E">
            <w:pPr>
              <w:jc w:val="center"/>
              <w:rPr>
                <w:rFonts w:ascii="宋体" w:hAnsi="宋体"/>
                <w:b/>
                <w:sz w:val="28"/>
                <w:szCs w:val="28"/>
              </w:rPr>
            </w:pPr>
            <w:r>
              <w:rPr>
                <w:rFonts w:hint="eastAsia" w:ascii="宋体" w:hAnsi="宋体"/>
                <w:b/>
                <w:sz w:val="28"/>
                <w:szCs w:val="28"/>
              </w:rPr>
              <w:t>报价</w:t>
            </w:r>
          </w:p>
        </w:tc>
      </w:tr>
      <w:tr w14:paraId="114FE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76EDB01D">
            <w:pPr>
              <w:jc w:val="center"/>
              <w:rPr>
                <w:rFonts w:ascii="宋体" w:hAnsi="宋体"/>
                <w:sz w:val="24"/>
              </w:rPr>
            </w:pPr>
            <w:r>
              <w:rPr>
                <w:rFonts w:hint="eastAsia" w:ascii="宋体" w:hAnsi="宋体"/>
                <w:sz w:val="24"/>
              </w:rPr>
              <w:t>1</w:t>
            </w:r>
          </w:p>
        </w:tc>
        <w:tc>
          <w:tcPr>
            <w:tcW w:w="1479" w:type="pct"/>
            <w:tcBorders>
              <w:top w:val="single" w:color="auto" w:sz="4" w:space="0"/>
              <w:left w:val="single" w:color="auto" w:sz="4" w:space="0"/>
              <w:bottom w:val="single" w:color="auto" w:sz="4" w:space="0"/>
              <w:right w:val="single" w:color="auto" w:sz="4" w:space="0"/>
            </w:tcBorders>
            <w:vAlign w:val="center"/>
          </w:tcPr>
          <w:p w14:paraId="178A3433">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2C0153D5">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49F9DAE9">
            <w:pPr>
              <w:jc w:val="center"/>
              <w:rPr>
                <w:rFonts w:ascii="宋体" w:hAnsi="宋体"/>
                <w:sz w:val="24"/>
              </w:rPr>
            </w:pPr>
          </w:p>
        </w:tc>
      </w:tr>
      <w:tr w14:paraId="3E873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42B2D019">
            <w:pPr>
              <w:jc w:val="center"/>
              <w:rPr>
                <w:rFonts w:ascii="宋体" w:hAnsi="宋体"/>
                <w:sz w:val="24"/>
              </w:rPr>
            </w:pPr>
            <w:r>
              <w:rPr>
                <w:rFonts w:hint="eastAsia" w:ascii="宋体" w:hAnsi="宋体"/>
                <w:sz w:val="24"/>
              </w:rPr>
              <w:t>2</w:t>
            </w:r>
          </w:p>
        </w:tc>
        <w:tc>
          <w:tcPr>
            <w:tcW w:w="1479" w:type="pct"/>
            <w:tcBorders>
              <w:top w:val="single" w:color="auto" w:sz="4" w:space="0"/>
              <w:left w:val="single" w:color="auto" w:sz="4" w:space="0"/>
              <w:bottom w:val="single" w:color="auto" w:sz="4" w:space="0"/>
              <w:right w:val="single" w:color="auto" w:sz="4" w:space="0"/>
            </w:tcBorders>
            <w:vAlign w:val="center"/>
          </w:tcPr>
          <w:p w14:paraId="60E639DA">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7B465A2D">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54FE6576">
            <w:pPr>
              <w:jc w:val="center"/>
              <w:rPr>
                <w:rFonts w:ascii="宋体" w:hAnsi="宋体"/>
                <w:sz w:val="24"/>
              </w:rPr>
            </w:pPr>
          </w:p>
        </w:tc>
      </w:tr>
      <w:tr w14:paraId="29C6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6433ACA2">
            <w:pPr>
              <w:jc w:val="center"/>
              <w:rPr>
                <w:rFonts w:ascii="宋体" w:hAnsi="宋体"/>
                <w:sz w:val="24"/>
              </w:rPr>
            </w:pPr>
            <w:r>
              <w:rPr>
                <w:rFonts w:hint="eastAsia" w:ascii="宋体" w:hAnsi="宋体"/>
                <w:sz w:val="24"/>
              </w:rPr>
              <w:t>3</w:t>
            </w:r>
          </w:p>
        </w:tc>
        <w:tc>
          <w:tcPr>
            <w:tcW w:w="1479" w:type="pct"/>
            <w:tcBorders>
              <w:top w:val="single" w:color="auto" w:sz="4" w:space="0"/>
              <w:left w:val="single" w:color="auto" w:sz="4" w:space="0"/>
              <w:bottom w:val="single" w:color="auto" w:sz="4" w:space="0"/>
              <w:right w:val="single" w:color="auto" w:sz="4" w:space="0"/>
            </w:tcBorders>
            <w:vAlign w:val="center"/>
          </w:tcPr>
          <w:p w14:paraId="2D72A23D">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21C6BA68">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5FE9DCC1">
            <w:pPr>
              <w:jc w:val="center"/>
              <w:rPr>
                <w:rFonts w:ascii="宋体" w:hAnsi="宋体"/>
                <w:sz w:val="24"/>
              </w:rPr>
            </w:pPr>
          </w:p>
        </w:tc>
      </w:tr>
      <w:tr w14:paraId="2ABA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490FB382">
            <w:pPr>
              <w:jc w:val="center"/>
              <w:rPr>
                <w:rFonts w:ascii="宋体" w:hAnsi="宋体"/>
                <w:sz w:val="24"/>
              </w:rPr>
            </w:pPr>
            <w:r>
              <w:rPr>
                <w:rFonts w:hint="eastAsia" w:ascii="宋体" w:hAnsi="宋体"/>
                <w:sz w:val="24"/>
              </w:rPr>
              <w:t>4</w:t>
            </w:r>
          </w:p>
        </w:tc>
        <w:tc>
          <w:tcPr>
            <w:tcW w:w="1479" w:type="pct"/>
            <w:tcBorders>
              <w:top w:val="single" w:color="auto" w:sz="4" w:space="0"/>
              <w:left w:val="single" w:color="auto" w:sz="4" w:space="0"/>
              <w:bottom w:val="single" w:color="auto" w:sz="4" w:space="0"/>
              <w:right w:val="single" w:color="auto" w:sz="4" w:space="0"/>
            </w:tcBorders>
            <w:vAlign w:val="center"/>
          </w:tcPr>
          <w:p w14:paraId="7A6657F1">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4348B0F6">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56B9A34F">
            <w:pPr>
              <w:jc w:val="left"/>
              <w:rPr>
                <w:rFonts w:ascii="宋体" w:hAnsi="宋体"/>
                <w:sz w:val="24"/>
              </w:rPr>
            </w:pPr>
          </w:p>
        </w:tc>
      </w:tr>
      <w:tr w14:paraId="1621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6148742C">
            <w:pPr>
              <w:jc w:val="center"/>
              <w:rPr>
                <w:rFonts w:ascii="宋体" w:hAnsi="宋体"/>
                <w:sz w:val="24"/>
              </w:rPr>
            </w:pPr>
            <w:r>
              <w:rPr>
                <w:rFonts w:hint="eastAsia" w:ascii="宋体" w:hAnsi="宋体"/>
                <w:sz w:val="24"/>
              </w:rPr>
              <w:t>5</w:t>
            </w:r>
          </w:p>
        </w:tc>
        <w:tc>
          <w:tcPr>
            <w:tcW w:w="1479" w:type="pct"/>
            <w:tcBorders>
              <w:top w:val="single" w:color="auto" w:sz="4" w:space="0"/>
              <w:left w:val="single" w:color="auto" w:sz="4" w:space="0"/>
              <w:bottom w:val="single" w:color="auto" w:sz="4" w:space="0"/>
              <w:right w:val="single" w:color="auto" w:sz="4" w:space="0"/>
            </w:tcBorders>
            <w:vAlign w:val="center"/>
          </w:tcPr>
          <w:p w14:paraId="339D9D18">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40A064C8">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644715EF">
            <w:pPr>
              <w:jc w:val="left"/>
              <w:rPr>
                <w:rFonts w:ascii="宋体" w:hAnsi="宋体"/>
                <w:sz w:val="24"/>
              </w:rPr>
            </w:pPr>
          </w:p>
        </w:tc>
      </w:tr>
      <w:tr w14:paraId="391E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1A151FC1">
            <w:pPr>
              <w:jc w:val="center"/>
              <w:rPr>
                <w:rFonts w:ascii="宋体" w:hAnsi="宋体"/>
                <w:sz w:val="24"/>
              </w:rPr>
            </w:pPr>
            <w:r>
              <w:rPr>
                <w:rFonts w:hint="eastAsia" w:ascii="宋体" w:hAnsi="宋体"/>
                <w:sz w:val="24"/>
              </w:rPr>
              <w:t>6</w:t>
            </w:r>
          </w:p>
        </w:tc>
        <w:tc>
          <w:tcPr>
            <w:tcW w:w="1479" w:type="pct"/>
            <w:tcBorders>
              <w:top w:val="single" w:color="auto" w:sz="4" w:space="0"/>
              <w:left w:val="single" w:color="auto" w:sz="4" w:space="0"/>
              <w:bottom w:val="single" w:color="auto" w:sz="4" w:space="0"/>
              <w:right w:val="single" w:color="auto" w:sz="4" w:space="0"/>
            </w:tcBorders>
            <w:vAlign w:val="center"/>
          </w:tcPr>
          <w:p w14:paraId="376FF745">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5D6DE8D5">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5C8A1A41">
            <w:pPr>
              <w:jc w:val="left"/>
              <w:rPr>
                <w:rFonts w:ascii="宋体" w:hAnsi="宋体"/>
                <w:sz w:val="24"/>
              </w:rPr>
            </w:pPr>
          </w:p>
        </w:tc>
      </w:tr>
      <w:tr w14:paraId="063E6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529F3ED1">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4239C0FA">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3CAD039F">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5470CB91">
            <w:pPr>
              <w:jc w:val="left"/>
              <w:rPr>
                <w:rFonts w:ascii="宋体" w:hAnsi="宋体"/>
                <w:sz w:val="24"/>
              </w:rPr>
            </w:pPr>
          </w:p>
        </w:tc>
      </w:tr>
      <w:tr w14:paraId="1D1F2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23FF139F">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0BA08578">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282D03BE">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61F55DDF">
            <w:pPr>
              <w:jc w:val="center"/>
              <w:rPr>
                <w:rFonts w:ascii="宋体" w:hAnsi="宋体"/>
                <w:sz w:val="24"/>
              </w:rPr>
            </w:pPr>
          </w:p>
        </w:tc>
      </w:tr>
      <w:tr w14:paraId="51A6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4F8DA5E3">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0821D47A">
            <w:pP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14E10C16">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18997193">
            <w:pPr>
              <w:jc w:val="center"/>
              <w:rPr>
                <w:rFonts w:ascii="宋体" w:hAnsi="宋体"/>
                <w:sz w:val="24"/>
              </w:rPr>
            </w:pPr>
          </w:p>
        </w:tc>
      </w:tr>
      <w:tr w14:paraId="2765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0870FBD8">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717A30C2">
            <w:pPr>
              <w:jc w:val="left"/>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77AD7184">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53E8DCA6">
            <w:pPr>
              <w:jc w:val="center"/>
              <w:rPr>
                <w:rFonts w:ascii="宋体" w:hAnsi="宋体"/>
                <w:sz w:val="24"/>
              </w:rPr>
            </w:pPr>
          </w:p>
        </w:tc>
      </w:tr>
      <w:tr w14:paraId="06C2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015EAE39">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284E638D">
            <w:pPr>
              <w:jc w:val="left"/>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624DDD75">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6035B08C">
            <w:pPr>
              <w:jc w:val="center"/>
              <w:rPr>
                <w:rFonts w:ascii="宋体" w:hAnsi="宋体"/>
                <w:sz w:val="24"/>
              </w:rPr>
            </w:pPr>
          </w:p>
        </w:tc>
      </w:tr>
      <w:tr w14:paraId="7083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7E3F3C4D">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5AF94F5B">
            <w:pPr>
              <w:jc w:val="left"/>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296639CA">
            <w:pPr>
              <w:jc w:val="center"/>
              <w:rPr>
                <w:rFonts w:ascii="宋体" w:hAnsi="宋体"/>
                <w:sz w:val="24"/>
              </w:rPr>
            </w:pPr>
          </w:p>
          <w:p w14:paraId="51C3CB28">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tcPr>
          <w:p w14:paraId="5F559007">
            <w:pPr>
              <w:jc w:val="center"/>
              <w:rPr>
                <w:rFonts w:ascii="宋体" w:hAnsi="宋体"/>
                <w:sz w:val="24"/>
              </w:rPr>
            </w:pPr>
          </w:p>
        </w:tc>
      </w:tr>
      <w:tr w14:paraId="3378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74B6002D">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0531B4AA">
            <w:pPr>
              <w:jc w:val="center"/>
              <w:rPr>
                <w:rFonts w:ascii="宋体" w:hAnsi="宋体"/>
                <w:sz w:val="24"/>
              </w:rPr>
            </w:pPr>
            <w:r>
              <w:rPr>
                <w:rFonts w:hint="eastAsia" w:ascii="宋体" w:hAnsi="宋体"/>
                <w:sz w:val="24"/>
              </w:rPr>
              <w:t>其他条件</w:t>
            </w:r>
          </w:p>
        </w:tc>
        <w:tc>
          <w:tcPr>
            <w:tcW w:w="3046" w:type="pct"/>
            <w:gridSpan w:val="2"/>
            <w:tcBorders>
              <w:top w:val="single" w:color="auto" w:sz="4" w:space="0"/>
              <w:left w:val="single" w:color="auto" w:sz="4" w:space="0"/>
              <w:bottom w:val="single" w:color="auto" w:sz="4" w:space="0"/>
              <w:right w:val="single" w:color="auto" w:sz="4" w:space="0"/>
            </w:tcBorders>
            <w:vAlign w:val="center"/>
          </w:tcPr>
          <w:p w14:paraId="5EEC8A0A">
            <w:pPr>
              <w:jc w:val="center"/>
              <w:rPr>
                <w:rFonts w:ascii="宋体" w:hAnsi="宋体"/>
                <w:b/>
                <w:sz w:val="24"/>
              </w:rPr>
            </w:pPr>
          </w:p>
        </w:tc>
      </w:tr>
    </w:tbl>
    <w:p w14:paraId="32282B7B">
      <w:pPr>
        <w:jc w:val="center"/>
        <w:rPr>
          <w:rFonts w:ascii="宋体" w:hAnsi="宋体"/>
          <w:b/>
          <w:sz w:val="24"/>
        </w:rPr>
      </w:pPr>
    </w:p>
    <w:p w14:paraId="4A18DE4E">
      <w:pPr>
        <w:adjustRightInd w:val="0"/>
        <w:snapToGrid w:val="0"/>
        <w:spacing w:line="600" w:lineRule="exact"/>
        <w:ind w:firstLine="566" w:firstLineChars="236"/>
        <w:contextualSpacing/>
        <w:rPr>
          <w:rFonts w:ascii="宋体" w:hAnsi="宋体"/>
          <w:bCs/>
          <w:sz w:val="24"/>
        </w:rPr>
      </w:pPr>
      <w:r>
        <w:rPr>
          <w:rFonts w:hint="eastAsia" w:ascii="宋体" w:hAnsi="宋体"/>
          <w:bCs/>
          <w:sz w:val="24"/>
        </w:rPr>
        <w:t>投标人（盖章）：</w:t>
      </w:r>
    </w:p>
    <w:p w14:paraId="37154142">
      <w:pPr>
        <w:adjustRightInd w:val="0"/>
        <w:snapToGrid w:val="0"/>
        <w:spacing w:line="600" w:lineRule="exact"/>
        <w:ind w:firstLine="566" w:firstLineChars="236"/>
        <w:contextualSpacing/>
        <w:rPr>
          <w:rFonts w:ascii="宋体" w:hAnsi="宋体"/>
          <w:bCs/>
          <w:sz w:val="24"/>
        </w:rPr>
      </w:pPr>
      <w:r>
        <w:rPr>
          <w:rFonts w:hint="eastAsia" w:ascii="宋体" w:hAnsi="宋体"/>
          <w:bCs/>
          <w:sz w:val="24"/>
        </w:rPr>
        <w:t>法定代表人或委托代理人（签字）：</w:t>
      </w:r>
    </w:p>
    <w:p w14:paraId="45756288">
      <w:pPr>
        <w:adjustRightInd w:val="0"/>
        <w:snapToGrid w:val="0"/>
        <w:spacing w:line="600" w:lineRule="exact"/>
        <w:ind w:firstLine="566" w:firstLineChars="236"/>
        <w:contextualSpacing/>
        <w:rPr>
          <w:rFonts w:ascii="宋体" w:hAnsi="宋体"/>
          <w:bCs/>
          <w:sz w:val="24"/>
        </w:rPr>
      </w:pPr>
      <w:r>
        <w:rPr>
          <w:rFonts w:hint="eastAsia" w:ascii="宋体" w:hAnsi="宋体"/>
          <w:bCs/>
          <w:sz w:val="24"/>
        </w:rPr>
        <w:t>日  期：</w:t>
      </w:r>
    </w:p>
    <w:p w14:paraId="4351E847">
      <w:pPr>
        <w:jc w:val="center"/>
        <w:rPr>
          <w:rFonts w:ascii="宋体" w:hAnsi="宋体"/>
          <w:b/>
          <w:sz w:val="24"/>
        </w:rPr>
      </w:pPr>
    </w:p>
    <w:p w14:paraId="3848C2B6">
      <w:pPr>
        <w:jc w:val="center"/>
        <w:rPr>
          <w:rFonts w:ascii="宋体" w:hAnsi="宋体"/>
          <w:b/>
          <w:sz w:val="24"/>
        </w:rPr>
      </w:pPr>
    </w:p>
    <w:p w14:paraId="5A628E91">
      <w:pPr>
        <w:rPr>
          <w:rFonts w:ascii="宋体" w:hAnsi="宋体"/>
          <w:b/>
          <w:sz w:val="24"/>
        </w:rPr>
      </w:pPr>
    </w:p>
    <w:p w14:paraId="12043156">
      <w:pPr>
        <w:jc w:val="center"/>
        <w:rPr>
          <w:rFonts w:ascii="宋体" w:hAnsi="宋体"/>
          <w:b/>
          <w:bCs/>
          <w:sz w:val="36"/>
          <w:szCs w:val="36"/>
        </w:rPr>
      </w:pPr>
      <w:r>
        <w:rPr>
          <w:rFonts w:hint="eastAsia" w:ascii="宋体" w:hAnsi="宋体"/>
          <w:b/>
          <w:bCs/>
          <w:sz w:val="36"/>
          <w:szCs w:val="36"/>
        </w:rPr>
        <w:t>供应商廉洁自律承诺书</w:t>
      </w:r>
    </w:p>
    <w:p w14:paraId="45E56FDB">
      <w:pPr>
        <w:rPr>
          <w:rFonts w:ascii="楷体_GB2312" w:eastAsia="楷体_GB2312"/>
        </w:rPr>
      </w:pPr>
    </w:p>
    <w:p w14:paraId="0E010691">
      <w:pPr>
        <w:pStyle w:val="7"/>
        <w:keepNext w:val="0"/>
        <w:keepLines w:val="0"/>
        <w:pageBreakBefore w:val="0"/>
        <w:widowControl w:val="0"/>
        <w:kinsoku/>
        <w:wordWrap/>
        <w:overflowPunct/>
        <w:topLinePunct w:val="0"/>
        <w:autoSpaceDE/>
        <w:autoSpaceDN/>
        <w:bidi w:val="0"/>
        <w:adjustRightInd w:val="0"/>
        <w:snapToGrid w:val="0"/>
        <w:spacing w:after="0" w:line="360" w:lineRule="auto"/>
        <w:ind w:left="424" w:leftChars="202" w:right="531" w:rightChars="253" w:firstLine="480" w:firstLineChars="200"/>
        <w:contextualSpacing/>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扬州大学附属医院</w:t>
      </w:r>
      <w:r>
        <w:rPr>
          <w:rFonts w:hint="eastAsia" w:asciiTheme="minorEastAsia" w:hAnsiTheme="minorEastAsia" w:eastAsiaTheme="minorEastAsia" w:cstheme="minorEastAsia"/>
          <w:bCs/>
          <w:sz w:val="24"/>
          <w:szCs w:val="24"/>
          <w:u w:val="single"/>
          <w:lang w:val="en-US" w:eastAsia="zh-CN"/>
        </w:rPr>
        <w:t xml:space="preserve">                        </w:t>
      </w:r>
      <w:r>
        <w:rPr>
          <w:rFonts w:hint="eastAsia" w:asciiTheme="minorEastAsia" w:hAnsiTheme="minorEastAsia" w:eastAsiaTheme="minorEastAsia" w:cstheme="minorEastAsia"/>
          <w:bCs/>
          <w:sz w:val="24"/>
          <w:szCs w:val="24"/>
        </w:rPr>
        <w:t>项目院内公开谈判是实行公开、公平、公正的阳光工程，给予了每个供应商平等竞争的机会。作为参与此次谈判活动的承包商,我公司现郑重作出以下承诺：</w:t>
      </w:r>
    </w:p>
    <w:p w14:paraId="5865B2A1">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一、遵守《中华人民共和国政府采购法》及省、市有关政府采购的各项法律、法规和制度以及《扬州大学采购管理暂行办法》的规定。</w:t>
      </w:r>
    </w:p>
    <w:p w14:paraId="5082AF0B">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二、客观真实反映自身情况，按规定接受采购供应商资格审查,不提供虚假材料，不夸大自身技术和提供服务的能力。</w:t>
      </w:r>
    </w:p>
    <w:p w14:paraId="408209B2">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三、以合法正当的手段参与采购的公平竞争。不与采购人、其他供应商或者采购代理机构恶意串通，不以不正当手段诋毁、排挤其他供应商，不向采购人、评审机构行贿或者提供其他不正当利益。</w:t>
      </w:r>
    </w:p>
    <w:p w14:paraId="57BABD31">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四、在采购活动中，认真履行规定义务,包括</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遵守采购程序，按要求编写投标、响应文件，并保证投标、响应文件内容的真实可靠；按时递交投标、响应文件；在评标、谈判现场遵守相关纪律，不影响正常的采购秩序。</w:t>
      </w:r>
    </w:p>
    <w:p w14:paraId="31F8DE3D">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五、自觉接受采购监督管理部门及其他相关部门的监督检查。</w:t>
      </w:r>
    </w:p>
    <w:p w14:paraId="3372910B">
      <w:pPr>
        <w:pStyle w:val="7"/>
        <w:keepNext w:val="0"/>
        <w:keepLines w:val="0"/>
        <w:pageBreakBefore w:val="0"/>
        <w:widowControl w:val="0"/>
        <w:kinsoku/>
        <w:wordWrap/>
        <w:overflowPunct/>
        <w:topLinePunct w:val="0"/>
        <w:autoSpaceDE/>
        <w:autoSpaceDN/>
        <w:bidi w:val="0"/>
        <w:adjustRightInd w:val="0"/>
        <w:snapToGrid w:val="0"/>
        <w:spacing w:after="0" w:line="360" w:lineRule="auto"/>
        <w:ind w:left="424" w:leftChars="202" w:right="531" w:rightChars="253" w:firstLine="482" w:firstLineChars="200"/>
        <w:contextualSpacing/>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如违反以上承诺，我公司愿承担一切法律责任，并接受采购监督管理部门及其他相关部门依法作出的处罚。</w:t>
      </w:r>
    </w:p>
    <w:p w14:paraId="4D332664">
      <w:pPr>
        <w:pStyle w:val="7"/>
        <w:adjustRightInd w:val="0"/>
        <w:snapToGrid w:val="0"/>
        <w:spacing w:line="440" w:lineRule="exact"/>
        <w:ind w:left="424" w:leftChars="202" w:right="531" w:rightChars="253" w:firstLine="424" w:firstLineChars="177"/>
        <w:contextualSpacing/>
        <w:rPr>
          <w:rFonts w:ascii="宋体" w:hAnsi="宋体"/>
          <w:sz w:val="24"/>
        </w:rPr>
      </w:pPr>
    </w:p>
    <w:p w14:paraId="3E54AA89">
      <w:pPr>
        <w:adjustRightInd w:val="0"/>
        <w:snapToGrid w:val="0"/>
        <w:spacing w:line="440" w:lineRule="exact"/>
        <w:ind w:left="424" w:leftChars="202" w:right="531" w:rightChars="253" w:firstLine="424" w:firstLineChars="177"/>
        <w:contextualSpacing/>
        <w:rPr>
          <w:rFonts w:ascii="宋体" w:hAnsi="宋体"/>
          <w:sz w:val="24"/>
        </w:rPr>
      </w:pPr>
    </w:p>
    <w:p w14:paraId="511F2C4D">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宋体" w:hAnsi="宋体"/>
          <w:sz w:val="24"/>
          <w:lang w:eastAsia="zh-CN"/>
        </w:rPr>
      </w:pPr>
      <w:r>
        <w:rPr>
          <w:rFonts w:hint="eastAsia" w:ascii="宋体" w:hAnsi="宋体"/>
          <w:sz w:val="24"/>
        </w:rPr>
        <w:t>承诺单位（盖章）</w:t>
      </w:r>
      <w:r>
        <w:rPr>
          <w:rFonts w:hint="eastAsia" w:ascii="宋体" w:hAnsi="宋体"/>
          <w:sz w:val="24"/>
          <w:lang w:eastAsia="zh-CN"/>
        </w:rPr>
        <w:t>：</w:t>
      </w:r>
    </w:p>
    <w:p w14:paraId="2A85252D">
      <w:pPr>
        <w:pStyle w:val="15"/>
        <w:rPr>
          <w:rFonts w:hint="eastAsia"/>
          <w:lang w:eastAsia="zh-CN"/>
        </w:rPr>
      </w:pPr>
    </w:p>
    <w:p w14:paraId="33F35A58">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宋体" w:hAnsi="宋体"/>
          <w:sz w:val="24"/>
        </w:rPr>
      </w:pPr>
      <w:r>
        <w:rPr>
          <w:rFonts w:hint="eastAsia" w:ascii="宋体" w:hAnsi="宋体"/>
          <w:sz w:val="24"/>
        </w:rPr>
        <w:t>法定代表人（授权代表签字）：</w:t>
      </w:r>
    </w:p>
    <w:p w14:paraId="794FB570">
      <w:pPr>
        <w:pStyle w:val="15"/>
      </w:pPr>
    </w:p>
    <w:p w14:paraId="19DDA9AE">
      <w:pPr>
        <w:pStyle w:val="4"/>
        <w:keepNext w:val="0"/>
        <w:keepLines w:val="0"/>
        <w:pageBreakBefore w:val="0"/>
        <w:widowControl w:val="0"/>
        <w:kinsoku/>
        <w:wordWrap/>
        <w:overflowPunct/>
        <w:topLinePunct w:val="0"/>
        <w:autoSpaceDE/>
        <w:autoSpaceDN/>
        <w:bidi w:val="0"/>
        <w:adjustRightInd w:val="0"/>
        <w:snapToGrid w:val="0"/>
        <w:spacing w:after="0" w:line="360" w:lineRule="auto"/>
        <w:ind w:left="424" w:leftChars="202" w:right="531" w:rightChars="253" w:firstLine="480" w:firstLineChars="200"/>
        <w:contextualSpacing/>
        <w:textAlignment w:val="auto"/>
        <w:rPr>
          <w:rFonts w:ascii="宋体" w:hAnsi="宋体"/>
          <w:sz w:val="24"/>
          <w:highlight w:val="none"/>
        </w:rPr>
      </w:pPr>
      <w:r>
        <w:rPr>
          <w:rFonts w:hint="eastAsia" w:ascii="宋体" w:hAnsi="宋体"/>
          <w:sz w:val="24"/>
          <w:highlight w:val="none"/>
        </w:rPr>
        <w:t>202</w:t>
      </w:r>
      <w:r>
        <w:rPr>
          <w:rFonts w:ascii="宋体" w:hAnsi="宋体"/>
          <w:sz w:val="24"/>
          <w:highlight w:val="none"/>
        </w:rPr>
        <w:t>6</w:t>
      </w:r>
      <w:r>
        <w:rPr>
          <w:rFonts w:hint="eastAsia" w:ascii="宋体" w:hAnsi="宋体"/>
          <w:sz w:val="24"/>
          <w:highlight w:val="none"/>
        </w:rPr>
        <w:t>年    月   日</w:t>
      </w:r>
    </w:p>
    <w:p w14:paraId="67C3252A">
      <w:pPr>
        <w:jc w:val="center"/>
        <w:rPr>
          <w:rFonts w:ascii="宋体" w:hAnsi="宋体"/>
          <w:b/>
          <w:sz w:val="24"/>
        </w:rPr>
      </w:pPr>
    </w:p>
    <w:p w14:paraId="4475BBDC">
      <w:pPr>
        <w:rPr>
          <w:sz w:val="24"/>
        </w:rPr>
      </w:pPr>
    </w:p>
    <w:p w14:paraId="1006B6F2"/>
    <w:sectPr>
      <w:footerReference r:id="rId6" w:type="first"/>
      <w:footerReference r:id="rId5" w:type="default"/>
      <w:pgSz w:w="11906" w:h="16838"/>
      <w:pgMar w:top="1440" w:right="1080" w:bottom="1440" w:left="108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F5D9D">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AAFA4">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6AAB">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ACFB96">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2ACFB96">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3C96E">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8EB352">
                          <w:pPr>
                            <w:pStyle w:val="8"/>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B8EB352">
                    <w:pPr>
                      <w:pStyle w:val="8"/>
                    </w:pPr>
                    <w:r>
                      <w:fldChar w:fldCharType="begin"/>
                    </w:r>
                    <w:r>
                      <w:instrText xml:space="preserve"> PAGE  \* MERGEFORMAT </w:instrText>
                    </w:r>
                    <w:r>
                      <w:fldChar w:fldCharType="separate"/>
                    </w:r>
                    <w:r>
                      <w:t>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A16"/>
    <w:rsid w:val="00071A16"/>
    <w:rsid w:val="003C335C"/>
    <w:rsid w:val="00551C80"/>
    <w:rsid w:val="00C301C1"/>
    <w:rsid w:val="00E70E53"/>
    <w:rsid w:val="03A046AD"/>
    <w:rsid w:val="063F1B11"/>
    <w:rsid w:val="0729554C"/>
    <w:rsid w:val="089D2481"/>
    <w:rsid w:val="08A72ABA"/>
    <w:rsid w:val="10914B20"/>
    <w:rsid w:val="16CB2E15"/>
    <w:rsid w:val="24461AAB"/>
    <w:rsid w:val="28CC6875"/>
    <w:rsid w:val="2A857986"/>
    <w:rsid w:val="2BD03596"/>
    <w:rsid w:val="324B1B69"/>
    <w:rsid w:val="38E55989"/>
    <w:rsid w:val="3BDF05E4"/>
    <w:rsid w:val="3BE74C37"/>
    <w:rsid w:val="417A049F"/>
    <w:rsid w:val="42D904B9"/>
    <w:rsid w:val="44DD7681"/>
    <w:rsid w:val="45497B2F"/>
    <w:rsid w:val="496F0C07"/>
    <w:rsid w:val="57DD1426"/>
    <w:rsid w:val="5B2F1F99"/>
    <w:rsid w:val="5F457BAA"/>
    <w:rsid w:val="5F4D4D18"/>
    <w:rsid w:val="5FEE7F65"/>
    <w:rsid w:val="651765E5"/>
    <w:rsid w:val="68A40A34"/>
    <w:rsid w:val="6BA240C1"/>
    <w:rsid w:val="6D9A68F5"/>
    <w:rsid w:val="6FFA4D37"/>
    <w:rsid w:val="75FB7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unhideWhenUsed/>
    <w:qFormat/>
    <w:uiPriority w:val="99"/>
    <w:pPr>
      <w:spacing w:after="120"/>
      <w:ind w:left="420" w:leftChars="200"/>
    </w:pPr>
  </w:style>
  <w:style w:type="paragraph" w:styleId="5">
    <w:name w:val="Plain Text"/>
    <w:basedOn w:val="1"/>
    <w:unhideWhenUsed/>
    <w:qFormat/>
    <w:uiPriority w:val="99"/>
    <w:rPr>
      <w:rFonts w:ascii="宋体" w:hAnsi="Courier New" w:cs="Courier New"/>
      <w:szCs w:val="21"/>
    </w:rPr>
  </w:style>
  <w:style w:type="paragraph" w:styleId="6">
    <w:name w:val="Date"/>
    <w:basedOn w:val="1"/>
    <w:next w:val="1"/>
    <w:semiHidden/>
    <w:unhideWhenUsed/>
    <w:qFormat/>
    <w:uiPriority w:val="99"/>
    <w:pPr>
      <w:ind w:left="100" w:leftChars="2500"/>
    </w:pPr>
    <w:rPr>
      <w:rFonts w:eastAsia="楷体_GB2312"/>
      <w:b/>
      <w:bCs/>
      <w:sz w:val="32"/>
    </w:rPr>
  </w:style>
  <w:style w:type="paragraph" w:styleId="7">
    <w:name w:val="Body Text Indent 2"/>
    <w:basedOn w:val="1"/>
    <w:unhideWhenUsed/>
    <w:qFormat/>
    <w:uiPriority w:val="99"/>
    <w:pPr>
      <w:spacing w:after="120" w:line="480" w:lineRule="auto"/>
      <w:ind w:left="420" w:leftChars="200"/>
    </w:p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unhideWhenUsed/>
    <w:qFormat/>
    <w:uiPriority w:val="99"/>
    <w:pPr>
      <w:tabs>
        <w:tab w:val="right" w:leader="dot" w:pos="8296"/>
      </w:tabs>
      <w:spacing w:line="360" w:lineRule="auto"/>
    </w:p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3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Default"/>
    <w:qFormat/>
    <w:uiPriority w:val="0"/>
    <w:pPr>
      <w:widowControl w:val="0"/>
      <w:autoSpaceDE w:val="0"/>
      <w:autoSpaceDN w:val="0"/>
      <w:adjustRightInd w:val="0"/>
    </w:pPr>
    <w:rPr>
      <w:rFonts w:ascii="等线" w:hAnsi="等线" w:eastAsia="等线" w:cs="Times New Roman"/>
      <w:color w:val="000000"/>
      <w:sz w:val="24"/>
      <w:szCs w:val="24"/>
      <w:lang w:val="en-US" w:eastAsia="zh-CN" w:bidi="ar-SA"/>
    </w:rPr>
  </w:style>
  <w:style w:type="paragraph" w:styleId="16">
    <w:name w:val="List Paragraph"/>
    <w:basedOn w:val="1"/>
    <w:qFormat/>
    <w:uiPriority w:val="34"/>
    <w:pPr>
      <w:ind w:firstLine="420" w:firstLineChars="200"/>
    </w:pPr>
    <w:rPr>
      <w:szCs w:val="20"/>
    </w:rPr>
  </w:style>
  <w:style w:type="table" w:customStyle="1" w:styleId="17">
    <w:name w:val="TableGrid"/>
    <w:qFormat/>
    <w:uiPriority w:val="0"/>
    <w:rPr>
      <w:kern w:val="2"/>
      <w:sz w:val="21"/>
      <w:szCs w:val="22"/>
    </w:rPr>
    <w:tblPr>
      <w:tblCellMar>
        <w:top w:w="0" w:type="dxa"/>
        <w:left w:w="0" w:type="dxa"/>
        <w:bottom w:w="0" w:type="dxa"/>
        <w:right w:w="0" w:type="dxa"/>
      </w:tblCellMar>
    </w:tblPr>
  </w:style>
  <w:style w:type="paragraph" w:customStyle="1" w:styleId="18">
    <w:name w:val="列出段落1"/>
    <w:basedOn w:val="1"/>
    <w:qFormat/>
    <w:uiPriority w:val="99"/>
    <w:pPr>
      <w:ind w:firstLine="420" w:firstLineChars="200"/>
    </w:pPr>
  </w:style>
  <w:style w:type="paragraph" w:customStyle="1" w:styleId="19">
    <w:name w:val="普通正文"/>
    <w:basedOn w:val="1"/>
    <w:qFormat/>
    <w:uiPriority w:val="99"/>
    <w:pPr>
      <w:adjustRightInd w:val="0"/>
      <w:spacing w:before="120" w:after="120" w:line="360" w:lineRule="auto"/>
      <w:ind w:firstLine="480"/>
      <w:jc w:val="left"/>
      <w:textAlignment w:val="baseline"/>
    </w:pPr>
    <w:rPr>
      <w:rFonts w:ascii="Arial" w:hAnsi="Arial"/>
      <w:kern w:val="0"/>
      <w:sz w:val="24"/>
    </w:rPr>
  </w:style>
  <w:style w:type="character" w:customStyle="1" w:styleId="20">
    <w:name w:val="font31"/>
    <w:basedOn w:val="14"/>
    <w:qFormat/>
    <w:uiPriority w:val="0"/>
    <w:rPr>
      <w:rFonts w:hint="eastAsia" w:ascii="宋体" w:hAnsi="宋体" w:eastAsia="宋体" w:cs="宋体"/>
      <w:color w:val="000000"/>
      <w:sz w:val="22"/>
      <w:szCs w:val="22"/>
      <w:u w:val="none"/>
    </w:rPr>
  </w:style>
  <w:style w:type="character" w:customStyle="1" w:styleId="21">
    <w:name w:val="font41"/>
    <w:basedOn w:val="14"/>
    <w:qFormat/>
    <w:uiPriority w:val="0"/>
    <w:rPr>
      <w:rFonts w:hint="eastAsia" w:ascii="宋体" w:hAnsi="宋体" w:eastAsia="宋体" w:cs="宋体"/>
      <w:color w:val="000000"/>
      <w:sz w:val="22"/>
      <w:szCs w:val="22"/>
      <w:u w:val="none"/>
    </w:rPr>
  </w:style>
  <w:style w:type="character" w:customStyle="1" w:styleId="22">
    <w:name w:val="font51"/>
    <w:basedOn w:val="14"/>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2248</Words>
  <Characters>2895</Characters>
  <Lines>1230</Lines>
  <Paragraphs>808</Paragraphs>
  <TotalTime>4</TotalTime>
  <ScaleCrop>false</ScaleCrop>
  <LinksUpToDate>false</LinksUpToDate>
  <CharactersWithSpaces>2956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2025-06-06T06:43:00Z</dcterms:created>
  <dc:creator>admin</dc:creator>
  <cp:lastModifiedBy>艾伦小天使</cp:lastModifiedBy>
  <dcterms:modified xsi:type="dcterms:W3CDTF">2026-09-07T09:50:21Z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eyJoZGlkIjoiYTBhZWI3NWRmZjY0ZGIxMWVjM2QyOTRhYjhiZjJiYWMiLCJ1c2VySWQiOiIzNTEzODI1MDgifQ==</vt:lpwstr>
  </property>
  <property fmtid="{D5CDD505-2E9C-101B-9397-08002B2CF9AE}" pid="4" name="ICV">
    <vt:lpwstr>4267784B8B1D45E3AB2328088BCD180F_13</vt:lpwstr>
  </property>
</Properties>
</file>