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57B4B" w14:textId="77777777" w:rsidR="00675037" w:rsidRDefault="00000000">
      <w:pPr>
        <w:pStyle w:val="af2"/>
        <w:numPr>
          <w:ilvl w:val="0"/>
          <w:numId w:val="7"/>
        </w:numPr>
      </w:pPr>
      <w:r>
        <w:t>号楼空调采暖系统控制柜更换及配套维修项目需求</w:t>
      </w:r>
    </w:p>
    <w:p w14:paraId="00F7EC74" w14:textId="77777777" w:rsidR="00675037" w:rsidRDefault="00000000">
      <w:pPr>
        <w:pStyle w:val="1"/>
        <w:rPr>
          <w:rFonts w:hint="eastAsia"/>
        </w:rPr>
      </w:pPr>
      <w:r>
        <w:t>一、项目概况</w:t>
      </w:r>
    </w:p>
    <w:p w14:paraId="4236C973" w14:textId="77777777" w:rsidR="00675037" w:rsidRDefault="00000000">
      <w:pPr>
        <w:pStyle w:val="a8"/>
        <w:widowControl/>
        <w:tabs>
          <w:tab w:val="left" w:pos="760"/>
        </w:tabs>
        <w:ind w:firstLineChars="183" w:firstLine="439"/>
      </w:pPr>
      <w:r>
        <w:rPr>
          <w:rFonts w:hint="eastAsia"/>
        </w:rPr>
        <w:t>东区</w:t>
      </w:r>
      <w:r>
        <w:rPr>
          <w:rFonts w:hint="eastAsia"/>
        </w:rPr>
        <w:t>7</w:t>
      </w:r>
      <w:r>
        <w:t>号楼空调采暖系统因运行年限较长，现有控制柜及配套设备老化，部分阀门、管道、仪表及板式换热器存在功能失效、密封不良、数据采集不准确等问题，已影响系统安全稳定经济运行。为提升系统自动化控制水平、保障供热采暖效果，现拟对</w:t>
      </w:r>
      <w:r>
        <w:t>7</w:t>
      </w:r>
      <w:r>
        <w:t>号楼空调采暖系统控制柜进行更换，并对相关配套设备进行维修、清洗与改造。</w:t>
      </w:r>
    </w:p>
    <w:p w14:paraId="4ADB1A2B" w14:textId="72D4B7FA" w:rsidR="00675037" w:rsidRDefault="00000000">
      <w:pPr>
        <w:pStyle w:val="a8"/>
        <w:widowControl/>
        <w:ind w:firstLine="480"/>
      </w:pPr>
      <w:r>
        <w:t>本项目涵盖设备生产、旧设备拆除、新设备供应、运输、安装、调试、培训、验收及质保等全部内容</w:t>
      </w:r>
      <w:r>
        <w:rPr>
          <w:rFonts w:hint="eastAsia"/>
        </w:rPr>
        <w:t>，以下清单项目及数量仅供参考，需要现场勘察，现场勘察联系人：罗垠塍；电话：</w:t>
      </w:r>
      <w:r>
        <w:rPr>
          <w:rFonts w:hint="eastAsia"/>
        </w:rPr>
        <w:t>13912132986</w:t>
      </w:r>
      <w:r>
        <w:t>。</w:t>
      </w:r>
    </w:p>
    <w:p w14:paraId="5287BD4F" w14:textId="77777777" w:rsidR="00675037" w:rsidRDefault="00000000">
      <w:pPr>
        <w:pStyle w:val="1"/>
        <w:tabs>
          <w:tab w:val="left" w:pos="963"/>
        </w:tabs>
        <w:rPr>
          <w:rFonts w:hint="eastAsia"/>
        </w:rPr>
      </w:pPr>
      <w:r>
        <w:rPr>
          <w:rFonts w:hint="eastAsia"/>
        </w:rPr>
        <w:t>二、</w:t>
      </w:r>
      <w:r>
        <w:t>范围及内容</w:t>
      </w:r>
    </w:p>
    <w:p w14:paraId="25C598BE" w14:textId="77777777" w:rsidR="00675037" w:rsidRDefault="00000000">
      <w:pPr>
        <w:pStyle w:val="a8"/>
        <w:widowControl/>
        <w:numPr>
          <w:ilvl w:val="0"/>
          <w:numId w:val="8"/>
        </w:numPr>
        <w:ind w:left="896" w:firstLineChars="0" w:hanging="414"/>
      </w:pPr>
      <w:r>
        <w:t>7</w:t>
      </w:r>
      <w:r>
        <w:t>号楼采暖</w:t>
      </w:r>
      <w:r>
        <w:t>PLC</w:t>
      </w:r>
      <w:r>
        <w:t>控制柜的设计、制造、供应、安装与调试；</w:t>
      </w:r>
    </w:p>
    <w:p w14:paraId="28817E80" w14:textId="77777777" w:rsidR="00675037" w:rsidRDefault="00000000">
      <w:pPr>
        <w:pStyle w:val="a8"/>
        <w:widowControl/>
        <w:numPr>
          <w:ilvl w:val="0"/>
          <w:numId w:val="8"/>
        </w:numPr>
        <w:ind w:left="896" w:firstLineChars="0" w:hanging="414"/>
      </w:pPr>
      <w:r>
        <w:t>换热机组配套阀门、管道、仪表等老化部件的更换；</w:t>
      </w:r>
    </w:p>
    <w:p w14:paraId="0ADEC74D" w14:textId="77777777" w:rsidR="00675037" w:rsidRDefault="00000000">
      <w:pPr>
        <w:pStyle w:val="a8"/>
        <w:widowControl/>
        <w:numPr>
          <w:ilvl w:val="0"/>
          <w:numId w:val="8"/>
        </w:numPr>
        <w:ind w:left="896" w:firstLineChars="0" w:hanging="414"/>
      </w:pPr>
      <w:r>
        <w:t>板式换热器的拆装与清洗；</w:t>
      </w:r>
    </w:p>
    <w:p w14:paraId="1F907D70" w14:textId="77777777" w:rsidR="00675037" w:rsidRDefault="00000000">
      <w:pPr>
        <w:pStyle w:val="a8"/>
        <w:widowControl/>
        <w:numPr>
          <w:ilvl w:val="0"/>
          <w:numId w:val="8"/>
        </w:numPr>
        <w:ind w:left="896" w:firstLineChars="0" w:hanging="414"/>
      </w:pPr>
      <w:r>
        <w:t>管道保温层及铝皮外护层的更换与恢复；</w:t>
      </w:r>
    </w:p>
    <w:p w14:paraId="0528E877" w14:textId="77777777" w:rsidR="00675037" w:rsidRDefault="00000000">
      <w:pPr>
        <w:pStyle w:val="a8"/>
        <w:widowControl/>
        <w:numPr>
          <w:ilvl w:val="0"/>
          <w:numId w:val="8"/>
        </w:numPr>
        <w:ind w:left="896" w:firstLineChars="0" w:hanging="414"/>
      </w:pPr>
      <w:r>
        <w:t>旧设备拆除、现场勘测、安装调试及操作培训；</w:t>
      </w:r>
    </w:p>
    <w:p w14:paraId="5490B00A" w14:textId="77777777" w:rsidR="00675037" w:rsidRDefault="00000000">
      <w:pPr>
        <w:pStyle w:val="1"/>
        <w:tabs>
          <w:tab w:val="left" w:pos="963"/>
        </w:tabs>
        <w:rPr>
          <w:rFonts w:hint="eastAsia"/>
          <w:b w:val="0"/>
          <w:bCs w:val="0"/>
        </w:rPr>
      </w:pPr>
      <w:r>
        <w:rPr>
          <w:rFonts w:hint="eastAsia"/>
        </w:rPr>
        <w:t>三、</w:t>
      </w:r>
      <w:r>
        <w:t>总体技术要求</w:t>
      </w:r>
    </w:p>
    <w:p w14:paraId="4DBE4E57" w14:textId="77777777" w:rsidR="00675037" w:rsidRDefault="00000000">
      <w:pPr>
        <w:pStyle w:val="a8"/>
        <w:widowControl/>
        <w:numPr>
          <w:ilvl w:val="0"/>
          <w:numId w:val="9"/>
        </w:numPr>
        <w:tabs>
          <w:tab w:val="clear" w:pos="210"/>
          <w:tab w:val="left" w:pos="782"/>
        </w:tabs>
        <w:ind w:left="782" w:firstLineChars="0" w:hanging="300"/>
      </w:pPr>
      <w:r>
        <w:t>机组按</w:t>
      </w:r>
      <w:proofErr w:type="gramStart"/>
      <w:r>
        <w:t>"</w:t>
      </w:r>
      <w:r>
        <w:t>远程</w:t>
      </w:r>
      <w:proofErr w:type="gramEnd"/>
      <w:r>
        <w:t>全自动无人值守</w:t>
      </w:r>
      <w:proofErr w:type="gramStart"/>
      <w:r>
        <w:t>型</w:t>
      </w:r>
      <w:r>
        <w:t>"</w:t>
      </w:r>
      <w:proofErr w:type="gramEnd"/>
      <w:r>
        <w:t>配置，实现</w:t>
      </w:r>
      <w:proofErr w:type="gramStart"/>
      <w:r>
        <w:t>"</w:t>
      </w:r>
      <w:r>
        <w:t>就地</w:t>
      </w:r>
      <w:proofErr w:type="gramEnd"/>
      <w:r>
        <w:t>控制</w:t>
      </w:r>
      <w:r>
        <w:t xml:space="preserve"> + </w:t>
      </w:r>
      <w:r>
        <w:t>中央监控（大楼</w:t>
      </w:r>
      <w:r>
        <w:t>BA</w:t>
      </w:r>
      <w:r>
        <w:t>系统）</w:t>
      </w:r>
      <w:r>
        <w:t>"</w:t>
      </w:r>
      <w:r>
        <w:t>双重管控模式，现场控制单元既可独立运行，也可接收</w:t>
      </w:r>
      <w:r>
        <w:t>BA</w:t>
      </w:r>
      <w:r>
        <w:t>系统指令。</w:t>
      </w:r>
    </w:p>
    <w:p w14:paraId="18D0503A" w14:textId="77777777" w:rsidR="00675037" w:rsidRDefault="00000000">
      <w:pPr>
        <w:pStyle w:val="a8"/>
        <w:widowControl/>
        <w:numPr>
          <w:ilvl w:val="0"/>
          <w:numId w:val="9"/>
        </w:numPr>
        <w:tabs>
          <w:tab w:val="clear" w:pos="210"/>
          <w:tab w:val="left" w:pos="782"/>
        </w:tabs>
        <w:ind w:left="782" w:firstLineChars="0" w:hanging="300"/>
      </w:pPr>
      <w:r>
        <w:t>系统须具备</w:t>
      </w:r>
      <w:proofErr w:type="gramStart"/>
      <w:r>
        <w:t>"</w:t>
      </w:r>
      <w:r>
        <w:t>参数</w:t>
      </w:r>
      <w:proofErr w:type="gramEnd"/>
      <w:r>
        <w:t>采集</w:t>
      </w:r>
      <w:r>
        <w:t>—</w:t>
      </w:r>
      <w:r>
        <w:t>自动控制</w:t>
      </w:r>
      <w:r>
        <w:t>—</w:t>
      </w:r>
      <w:r>
        <w:t>故障报警</w:t>
      </w:r>
      <w:r>
        <w:t>—</w:t>
      </w:r>
      <w:r>
        <w:t>联锁</w:t>
      </w:r>
      <w:proofErr w:type="gramStart"/>
      <w:r>
        <w:t>保护</w:t>
      </w:r>
      <w:r>
        <w:t>"</w:t>
      </w:r>
      <w:proofErr w:type="gramEnd"/>
      <w:r>
        <w:t>全流程功能，确保安全、稳定、经济运行；机组接入配电箱后可直接投入使用。</w:t>
      </w:r>
    </w:p>
    <w:p w14:paraId="0AA274C6" w14:textId="77777777" w:rsidR="00675037" w:rsidRDefault="00000000">
      <w:pPr>
        <w:pStyle w:val="1"/>
        <w:tabs>
          <w:tab w:val="left" w:pos="963"/>
        </w:tabs>
        <w:ind w:leftChars="200" w:left="440"/>
        <w:rPr>
          <w:rFonts w:hint="eastAsia"/>
        </w:rPr>
      </w:pPr>
      <w:r>
        <w:t>控制系统技术要求</w:t>
      </w:r>
    </w:p>
    <w:p w14:paraId="15669025" w14:textId="77777777" w:rsidR="00675037" w:rsidRDefault="00000000">
      <w:pPr>
        <w:pStyle w:val="21"/>
        <w:tabs>
          <w:tab w:val="left" w:pos="903"/>
        </w:tabs>
        <w:ind w:firstLineChars="200" w:firstLine="482"/>
      </w:pPr>
      <w:r>
        <w:lastRenderedPageBreak/>
        <w:t>可编程控制器（</w:t>
      </w:r>
      <w:r>
        <w:t>PLC</w:t>
      </w:r>
      <w:r>
        <w:t>）</w:t>
      </w:r>
    </w:p>
    <w:p w14:paraId="1AB4A878" w14:textId="77777777" w:rsidR="00675037" w:rsidRDefault="00000000">
      <w:pPr>
        <w:pStyle w:val="a8"/>
        <w:widowControl/>
        <w:numPr>
          <w:ilvl w:val="0"/>
          <w:numId w:val="10"/>
        </w:numPr>
        <w:tabs>
          <w:tab w:val="clear" w:pos="210"/>
          <w:tab w:val="left" w:pos="782"/>
        </w:tabs>
        <w:ind w:left="782" w:firstLineChars="0" w:hanging="300"/>
      </w:pPr>
      <w:r>
        <w:t>配置</w:t>
      </w:r>
      <w:r>
        <w:t>PLC</w:t>
      </w:r>
      <w:r>
        <w:t>，支持远程监控功能，具备微处理器及存储器，满足多输入</w:t>
      </w:r>
      <w:r>
        <w:t>/</w:t>
      </w:r>
      <w:r>
        <w:t>输出控制需求。</w:t>
      </w:r>
    </w:p>
    <w:p w14:paraId="1FAFD2F2" w14:textId="77777777" w:rsidR="00675037" w:rsidRDefault="00000000">
      <w:pPr>
        <w:pStyle w:val="a8"/>
        <w:widowControl/>
        <w:numPr>
          <w:ilvl w:val="0"/>
          <w:numId w:val="10"/>
        </w:numPr>
        <w:tabs>
          <w:tab w:val="clear" w:pos="210"/>
          <w:tab w:val="left" w:pos="782"/>
        </w:tabs>
        <w:ind w:left="782" w:firstLineChars="0" w:hanging="300"/>
      </w:pPr>
      <w:r>
        <w:t>PLC</w:t>
      </w:r>
      <w:r>
        <w:t>须独立完成参数采集（数字</w:t>
      </w:r>
      <w:r>
        <w:t>/</w:t>
      </w:r>
      <w:r>
        <w:t>逻辑运算处理）、就地显示、自动控制及联锁保护，且在脱离中央系统时仍能稳定运行。</w:t>
      </w:r>
    </w:p>
    <w:p w14:paraId="373C4F1A" w14:textId="77777777" w:rsidR="00675037" w:rsidRDefault="00000000">
      <w:pPr>
        <w:pStyle w:val="a8"/>
        <w:widowControl/>
        <w:numPr>
          <w:ilvl w:val="0"/>
          <w:numId w:val="10"/>
        </w:numPr>
        <w:tabs>
          <w:tab w:val="clear" w:pos="210"/>
          <w:tab w:val="left" w:pos="782"/>
        </w:tabs>
        <w:ind w:left="782" w:firstLineChars="0" w:hanging="300"/>
      </w:pPr>
      <w:r>
        <w:t>须采集并上传至</w:t>
      </w:r>
      <w:r>
        <w:t>BA</w:t>
      </w:r>
      <w:r>
        <w:t>系统的核心参数：</w:t>
      </w:r>
    </w:p>
    <w:p w14:paraId="1FB37356" w14:textId="77777777" w:rsidR="00675037" w:rsidRDefault="00000000">
      <w:pPr>
        <w:pStyle w:val="a8"/>
        <w:widowControl/>
        <w:tabs>
          <w:tab w:val="left" w:pos="782"/>
        </w:tabs>
        <w:ind w:left="482" w:firstLineChars="100" w:firstLine="240"/>
      </w:pPr>
      <w:r>
        <w:t>二次网供水温度（测量误差</w:t>
      </w:r>
      <w:r>
        <w:t>≤±0.1℃</w:t>
      </w:r>
      <w:r>
        <w:t>）</w:t>
      </w:r>
    </w:p>
    <w:p w14:paraId="425C6A62" w14:textId="77777777" w:rsidR="00675037" w:rsidRDefault="00000000">
      <w:pPr>
        <w:pStyle w:val="a8"/>
        <w:widowControl/>
        <w:tabs>
          <w:tab w:val="left" w:pos="782"/>
        </w:tabs>
        <w:ind w:left="482" w:firstLineChars="100" w:firstLine="240"/>
      </w:pPr>
      <w:r>
        <w:t>调节阀阀位（精度</w:t>
      </w:r>
      <w:r>
        <w:t>≤±1%</w:t>
      </w:r>
      <w:r>
        <w:t>）</w:t>
      </w:r>
    </w:p>
    <w:p w14:paraId="6E69F7A8" w14:textId="77777777" w:rsidR="00675037" w:rsidRDefault="00000000">
      <w:pPr>
        <w:pStyle w:val="a8"/>
        <w:widowControl/>
        <w:tabs>
          <w:tab w:val="left" w:pos="782"/>
        </w:tabs>
        <w:ind w:left="482" w:firstLineChars="100" w:firstLine="240"/>
      </w:pPr>
      <w:r>
        <w:t>循环泵运行状态</w:t>
      </w:r>
      <w:r>
        <w:t>/</w:t>
      </w:r>
      <w:r>
        <w:t>故障信号</w:t>
      </w:r>
    </w:p>
    <w:p w14:paraId="724EE1DD" w14:textId="77777777" w:rsidR="00675037" w:rsidRDefault="00000000">
      <w:pPr>
        <w:pStyle w:val="a8"/>
        <w:widowControl/>
        <w:tabs>
          <w:tab w:val="left" w:pos="782"/>
        </w:tabs>
        <w:ind w:left="482" w:firstLineChars="100" w:firstLine="240"/>
      </w:pPr>
      <w:r>
        <w:t>控制柜电源状态</w:t>
      </w:r>
    </w:p>
    <w:p w14:paraId="573BC29C" w14:textId="77777777" w:rsidR="00675037" w:rsidRDefault="00000000">
      <w:pPr>
        <w:pStyle w:val="21"/>
        <w:tabs>
          <w:tab w:val="left" w:pos="903"/>
        </w:tabs>
        <w:ind w:leftChars="200" w:left="440" w:firstLineChars="100" w:firstLine="241"/>
      </w:pPr>
      <w:r>
        <w:t>控制功能要求</w:t>
      </w:r>
    </w:p>
    <w:p w14:paraId="2AA5C718" w14:textId="77777777" w:rsidR="00675037" w:rsidRDefault="00000000">
      <w:pPr>
        <w:pStyle w:val="a8"/>
        <w:widowControl/>
        <w:numPr>
          <w:ilvl w:val="0"/>
          <w:numId w:val="11"/>
        </w:numPr>
        <w:tabs>
          <w:tab w:val="clear" w:pos="210"/>
          <w:tab w:val="left" w:pos="782"/>
        </w:tabs>
        <w:ind w:left="782" w:firstLineChars="0" w:hanging="300"/>
      </w:pPr>
      <w:r>
        <w:t>核心控制：实现二次侧供水温度自动控制，支持中控系统（</w:t>
      </w:r>
      <w:r>
        <w:t>BA</w:t>
      </w:r>
      <w:r>
        <w:t>）调整机组参数及供热曲线。</w:t>
      </w:r>
    </w:p>
    <w:p w14:paraId="34D3B731" w14:textId="77777777" w:rsidR="00675037" w:rsidRDefault="00000000">
      <w:pPr>
        <w:pStyle w:val="a8"/>
        <w:widowControl/>
        <w:numPr>
          <w:ilvl w:val="0"/>
          <w:numId w:val="11"/>
        </w:numPr>
        <w:tabs>
          <w:tab w:val="clear" w:pos="210"/>
          <w:tab w:val="left" w:pos="782"/>
        </w:tabs>
        <w:ind w:left="782" w:firstLineChars="0" w:hanging="300"/>
      </w:pPr>
      <w:r>
        <w:t>联锁保护：循环泵停止运行时，控制阀自动关闭；具备设备间联锁保护，水泵定时自动切换。</w:t>
      </w:r>
    </w:p>
    <w:p w14:paraId="3927939D" w14:textId="77777777" w:rsidR="00675037" w:rsidRDefault="00000000">
      <w:pPr>
        <w:pStyle w:val="a8"/>
        <w:widowControl/>
        <w:numPr>
          <w:ilvl w:val="0"/>
          <w:numId w:val="11"/>
        </w:numPr>
        <w:tabs>
          <w:tab w:val="clear" w:pos="210"/>
          <w:tab w:val="left" w:pos="782"/>
        </w:tabs>
        <w:ind w:left="782" w:firstLineChars="0" w:hanging="300"/>
      </w:pPr>
      <w:r>
        <w:t>数据保护：断电后保存控制程序、参数设定值，恢复供电后自动按原设定运行。</w:t>
      </w:r>
    </w:p>
    <w:p w14:paraId="3E56CC72" w14:textId="77777777" w:rsidR="00675037" w:rsidRDefault="00000000">
      <w:pPr>
        <w:pStyle w:val="1"/>
        <w:tabs>
          <w:tab w:val="left" w:pos="963"/>
        </w:tabs>
        <w:ind w:leftChars="200" w:left="440"/>
        <w:rPr>
          <w:rFonts w:hint="eastAsia"/>
        </w:rPr>
      </w:pPr>
      <w:r>
        <w:t>配电系统技术要求</w:t>
      </w:r>
    </w:p>
    <w:p w14:paraId="22EE0629" w14:textId="77777777" w:rsidR="00675037" w:rsidRDefault="00000000">
      <w:pPr>
        <w:pStyle w:val="21"/>
        <w:tabs>
          <w:tab w:val="left" w:pos="903"/>
        </w:tabs>
        <w:ind w:leftChars="200" w:left="440"/>
      </w:pPr>
      <w:r>
        <w:t>机组配电柜</w:t>
      </w:r>
    </w:p>
    <w:p w14:paraId="206F1715" w14:textId="77777777" w:rsidR="00675037" w:rsidRDefault="00000000">
      <w:pPr>
        <w:pStyle w:val="a8"/>
        <w:widowControl/>
        <w:numPr>
          <w:ilvl w:val="0"/>
          <w:numId w:val="12"/>
        </w:numPr>
        <w:tabs>
          <w:tab w:val="clear" w:pos="210"/>
          <w:tab w:val="left" w:pos="782"/>
        </w:tabs>
        <w:ind w:left="782" w:firstLineChars="0" w:hanging="300"/>
      </w:pPr>
      <w:r>
        <w:t>符合</w:t>
      </w:r>
      <w:r>
        <w:t>GB 50055-2011</w:t>
      </w:r>
      <w:r>
        <w:t>规范，元件单侧布置，便于检修；柜内配线由投标人现场勘测后按实际工况定制，确保接线规范、冗余合理。</w:t>
      </w:r>
    </w:p>
    <w:p w14:paraId="60D53F58" w14:textId="77777777" w:rsidR="00675037" w:rsidRDefault="00000000">
      <w:pPr>
        <w:pStyle w:val="a8"/>
        <w:widowControl/>
        <w:numPr>
          <w:ilvl w:val="0"/>
          <w:numId w:val="12"/>
        </w:numPr>
        <w:tabs>
          <w:tab w:val="clear" w:pos="210"/>
          <w:tab w:val="left" w:pos="782"/>
        </w:tabs>
        <w:ind w:left="782" w:firstLineChars="0" w:hanging="300"/>
      </w:pPr>
      <w:r>
        <w:t>必须配置以下电气开关：</w:t>
      </w:r>
    </w:p>
    <w:p w14:paraId="6FEBEE14" w14:textId="77777777" w:rsidR="00675037" w:rsidRDefault="00000000">
      <w:pPr>
        <w:pStyle w:val="a8"/>
        <w:widowControl/>
        <w:tabs>
          <w:tab w:val="left" w:pos="782"/>
        </w:tabs>
        <w:ind w:left="482" w:firstLineChars="100" w:firstLine="240"/>
      </w:pPr>
      <w:r>
        <w:t>主开关（总电源控制，带过载</w:t>
      </w:r>
      <w:r>
        <w:t>/</w:t>
      </w:r>
      <w:r>
        <w:t>短路保护）</w:t>
      </w:r>
    </w:p>
    <w:p w14:paraId="491970AC" w14:textId="77777777" w:rsidR="00675037" w:rsidRDefault="00000000">
      <w:pPr>
        <w:pStyle w:val="a8"/>
        <w:widowControl/>
        <w:tabs>
          <w:tab w:val="left" w:pos="782"/>
        </w:tabs>
        <w:ind w:left="482" w:firstLineChars="100" w:firstLine="240"/>
      </w:pPr>
      <w:r>
        <w:lastRenderedPageBreak/>
        <w:t>泵开关（单泵独立控制，带故障反馈功能）</w:t>
      </w:r>
    </w:p>
    <w:p w14:paraId="7004569D" w14:textId="77777777" w:rsidR="00675037" w:rsidRDefault="00000000">
      <w:pPr>
        <w:pStyle w:val="a8"/>
        <w:widowControl/>
        <w:numPr>
          <w:ilvl w:val="0"/>
          <w:numId w:val="12"/>
        </w:numPr>
        <w:tabs>
          <w:tab w:val="clear" w:pos="210"/>
          <w:tab w:val="left" w:pos="782"/>
        </w:tabs>
        <w:ind w:left="782" w:firstLineChars="0" w:hanging="300"/>
      </w:pPr>
      <w:r>
        <w:t>电气线路全部引至机组专用线排，敷设符合《建筑电气工程施工质量验收规范》（</w:t>
      </w:r>
      <w:r>
        <w:t>GB 50303-2015</w:t>
      </w:r>
      <w:r>
        <w:t>）；柜内预留进线电源电缆接口，明确标注</w:t>
      </w:r>
      <w:proofErr w:type="gramStart"/>
      <w:r>
        <w:t>"</w:t>
      </w:r>
      <w:r>
        <w:t>进</w:t>
      </w:r>
      <w:proofErr w:type="gramEnd"/>
      <w:r>
        <w:t>线</w:t>
      </w:r>
      <w:proofErr w:type="gramStart"/>
      <w:r>
        <w:t>电源</w:t>
      </w:r>
      <w:r>
        <w:t>"</w:t>
      </w:r>
      <w:proofErr w:type="gramEnd"/>
      <w:r>
        <w:t>及规格（</w:t>
      </w:r>
      <w:r>
        <w:t>AC 380V 50Hz</w:t>
      </w:r>
      <w:r>
        <w:t>）。</w:t>
      </w:r>
    </w:p>
    <w:p w14:paraId="717BC6F5" w14:textId="77777777" w:rsidR="00675037" w:rsidRDefault="00000000">
      <w:pPr>
        <w:pStyle w:val="21"/>
        <w:tabs>
          <w:tab w:val="left" w:pos="903"/>
        </w:tabs>
        <w:ind w:leftChars="200" w:left="440"/>
      </w:pPr>
      <w:r>
        <w:t>触摸屏</w:t>
      </w:r>
    </w:p>
    <w:p w14:paraId="348CA402" w14:textId="77777777" w:rsidR="00675037" w:rsidRDefault="00000000">
      <w:pPr>
        <w:pStyle w:val="a8"/>
        <w:widowControl/>
        <w:numPr>
          <w:ilvl w:val="0"/>
          <w:numId w:val="13"/>
        </w:numPr>
        <w:tabs>
          <w:tab w:val="clear" w:pos="210"/>
          <w:tab w:val="left" w:pos="782"/>
        </w:tabs>
        <w:ind w:left="782" w:firstLineChars="0" w:hanging="300"/>
      </w:pPr>
      <w:r>
        <w:t>规格：</w:t>
      </w:r>
      <w:r>
        <w:t>7</w:t>
      </w:r>
      <w:r>
        <w:t>寸一体化彩屏，分辨率</w:t>
      </w:r>
      <w:r>
        <w:t>800×480</w:t>
      </w:r>
      <w:r>
        <w:t>，须与</w:t>
      </w:r>
      <w:r>
        <w:t>PLC</w:t>
      </w:r>
      <w:r>
        <w:t>为同一品牌。</w:t>
      </w:r>
    </w:p>
    <w:p w14:paraId="127CB613" w14:textId="77777777" w:rsidR="00675037" w:rsidRDefault="00000000">
      <w:pPr>
        <w:pStyle w:val="a8"/>
        <w:widowControl/>
        <w:numPr>
          <w:ilvl w:val="0"/>
          <w:numId w:val="13"/>
        </w:numPr>
        <w:tabs>
          <w:tab w:val="clear" w:pos="210"/>
          <w:tab w:val="left" w:pos="782"/>
        </w:tabs>
        <w:ind w:left="782" w:firstLineChars="0" w:hanging="300"/>
      </w:pPr>
      <w:r>
        <w:t>显示功能：支持系统流程图、参数列表式显示（含实时温度、压力、阀位、设备状态）。</w:t>
      </w:r>
    </w:p>
    <w:p w14:paraId="5561A61B" w14:textId="77777777" w:rsidR="00675037" w:rsidRDefault="00000000">
      <w:pPr>
        <w:pStyle w:val="a8"/>
        <w:widowControl/>
        <w:numPr>
          <w:ilvl w:val="0"/>
          <w:numId w:val="13"/>
        </w:numPr>
        <w:tabs>
          <w:tab w:val="clear" w:pos="210"/>
          <w:tab w:val="left" w:pos="782"/>
        </w:tabs>
        <w:ind w:left="782" w:firstLineChars="0" w:hanging="300"/>
      </w:pPr>
      <w:r>
        <w:t>操作功能：参数设定按</w:t>
      </w:r>
      <w:proofErr w:type="gramStart"/>
      <w:r>
        <w:t>"</w:t>
      </w:r>
      <w:r>
        <w:t>温度</w:t>
      </w:r>
      <w:proofErr w:type="gramEnd"/>
      <w:r>
        <w:t>控制</w:t>
      </w:r>
      <w:r>
        <w:t>"</w:t>
      </w:r>
      <w:proofErr w:type="gramStart"/>
      <w:r>
        <w:t>"</w:t>
      </w:r>
      <w:r>
        <w:t>联</w:t>
      </w:r>
      <w:proofErr w:type="gramEnd"/>
      <w:r>
        <w:t>锁保护</w:t>
      </w:r>
      <w:r>
        <w:t>"</w:t>
      </w:r>
      <w:proofErr w:type="gramStart"/>
      <w:r>
        <w:t>"</w:t>
      </w:r>
      <w:r>
        <w:t>报警</w:t>
      </w:r>
      <w:proofErr w:type="gramEnd"/>
      <w:r>
        <w:t>阈</w:t>
      </w:r>
      <w:proofErr w:type="gramStart"/>
      <w:r>
        <w:t>值</w:t>
      </w:r>
      <w:r>
        <w:t>"</w:t>
      </w:r>
      <w:proofErr w:type="gramEnd"/>
      <w:r>
        <w:t>等类别分区，须密码验证（至少</w:t>
      </w:r>
      <w:r>
        <w:t>2</w:t>
      </w:r>
      <w:r>
        <w:t>级权限：操作员</w:t>
      </w:r>
      <w:r>
        <w:t>/</w:t>
      </w:r>
      <w:r>
        <w:t>管理员）后方可修改。</w:t>
      </w:r>
    </w:p>
    <w:p w14:paraId="1E2E4449" w14:textId="77777777" w:rsidR="00675037" w:rsidRDefault="00000000">
      <w:pPr>
        <w:pStyle w:val="1"/>
        <w:tabs>
          <w:tab w:val="left" w:pos="963"/>
        </w:tabs>
        <w:ind w:leftChars="200" w:left="440"/>
        <w:rPr>
          <w:rFonts w:hint="eastAsia"/>
        </w:rPr>
      </w:pPr>
      <w:r>
        <w:t>机组控制柜技术要求</w:t>
      </w:r>
    </w:p>
    <w:p w14:paraId="6FFE5C43" w14:textId="77777777" w:rsidR="00675037" w:rsidRDefault="00000000">
      <w:pPr>
        <w:pStyle w:val="a8"/>
        <w:widowControl/>
        <w:numPr>
          <w:ilvl w:val="0"/>
          <w:numId w:val="14"/>
        </w:numPr>
        <w:tabs>
          <w:tab w:val="clear" w:pos="210"/>
          <w:tab w:val="left" w:pos="782"/>
        </w:tabs>
        <w:ind w:left="782" w:firstLineChars="0" w:hanging="300"/>
      </w:pPr>
      <w:r>
        <w:t>防护等级：柜体防护等级</w:t>
      </w:r>
      <w:r>
        <w:t>≥IP55</w:t>
      </w:r>
      <w:r>
        <w:t>，满足潮湿、粉尘环境使用。</w:t>
      </w:r>
    </w:p>
    <w:p w14:paraId="0C267BF1" w14:textId="77777777" w:rsidR="00675037" w:rsidRDefault="00000000">
      <w:pPr>
        <w:pStyle w:val="a8"/>
        <w:widowControl/>
        <w:numPr>
          <w:ilvl w:val="0"/>
          <w:numId w:val="14"/>
        </w:numPr>
        <w:tabs>
          <w:tab w:val="clear" w:pos="210"/>
          <w:tab w:val="left" w:pos="782"/>
        </w:tabs>
        <w:ind w:left="782" w:firstLineChars="0" w:hanging="300"/>
      </w:pPr>
      <w:r>
        <w:t>散热与防尘：配置正压风扇及高效过滤层，避免灰尘进入；安装形式为</w:t>
      </w:r>
      <w:proofErr w:type="gramStart"/>
      <w:r>
        <w:t>"</w:t>
      </w:r>
      <w:r>
        <w:t>下</w:t>
      </w:r>
      <w:proofErr w:type="gramEnd"/>
      <w:r>
        <w:t>进出线、上</w:t>
      </w:r>
      <w:proofErr w:type="gramStart"/>
      <w:r>
        <w:t>散热</w:t>
      </w:r>
      <w:r>
        <w:t>"</w:t>
      </w:r>
      <w:r>
        <w:t>，</w:t>
      </w:r>
      <w:proofErr w:type="gramEnd"/>
      <w:r>
        <w:t>固定于机组底座。</w:t>
      </w:r>
    </w:p>
    <w:p w14:paraId="3B6D7AEF" w14:textId="77777777" w:rsidR="00675037" w:rsidRDefault="00000000">
      <w:pPr>
        <w:pStyle w:val="a8"/>
        <w:widowControl/>
        <w:numPr>
          <w:ilvl w:val="0"/>
          <w:numId w:val="14"/>
        </w:numPr>
        <w:tabs>
          <w:tab w:val="clear" w:pos="210"/>
          <w:tab w:val="left" w:pos="782"/>
        </w:tabs>
        <w:ind w:left="782" w:firstLineChars="0" w:hanging="300"/>
      </w:pPr>
      <w:r>
        <w:t>内部结构：柜内设置独立线槽，接线端子按</w:t>
      </w:r>
      <w:proofErr w:type="gramStart"/>
      <w:r>
        <w:t>"</w:t>
      </w:r>
      <w:r>
        <w:t>强电</w:t>
      </w:r>
      <w:proofErr w:type="gramEnd"/>
      <w:r>
        <w:t xml:space="preserve">/ </w:t>
      </w:r>
      <w:proofErr w:type="gramStart"/>
      <w:r>
        <w:t>弱电</w:t>
      </w:r>
      <w:r>
        <w:t>"</w:t>
      </w:r>
      <w:proofErr w:type="gramEnd"/>
      <w:r>
        <w:t>分区布置，标注清晰。</w:t>
      </w:r>
    </w:p>
    <w:p w14:paraId="7211E702" w14:textId="77777777" w:rsidR="00675037" w:rsidRDefault="00000000">
      <w:pPr>
        <w:pStyle w:val="1"/>
        <w:tabs>
          <w:tab w:val="left" w:pos="963"/>
        </w:tabs>
        <w:ind w:leftChars="200" w:left="440"/>
        <w:rPr>
          <w:rFonts w:hint="eastAsia"/>
        </w:rPr>
      </w:pPr>
      <w:r>
        <w:t>报警及联锁保护要求</w:t>
      </w:r>
    </w:p>
    <w:p w14:paraId="33D81CCE" w14:textId="77777777" w:rsidR="00675037" w:rsidRDefault="00000000">
      <w:pPr>
        <w:pStyle w:val="a8"/>
        <w:widowControl/>
        <w:numPr>
          <w:ilvl w:val="0"/>
          <w:numId w:val="15"/>
        </w:numPr>
        <w:tabs>
          <w:tab w:val="clear" w:pos="210"/>
          <w:tab w:val="left" w:pos="782"/>
        </w:tabs>
        <w:ind w:left="782" w:firstLineChars="0" w:hanging="300"/>
      </w:pPr>
      <w:r>
        <w:t>报警功能：须具备以下报警类型，报警信号就地（触摸屏）显示并远传至</w:t>
      </w:r>
      <w:r>
        <w:t>BA</w:t>
      </w:r>
      <w:r>
        <w:t>系统：</w:t>
      </w:r>
    </w:p>
    <w:p w14:paraId="04D5E607" w14:textId="77777777" w:rsidR="00675037" w:rsidRDefault="00000000">
      <w:pPr>
        <w:pStyle w:val="a8"/>
        <w:widowControl/>
        <w:tabs>
          <w:tab w:val="left" w:pos="782"/>
        </w:tabs>
        <w:ind w:firstLine="480"/>
      </w:pPr>
      <w:r>
        <w:t>二次网供水温度超限（阈值可设定）</w:t>
      </w:r>
    </w:p>
    <w:p w14:paraId="1CE65032" w14:textId="77777777" w:rsidR="00675037" w:rsidRDefault="00000000">
      <w:pPr>
        <w:pStyle w:val="a8"/>
        <w:widowControl/>
        <w:tabs>
          <w:tab w:val="left" w:pos="782"/>
        </w:tabs>
        <w:ind w:left="482" w:firstLineChars="0" w:firstLine="0"/>
      </w:pPr>
      <w:r>
        <w:t>循环泵故障（过载</w:t>
      </w:r>
      <w:r>
        <w:t>/</w:t>
      </w:r>
      <w:r>
        <w:t>堵转）</w:t>
      </w:r>
    </w:p>
    <w:p w14:paraId="4A9F43BD" w14:textId="77777777" w:rsidR="00675037" w:rsidRDefault="00000000">
      <w:pPr>
        <w:pStyle w:val="a8"/>
        <w:widowControl/>
        <w:tabs>
          <w:tab w:val="left" w:pos="782"/>
        </w:tabs>
        <w:ind w:left="482" w:firstLineChars="0" w:firstLine="0"/>
      </w:pPr>
      <w:r>
        <w:t xml:space="preserve"> </w:t>
      </w:r>
      <w:r>
        <w:t>控制阀卡涩</w:t>
      </w:r>
      <w:r>
        <w:t>/</w:t>
      </w:r>
      <w:r>
        <w:t>故障</w:t>
      </w:r>
    </w:p>
    <w:p w14:paraId="5AF67EA1" w14:textId="77777777" w:rsidR="00675037" w:rsidRDefault="00000000">
      <w:pPr>
        <w:pStyle w:val="a8"/>
        <w:widowControl/>
        <w:tabs>
          <w:tab w:val="left" w:pos="782"/>
        </w:tabs>
        <w:ind w:left="482" w:firstLineChars="0" w:firstLine="0"/>
      </w:pPr>
      <w:r>
        <w:t>电源故障（缺相</w:t>
      </w:r>
      <w:r>
        <w:t>/</w:t>
      </w:r>
      <w:r>
        <w:t>过压）</w:t>
      </w:r>
    </w:p>
    <w:p w14:paraId="3D64BF94" w14:textId="77777777" w:rsidR="00675037" w:rsidRDefault="00000000">
      <w:pPr>
        <w:pStyle w:val="1"/>
        <w:tabs>
          <w:tab w:val="left" w:pos="963"/>
        </w:tabs>
        <w:ind w:leftChars="200" w:left="440"/>
        <w:rPr>
          <w:rFonts w:hint="eastAsia"/>
        </w:rPr>
      </w:pPr>
      <w:r>
        <w:lastRenderedPageBreak/>
        <w:t>通讯接口及数据传输要求</w:t>
      </w:r>
    </w:p>
    <w:p w14:paraId="5D16697B" w14:textId="77777777" w:rsidR="00675037" w:rsidRDefault="00000000">
      <w:pPr>
        <w:pStyle w:val="a8"/>
        <w:widowControl/>
        <w:numPr>
          <w:ilvl w:val="0"/>
          <w:numId w:val="16"/>
        </w:numPr>
        <w:tabs>
          <w:tab w:val="clear" w:pos="210"/>
          <w:tab w:val="left" w:pos="782"/>
        </w:tabs>
        <w:ind w:left="782" w:firstLineChars="0" w:hanging="300"/>
      </w:pPr>
      <w:r>
        <w:t>通讯协议：现场控制单元须支持开放式通讯协议，无条件向中央监控系统（</w:t>
      </w:r>
      <w:r>
        <w:t>BA</w:t>
      </w:r>
      <w:r>
        <w:t>）开放通讯接口及协议文档。</w:t>
      </w:r>
    </w:p>
    <w:p w14:paraId="3FD96FEC" w14:textId="77777777" w:rsidR="00675037" w:rsidRDefault="00000000">
      <w:pPr>
        <w:pStyle w:val="a8"/>
        <w:widowControl/>
        <w:numPr>
          <w:ilvl w:val="0"/>
          <w:numId w:val="16"/>
        </w:numPr>
        <w:tabs>
          <w:tab w:val="clear" w:pos="210"/>
          <w:tab w:val="left" w:pos="782"/>
        </w:tabs>
        <w:ind w:left="782" w:firstLineChars="0" w:hanging="300"/>
      </w:pPr>
      <w:r>
        <w:t>连接方式：现场控制单元、传感器等外部智能设备采用</w:t>
      </w:r>
      <w:r>
        <w:t>RS485</w:t>
      </w:r>
      <w:r>
        <w:t>总线连接，传输介质为屏蔽双绞线。</w:t>
      </w:r>
    </w:p>
    <w:p w14:paraId="13A77B37" w14:textId="77777777" w:rsidR="00675037" w:rsidRDefault="00000000">
      <w:pPr>
        <w:pStyle w:val="a8"/>
        <w:widowControl/>
        <w:numPr>
          <w:ilvl w:val="0"/>
          <w:numId w:val="16"/>
        </w:numPr>
        <w:tabs>
          <w:tab w:val="clear" w:pos="210"/>
          <w:tab w:val="left" w:pos="782"/>
        </w:tabs>
        <w:ind w:left="782" w:firstLineChars="0" w:hanging="300"/>
      </w:pPr>
      <w:r>
        <w:t>数据交互：实现</w:t>
      </w:r>
      <w:proofErr w:type="gramStart"/>
      <w:r>
        <w:t>"</w:t>
      </w:r>
      <w:r>
        <w:t>双向</w:t>
      </w:r>
      <w:proofErr w:type="gramEnd"/>
      <w:r>
        <w:t>数据传输</w:t>
      </w:r>
      <w:r>
        <w:t>"——</w:t>
      </w:r>
      <w:r>
        <w:t>向</w:t>
      </w:r>
      <w:r>
        <w:t>BA</w:t>
      </w:r>
      <w:r>
        <w:t>系统上传实时运行参数、报警信号；接收</w:t>
      </w:r>
      <w:r>
        <w:t>BA</w:t>
      </w:r>
      <w:r>
        <w:t>系统下发的控制指令（如启停泵、调整温度设定值）。</w:t>
      </w:r>
    </w:p>
    <w:p w14:paraId="1B2EB597" w14:textId="77777777" w:rsidR="00675037" w:rsidRDefault="00000000">
      <w:pPr>
        <w:pStyle w:val="1"/>
        <w:tabs>
          <w:tab w:val="left" w:pos="963"/>
        </w:tabs>
        <w:ind w:leftChars="200" w:left="440"/>
        <w:rPr>
          <w:rFonts w:hint="eastAsia"/>
        </w:rPr>
      </w:pPr>
      <w:r>
        <w:t>配套设备及材料技术要求</w:t>
      </w:r>
    </w:p>
    <w:p w14:paraId="69F915B4" w14:textId="77777777" w:rsidR="00675037" w:rsidRDefault="00000000">
      <w:pPr>
        <w:pStyle w:val="a8"/>
        <w:widowControl/>
        <w:ind w:firstLine="480"/>
      </w:pPr>
      <w:r>
        <w:t>本项目除控制柜更换外，还须完成以下配套设备的维修、清洗与更换，具体范围及技术要求如下：</w:t>
      </w:r>
    </w:p>
    <w:p w14:paraId="13C28EE8" w14:textId="77777777" w:rsidR="00675037" w:rsidRDefault="00000000">
      <w:pPr>
        <w:pStyle w:val="a8"/>
        <w:widowControl/>
        <w:ind w:firstLineChars="0" w:firstLine="0"/>
        <w:rPr>
          <w:b/>
          <w:bCs/>
        </w:rPr>
      </w:pPr>
      <w:r>
        <w:rPr>
          <w:rFonts w:hint="eastAsia"/>
          <w:b/>
          <w:bCs/>
        </w:rPr>
        <w:t>维修更换清单：</w:t>
      </w:r>
    </w:p>
    <w:tbl>
      <w:tblPr>
        <w:tblW w:w="6854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89"/>
        <w:gridCol w:w="3094"/>
        <w:gridCol w:w="589"/>
        <w:gridCol w:w="589"/>
        <w:gridCol w:w="1993"/>
      </w:tblGrid>
      <w:tr w:rsidR="00E5558A" w14:paraId="6D0E63DE" w14:textId="77777777" w:rsidTr="00E5558A">
        <w:trPr>
          <w:tblHeader/>
          <w:jc w:val="center"/>
        </w:trPr>
        <w:tc>
          <w:tcPr>
            <w:tcW w:w="589" w:type="dxa"/>
            <w:vAlign w:val="center"/>
          </w:tcPr>
          <w:p w14:paraId="29F11F11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3094" w:type="dxa"/>
            <w:vAlign w:val="center"/>
          </w:tcPr>
          <w:p w14:paraId="22419F4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名称及规格</w:t>
            </w:r>
            <w:proofErr w:type="spellEnd"/>
          </w:p>
        </w:tc>
        <w:tc>
          <w:tcPr>
            <w:tcW w:w="589" w:type="dxa"/>
            <w:vAlign w:val="center"/>
          </w:tcPr>
          <w:p w14:paraId="4A8820F0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589" w:type="dxa"/>
            <w:vAlign w:val="center"/>
          </w:tcPr>
          <w:p w14:paraId="63646F3A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单位</w:t>
            </w:r>
            <w:proofErr w:type="spellEnd"/>
          </w:p>
        </w:tc>
        <w:tc>
          <w:tcPr>
            <w:tcW w:w="1993" w:type="dxa"/>
            <w:vAlign w:val="center"/>
          </w:tcPr>
          <w:p w14:paraId="1F0BEE52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技术要求</w:t>
            </w:r>
            <w:proofErr w:type="spellEnd"/>
          </w:p>
        </w:tc>
      </w:tr>
      <w:tr w:rsidR="00E5558A" w14:paraId="3775D6E0" w14:textId="77777777" w:rsidTr="00E5558A">
        <w:trPr>
          <w:jc w:val="center"/>
        </w:trPr>
        <w:tc>
          <w:tcPr>
            <w:tcW w:w="589" w:type="dxa"/>
            <w:vAlign w:val="center"/>
          </w:tcPr>
          <w:p w14:paraId="5C1A358E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3094" w:type="dxa"/>
            <w:vAlign w:val="center"/>
          </w:tcPr>
          <w:p w14:paraId="748576CD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手柄蝶阀（DN100，PN16）</w:t>
            </w:r>
          </w:p>
        </w:tc>
        <w:tc>
          <w:tcPr>
            <w:tcW w:w="589" w:type="dxa"/>
            <w:vAlign w:val="center"/>
          </w:tcPr>
          <w:p w14:paraId="3F2B9E18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9</w:t>
            </w:r>
          </w:p>
        </w:tc>
        <w:tc>
          <w:tcPr>
            <w:tcW w:w="589" w:type="dxa"/>
            <w:vAlign w:val="center"/>
          </w:tcPr>
          <w:p w14:paraId="075CCFD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  <w:tc>
          <w:tcPr>
            <w:tcW w:w="1993" w:type="dxa"/>
            <w:vAlign w:val="center"/>
          </w:tcPr>
          <w:p w14:paraId="0E9F46A0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铸铁阀体，密封可靠，启闭灵活</w:t>
            </w:r>
          </w:p>
        </w:tc>
      </w:tr>
      <w:tr w:rsidR="00E5558A" w14:paraId="0DEB85EE" w14:textId="77777777" w:rsidTr="00E5558A">
        <w:trPr>
          <w:jc w:val="center"/>
        </w:trPr>
        <w:tc>
          <w:tcPr>
            <w:tcW w:w="589" w:type="dxa"/>
            <w:vAlign w:val="center"/>
          </w:tcPr>
          <w:p w14:paraId="3EC10DA4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3094" w:type="dxa"/>
            <w:vAlign w:val="center"/>
          </w:tcPr>
          <w:p w14:paraId="0F35243F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橡胶软接（DN80，PN16）</w:t>
            </w:r>
          </w:p>
        </w:tc>
        <w:tc>
          <w:tcPr>
            <w:tcW w:w="589" w:type="dxa"/>
            <w:vAlign w:val="center"/>
          </w:tcPr>
          <w:p w14:paraId="04BC4C4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589" w:type="dxa"/>
            <w:vAlign w:val="center"/>
          </w:tcPr>
          <w:p w14:paraId="46C7B70E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  <w:tc>
          <w:tcPr>
            <w:tcW w:w="1993" w:type="dxa"/>
            <w:vAlign w:val="center"/>
          </w:tcPr>
          <w:p w14:paraId="76C67DCF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减振降噪，耐压耐温</w:t>
            </w:r>
            <w:proofErr w:type="spellEnd"/>
          </w:p>
        </w:tc>
      </w:tr>
      <w:tr w:rsidR="00E5558A" w14:paraId="24A3B1DF" w14:textId="77777777" w:rsidTr="00E5558A">
        <w:trPr>
          <w:jc w:val="center"/>
        </w:trPr>
        <w:tc>
          <w:tcPr>
            <w:tcW w:w="589" w:type="dxa"/>
            <w:vAlign w:val="center"/>
          </w:tcPr>
          <w:p w14:paraId="1F7DB3F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3094" w:type="dxa"/>
            <w:vAlign w:val="center"/>
          </w:tcPr>
          <w:p w14:paraId="346D9632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橡胶软接（DN100，PN16）</w:t>
            </w:r>
          </w:p>
        </w:tc>
        <w:tc>
          <w:tcPr>
            <w:tcW w:w="589" w:type="dxa"/>
            <w:vAlign w:val="center"/>
          </w:tcPr>
          <w:p w14:paraId="6B27CDF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14:paraId="711623D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  <w:tc>
          <w:tcPr>
            <w:tcW w:w="1993" w:type="dxa"/>
            <w:vAlign w:val="center"/>
          </w:tcPr>
          <w:p w14:paraId="796B0E6E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减振降噪，耐压耐温</w:t>
            </w:r>
            <w:proofErr w:type="spellEnd"/>
          </w:p>
        </w:tc>
      </w:tr>
      <w:tr w:rsidR="00E5558A" w14:paraId="7C55E4F5" w14:textId="77777777" w:rsidTr="00E5558A">
        <w:trPr>
          <w:jc w:val="center"/>
        </w:trPr>
        <w:tc>
          <w:tcPr>
            <w:tcW w:w="589" w:type="dxa"/>
            <w:vAlign w:val="center"/>
          </w:tcPr>
          <w:p w14:paraId="36EB72E8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3094" w:type="dxa"/>
            <w:vAlign w:val="center"/>
          </w:tcPr>
          <w:p w14:paraId="01A3FF4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对夹止回阀（DN100，PN16）</w:t>
            </w:r>
          </w:p>
        </w:tc>
        <w:tc>
          <w:tcPr>
            <w:tcW w:w="589" w:type="dxa"/>
            <w:vAlign w:val="center"/>
          </w:tcPr>
          <w:p w14:paraId="0B852E3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14:paraId="0F4A011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  <w:tc>
          <w:tcPr>
            <w:tcW w:w="1993" w:type="dxa"/>
            <w:vAlign w:val="center"/>
          </w:tcPr>
          <w:p w14:paraId="2519AFC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防止介质倒流，密封性能良好</w:t>
            </w:r>
          </w:p>
        </w:tc>
      </w:tr>
      <w:tr w:rsidR="00E5558A" w14:paraId="1A08B92D" w14:textId="77777777" w:rsidTr="00E5558A">
        <w:trPr>
          <w:jc w:val="center"/>
        </w:trPr>
        <w:tc>
          <w:tcPr>
            <w:tcW w:w="589" w:type="dxa"/>
            <w:vAlign w:val="center"/>
          </w:tcPr>
          <w:p w14:paraId="063D882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3094" w:type="dxa"/>
            <w:vAlign w:val="center"/>
          </w:tcPr>
          <w:p w14:paraId="019C6762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法兰连接闸阀（DN40，PN16）</w:t>
            </w:r>
          </w:p>
        </w:tc>
        <w:tc>
          <w:tcPr>
            <w:tcW w:w="589" w:type="dxa"/>
            <w:vAlign w:val="center"/>
          </w:tcPr>
          <w:p w14:paraId="6836C4B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589" w:type="dxa"/>
            <w:vAlign w:val="center"/>
          </w:tcPr>
          <w:p w14:paraId="1825571B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  <w:tc>
          <w:tcPr>
            <w:tcW w:w="1993" w:type="dxa"/>
            <w:vAlign w:val="center"/>
          </w:tcPr>
          <w:p w14:paraId="6B8B75B5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铸铁阀体，启闭可靠</w:t>
            </w:r>
            <w:proofErr w:type="spellEnd"/>
          </w:p>
        </w:tc>
      </w:tr>
      <w:tr w:rsidR="00E5558A" w14:paraId="0BEBD811" w14:textId="77777777" w:rsidTr="00E5558A">
        <w:trPr>
          <w:jc w:val="center"/>
        </w:trPr>
        <w:tc>
          <w:tcPr>
            <w:tcW w:w="589" w:type="dxa"/>
            <w:vAlign w:val="center"/>
          </w:tcPr>
          <w:p w14:paraId="5BB4B13D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3094" w:type="dxa"/>
            <w:vAlign w:val="center"/>
          </w:tcPr>
          <w:p w14:paraId="3E004C59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排气阀（DN20）</w:t>
            </w:r>
          </w:p>
        </w:tc>
        <w:tc>
          <w:tcPr>
            <w:tcW w:w="589" w:type="dxa"/>
            <w:vAlign w:val="center"/>
          </w:tcPr>
          <w:p w14:paraId="2C7DCE58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589" w:type="dxa"/>
            <w:vAlign w:val="center"/>
          </w:tcPr>
          <w:p w14:paraId="7161E1E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  <w:tc>
          <w:tcPr>
            <w:tcW w:w="1993" w:type="dxa"/>
            <w:vAlign w:val="center"/>
          </w:tcPr>
          <w:p w14:paraId="53245640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国产优质，自动排气</w:t>
            </w:r>
            <w:proofErr w:type="spellEnd"/>
          </w:p>
        </w:tc>
      </w:tr>
      <w:tr w:rsidR="00E5558A" w14:paraId="1EEB93CE" w14:textId="77777777" w:rsidTr="00E5558A">
        <w:trPr>
          <w:jc w:val="center"/>
        </w:trPr>
        <w:tc>
          <w:tcPr>
            <w:tcW w:w="589" w:type="dxa"/>
            <w:vAlign w:val="center"/>
          </w:tcPr>
          <w:p w14:paraId="71CCB1CE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7</w:t>
            </w:r>
          </w:p>
        </w:tc>
        <w:tc>
          <w:tcPr>
            <w:tcW w:w="3094" w:type="dxa"/>
            <w:vAlign w:val="center"/>
          </w:tcPr>
          <w:p w14:paraId="54CE1D6D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法兰连接闸阀（DN100，PN16）</w:t>
            </w:r>
          </w:p>
        </w:tc>
        <w:tc>
          <w:tcPr>
            <w:tcW w:w="589" w:type="dxa"/>
            <w:vAlign w:val="center"/>
          </w:tcPr>
          <w:p w14:paraId="024BC68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14:paraId="300BDA0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  <w:tc>
          <w:tcPr>
            <w:tcW w:w="1993" w:type="dxa"/>
            <w:vAlign w:val="center"/>
          </w:tcPr>
          <w:p w14:paraId="51B8D042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优质品牌，弹性座封，密封性能优良</w:t>
            </w:r>
          </w:p>
        </w:tc>
      </w:tr>
      <w:tr w:rsidR="00E5558A" w14:paraId="7F94171D" w14:textId="77777777" w:rsidTr="00E5558A">
        <w:trPr>
          <w:jc w:val="center"/>
        </w:trPr>
        <w:tc>
          <w:tcPr>
            <w:tcW w:w="589" w:type="dxa"/>
            <w:vAlign w:val="center"/>
          </w:tcPr>
          <w:p w14:paraId="4E921389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8</w:t>
            </w:r>
          </w:p>
        </w:tc>
        <w:tc>
          <w:tcPr>
            <w:tcW w:w="3094" w:type="dxa"/>
            <w:vAlign w:val="center"/>
          </w:tcPr>
          <w:p w14:paraId="5504567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板换清洗（M10-MFM）</w:t>
            </w:r>
          </w:p>
        </w:tc>
        <w:tc>
          <w:tcPr>
            <w:tcW w:w="589" w:type="dxa"/>
            <w:vAlign w:val="center"/>
          </w:tcPr>
          <w:p w14:paraId="2276226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14:paraId="29134122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台</w:t>
            </w:r>
          </w:p>
        </w:tc>
        <w:tc>
          <w:tcPr>
            <w:tcW w:w="1993" w:type="dxa"/>
            <w:vAlign w:val="center"/>
          </w:tcPr>
          <w:p w14:paraId="62B67C2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拆卸后化学清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lastRenderedPageBreak/>
              <w:t>洗，恢复换热效率，更换密封胶垫</w:t>
            </w:r>
          </w:p>
        </w:tc>
      </w:tr>
      <w:tr w:rsidR="00E5558A" w14:paraId="3E7AD408" w14:textId="77777777" w:rsidTr="00E5558A">
        <w:trPr>
          <w:jc w:val="center"/>
        </w:trPr>
        <w:tc>
          <w:tcPr>
            <w:tcW w:w="589" w:type="dxa"/>
            <w:vAlign w:val="center"/>
          </w:tcPr>
          <w:p w14:paraId="6F47BC0D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lastRenderedPageBreak/>
              <w:t>9</w:t>
            </w:r>
          </w:p>
        </w:tc>
        <w:tc>
          <w:tcPr>
            <w:tcW w:w="3094" w:type="dxa"/>
            <w:vAlign w:val="center"/>
          </w:tcPr>
          <w:p w14:paraId="2E063D21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压力表（1.6MPa）</w:t>
            </w:r>
          </w:p>
        </w:tc>
        <w:tc>
          <w:tcPr>
            <w:tcW w:w="589" w:type="dxa"/>
            <w:vAlign w:val="center"/>
          </w:tcPr>
          <w:p w14:paraId="4063DEF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14:paraId="526CE07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  <w:tc>
          <w:tcPr>
            <w:tcW w:w="1993" w:type="dxa"/>
            <w:vAlign w:val="center"/>
          </w:tcPr>
          <w:p w14:paraId="35EB8341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精度符合要求，表盘清晰</w:t>
            </w:r>
          </w:p>
        </w:tc>
      </w:tr>
      <w:tr w:rsidR="00E5558A" w14:paraId="4079F159" w14:textId="77777777" w:rsidTr="00E5558A">
        <w:trPr>
          <w:jc w:val="center"/>
        </w:trPr>
        <w:tc>
          <w:tcPr>
            <w:tcW w:w="589" w:type="dxa"/>
            <w:vAlign w:val="center"/>
          </w:tcPr>
          <w:p w14:paraId="0924FC98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</w:p>
        </w:tc>
        <w:tc>
          <w:tcPr>
            <w:tcW w:w="3094" w:type="dxa"/>
            <w:vAlign w:val="center"/>
          </w:tcPr>
          <w:p w14:paraId="6AFB03D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温度计（0~200℃）</w:t>
            </w:r>
          </w:p>
        </w:tc>
        <w:tc>
          <w:tcPr>
            <w:tcW w:w="589" w:type="dxa"/>
            <w:vAlign w:val="center"/>
          </w:tcPr>
          <w:p w14:paraId="3ACF7140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14:paraId="433880C9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  <w:tc>
          <w:tcPr>
            <w:tcW w:w="1993" w:type="dxa"/>
            <w:vAlign w:val="center"/>
          </w:tcPr>
          <w:p w14:paraId="69B1855F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量程满足工况，读数准确</w:t>
            </w:r>
          </w:p>
        </w:tc>
      </w:tr>
      <w:tr w:rsidR="00E5558A" w14:paraId="605F5BA4" w14:textId="77777777" w:rsidTr="00E5558A">
        <w:trPr>
          <w:jc w:val="center"/>
        </w:trPr>
        <w:tc>
          <w:tcPr>
            <w:tcW w:w="589" w:type="dxa"/>
            <w:vAlign w:val="center"/>
          </w:tcPr>
          <w:p w14:paraId="212CC9C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11</w:t>
            </w:r>
          </w:p>
        </w:tc>
        <w:tc>
          <w:tcPr>
            <w:tcW w:w="3094" w:type="dxa"/>
            <w:vAlign w:val="center"/>
          </w:tcPr>
          <w:p w14:paraId="4E44FCEE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无缝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镀锌管（DN100）</w:t>
            </w:r>
          </w:p>
        </w:tc>
        <w:tc>
          <w:tcPr>
            <w:tcW w:w="589" w:type="dxa"/>
            <w:vAlign w:val="center"/>
          </w:tcPr>
          <w:p w14:paraId="47A80E0D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589" w:type="dxa"/>
            <w:vAlign w:val="center"/>
          </w:tcPr>
          <w:p w14:paraId="152FEF8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米</w:t>
            </w:r>
          </w:p>
        </w:tc>
        <w:tc>
          <w:tcPr>
            <w:tcW w:w="1993" w:type="dxa"/>
            <w:vAlign w:val="center"/>
          </w:tcPr>
          <w:p w14:paraId="6B04C99C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镀锌层均匀，符合国标</w:t>
            </w:r>
          </w:p>
        </w:tc>
      </w:tr>
      <w:tr w:rsidR="00E5558A" w14:paraId="0AAE278D" w14:textId="77777777" w:rsidTr="00E5558A">
        <w:trPr>
          <w:jc w:val="center"/>
        </w:trPr>
        <w:tc>
          <w:tcPr>
            <w:tcW w:w="589" w:type="dxa"/>
            <w:vAlign w:val="center"/>
          </w:tcPr>
          <w:p w14:paraId="454B80D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12</w:t>
            </w:r>
          </w:p>
        </w:tc>
        <w:tc>
          <w:tcPr>
            <w:tcW w:w="3094" w:type="dxa"/>
            <w:vAlign w:val="center"/>
          </w:tcPr>
          <w:p w14:paraId="7C9A7EE9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无缝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镀锌管（DN125）</w:t>
            </w:r>
          </w:p>
        </w:tc>
        <w:tc>
          <w:tcPr>
            <w:tcW w:w="589" w:type="dxa"/>
            <w:vAlign w:val="center"/>
          </w:tcPr>
          <w:p w14:paraId="4E03A36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3.6</w:t>
            </w:r>
          </w:p>
        </w:tc>
        <w:tc>
          <w:tcPr>
            <w:tcW w:w="589" w:type="dxa"/>
            <w:vAlign w:val="center"/>
          </w:tcPr>
          <w:p w14:paraId="7CA1BDA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米</w:t>
            </w:r>
          </w:p>
        </w:tc>
        <w:tc>
          <w:tcPr>
            <w:tcW w:w="1993" w:type="dxa"/>
            <w:vAlign w:val="center"/>
          </w:tcPr>
          <w:p w14:paraId="63F591D2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镀锌层均匀，符合国标</w:t>
            </w:r>
          </w:p>
        </w:tc>
      </w:tr>
      <w:tr w:rsidR="00E5558A" w14:paraId="7FC51D84" w14:textId="77777777" w:rsidTr="00E5558A">
        <w:trPr>
          <w:jc w:val="center"/>
        </w:trPr>
        <w:tc>
          <w:tcPr>
            <w:tcW w:w="589" w:type="dxa"/>
            <w:vAlign w:val="center"/>
          </w:tcPr>
          <w:p w14:paraId="5630156D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13</w:t>
            </w:r>
          </w:p>
        </w:tc>
        <w:tc>
          <w:tcPr>
            <w:tcW w:w="3094" w:type="dxa"/>
            <w:vAlign w:val="center"/>
          </w:tcPr>
          <w:p w14:paraId="0DB2E233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保温+铝皮（配套</w:t>
            </w:r>
            <w:proofErr w:type="spellEnd"/>
            <w:r>
              <w:rPr>
                <w:rFonts w:ascii="宋体" w:eastAsia="宋体" w:hAnsi="宋体" w:cs="宋体" w:hint="eastAsia"/>
                <w:sz w:val="24"/>
                <w:szCs w:val="24"/>
              </w:rPr>
              <w:t>）</w:t>
            </w:r>
          </w:p>
        </w:tc>
        <w:tc>
          <w:tcPr>
            <w:tcW w:w="589" w:type="dxa"/>
            <w:vAlign w:val="center"/>
          </w:tcPr>
          <w:p w14:paraId="229C6BB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589" w:type="dxa"/>
            <w:vAlign w:val="center"/>
          </w:tcPr>
          <w:p w14:paraId="65DCECE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</w:t>
            </w:r>
          </w:p>
        </w:tc>
        <w:tc>
          <w:tcPr>
            <w:tcW w:w="1993" w:type="dxa"/>
            <w:vAlign w:val="center"/>
          </w:tcPr>
          <w:p w14:paraId="67790DD7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保温层完整，铝皮外护美观密实</w:t>
            </w:r>
          </w:p>
        </w:tc>
      </w:tr>
      <w:tr w:rsidR="00E5558A" w14:paraId="1A600ED4" w14:textId="77777777" w:rsidTr="00E5558A">
        <w:trPr>
          <w:jc w:val="center"/>
        </w:trPr>
        <w:tc>
          <w:tcPr>
            <w:tcW w:w="589" w:type="dxa"/>
            <w:vAlign w:val="center"/>
          </w:tcPr>
          <w:p w14:paraId="480A47CA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14</w:t>
            </w:r>
          </w:p>
        </w:tc>
        <w:tc>
          <w:tcPr>
            <w:tcW w:w="3094" w:type="dxa"/>
            <w:vAlign w:val="center"/>
          </w:tcPr>
          <w:p w14:paraId="4D70ED85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辅材（配套</w:t>
            </w:r>
            <w:proofErr w:type="spellEnd"/>
            <w:r>
              <w:rPr>
                <w:rFonts w:ascii="宋体" w:eastAsia="宋体" w:hAnsi="宋体" w:cs="宋体" w:hint="eastAsia"/>
                <w:sz w:val="24"/>
                <w:szCs w:val="24"/>
              </w:rPr>
              <w:t>）</w:t>
            </w:r>
          </w:p>
        </w:tc>
        <w:tc>
          <w:tcPr>
            <w:tcW w:w="589" w:type="dxa"/>
            <w:vAlign w:val="center"/>
          </w:tcPr>
          <w:p w14:paraId="0054D8B1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589" w:type="dxa"/>
            <w:vAlign w:val="center"/>
          </w:tcPr>
          <w:p w14:paraId="5209BBD1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</w:t>
            </w:r>
          </w:p>
        </w:tc>
        <w:tc>
          <w:tcPr>
            <w:tcW w:w="1993" w:type="dxa"/>
            <w:vAlign w:val="center"/>
          </w:tcPr>
          <w:p w14:paraId="5A771FA3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含密封垫、螺栓、法兰等配套材料</w:t>
            </w:r>
          </w:p>
        </w:tc>
      </w:tr>
    </w:tbl>
    <w:p w14:paraId="7225A99D" w14:textId="77777777" w:rsidR="00675037" w:rsidRDefault="00000000">
      <w:pPr>
        <w:pStyle w:val="a8"/>
        <w:widowControl/>
        <w:ind w:firstLineChars="100" w:firstLine="240"/>
      </w:pPr>
      <w:r>
        <w:rPr>
          <w:rFonts w:hint="eastAsia"/>
        </w:rPr>
        <w:t>1 .</w:t>
      </w:r>
      <w:r>
        <w:rPr>
          <w:rFonts w:hint="eastAsia"/>
        </w:rPr>
        <w:t>手柄蝶阀</w:t>
      </w:r>
    </w:p>
    <w:p w14:paraId="29E8DAA2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结构形式：对夹式（或法兰式，以现场勘测为准）中线软密封蝶阀，启闭件绕轴线旋转</w:t>
      </w:r>
      <w:r>
        <w:rPr>
          <w:rFonts w:hint="eastAsia"/>
        </w:rPr>
        <w:t>90</w:t>
      </w:r>
      <w:r>
        <w:rPr>
          <w:rFonts w:hint="eastAsia"/>
        </w:rPr>
        <w:t>°即可快速启闭。</w:t>
      </w:r>
    </w:p>
    <w:p w14:paraId="65183039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阀体材质：铸铁或球墨铸铁，表面无砂眼、气孔、裂纹等铸造缺陷。</w:t>
      </w:r>
    </w:p>
    <w:p w14:paraId="6BFEDD76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阀板材质：球墨铸铁或不锈钢（</w:t>
      </w:r>
      <w:r>
        <w:rPr>
          <w:rFonts w:hint="eastAsia"/>
        </w:rPr>
        <w:t>304</w:t>
      </w:r>
      <w:r>
        <w:rPr>
          <w:rFonts w:hint="eastAsia"/>
        </w:rPr>
        <w:t>），表面应光洁、无毛刺。</w:t>
      </w:r>
    </w:p>
    <w:p w14:paraId="2B82E125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阀杆材质：不锈钢。</w:t>
      </w:r>
    </w:p>
    <w:p w14:paraId="570403DC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密封材料：三元乙丙橡胶（</w:t>
      </w:r>
      <w:r>
        <w:rPr>
          <w:rFonts w:hint="eastAsia"/>
        </w:rPr>
        <w:t>EPDM</w:t>
      </w:r>
      <w:r>
        <w:rPr>
          <w:rFonts w:hint="eastAsia"/>
        </w:rPr>
        <w:t>）或丁腈橡胶（</w:t>
      </w:r>
      <w:r>
        <w:rPr>
          <w:rFonts w:hint="eastAsia"/>
        </w:rPr>
        <w:t>NBR</w:t>
      </w:r>
      <w:r>
        <w:rPr>
          <w:rFonts w:hint="eastAsia"/>
        </w:rPr>
        <w:t>），密封可靠，弹性好，耐老化。</w:t>
      </w:r>
    </w:p>
    <w:p w14:paraId="5014EA55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手柄驱动：操作轻便、扭矩小，启闭灵活，可任何位置安装。</w:t>
      </w:r>
    </w:p>
    <w:p w14:paraId="4D6EAFCC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适用介质：水；适用温度≤</w:t>
      </w:r>
      <w:r>
        <w:rPr>
          <w:rFonts w:hint="eastAsia"/>
        </w:rPr>
        <w:t>120</w:t>
      </w:r>
      <w:r>
        <w:rPr>
          <w:rFonts w:hint="eastAsia"/>
        </w:rPr>
        <w:t>℃。</w:t>
      </w:r>
    </w:p>
    <w:p w14:paraId="7E69B3AA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2 .</w:t>
      </w:r>
      <w:r>
        <w:rPr>
          <w:rFonts w:hint="eastAsia"/>
        </w:rPr>
        <w:t>橡胶软接</w:t>
      </w:r>
    </w:p>
    <w:p w14:paraId="381E75A6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lastRenderedPageBreak/>
        <w:t>结构形式：可曲挠单球体橡胶接头，由内胶层、锦纶帘子布增强层、外胶层复合橡胶球体和松套金属法兰组成。</w:t>
      </w:r>
    </w:p>
    <w:p w14:paraId="03942292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橡胶材质：内胶层耐介质腐蚀，外胶层耐老化；适用于水介质，可选用天然橡胶（</w:t>
      </w:r>
      <w:r>
        <w:rPr>
          <w:rFonts w:hint="eastAsia"/>
        </w:rPr>
        <w:t>NR</w:t>
      </w:r>
      <w:r>
        <w:rPr>
          <w:rFonts w:hint="eastAsia"/>
        </w:rPr>
        <w:t>）、三元乙丙橡胶（</w:t>
      </w:r>
      <w:r>
        <w:rPr>
          <w:rFonts w:hint="eastAsia"/>
        </w:rPr>
        <w:t>EPDM</w:t>
      </w:r>
      <w:r>
        <w:rPr>
          <w:rFonts w:hint="eastAsia"/>
        </w:rPr>
        <w:t>）等。</w:t>
      </w:r>
    </w:p>
    <w:p w14:paraId="64FEF688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法兰材质：碳钢。</w:t>
      </w:r>
    </w:p>
    <w:p w14:paraId="2444A1CA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性能要求：能有效吸收振动、补偿轴向</w:t>
      </w:r>
      <w:r>
        <w:rPr>
          <w:rFonts w:hint="eastAsia"/>
        </w:rPr>
        <w:t>/</w:t>
      </w:r>
      <w:r>
        <w:rPr>
          <w:rFonts w:hint="eastAsia"/>
        </w:rPr>
        <w:t>横向</w:t>
      </w:r>
      <w:r>
        <w:rPr>
          <w:rFonts w:hint="eastAsia"/>
        </w:rPr>
        <w:t>/</w:t>
      </w:r>
      <w:r>
        <w:rPr>
          <w:rFonts w:hint="eastAsia"/>
        </w:rPr>
        <w:t>角向位移、降低噪声；耐压耐温，工作压力</w:t>
      </w:r>
      <w:r>
        <w:rPr>
          <w:rFonts w:hint="eastAsia"/>
        </w:rPr>
        <w:t>1.6MPa</w:t>
      </w:r>
      <w:r>
        <w:rPr>
          <w:rFonts w:hint="eastAsia"/>
        </w:rPr>
        <w:t>，适用温度范围</w:t>
      </w:r>
      <w:r>
        <w:rPr>
          <w:rFonts w:hint="eastAsia"/>
        </w:rPr>
        <w:t>-20</w:t>
      </w:r>
      <w:r>
        <w:rPr>
          <w:rFonts w:hint="eastAsia"/>
        </w:rPr>
        <w:t>℃～</w:t>
      </w:r>
      <w:r>
        <w:rPr>
          <w:rFonts w:hint="eastAsia"/>
        </w:rPr>
        <w:t>+115</w:t>
      </w:r>
      <w:r>
        <w:rPr>
          <w:rFonts w:hint="eastAsia"/>
        </w:rPr>
        <w:t>℃。</w:t>
      </w:r>
    </w:p>
    <w:p w14:paraId="77FF88D0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制造与检验标准：执行</w:t>
      </w:r>
      <w:r>
        <w:rPr>
          <w:rFonts w:hint="eastAsia"/>
        </w:rPr>
        <w:t>GB/T 26121-2010</w:t>
      </w:r>
      <w:r>
        <w:rPr>
          <w:rFonts w:hint="eastAsia"/>
        </w:rPr>
        <w:t>《可曲挠橡胶接头》。</w:t>
      </w:r>
    </w:p>
    <w:p w14:paraId="213089E0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安装要求：安装时球体处于自然状态，不得强行拉伸、压缩或扭曲，法兰螺栓对角均匀拧紧。</w:t>
      </w:r>
    </w:p>
    <w:p w14:paraId="5E262905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3 .</w:t>
      </w:r>
      <w:r>
        <w:rPr>
          <w:rFonts w:hint="eastAsia"/>
        </w:rPr>
        <w:t>对夹止回阀</w:t>
      </w:r>
    </w:p>
    <w:p w14:paraId="79008C10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结构形式：对夹式（双瓣或升降式）止回阀，依靠介质本身流动自动开启、关闭阀瓣，防止介质倒流。</w:t>
      </w:r>
    </w:p>
    <w:p w14:paraId="250A4D8E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阀体材质：铸铁或球墨铸铁，结构紧凑、刚性好，体积小、重量轻，结构长度短。</w:t>
      </w:r>
    </w:p>
    <w:p w14:paraId="174E1149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阀瓣：启闭灵敏、密封性能良好，关闭快速，水锤压力小，动作灵敏可靠。</w:t>
      </w:r>
    </w:p>
    <w:p w14:paraId="28F9E90D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水平或垂直管道均可安装，安装方便。</w:t>
      </w:r>
    </w:p>
    <w:p w14:paraId="20D1AEFE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4 .</w:t>
      </w:r>
      <w:r>
        <w:rPr>
          <w:rFonts w:hint="eastAsia"/>
        </w:rPr>
        <w:t>法兰连接闸阀</w:t>
      </w:r>
    </w:p>
    <w:p w14:paraId="273319AC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结构形式：法兰连接闸阀，启闭件闸板运动方向与流体方向相垂直，仅作全开或全关用。</w:t>
      </w:r>
    </w:p>
    <w:p w14:paraId="6E6C9554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阀体材质：铸铁（</w:t>
      </w:r>
      <w:r>
        <w:rPr>
          <w:rFonts w:hint="eastAsia"/>
        </w:rPr>
        <w:t>HT200</w:t>
      </w:r>
      <w:r>
        <w:rPr>
          <w:rFonts w:hint="eastAsia"/>
        </w:rPr>
        <w:t>及以上）或球墨铸铁，表面无铸造缺陷。</w:t>
      </w:r>
    </w:p>
    <w:p w14:paraId="56A99A0C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闸板及密封：启闭可靠、密封性能良好；密封面经精加工，关闭严密。</w:t>
      </w:r>
    </w:p>
    <w:p w14:paraId="438792CE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阀杆：材质良好，转动灵活，启闭轻松省力。</w:t>
      </w:r>
    </w:p>
    <w:p w14:paraId="4317B78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lastRenderedPageBreak/>
        <w:t>适用介质：水；适用温度满足工况要求。</w:t>
      </w:r>
    </w:p>
    <w:p w14:paraId="7FE7EBC9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5 .</w:t>
      </w:r>
      <w:r>
        <w:rPr>
          <w:rFonts w:hint="eastAsia"/>
        </w:rPr>
        <w:t>排气阀</w:t>
      </w:r>
    </w:p>
    <w:p w14:paraId="7F4D7DFE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阀体材质：优质黄铜或不锈钢，耐腐蚀、耐老化，结构紧凑，安装便捷。</w:t>
      </w:r>
    </w:p>
    <w:p w14:paraId="5AE782C4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功能要求：国产优质产品，能自动排除管路中积聚的气体，消除气阻，防止水流量减小引起的冷热不均现象；排气可靠、不漏水。</w:t>
      </w:r>
    </w:p>
    <w:p w14:paraId="7E907F07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性能参数：公称压力</w:t>
      </w:r>
      <w:r>
        <w:rPr>
          <w:rFonts w:hint="eastAsia"/>
        </w:rPr>
        <w:t>1.6MPa</w:t>
      </w:r>
      <w:r>
        <w:rPr>
          <w:rFonts w:hint="eastAsia"/>
        </w:rPr>
        <w:t>，适用温度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120</w:t>
      </w:r>
      <w:r>
        <w:rPr>
          <w:rFonts w:hint="eastAsia"/>
        </w:rPr>
        <w:t>℃。</w:t>
      </w:r>
    </w:p>
    <w:p w14:paraId="086629F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安装要求：垂直安装于系统最高点或易积气部位；与隔断阀配套使用，便于检修。</w:t>
      </w:r>
    </w:p>
    <w:p w14:paraId="52652E2A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6 .</w:t>
      </w:r>
      <w:r>
        <w:rPr>
          <w:rFonts w:hint="eastAsia"/>
        </w:rPr>
        <w:t>法兰连接闸阀</w:t>
      </w:r>
    </w:p>
    <w:p w14:paraId="0EA8F301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阀体材质：铸铁或球墨铸铁，内外表面采用环氧树脂静电喷涂（无毒环氧粉末），不污染介质，耐腐蚀。</w:t>
      </w:r>
    </w:p>
    <w:p w14:paraId="027F1681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密封结构：弹性座封，关闭时弹性补偿微小变形，实现双向零泄漏密封；平底阀座，流道底部无凹槽堆积杂质，流体阻力小。</w:t>
      </w:r>
    </w:p>
    <w:p w14:paraId="608EFB9F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阀杆：不锈钢。</w:t>
      </w:r>
    </w:p>
    <w:p w14:paraId="6857FBC5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品牌要求：指定品牌（冠龙</w:t>
      </w:r>
      <w:r>
        <w:rPr>
          <w:rFonts w:hint="eastAsia"/>
        </w:rPr>
        <w:t>RVHX-0100-16</w:t>
      </w:r>
      <w:r>
        <w:rPr>
          <w:rFonts w:hint="eastAsia"/>
        </w:rPr>
        <w:t>弹性座封闸阀），投标人须按指定品牌供货，不得以其他品牌替代。</w:t>
      </w:r>
    </w:p>
    <w:p w14:paraId="1262B2D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适用温度≤</w:t>
      </w:r>
      <w:r>
        <w:rPr>
          <w:rFonts w:hint="eastAsia"/>
        </w:rPr>
        <w:t>100</w:t>
      </w:r>
      <w:r>
        <w:rPr>
          <w:rFonts w:hint="eastAsia"/>
        </w:rPr>
        <w:t>℃，适用于供水系统。</w:t>
      </w:r>
    </w:p>
    <w:p w14:paraId="299E2B65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7 .</w:t>
      </w:r>
      <w:r>
        <w:rPr>
          <w:rFonts w:hint="eastAsia"/>
        </w:rPr>
        <w:t>板换清洗</w:t>
      </w:r>
    </w:p>
    <w:p w14:paraId="33F38640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工作内容：对</w:t>
      </w:r>
      <w:r>
        <w:rPr>
          <w:rFonts w:hint="eastAsia"/>
        </w:rPr>
        <w:t>2</w:t>
      </w:r>
      <w:r>
        <w:rPr>
          <w:rFonts w:hint="eastAsia"/>
        </w:rPr>
        <w:t>台板式换热器进行拆卸、解体检查、清洗、维修、更换密封胶垫、安装调试。</w:t>
      </w:r>
    </w:p>
    <w:p w14:paraId="207226CF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清洗前检查（包括彻底检查所有板片是否腐蚀、浸蚀或变形）</w:t>
      </w:r>
    </w:p>
    <w:p w14:paraId="564799B5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去除垫片</w:t>
      </w:r>
    </w:p>
    <w:p w14:paraId="13E08BAC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钝化膜处理、表面污垢清洗</w:t>
      </w:r>
    </w:p>
    <w:p w14:paraId="285B13F0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lastRenderedPageBreak/>
        <w:t>框架板、夹紧螺杆目视检查</w:t>
      </w:r>
    </w:p>
    <w:p w14:paraId="4918987B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垫片检查（看垫片是否老化、脆化）</w:t>
      </w:r>
    </w:p>
    <w:p w14:paraId="4F9E8CA9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板片探伤检测</w:t>
      </w:r>
    </w:p>
    <w:p w14:paraId="10871167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夹紧螺杆除锈</w:t>
      </w:r>
    </w:p>
    <w:p w14:paraId="28B36660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框架整理除锈</w:t>
      </w:r>
    </w:p>
    <w:p w14:paraId="056B2F12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压力测试</w:t>
      </w:r>
    </w:p>
    <w:p w14:paraId="7BF96FDF" w14:textId="77777777" w:rsidR="00675037" w:rsidRDefault="00000000">
      <w:pPr>
        <w:pStyle w:val="a8"/>
        <w:widowControl/>
        <w:numPr>
          <w:ilvl w:val="0"/>
          <w:numId w:val="17"/>
        </w:numPr>
        <w:ind w:firstLineChars="0"/>
      </w:pPr>
      <w:r>
        <w:rPr>
          <w:rFonts w:hint="eastAsia"/>
        </w:rPr>
        <w:t>维护跟踪</w:t>
      </w:r>
    </w:p>
    <w:p w14:paraId="2B45AFE8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清洗要求：</w:t>
      </w:r>
    </w:p>
    <w:p w14:paraId="2B7A0E5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采用化学清洗，根据板片材质选用合适的专用清洗剂，不得使用对板片有腐蚀作用的清洗剂；</w:t>
      </w:r>
    </w:p>
    <w:p w14:paraId="04857FF2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清洗后须进行钝化处理，防止二次腐蚀；</w:t>
      </w:r>
    </w:p>
    <w:p w14:paraId="108A13F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严禁使用钢丝刷或钢丝毛刷洗刷板片，尤其是不锈钢板片；</w:t>
      </w:r>
    </w:p>
    <w:p w14:paraId="1C2C0B20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清洗用水必须不含盐、硫等成分，化学清洗后用清水反复冲洗干净，恢复换热效率。</w:t>
      </w:r>
    </w:p>
    <w:p w14:paraId="60B386CA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密封垫更换要求：全部更换</w:t>
      </w:r>
    </w:p>
    <w:p w14:paraId="6246EE1D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回装要求：回装后进行水压试验。</w:t>
      </w:r>
    </w:p>
    <w:p w14:paraId="5A5DD31D" w14:textId="77777777" w:rsidR="00675037" w:rsidRDefault="00000000">
      <w:pPr>
        <w:pStyle w:val="a8"/>
        <w:widowControl/>
        <w:ind w:left="400" w:firstLineChars="0" w:firstLine="0"/>
      </w:pPr>
      <w:r>
        <w:rPr>
          <w:rFonts w:hint="eastAsia"/>
        </w:rPr>
        <w:t>8 .</w:t>
      </w:r>
      <w:r>
        <w:rPr>
          <w:rFonts w:hint="eastAsia"/>
        </w:rPr>
        <w:t>压力表</w:t>
      </w:r>
    </w:p>
    <w:p w14:paraId="5C78ECD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产品类型：</w:t>
      </w:r>
      <w:r>
        <w:rPr>
          <w:rFonts w:hint="eastAsia"/>
        </w:rPr>
        <w:t>Y</w:t>
      </w:r>
      <w:r>
        <w:rPr>
          <w:rFonts w:hint="eastAsia"/>
        </w:rPr>
        <w:t>系列一般压力表（弹簧管压力表），就地指示型，适用于测量水、蒸汽、空气等无腐蚀介质的压力。</w:t>
      </w:r>
    </w:p>
    <w:p w14:paraId="262367ED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量程：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1.6MPa</w:t>
      </w:r>
      <w:r>
        <w:rPr>
          <w:rFonts w:hint="eastAsia"/>
        </w:rPr>
        <w:t>，工作压力使用范围为量程的</w:t>
      </w:r>
      <w:r>
        <w:rPr>
          <w:rFonts w:hint="eastAsia"/>
        </w:rPr>
        <w:t>1/3</w:t>
      </w:r>
      <w:r>
        <w:rPr>
          <w:rFonts w:hint="eastAsia"/>
        </w:rPr>
        <w:t>～</w:t>
      </w:r>
      <w:r>
        <w:rPr>
          <w:rFonts w:hint="eastAsia"/>
        </w:rPr>
        <w:t>2/3</w:t>
      </w:r>
      <w:r>
        <w:rPr>
          <w:rFonts w:hint="eastAsia"/>
        </w:rPr>
        <w:t>，最佳使用范围不超过满量程的</w:t>
      </w:r>
      <w:r>
        <w:rPr>
          <w:rFonts w:hint="eastAsia"/>
        </w:rPr>
        <w:t>3/4</w:t>
      </w:r>
      <w:r>
        <w:rPr>
          <w:rFonts w:hint="eastAsia"/>
        </w:rPr>
        <w:t>。</w:t>
      </w:r>
    </w:p>
    <w:p w14:paraId="3756A4D2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表盘：直径不小于Φ</w:t>
      </w:r>
      <w:r>
        <w:rPr>
          <w:rFonts w:hint="eastAsia"/>
        </w:rPr>
        <w:t>100mm</w:t>
      </w:r>
      <w:r>
        <w:rPr>
          <w:rFonts w:hint="eastAsia"/>
        </w:rPr>
        <w:t>，表盘平整光洁，分度线、数字及标志清晰可辨；表玻璃无色透明，无妨碍读数的缺陷。</w:t>
      </w:r>
    </w:p>
    <w:p w14:paraId="11FDEF3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lastRenderedPageBreak/>
        <w:t>弹性元件及接头：弹簧管材质为铜合金或不锈钢，接头螺纹</w:t>
      </w:r>
      <w:r>
        <w:rPr>
          <w:rFonts w:hint="eastAsia"/>
        </w:rPr>
        <w:t>M20</w:t>
      </w:r>
      <w:r>
        <w:rPr>
          <w:rFonts w:hint="eastAsia"/>
        </w:rPr>
        <w:t>×</w:t>
      </w:r>
      <w:r>
        <w:rPr>
          <w:rFonts w:hint="eastAsia"/>
        </w:rPr>
        <w:t>1.5</w:t>
      </w:r>
      <w:r>
        <w:rPr>
          <w:rFonts w:hint="eastAsia"/>
        </w:rPr>
        <w:t>，连接可靠。</w:t>
      </w:r>
    </w:p>
    <w:p w14:paraId="55CE220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表壳：无明显损伤，密封良好。</w:t>
      </w:r>
    </w:p>
    <w:p w14:paraId="5FFBA68D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安装要求：垂直安装，便于读数；压力表下端应装有环形管及检修阀门。</w:t>
      </w:r>
    </w:p>
    <w:p w14:paraId="54316AC7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 xml:space="preserve">9. </w:t>
      </w:r>
      <w:r>
        <w:rPr>
          <w:rFonts w:hint="eastAsia"/>
        </w:rPr>
        <w:t>温度计</w:t>
      </w:r>
    </w:p>
    <w:p w14:paraId="06DA424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产品类型：双金属温度计，就地指示型。</w:t>
      </w:r>
    </w:p>
    <w:p w14:paraId="7E2DDD3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量程：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200</w:t>
      </w:r>
      <w:r>
        <w:rPr>
          <w:rFonts w:hint="eastAsia"/>
        </w:rPr>
        <w:t>℃，量程满足工况要求，读数准确。</w:t>
      </w:r>
    </w:p>
    <w:p w14:paraId="408D2428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精度：满足测量精度要求，示值误差符合相应国家标准。</w:t>
      </w:r>
    </w:p>
    <w:p w14:paraId="01B0F8F6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表盘清晰，刻度均匀，读数方便。</w:t>
      </w:r>
    </w:p>
    <w:p w14:paraId="7D4BB474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材质：表壳、感温元件耐腐蚀，耐温性能满足工况要求。</w:t>
      </w:r>
    </w:p>
    <w:p w14:paraId="5C56C419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安装方式：螺纹连接，安装牢固、密封可靠。</w:t>
      </w:r>
    </w:p>
    <w:p w14:paraId="07ADCA87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 xml:space="preserve">10. </w:t>
      </w:r>
      <w:r>
        <w:rPr>
          <w:rFonts w:hint="eastAsia"/>
        </w:rPr>
        <w:t>镀锌管</w:t>
      </w:r>
    </w:p>
    <w:p w14:paraId="313F4F8C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材质：</w:t>
      </w:r>
      <w:r>
        <w:rPr>
          <w:rFonts w:hint="eastAsia"/>
        </w:rPr>
        <w:t>Q235B</w:t>
      </w:r>
      <w:r>
        <w:rPr>
          <w:rFonts w:hint="eastAsia"/>
        </w:rPr>
        <w:t>（或更高等级）碳素结构钢，化学成分及力学性能符合标准要求。</w:t>
      </w:r>
    </w:p>
    <w:p w14:paraId="64DB71A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镀锌要求：采用热浸镀锌工艺，镀锌层均匀致密，无漏镀、起皮、气泡、黑斑等缺陷；锌层与钢管基体结合牢固。</w:t>
      </w:r>
    </w:p>
    <w:p w14:paraId="51A495B8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尺寸：壁厚符合国家标准；壁厚偏差不超过允许范围。</w:t>
      </w:r>
    </w:p>
    <w:p w14:paraId="3210A390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外观：内外表面光滑，不允许有折叠、裂缝、分层、搭焊等缺陷。</w:t>
      </w:r>
    </w:p>
    <w:p w14:paraId="435F9E7C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管端加工：管端应平整，切口垂直，无毛刺、飞边。</w:t>
      </w:r>
    </w:p>
    <w:p w14:paraId="464FC65A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 xml:space="preserve">11. </w:t>
      </w:r>
      <w:r>
        <w:rPr>
          <w:rFonts w:hint="eastAsia"/>
        </w:rPr>
        <w:t>保温</w:t>
      </w:r>
      <w:r>
        <w:rPr>
          <w:rFonts w:hint="eastAsia"/>
        </w:rPr>
        <w:t>+</w:t>
      </w:r>
      <w:r>
        <w:rPr>
          <w:rFonts w:hint="eastAsia"/>
        </w:rPr>
        <w:t>铝皮（配套）</w:t>
      </w:r>
    </w:p>
    <w:p w14:paraId="7D793339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保温材料：采用岩棉管壳、玻璃棉或复合硅酸盐保温材料。</w:t>
      </w:r>
    </w:p>
    <w:p w14:paraId="2DAF0B51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保温层要求：保温层厚度按设计及图集确定，应完整、密实，无空鼓、脱落；保温层搭接错缝，接缝严密。</w:t>
      </w:r>
    </w:p>
    <w:p w14:paraId="2F51F4C6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外护层（铝皮）要求：</w:t>
      </w:r>
    </w:p>
    <w:p w14:paraId="76281B4E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lastRenderedPageBreak/>
        <w:t>采用铝板（铝合金板）作外护层，铝板厚度不小于</w:t>
      </w:r>
      <w:r>
        <w:rPr>
          <w:rFonts w:hint="eastAsia"/>
        </w:rPr>
        <w:t>0.4mm</w:t>
      </w:r>
      <w:r>
        <w:rPr>
          <w:rFonts w:hint="eastAsia"/>
        </w:rPr>
        <w:t>；</w:t>
      </w:r>
    </w:p>
    <w:p w14:paraId="2218F4BB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 xml:space="preserve">12. </w:t>
      </w:r>
      <w:r>
        <w:rPr>
          <w:rFonts w:hint="eastAsia"/>
        </w:rPr>
        <w:t>辅材（配套）</w:t>
      </w:r>
    </w:p>
    <w:p w14:paraId="32715D4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内容：含密封垫、螺栓、法兰、垫片、焊接材料等配套材料，规格型号与现场设备及管道匹配。</w:t>
      </w:r>
    </w:p>
    <w:p w14:paraId="42139713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密封垫：材质（金属缠绕垫）与介质、压力、温度相适应，耐介质腐蚀。</w:t>
      </w:r>
    </w:p>
    <w:p w14:paraId="0497958A" w14:textId="77777777" w:rsidR="00675037" w:rsidRDefault="00000000">
      <w:pPr>
        <w:pStyle w:val="a8"/>
        <w:widowControl/>
        <w:ind w:firstLine="480"/>
      </w:pPr>
      <w:r>
        <w:rPr>
          <w:rFonts w:hint="eastAsia"/>
        </w:rPr>
        <w:t>螺栓</w:t>
      </w:r>
      <w:r>
        <w:rPr>
          <w:rFonts w:hint="eastAsia"/>
        </w:rPr>
        <w:t>/</w:t>
      </w:r>
      <w:r>
        <w:rPr>
          <w:rFonts w:hint="eastAsia"/>
        </w:rPr>
        <w:t>法兰：材质、强度等级满足压力等级要求，规格与设备法兰及管道法兰配套。</w:t>
      </w:r>
    </w:p>
    <w:p w14:paraId="17D521AF" w14:textId="77777777" w:rsidR="00675037" w:rsidRDefault="00000000">
      <w:pPr>
        <w:pStyle w:val="a8"/>
        <w:widowControl/>
        <w:ind w:firstLineChars="0" w:firstLine="0"/>
        <w:rPr>
          <w:rFonts w:ascii="宋体" w:hAnsi="宋体" w:cs="宋体" w:hint="eastAsia"/>
          <w:b/>
          <w:bCs/>
          <w:szCs w:val="30"/>
        </w:rPr>
      </w:pPr>
      <w:r>
        <w:rPr>
          <w:rFonts w:ascii="宋体" w:hAnsi="宋体" w:cs="宋体"/>
          <w:b/>
          <w:bCs/>
          <w:szCs w:val="30"/>
        </w:rPr>
        <w:t>采暖控制柜</w:t>
      </w:r>
      <w:r>
        <w:rPr>
          <w:rFonts w:ascii="宋体" w:hAnsi="宋体" w:cs="宋体" w:hint="eastAsia"/>
          <w:b/>
          <w:bCs/>
          <w:szCs w:val="30"/>
        </w:rPr>
        <w:t>更换</w:t>
      </w:r>
      <w:proofErr w:type="gramStart"/>
      <w:r>
        <w:rPr>
          <w:rFonts w:ascii="宋体" w:hAnsi="宋体" w:cs="宋体"/>
          <w:b/>
          <w:bCs/>
          <w:szCs w:val="30"/>
        </w:rPr>
        <w:t>清单</w:t>
      </w:r>
      <w:r>
        <w:rPr>
          <w:rFonts w:ascii="宋体" w:hAnsi="宋体" w:cs="宋体" w:hint="eastAsia"/>
          <w:b/>
          <w:bCs/>
          <w:szCs w:val="30"/>
        </w:rPr>
        <w:t>:</w:t>
      </w:r>
      <w:proofErr w:type="gramEnd"/>
    </w:p>
    <w:tbl>
      <w:tblPr>
        <w:tblW w:w="684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1"/>
        <w:gridCol w:w="4138"/>
        <w:gridCol w:w="901"/>
        <w:gridCol w:w="901"/>
      </w:tblGrid>
      <w:tr w:rsidR="00E5558A" w14:paraId="3C4B67AC" w14:textId="77777777" w:rsidTr="00E5558A">
        <w:trPr>
          <w:tblHeader/>
          <w:jc w:val="center"/>
        </w:trPr>
        <w:tc>
          <w:tcPr>
            <w:tcW w:w="901" w:type="dxa"/>
            <w:vAlign w:val="center"/>
          </w:tcPr>
          <w:p w14:paraId="667A0566" w14:textId="77777777" w:rsidR="00E5558A" w:rsidRDefault="00E5558A">
            <w:pPr>
              <w:keepNext/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4138" w:type="dxa"/>
            <w:vAlign w:val="center"/>
          </w:tcPr>
          <w:p w14:paraId="722DF730" w14:textId="77777777" w:rsidR="00E5558A" w:rsidRDefault="00E5558A">
            <w:pPr>
              <w:keepNext/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设备名称</w:t>
            </w:r>
            <w:proofErr w:type="spellEnd"/>
          </w:p>
        </w:tc>
        <w:tc>
          <w:tcPr>
            <w:tcW w:w="901" w:type="dxa"/>
            <w:vAlign w:val="center"/>
          </w:tcPr>
          <w:p w14:paraId="6870E42C" w14:textId="77777777" w:rsidR="00E5558A" w:rsidRDefault="00E5558A">
            <w:pPr>
              <w:keepNext/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901" w:type="dxa"/>
            <w:vAlign w:val="center"/>
          </w:tcPr>
          <w:p w14:paraId="4DEE5003" w14:textId="77777777" w:rsidR="00E5558A" w:rsidRDefault="00E5558A">
            <w:pPr>
              <w:keepNext/>
              <w:snapToGrid w:val="0"/>
              <w:spacing w:before="40" w:after="40" w:line="240" w:lineRule="auto"/>
              <w:jc w:val="center"/>
              <w:rPr>
                <w:rFonts w:ascii="Calibri" w:eastAsia="微软雅黑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微软雅黑" w:hAnsi="Calibri"/>
                <w:b/>
                <w:color w:val="000000"/>
                <w:sz w:val="24"/>
                <w:szCs w:val="24"/>
              </w:rPr>
              <w:t>单位</w:t>
            </w:r>
            <w:proofErr w:type="spellEnd"/>
          </w:p>
        </w:tc>
      </w:tr>
      <w:tr w:rsidR="00E5558A" w14:paraId="4086AA80" w14:textId="77777777" w:rsidTr="00E5558A">
        <w:trPr>
          <w:jc w:val="center"/>
        </w:trPr>
        <w:tc>
          <w:tcPr>
            <w:tcW w:w="901" w:type="dxa"/>
            <w:vAlign w:val="center"/>
          </w:tcPr>
          <w:p w14:paraId="33D50C4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4138" w:type="dxa"/>
            <w:vAlign w:val="center"/>
          </w:tcPr>
          <w:p w14:paraId="0F459F25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触摸屏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7寸</w:t>
            </w:r>
          </w:p>
        </w:tc>
        <w:tc>
          <w:tcPr>
            <w:tcW w:w="901" w:type="dxa"/>
            <w:vAlign w:val="center"/>
          </w:tcPr>
          <w:p w14:paraId="7CF7189E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2E785ED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个</w:t>
            </w:r>
          </w:p>
        </w:tc>
      </w:tr>
      <w:tr w:rsidR="00E5558A" w14:paraId="706D7D64" w14:textId="77777777" w:rsidTr="00E5558A">
        <w:trPr>
          <w:jc w:val="center"/>
        </w:trPr>
        <w:tc>
          <w:tcPr>
            <w:tcW w:w="901" w:type="dxa"/>
            <w:vAlign w:val="center"/>
          </w:tcPr>
          <w:p w14:paraId="0947BF41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4138" w:type="dxa"/>
            <w:vAlign w:val="center"/>
          </w:tcPr>
          <w:p w14:paraId="2080D06B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PLC</w:t>
            </w:r>
          </w:p>
        </w:tc>
        <w:tc>
          <w:tcPr>
            <w:tcW w:w="901" w:type="dxa"/>
            <w:vAlign w:val="center"/>
          </w:tcPr>
          <w:p w14:paraId="08C86E5E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0C3EC94B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套</w:t>
            </w:r>
          </w:p>
        </w:tc>
      </w:tr>
      <w:tr w:rsidR="00E5558A" w14:paraId="5F40EB56" w14:textId="77777777" w:rsidTr="00E5558A">
        <w:trPr>
          <w:jc w:val="center"/>
        </w:trPr>
        <w:tc>
          <w:tcPr>
            <w:tcW w:w="901" w:type="dxa"/>
            <w:vAlign w:val="center"/>
          </w:tcPr>
          <w:p w14:paraId="337063E2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138" w:type="dxa"/>
            <w:vAlign w:val="center"/>
          </w:tcPr>
          <w:p w14:paraId="79B4A6FF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控制变压器</w:t>
            </w:r>
            <w:proofErr w:type="spellEnd"/>
          </w:p>
        </w:tc>
        <w:tc>
          <w:tcPr>
            <w:tcW w:w="901" w:type="dxa"/>
            <w:vAlign w:val="center"/>
          </w:tcPr>
          <w:p w14:paraId="227772E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5B80FCA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个</w:t>
            </w:r>
          </w:p>
        </w:tc>
      </w:tr>
      <w:tr w:rsidR="00E5558A" w14:paraId="7D094DF0" w14:textId="77777777" w:rsidTr="00E5558A">
        <w:trPr>
          <w:jc w:val="center"/>
        </w:trPr>
        <w:tc>
          <w:tcPr>
            <w:tcW w:w="901" w:type="dxa"/>
            <w:vAlign w:val="center"/>
          </w:tcPr>
          <w:p w14:paraId="5891321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4</w:t>
            </w:r>
          </w:p>
        </w:tc>
        <w:tc>
          <w:tcPr>
            <w:tcW w:w="4138" w:type="dxa"/>
            <w:vAlign w:val="center"/>
          </w:tcPr>
          <w:p w14:paraId="553C3D47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DC24V电源</w:t>
            </w:r>
          </w:p>
        </w:tc>
        <w:tc>
          <w:tcPr>
            <w:tcW w:w="901" w:type="dxa"/>
            <w:vAlign w:val="center"/>
          </w:tcPr>
          <w:p w14:paraId="0307B639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59E64B9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73C08E5B" w14:textId="77777777" w:rsidTr="00E5558A">
        <w:trPr>
          <w:jc w:val="center"/>
        </w:trPr>
        <w:tc>
          <w:tcPr>
            <w:tcW w:w="901" w:type="dxa"/>
            <w:vAlign w:val="center"/>
          </w:tcPr>
          <w:p w14:paraId="68FFFC14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4138" w:type="dxa"/>
            <w:vAlign w:val="center"/>
          </w:tcPr>
          <w:p w14:paraId="3F7669E7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中间继电器</w:t>
            </w:r>
            <w:proofErr w:type="spellEnd"/>
          </w:p>
        </w:tc>
        <w:tc>
          <w:tcPr>
            <w:tcW w:w="901" w:type="dxa"/>
            <w:vAlign w:val="center"/>
          </w:tcPr>
          <w:p w14:paraId="3CC98634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3</w:t>
            </w:r>
          </w:p>
        </w:tc>
        <w:tc>
          <w:tcPr>
            <w:tcW w:w="901" w:type="dxa"/>
            <w:vAlign w:val="center"/>
          </w:tcPr>
          <w:p w14:paraId="1A2E5714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3710BE95" w14:textId="77777777" w:rsidTr="00E5558A">
        <w:trPr>
          <w:jc w:val="center"/>
        </w:trPr>
        <w:tc>
          <w:tcPr>
            <w:tcW w:w="901" w:type="dxa"/>
            <w:vAlign w:val="center"/>
          </w:tcPr>
          <w:p w14:paraId="3D221D1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4138" w:type="dxa"/>
            <w:vAlign w:val="center"/>
          </w:tcPr>
          <w:p w14:paraId="60C2C1B6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空气开关</w:t>
            </w:r>
            <w:proofErr w:type="spellEnd"/>
          </w:p>
        </w:tc>
        <w:tc>
          <w:tcPr>
            <w:tcW w:w="901" w:type="dxa"/>
            <w:vAlign w:val="center"/>
          </w:tcPr>
          <w:p w14:paraId="2A8E527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01" w:type="dxa"/>
            <w:vAlign w:val="center"/>
          </w:tcPr>
          <w:p w14:paraId="30FE4F8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0074CCC0" w14:textId="77777777" w:rsidTr="00E5558A">
        <w:trPr>
          <w:jc w:val="center"/>
        </w:trPr>
        <w:tc>
          <w:tcPr>
            <w:tcW w:w="901" w:type="dxa"/>
            <w:vAlign w:val="center"/>
          </w:tcPr>
          <w:p w14:paraId="186C189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4138" w:type="dxa"/>
            <w:vAlign w:val="center"/>
          </w:tcPr>
          <w:p w14:paraId="05F951F9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接触器</w:t>
            </w:r>
            <w:proofErr w:type="spellEnd"/>
          </w:p>
        </w:tc>
        <w:tc>
          <w:tcPr>
            <w:tcW w:w="901" w:type="dxa"/>
            <w:vAlign w:val="center"/>
          </w:tcPr>
          <w:p w14:paraId="48CA7880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901" w:type="dxa"/>
            <w:vAlign w:val="center"/>
          </w:tcPr>
          <w:p w14:paraId="1A7DA570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47AA3955" w14:textId="77777777" w:rsidTr="00E5558A">
        <w:trPr>
          <w:jc w:val="center"/>
        </w:trPr>
        <w:tc>
          <w:tcPr>
            <w:tcW w:w="901" w:type="dxa"/>
            <w:vAlign w:val="center"/>
          </w:tcPr>
          <w:p w14:paraId="1BDFA31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4138" w:type="dxa"/>
            <w:vAlign w:val="center"/>
          </w:tcPr>
          <w:p w14:paraId="6D806BD1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热继电器</w:t>
            </w:r>
            <w:proofErr w:type="spellEnd"/>
          </w:p>
        </w:tc>
        <w:tc>
          <w:tcPr>
            <w:tcW w:w="901" w:type="dxa"/>
            <w:vAlign w:val="center"/>
          </w:tcPr>
          <w:p w14:paraId="72B51AA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901" w:type="dxa"/>
            <w:vAlign w:val="center"/>
          </w:tcPr>
          <w:p w14:paraId="28CDA76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3786514D" w14:textId="77777777" w:rsidTr="00E5558A">
        <w:trPr>
          <w:jc w:val="center"/>
        </w:trPr>
        <w:tc>
          <w:tcPr>
            <w:tcW w:w="901" w:type="dxa"/>
            <w:vAlign w:val="center"/>
          </w:tcPr>
          <w:p w14:paraId="68664C9D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4138" w:type="dxa"/>
            <w:vAlign w:val="center"/>
          </w:tcPr>
          <w:p w14:paraId="379621F7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辅助触点3开1闭</w:t>
            </w:r>
          </w:p>
        </w:tc>
        <w:tc>
          <w:tcPr>
            <w:tcW w:w="901" w:type="dxa"/>
            <w:vAlign w:val="center"/>
          </w:tcPr>
          <w:p w14:paraId="15A1CF09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</w:t>
            </w:r>
          </w:p>
        </w:tc>
        <w:tc>
          <w:tcPr>
            <w:tcW w:w="901" w:type="dxa"/>
            <w:vAlign w:val="center"/>
          </w:tcPr>
          <w:p w14:paraId="7B9038A0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148E7CE9" w14:textId="77777777" w:rsidTr="00E5558A">
        <w:trPr>
          <w:jc w:val="center"/>
        </w:trPr>
        <w:tc>
          <w:tcPr>
            <w:tcW w:w="901" w:type="dxa"/>
            <w:vAlign w:val="center"/>
          </w:tcPr>
          <w:p w14:paraId="36E9CEF0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138" w:type="dxa"/>
            <w:vAlign w:val="center"/>
          </w:tcPr>
          <w:p w14:paraId="42B4B07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导轨式熔断器</w:t>
            </w:r>
            <w:proofErr w:type="spellEnd"/>
          </w:p>
        </w:tc>
        <w:tc>
          <w:tcPr>
            <w:tcW w:w="901" w:type="dxa"/>
            <w:vAlign w:val="center"/>
          </w:tcPr>
          <w:p w14:paraId="28E2B8EC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5</w:t>
            </w:r>
          </w:p>
        </w:tc>
        <w:tc>
          <w:tcPr>
            <w:tcW w:w="901" w:type="dxa"/>
            <w:vAlign w:val="center"/>
          </w:tcPr>
          <w:p w14:paraId="1CDCFA99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2BB5407C" w14:textId="77777777" w:rsidTr="00E5558A">
        <w:trPr>
          <w:jc w:val="center"/>
        </w:trPr>
        <w:tc>
          <w:tcPr>
            <w:tcW w:w="901" w:type="dxa"/>
            <w:vAlign w:val="center"/>
          </w:tcPr>
          <w:p w14:paraId="395AA8B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138" w:type="dxa"/>
            <w:vAlign w:val="center"/>
          </w:tcPr>
          <w:p w14:paraId="66069B64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导轨插座2P 10A 5孔</w:t>
            </w:r>
          </w:p>
        </w:tc>
        <w:tc>
          <w:tcPr>
            <w:tcW w:w="901" w:type="dxa"/>
            <w:vAlign w:val="center"/>
          </w:tcPr>
          <w:p w14:paraId="2684264B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36BDD25B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只</w:t>
            </w:r>
          </w:p>
        </w:tc>
      </w:tr>
      <w:tr w:rsidR="00E5558A" w14:paraId="18AFFDCE" w14:textId="77777777" w:rsidTr="00E5558A">
        <w:trPr>
          <w:jc w:val="center"/>
        </w:trPr>
        <w:tc>
          <w:tcPr>
            <w:tcW w:w="901" w:type="dxa"/>
            <w:vAlign w:val="center"/>
          </w:tcPr>
          <w:p w14:paraId="6377925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138" w:type="dxa"/>
            <w:vAlign w:val="center"/>
          </w:tcPr>
          <w:p w14:paraId="7D35DD68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</w:rPr>
              <w:t>带指示灯保险端子</w:t>
            </w:r>
            <w:proofErr w:type="spellEnd"/>
          </w:p>
        </w:tc>
        <w:tc>
          <w:tcPr>
            <w:tcW w:w="901" w:type="dxa"/>
            <w:vAlign w:val="center"/>
          </w:tcPr>
          <w:p w14:paraId="167BDBC4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</w:p>
        </w:tc>
        <w:tc>
          <w:tcPr>
            <w:tcW w:w="901" w:type="dxa"/>
            <w:vAlign w:val="center"/>
          </w:tcPr>
          <w:p w14:paraId="28AAA0C8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片</w:t>
            </w:r>
          </w:p>
        </w:tc>
      </w:tr>
      <w:tr w:rsidR="00E5558A" w14:paraId="1CEB5D27" w14:textId="77777777" w:rsidTr="00E5558A">
        <w:trPr>
          <w:jc w:val="center"/>
        </w:trPr>
        <w:tc>
          <w:tcPr>
            <w:tcW w:w="901" w:type="dxa"/>
            <w:vAlign w:val="center"/>
          </w:tcPr>
          <w:p w14:paraId="32A89191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138" w:type="dxa"/>
            <w:vAlign w:val="center"/>
          </w:tcPr>
          <w:p w14:paraId="07E53754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柜体700H×600W×250D</w:t>
            </w:r>
          </w:p>
        </w:tc>
        <w:tc>
          <w:tcPr>
            <w:tcW w:w="901" w:type="dxa"/>
            <w:vAlign w:val="center"/>
          </w:tcPr>
          <w:p w14:paraId="7F884836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2A47306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台</w:t>
            </w:r>
          </w:p>
        </w:tc>
      </w:tr>
      <w:tr w:rsidR="00E5558A" w14:paraId="7103DA23" w14:textId="77777777" w:rsidTr="00E5558A">
        <w:trPr>
          <w:jc w:val="center"/>
        </w:trPr>
        <w:tc>
          <w:tcPr>
            <w:tcW w:w="901" w:type="dxa"/>
            <w:vAlign w:val="center"/>
          </w:tcPr>
          <w:p w14:paraId="0C616AD3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138" w:type="dxa"/>
            <w:vAlign w:val="center"/>
          </w:tcPr>
          <w:p w14:paraId="104BE956" w14:textId="77777777" w:rsidR="00E5558A" w:rsidRDefault="00E5558A">
            <w:pPr>
              <w:snapToGrid w:val="0"/>
              <w:spacing w:before="40" w:after="40" w:line="240" w:lineRule="auto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辅材：控制线、铜排、线槽、标识牌</w:t>
            </w:r>
          </w:p>
        </w:tc>
        <w:tc>
          <w:tcPr>
            <w:tcW w:w="901" w:type="dxa"/>
            <w:vAlign w:val="center"/>
          </w:tcPr>
          <w:p w14:paraId="4B43430F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6E7086D7" w14:textId="77777777" w:rsidR="00E5558A" w:rsidRDefault="00E5558A">
            <w:pPr>
              <w:snapToGrid w:val="0"/>
              <w:spacing w:before="40" w:after="4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项</w:t>
            </w:r>
          </w:p>
        </w:tc>
      </w:tr>
    </w:tbl>
    <w:p w14:paraId="1A5933E5" w14:textId="77777777" w:rsidR="00675037" w:rsidRDefault="00000000">
      <w:pPr>
        <w:pStyle w:val="21"/>
        <w:tabs>
          <w:tab w:val="left" w:pos="1023"/>
        </w:tabs>
        <w:ind w:leftChars="200" w:left="440"/>
      </w:pPr>
      <w:r>
        <w:t>报价要求</w:t>
      </w:r>
    </w:p>
    <w:p w14:paraId="6B2890E9" w14:textId="77777777" w:rsidR="00675037" w:rsidRDefault="00000000">
      <w:pPr>
        <w:pStyle w:val="a8"/>
        <w:widowControl/>
        <w:numPr>
          <w:ilvl w:val="0"/>
          <w:numId w:val="20"/>
        </w:numPr>
        <w:tabs>
          <w:tab w:val="clear" w:pos="210"/>
          <w:tab w:val="left" w:pos="782"/>
        </w:tabs>
        <w:ind w:left="782" w:firstLineChars="0" w:hanging="300"/>
      </w:pPr>
      <w:r>
        <w:t>报价为含税总价，包含设备、材料、运输、安装、调试、培训、税金及全部杂费，无额外隐形费用；</w:t>
      </w:r>
    </w:p>
    <w:p w14:paraId="0E4C27BE" w14:textId="77777777" w:rsidR="00675037" w:rsidRDefault="00000000">
      <w:pPr>
        <w:pStyle w:val="a8"/>
        <w:widowControl/>
        <w:numPr>
          <w:ilvl w:val="0"/>
          <w:numId w:val="20"/>
        </w:numPr>
        <w:tabs>
          <w:tab w:val="clear" w:pos="210"/>
          <w:tab w:val="left" w:pos="782"/>
        </w:tabs>
        <w:ind w:left="782" w:firstLineChars="0" w:hanging="300"/>
      </w:pPr>
      <w:r>
        <w:lastRenderedPageBreak/>
        <w:t>报价须按招标范围分项列明，包括控制柜、配套设备材料、清洗、安装费等分项明细；</w:t>
      </w:r>
    </w:p>
    <w:p w14:paraId="1A9D697C" w14:textId="77777777" w:rsidR="00675037" w:rsidRDefault="00000000">
      <w:pPr>
        <w:pStyle w:val="a8"/>
        <w:widowControl/>
        <w:numPr>
          <w:ilvl w:val="0"/>
          <w:numId w:val="20"/>
        </w:numPr>
        <w:tabs>
          <w:tab w:val="clear" w:pos="210"/>
          <w:tab w:val="left" w:pos="782"/>
        </w:tabs>
        <w:ind w:left="782" w:firstLineChars="0" w:hanging="300"/>
      </w:pPr>
      <w:r>
        <w:t>须到现场勘测后据实报价，报价中应包含现场勘测所确认的全部工作量。</w:t>
      </w:r>
    </w:p>
    <w:p w14:paraId="23E47C23" w14:textId="77777777" w:rsidR="00675037" w:rsidRDefault="00000000">
      <w:pPr>
        <w:pStyle w:val="21"/>
        <w:tabs>
          <w:tab w:val="left" w:pos="1023"/>
        </w:tabs>
        <w:ind w:leftChars="200" w:left="440"/>
      </w:pPr>
      <w:r>
        <w:t>工期要求</w:t>
      </w:r>
    </w:p>
    <w:p w14:paraId="0F7B0623" w14:textId="77777777" w:rsidR="00675037" w:rsidRDefault="00000000">
      <w:pPr>
        <w:pStyle w:val="a8"/>
        <w:widowControl/>
        <w:ind w:firstLine="482"/>
        <w:rPr>
          <w:b/>
          <w:bCs/>
          <w:color w:val="FFC000"/>
        </w:rPr>
      </w:pPr>
      <w:r>
        <w:rPr>
          <w:rFonts w:hint="eastAsia"/>
          <w:b/>
          <w:bCs/>
          <w:color w:val="FFC000"/>
        </w:rPr>
        <w:t>合同签订且现场具备施工条件后</w:t>
      </w:r>
      <w:r>
        <w:rPr>
          <w:b/>
          <w:bCs/>
          <w:color w:val="FFC000"/>
        </w:rPr>
        <w:t>15</w:t>
      </w:r>
      <w:r>
        <w:rPr>
          <w:b/>
          <w:bCs/>
          <w:color w:val="FFC000"/>
        </w:rPr>
        <w:t>个工作日内</w:t>
      </w:r>
      <w:r>
        <w:rPr>
          <w:rFonts w:hint="eastAsia"/>
          <w:b/>
          <w:bCs/>
          <w:color w:val="FFC000"/>
        </w:rPr>
        <w:t>全部完工</w:t>
      </w:r>
      <w:r>
        <w:rPr>
          <w:b/>
          <w:bCs/>
          <w:color w:val="FFC000"/>
        </w:rPr>
        <w:t>。</w:t>
      </w:r>
    </w:p>
    <w:p w14:paraId="7DA721C3" w14:textId="77777777" w:rsidR="00675037" w:rsidRDefault="00000000">
      <w:pPr>
        <w:pStyle w:val="21"/>
        <w:tabs>
          <w:tab w:val="left" w:pos="1023"/>
        </w:tabs>
        <w:ind w:leftChars="200" w:left="440"/>
      </w:pPr>
      <w:r>
        <w:rPr>
          <w:rFonts w:hint="eastAsia"/>
        </w:rPr>
        <w:t>四、</w:t>
      </w:r>
      <w:r>
        <w:t>质量保证及售后服务</w:t>
      </w:r>
    </w:p>
    <w:p w14:paraId="0FC726C3" w14:textId="77777777" w:rsidR="00675037" w:rsidRDefault="00000000">
      <w:pPr>
        <w:pStyle w:val="a8"/>
        <w:widowControl/>
        <w:numPr>
          <w:ilvl w:val="0"/>
          <w:numId w:val="21"/>
        </w:numPr>
        <w:tabs>
          <w:tab w:val="clear" w:pos="210"/>
          <w:tab w:val="left" w:pos="782"/>
        </w:tabs>
        <w:ind w:left="782" w:firstLineChars="0" w:hanging="300"/>
      </w:pPr>
      <w:r>
        <w:t>质保期</w:t>
      </w:r>
      <w:r>
        <w:t>1</w:t>
      </w:r>
      <w:r>
        <w:t>年，质保期内免费更换故障元件及维修，提供</w:t>
      </w:r>
      <w:r>
        <w:t>7×24</w:t>
      </w:r>
      <w:r>
        <w:t>小时售后服务，接到故障通知后</w:t>
      </w:r>
      <w:r>
        <w:t>2</w:t>
      </w:r>
      <w:r>
        <w:t>小时内到场处置，</w:t>
      </w:r>
      <w:r>
        <w:t>24</w:t>
      </w:r>
      <w:r>
        <w:t>小时内修复完成，质保期后提供终身技术支持；</w:t>
      </w:r>
    </w:p>
    <w:p w14:paraId="6626B020" w14:textId="6374A76B" w:rsidR="00675037" w:rsidRDefault="00000000">
      <w:pPr>
        <w:pStyle w:val="a8"/>
        <w:widowControl/>
        <w:numPr>
          <w:ilvl w:val="0"/>
          <w:numId w:val="21"/>
        </w:numPr>
        <w:tabs>
          <w:tab w:val="clear" w:pos="210"/>
          <w:tab w:val="left" w:pos="782"/>
        </w:tabs>
        <w:ind w:left="782" w:firstLineChars="0" w:hanging="300"/>
      </w:pPr>
      <w:r>
        <w:t>质保期内因设备质量原因造成的故障，由</w:t>
      </w:r>
      <w:r w:rsidR="00E5558A">
        <w:rPr>
          <w:rFonts w:hint="eastAsia"/>
        </w:rPr>
        <w:t>供应商</w:t>
      </w:r>
      <w:r>
        <w:t>免费维修或更换；因使用不当造成的故障，</w:t>
      </w:r>
      <w:r w:rsidR="00E5558A">
        <w:rPr>
          <w:rFonts w:hint="eastAsia"/>
        </w:rPr>
        <w:t>供应商</w:t>
      </w:r>
      <w:r>
        <w:t>应积极配合处理。</w:t>
      </w:r>
    </w:p>
    <w:p w14:paraId="32B68BAF" w14:textId="77777777" w:rsidR="00675037" w:rsidRDefault="00675037" w:rsidP="00E5558A">
      <w:pPr>
        <w:spacing w:after="120" w:line="360" w:lineRule="auto"/>
        <w:ind w:right="240"/>
        <w:jc w:val="right"/>
        <w:rPr>
          <w:rFonts w:ascii="Times New Roman" w:eastAsia="宋体" w:hAnsi="Times New Roman" w:cs="Times New Roman" w:hint="eastAsia"/>
          <w:sz w:val="24"/>
          <w:lang w:eastAsia="zh-CN"/>
        </w:rPr>
      </w:pPr>
    </w:p>
    <w:sectPr w:rsidR="00675037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6C7F7" w14:textId="77777777" w:rsidR="009167D4" w:rsidRDefault="009167D4">
      <w:pPr>
        <w:spacing w:line="240" w:lineRule="auto"/>
      </w:pPr>
      <w:r>
        <w:separator/>
      </w:r>
    </w:p>
  </w:endnote>
  <w:endnote w:type="continuationSeparator" w:id="0">
    <w:p w14:paraId="16E54F76" w14:textId="77777777" w:rsidR="009167D4" w:rsidRDefault="009167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D7D27" w14:textId="77777777" w:rsidR="009167D4" w:rsidRDefault="009167D4">
      <w:pPr>
        <w:spacing w:after="0"/>
      </w:pPr>
      <w:r>
        <w:separator/>
      </w:r>
    </w:p>
  </w:footnote>
  <w:footnote w:type="continuationSeparator" w:id="0">
    <w:p w14:paraId="3148DBA4" w14:textId="77777777" w:rsidR="009167D4" w:rsidRDefault="009167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79C115"/>
    <w:multiLevelType w:val="singleLevel"/>
    <w:tmpl w:val="8179C115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1" w15:restartNumberingAfterBreak="0">
    <w:nsid w:val="938F95F7"/>
    <w:multiLevelType w:val="singleLevel"/>
    <w:tmpl w:val="938F95F7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2" w15:restartNumberingAfterBreak="0">
    <w:nsid w:val="AF28683E"/>
    <w:multiLevelType w:val="singleLevel"/>
    <w:tmpl w:val="AF28683E"/>
    <w:lvl w:ilvl="0">
      <w:start w:val="2"/>
      <w:numFmt w:val="decimal"/>
      <w:pStyle w:val="a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3" w15:restartNumberingAfterBreak="0">
    <w:nsid w:val="B374E191"/>
    <w:multiLevelType w:val="singleLevel"/>
    <w:tmpl w:val="B374E19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 w15:restartNumberingAfterBreak="0">
    <w:nsid w:val="D459D382"/>
    <w:multiLevelType w:val="singleLevel"/>
    <w:tmpl w:val="D459D382"/>
    <w:lvl w:ilvl="0">
      <w:start w:val="7"/>
      <w:numFmt w:val="decimal"/>
      <w:lvlText w:val="%1"/>
      <w:lvlJc w:val="left"/>
      <w:pPr>
        <w:tabs>
          <w:tab w:val="left" w:pos="210"/>
        </w:tabs>
        <w:ind w:left="0" w:firstLine="0"/>
      </w:pPr>
      <w:rPr>
        <w:rFonts w:hint="default"/>
      </w:rPr>
    </w:lvl>
  </w:abstractNum>
  <w:abstractNum w:abstractNumId="5" w15:restartNumberingAfterBreak="0">
    <w:nsid w:val="DD8E6CD5"/>
    <w:multiLevelType w:val="singleLevel"/>
    <w:tmpl w:val="DD8E6CD5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6" w15:restartNumberingAfterBreak="0">
    <w:nsid w:val="E98FAECC"/>
    <w:multiLevelType w:val="singleLevel"/>
    <w:tmpl w:val="E98FAECC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7" w15:restartNumberingAfterBreak="0">
    <w:nsid w:val="EEAB9D41"/>
    <w:multiLevelType w:val="singleLevel"/>
    <w:tmpl w:val="EEAB9D41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8" w15:restartNumberingAfterBreak="0">
    <w:nsid w:val="F55316A4"/>
    <w:multiLevelType w:val="singleLevel"/>
    <w:tmpl w:val="F55316A4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9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0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1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12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FFFFFF88"/>
    <w:multiLevelType w:val="singleLevel"/>
    <w:tmpl w:val="FFFFFF8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4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B1BFF6F"/>
    <w:multiLevelType w:val="singleLevel"/>
    <w:tmpl w:val="1B1BFF6F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16" w15:restartNumberingAfterBreak="0">
    <w:nsid w:val="287CA64F"/>
    <w:multiLevelType w:val="singleLevel"/>
    <w:tmpl w:val="287CA64F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17" w15:restartNumberingAfterBreak="0">
    <w:nsid w:val="2F726123"/>
    <w:multiLevelType w:val="singleLevel"/>
    <w:tmpl w:val="2F726123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18" w15:restartNumberingAfterBreak="0">
    <w:nsid w:val="589C3EEC"/>
    <w:multiLevelType w:val="singleLevel"/>
    <w:tmpl w:val="589C3EEC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abstractNum w:abstractNumId="19" w15:restartNumberingAfterBreak="0">
    <w:nsid w:val="5A0F064C"/>
    <w:multiLevelType w:val="singleLevel"/>
    <w:tmpl w:val="5A0F064C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0" w15:restartNumberingAfterBreak="0">
    <w:nsid w:val="6E90EB74"/>
    <w:multiLevelType w:val="singleLevel"/>
    <w:tmpl w:val="6E90EB74"/>
    <w:lvl w:ilvl="0">
      <w:start w:val="1"/>
      <w:numFmt w:val="decimal"/>
      <w:lvlText w:val="%1."/>
      <w:lvlJc w:val="left"/>
      <w:pPr>
        <w:tabs>
          <w:tab w:val="left" w:pos="210"/>
        </w:tabs>
        <w:ind w:left="360" w:firstLine="480"/>
      </w:pPr>
    </w:lvl>
  </w:abstractNum>
  <w:num w:numId="1" w16cid:durableId="674381787">
    <w:abstractNumId w:val="10"/>
  </w:num>
  <w:num w:numId="2" w16cid:durableId="888999430">
    <w:abstractNumId w:val="2"/>
  </w:num>
  <w:num w:numId="3" w16cid:durableId="873348449">
    <w:abstractNumId w:val="14"/>
  </w:num>
  <w:num w:numId="4" w16cid:durableId="1073627628">
    <w:abstractNumId w:val="11"/>
  </w:num>
  <w:num w:numId="5" w16cid:durableId="1308707847">
    <w:abstractNumId w:val="9"/>
  </w:num>
  <w:num w:numId="6" w16cid:durableId="1250625360">
    <w:abstractNumId w:val="12"/>
  </w:num>
  <w:num w:numId="7" w16cid:durableId="1984891994">
    <w:abstractNumId w:val="4"/>
  </w:num>
  <w:num w:numId="8" w16cid:durableId="1996061908">
    <w:abstractNumId w:val="13"/>
    <w:lvlOverride w:ilvl="0">
      <w:startOverride w:val="1"/>
    </w:lvlOverride>
  </w:num>
  <w:num w:numId="9" w16cid:durableId="1290817232">
    <w:abstractNumId w:val="6"/>
  </w:num>
  <w:num w:numId="10" w16cid:durableId="1855848451">
    <w:abstractNumId w:val="20"/>
  </w:num>
  <w:num w:numId="11" w16cid:durableId="547959155">
    <w:abstractNumId w:val="17"/>
  </w:num>
  <w:num w:numId="12" w16cid:durableId="1009529247">
    <w:abstractNumId w:val="7"/>
  </w:num>
  <w:num w:numId="13" w16cid:durableId="707533329">
    <w:abstractNumId w:val="16"/>
  </w:num>
  <w:num w:numId="14" w16cid:durableId="1226337127">
    <w:abstractNumId w:val="1"/>
  </w:num>
  <w:num w:numId="15" w16cid:durableId="454299855">
    <w:abstractNumId w:val="5"/>
  </w:num>
  <w:num w:numId="16" w16cid:durableId="72166426">
    <w:abstractNumId w:val="18"/>
  </w:num>
  <w:num w:numId="17" w16cid:durableId="1268663297">
    <w:abstractNumId w:val="19"/>
  </w:num>
  <w:num w:numId="18" w16cid:durableId="615140182">
    <w:abstractNumId w:val="3"/>
  </w:num>
  <w:num w:numId="19" w16cid:durableId="1871995162">
    <w:abstractNumId w:val="15"/>
  </w:num>
  <w:num w:numId="20" w16cid:durableId="1286159856">
    <w:abstractNumId w:val="8"/>
  </w:num>
  <w:num w:numId="21" w16cid:durableId="7753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5037"/>
    <w:rsid w:val="009167D4"/>
    <w:rsid w:val="00AA1D8D"/>
    <w:rsid w:val="00B47730"/>
    <w:rsid w:val="00C81AEA"/>
    <w:rsid w:val="00CB0664"/>
    <w:rsid w:val="00E5558A"/>
    <w:rsid w:val="00FC693F"/>
    <w:rsid w:val="103F54E0"/>
    <w:rsid w:val="117A5679"/>
    <w:rsid w:val="1D8E43EE"/>
    <w:rsid w:val="4C2D1658"/>
    <w:rsid w:val="52C8213F"/>
    <w:rsid w:val="5B84096D"/>
    <w:rsid w:val="5DB2790F"/>
    <w:rsid w:val="65903FE4"/>
    <w:rsid w:val="6F3F2DD3"/>
    <w:rsid w:val="7085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B2B369"/>
  <w14:defaultImageDpi w14:val="300"/>
  <w15:docId w15:val="{5F5067B5-656D-4CB5-A3B7-2E3EA707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next w:val="a1"/>
    <w:uiPriority w:val="9"/>
    <w:qFormat/>
    <w:pPr>
      <w:widowControl w:val="0"/>
      <w:spacing w:before="240" w:after="120" w:line="360" w:lineRule="auto"/>
      <w:outlineLvl w:val="0"/>
    </w:pPr>
    <w:rPr>
      <w:rFonts w:ascii="宋体" w:eastAsia="宋体" w:hAnsi="宋体" w:cs="宋体"/>
      <w:b/>
      <w:bCs/>
      <w:kern w:val="44"/>
      <w:sz w:val="24"/>
      <w:szCs w:val="30"/>
    </w:rPr>
  </w:style>
  <w:style w:type="paragraph" w:styleId="21">
    <w:name w:val="heading 2"/>
    <w:next w:val="a1"/>
    <w:uiPriority w:val="9"/>
    <w:unhideWhenUsed/>
    <w:qFormat/>
    <w:pPr>
      <w:widowControl w:val="0"/>
      <w:spacing w:after="120" w:line="360" w:lineRule="auto"/>
      <w:outlineLvl w:val="1"/>
    </w:pPr>
    <w:rPr>
      <w:rFonts w:ascii="Times New Roman" w:eastAsia="宋体" w:hAnsi="Times New Roman" w:cs="Times New Roman"/>
      <w:b/>
      <w:sz w:val="24"/>
    </w:rPr>
  </w:style>
  <w:style w:type="paragraph" w:styleId="31">
    <w:name w:val="heading 3"/>
    <w:next w:val="a1"/>
    <w:uiPriority w:val="9"/>
    <w:unhideWhenUsed/>
    <w:qFormat/>
    <w:pPr>
      <w:widowControl w:val="0"/>
      <w:spacing w:after="120" w:line="360" w:lineRule="auto"/>
      <w:outlineLvl w:val="2"/>
    </w:pPr>
    <w:rPr>
      <w:rFonts w:ascii="Times New Roman" w:eastAsia="宋体" w:hAnsi="Times New Roman" w:cs="Times New Roman"/>
      <w:b/>
      <w:sz w:val="24"/>
    </w:rPr>
  </w:style>
  <w:style w:type="paragraph" w:styleId="4">
    <w:name w:val="heading 4"/>
    <w:next w:val="a1"/>
    <w:uiPriority w:val="9"/>
    <w:semiHidden/>
    <w:unhideWhenUsed/>
    <w:qFormat/>
    <w:pPr>
      <w:widowControl w:val="0"/>
      <w:spacing w:after="120" w:line="360" w:lineRule="auto"/>
      <w:outlineLvl w:val="3"/>
    </w:pPr>
    <w:rPr>
      <w:rFonts w:ascii="Times New Roman" w:eastAsia="宋体" w:hAnsi="Times New Roman" w:cs="Times New Roman"/>
      <w:sz w:val="24"/>
    </w:rPr>
  </w:style>
  <w:style w:type="paragraph" w:styleId="5">
    <w:name w:val="heading 5"/>
    <w:next w:val="a1"/>
    <w:uiPriority w:val="9"/>
    <w:semiHidden/>
    <w:unhideWhenUsed/>
    <w:qFormat/>
    <w:pPr>
      <w:widowControl w:val="0"/>
      <w:spacing w:after="120" w:line="440" w:lineRule="exact"/>
      <w:outlineLvl w:val="4"/>
    </w:pPr>
    <w:rPr>
      <w:rFonts w:ascii="Times New Roman" w:eastAsia="宋体" w:hAnsi="Times New Roman" w:cs="Times New Roman"/>
      <w:sz w:val="24"/>
    </w:rPr>
  </w:style>
  <w:style w:type="paragraph" w:styleId="6">
    <w:name w:val="heading 6"/>
    <w:next w:val="a1"/>
    <w:uiPriority w:val="9"/>
    <w:semiHidden/>
    <w:unhideWhenUsed/>
    <w:qFormat/>
    <w:pPr>
      <w:widowControl w:val="0"/>
      <w:spacing w:after="120" w:line="360" w:lineRule="auto"/>
      <w:outlineLvl w:val="5"/>
    </w:pPr>
    <w:rPr>
      <w:rFonts w:ascii="Times New Roman" w:eastAsia="宋体" w:hAnsi="Times New Roman" w:cs="Times New Roman"/>
      <w:sz w:val="24"/>
    </w:rPr>
  </w:style>
  <w:style w:type="paragraph" w:styleId="7">
    <w:name w:val="heading 7"/>
    <w:next w:val="a1"/>
    <w:uiPriority w:val="9"/>
    <w:semiHidden/>
    <w:unhideWhenUsed/>
    <w:qFormat/>
    <w:pPr>
      <w:widowControl w:val="0"/>
      <w:spacing w:after="120" w:line="360" w:lineRule="auto"/>
      <w:outlineLvl w:val="6"/>
    </w:pPr>
    <w:rPr>
      <w:rFonts w:ascii="Times New Roman" w:eastAsia="宋体" w:hAnsi="Times New Roman" w:cs="Times New Roman"/>
      <w:sz w:val="24"/>
    </w:rPr>
  </w:style>
  <w:style w:type="paragraph" w:styleId="8">
    <w:name w:val="heading 8"/>
    <w:next w:val="a1"/>
    <w:uiPriority w:val="9"/>
    <w:semiHidden/>
    <w:unhideWhenUsed/>
    <w:qFormat/>
    <w:pPr>
      <w:widowControl w:val="0"/>
      <w:spacing w:after="120" w:line="360" w:lineRule="auto"/>
      <w:outlineLvl w:val="7"/>
    </w:pPr>
    <w:rPr>
      <w:rFonts w:ascii="Times New Roman" w:eastAsia="宋体" w:hAnsi="Times New Roman" w:cs="Times New Roman"/>
      <w:sz w:val="24"/>
    </w:rPr>
  </w:style>
  <w:style w:type="paragraph" w:styleId="9">
    <w:name w:val="heading 9"/>
    <w:next w:val="a1"/>
    <w:uiPriority w:val="9"/>
    <w:semiHidden/>
    <w:unhideWhenUsed/>
    <w:qFormat/>
    <w:pPr>
      <w:widowControl w:val="0"/>
      <w:spacing w:after="120" w:line="360" w:lineRule="auto"/>
      <w:outlineLvl w:val="8"/>
    </w:pPr>
    <w:rPr>
      <w:rFonts w:ascii="Times New Roman" w:eastAsia="宋体" w:hAnsi="Times New Roman" w:cs="Times New Roman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tabs>
        <w:tab w:val="left" w:pos="360"/>
      </w:tabs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874CB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link w:val="a9"/>
    <w:uiPriority w:val="99"/>
    <w:unhideWhenUsed/>
    <w:qFormat/>
    <w:pPr>
      <w:widowControl w:val="0"/>
      <w:spacing w:after="120" w:line="360" w:lineRule="auto"/>
      <w:ind w:firstLineChars="200" w:firstLine="420"/>
    </w:pPr>
    <w:rPr>
      <w:rFonts w:ascii="Times New Roman" w:eastAsia="宋体" w:hAnsi="Times New Roman" w:cs="Times New Roman"/>
      <w:sz w:val="24"/>
    </w:r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next w:val="a1"/>
    <w:link w:val="af0"/>
    <w:uiPriority w:val="11"/>
    <w:qFormat/>
    <w:pPr>
      <w:widowControl w:val="0"/>
      <w:spacing w:after="240"/>
      <w:jc w:val="center"/>
    </w:pPr>
    <w:rPr>
      <w:rFonts w:ascii="Times New Roman" w:eastAsia="宋体" w:hAnsi="Times New Roman" w:cs="Times New Roman"/>
      <w:kern w:val="28"/>
      <w:sz w:val="21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4"/>
    <w:uiPriority w:val="99"/>
    <w:unhideWhenUsed/>
    <w:qFormat/>
    <w:pPr>
      <w:spacing w:after="120" w:line="480" w:lineRule="auto"/>
    </w:p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next w:val="a1"/>
    <w:uiPriority w:val="10"/>
    <w:qFormat/>
    <w:pPr>
      <w:spacing w:before="240" w:after="240"/>
      <w:jc w:val="center"/>
    </w:pPr>
    <w:rPr>
      <w:rFonts w:ascii="Times New Roman" w:eastAsia="宋体" w:hAnsi="Times New Roman" w:cs="Times New Roman"/>
      <w:b/>
      <w:sz w:val="32"/>
    </w:rPr>
  </w:style>
  <w:style w:type="table" w:styleId="af3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2D53A0" w:themeColor="accent1" w:themeShade="BF"/>
    </w:rPr>
    <w:tblPr>
      <w:tblBorders>
        <w:top w:val="single" w:sz="8" w:space="0" w:color="4874CB" w:themeColor="accent1"/>
        <w:bottom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74CB" w:themeColor="accent1"/>
          <w:left w:val="nil"/>
          <w:bottom w:val="single" w:sz="8" w:space="0" w:color="4874C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C55E10" w:themeColor="accent2" w:themeShade="BF"/>
    </w:rPr>
    <w:tblPr>
      <w:tblBorders>
        <w:top w:val="single" w:sz="8" w:space="0" w:color="EE822F" w:themeColor="accent2"/>
        <w:bottom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822F" w:themeColor="accent2"/>
          <w:left w:val="nil"/>
          <w:bottom w:val="single" w:sz="8" w:space="0" w:color="EE822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822F" w:themeColor="accent2"/>
          <w:left w:val="nil"/>
          <w:bottom w:val="single" w:sz="8" w:space="0" w:color="EE822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B58A01" w:themeColor="accent3" w:themeShade="BF"/>
    </w:rPr>
    <w:tblPr>
      <w:tblBorders>
        <w:top w:val="single" w:sz="8" w:space="0" w:color="F2BA02" w:themeColor="accent3"/>
        <w:bottom w:val="single" w:sz="8" w:space="0" w:color="F2BA0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BA02" w:themeColor="accent3"/>
          <w:left w:val="nil"/>
          <w:bottom w:val="single" w:sz="8" w:space="0" w:color="F2BA0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BA02" w:themeColor="accent3"/>
          <w:left w:val="nil"/>
          <w:bottom w:val="single" w:sz="8" w:space="0" w:color="F2BA0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78D31" w:themeColor="accent4" w:themeShade="BF"/>
    </w:rPr>
    <w:tblPr>
      <w:tblBorders>
        <w:top w:val="single" w:sz="8" w:space="0" w:color="75BD42" w:themeColor="accent4"/>
        <w:bottom w:val="single" w:sz="8" w:space="0" w:color="75BD4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42" w:themeColor="accent4"/>
          <w:left w:val="nil"/>
          <w:bottom w:val="single" w:sz="8" w:space="0" w:color="75BD4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42" w:themeColor="accent4"/>
          <w:left w:val="nil"/>
          <w:bottom w:val="single" w:sz="8" w:space="0" w:color="75BD4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248F86" w:themeColor="accent5" w:themeShade="BF"/>
    </w:rPr>
    <w:tblPr>
      <w:tblBorders>
        <w:top w:val="single" w:sz="8" w:space="0" w:color="30C0B4" w:themeColor="accent5"/>
        <w:bottom w:val="single" w:sz="8" w:space="0" w:color="30C0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C0B4" w:themeColor="accent5"/>
          <w:left w:val="nil"/>
          <w:bottom w:val="single" w:sz="8" w:space="0" w:color="30C0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C0B4" w:themeColor="accent5"/>
          <w:left w:val="nil"/>
          <w:bottom w:val="single" w:sz="8" w:space="0" w:color="30C0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C71D31" w:themeColor="accent6" w:themeShade="BF"/>
    </w:rPr>
    <w:tblPr>
      <w:tblBorders>
        <w:top w:val="single" w:sz="8" w:space="0" w:color="E54C5E" w:themeColor="accent6"/>
        <w:bottom w:val="single" w:sz="8" w:space="0" w:color="E54C5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4C5E" w:themeColor="accent6"/>
          <w:left w:val="nil"/>
          <w:bottom w:val="single" w:sz="8" w:space="0" w:color="E54C5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4C5E" w:themeColor="accent6"/>
          <w:left w:val="nil"/>
          <w:bottom w:val="single" w:sz="8" w:space="0" w:color="E54C5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</w:style>
  <w:style w:type="table" w:styleId="af5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band1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band1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  <w:tblStylePr w:type="band1Horz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  <w:tblStylePr w:type="band1Horz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  <w:tblStylePr w:type="band1Horz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  <w:tblStylePr w:type="band1Horz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</w:style>
  <w:style w:type="table" w:styleId="af6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  <w:insideH w:val="single" w:sz="8" w:space="0" w:color="4874CB" w:themeColor="accent1"/>
        <w:insideV w:val="single" w:sz="8" w:space="0" w:color="4874C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18" w:space="0" w:color="4874CB" w:themeColor="accent1"/>
          <w:right w:val="single" w:sz="8" w:space="0" w:color="4874CB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</w:tcPr>
    </w:tblStylePr>
    <w:tblStylePr w:type="band1Vert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V w:val="single" w:sz="8" w:space="0" w:color="auto"/>
        </w:tcBorders>
        <w:shd w:val="clear" w:color="auto" w:fill="D1DCF2" w:themeFill="accent1" w:themeFillTint="3F"/>
      </w:tcPr>
    </w:tblStylePr>
    <w:tblStylePr w:type="band2Horz">
      <w:tblPr/>
      <w:tcPr>
        <w:tcBorders>
          <w:top w:val="single" w:sz="8" w:space="0" w:color="4874CB" w:themeColor="accent1"/>
          <w:left w:val="single" w:sz="8" w:space="0" w:color="4874CB" w:themeColor="accent1"/>
          <w:bottom w:val="single" w:sz="8" w:space="0" w:color="4874CB" w:themeColor="accent1"/>
          <w:right w:val="single" w:sz="8" w:space="0" w:color="4874CB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  <w:insideH w:val="single" w:sz="8" w:space="0" w:color="EE822F" w:themeColor="accent2"/>
        <w:insideV w:val="single" w:sz="8" w:space="0" w:color="EE822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18" w:space="0" w:color="EE822F" w:themeColor="accent2"/>
          <w:right w:val="single" w:sz="8" w:space="0" w:color="EE822F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</w:tcPr>
    </w:tblStylePr>
    <w:tblStylePr w:type="band1Vert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</w:tcBorders>
        <w:shd w:val="clear" w:color="auto" w:fill="FADFCB" w:themeFill="accent2" w:themeFillTint="3F"/>
      </w:tcPr>
    </w:tblStylePr>
    <w:tblStylePr w:type="band1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  <w:insideV w:val="single" w:sz="8" w:space="0" w:color="auto"/>
        </w:tcBorders>
        <w:shd w:val="clear" w:color="auto" w:fill="FADFCB" w:themeFill="accent2" w:themeFillTint="3F"/>
      </w:tcPr>
    </w:tblStylePr>
    <w:tblStylePr w:type="band2Horz">
      <w:tblPr/>
      <w:tcPr>
        <w:tcBorders>
          <w:top w:val="single" w:sz="8" w:space="0" w:color="EE822F" w:themeColor="accent2"/>
          <w:left w:val="single" w:sz="8" w:space="0" w:color="EE822F" w:themeColor="accent2"/>
          <w:bottom w:val="single" w:sz="8" w:space="0" w:color="EE822F" w:themeColor="accent2"/>
          <w:right w:val="single" w:sz="8" w:space="0" w:color="EE822F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  <w:insideH w:val="single" w:sz="8" w:space="0" w:color="F2BA02" w:themeColor="accent3"/>
        <w:insideV w:val="single" w:sz="8" w:space="0" w:color="F2BA0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18" w:space="0" w:color="F2BA02" w:themeColor="accent3"/>
          <w:right w:val="single" w:sz="8" w:space="0" w:color="F2BA02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</w:tcPr>
    </w:tblStylePr>
    <w:tblStylePr w:type="band1Vert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  <w:insideV w:val="single" w:sz="8" w:space="0" w:color="auto"/>
        </w:tcBorders>
        <w:shd w:val="clear" w:color="auto" w:fill="FEEFBD" w:themeFill="accent3" w:themeFillTint="3F"/>
      </w:tcPr>
    </w:tblStylePr>
    <w:tblStylePr w:type="band2Horz">
      <w:tblPr/>
      <w:tcPr>
        <w:tcBorders>
          <w:top w:val="single" w:sz="8" w:space="0" w:color="F2BA02" w:themeColor="accent3"/>
          <w:left w:val="single" w:sz="8" w:space="0" w:color="F2BA02" w:themeColor="accent3"/>
          <w:bottom w:val="single" w:sz="8" w:space="0" w:color="F2BA02" w:themeColor="accent3"/>
          <w:right w:val="single" w:sz="8" w:space="0" w:color="F2BA02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  <w:insideH w:val="single" w:sz="8" w:space="0" w:color="75BD42" w:themeColor="accent4"/>
        <w:insideV w:val="single" w:sz="8" w:space="0" w:color="75BD4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18" w:space="0" w:color="75BD42" w:themeColor="accent4"/>
          <w:right w:val="single" w:sz="8" w:space="0" w:color="75BD4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</w:tcPr>
    </w:tblStylePr>
    <w:tblStylePr w:type="band1Vert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  <w:insideV w:val="single" w:sz="8" w:space="0" w:color="auto"/>
        </w:tcBorders>
        <w:shd w:val="clear" w:color="auto" w:fill="DCEED0" w:themeFill="accent4" w:themeFillTint="3F"/>
      </w:tcPr>
    </w:tblStylePr>
    <w:tblStylePr w:type="band2Horz">
      <w:tblPr/>
      <w:tcPr>
        <w:tcBorders>
          <w:top w:val="single" w:sz="8" w:space="0" w:color="75BD42" w:themeColor="accent4"/>
          <w:left w:val="single" w:sz="8" w:space="0" w:color="75BD42" w:themeColor="accent4"/>
          <w:bottom w:val="single" w:sz="8" w:space="0" w:color="75BD42" w:themeColor="accent4"/>
          <w:right w:val="single" w:sz="8" w:space="0" w:color="75BD4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  <w:insideH w:val="single" w:sz="8" w:space="0" w:color="30C0B4" w:themeColor="accent5"/>
        <w:insideV w:val="single" w:sz="8" w:space="0" w:color="30C0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18" w:space="0" w:color="30C0B4" w:themeColor="accent5"/>
          <w:right w:val="single" w:sz="8" w:space="0" w:color="30C0B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</w:tcPr>
    </w:tblStylePr>
    <w:tblStylePr w:type="band1Vert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  <w:insideV w:val="single" w:sz="8" w:space="0" w:color="auto"/>
        </w:tcBorders>
        <w:shd w:val="clear" w:color="auto" w:fill="C9F1EE" w:themeFill="accent5" w:themeFillTint="3F"/>
      </w:tcPr>
    </w:tblStylePr>
    <w:tblStylePr w:type="band2Horz">
      <w:tblPr/>
      <w:tcPr>
        <w:tcBorders>
          <w:top w:val="single" w:sz="8" w:space="0" w:color="30C0B4" w:themeColor="accent5"/>
          <w:left w:val="single" w:sz="8" w:space="0" w:color="30C0B4" w:themeColor="accent5"/>
          <w:bottom w:val="single" w:sz="8" w:space="0" w:color="30C0B4" w:themeColor="accent5"/>
          <w:right w:val="single" w:sz="8" w:space="0" w:color="30C0B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  <w:insideH w:val="single" w:sz="8" w:space="0" w:color="E54C5E" w:themeColor="accent6"/>
        <w:insideV w:val="single" w:sz="8" w:space="0" w:color="E54C5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18" w:space="0" w:color="E54C5E" w:themeColor="accent6"/>
          <w:right w:val="single" w:sz="8" w:space="0" w:color="E54C5E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</w:tcPr>
    </w:tblStylePr>
    <w:tblStylePr w:type="band1Vert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  <w:insideV w:val="single" w:sz="8" w:space="0" w:color="auto"/>
        </w:tcBorders>
        <w:shd w:val="clear" w:color="auto" w:fill="F8D2D7" w:themeFill="accent6" w:themeFillTint="3F"/>
      </w:tcPr>
    </w:tblStylePr>
    <w:tblStylePr w:type="band2Horz">
      <w:tblPr/>
      <w:tcPr>
        <w:tcBorders>
          <w:top w:val="single" w:sz="8" w:space="0" w:color="E54C5E" w:themeColor="accent6"/>
          <w:left w:val="single" w:sz="8" w:space="0" w:color="E54C5E" w:themeColor="accent6"/>
          <w:bottom w:val="single" w:sz="8" w:space="0" w:color="E54C5E" w:themeColor="accent6"/>
          <w:right w:val="single" w:sz="8" w:space="0" w:color="E54C5E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596D8" w:themeColor="accent1" w:themeTint="BF"/>
        <w:left w:val="single" w:sz="8" w:space="0" w:color="7596D8" w:themeColor="accent1" w:themeTint="BF"/>
        <w:bottom w:val="single" w:sz="8" w:space="0" w:color="7596D8" w:themeColor="accent1" w:themeTint="BF"/>
        <w:right w:val="single" w:sz="8" w:space="0" w:color="7596D8" w:themeColor="accent1" w:themeTint="BF"/>
        <w:insideH w:val="single" w:sz="8" w:space="0" w:color="7596D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96D8" w:themeColor="accent1" w:themeTint="BF"/>
          <w:left w:val="single" w:sz="8" w:space="0" w:color="7596D8" w:themeColor="accent1" w:themeTint="BF"/>
          <w:bottom w:val="single" w:sz="8" w:space="0" w:color="7596D8" w:themeColor="accent1" w:themeTint="BF"/>
          <w:right w:val="single" w:sz="8" w:space="0" w:color="7596D8" w:themeColor="accent1" w:themeTint="BF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6D8" w:themeColor="accent1" w:themeTint="BF"/>
          <w:left w:val="single" w:sz="8" w:space="0" w:color="7596D8" w:themeColor="accent1" w:themeTint="BF"/>
          <w:bottom w:val="single" w:sz="8" w:space="0" w:color="7596D8" w:themeColor="accent1" w:themeTint="BF"/>
          <w:right w:val="single" w:sz="8" w:space="0" w:color="7596D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C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F2A063" w:themeColor="accent2" w:themeTint="BF"/>
        <w:left w:val="single" w:sz="8" w:space="0" w:color="F2A063" w:themeColor="accent2" w:themeTint="BF"/>
        <w:bottom w:val="single" w:sz="8" w:space="0" w:color="F2A063" w:themeColor="accent2" w:themeTint="BF"/>
        <w:right w:val="single" w:sz="8" w:space="0" w:color="F2A063" w:themeColor="accent2" w:themeTint="BF"/>
        <w:insideH w:val="single" w:sz="8" w:space="0" w:color="F2A06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A063" w:themeColor="accent2" w:themeTint="BF"/>
          <w:left w:val="single" w:sz="8" w:space="0" w:color="F2A063" w:themeColor="accent2" w:themeTint="BF"/>
          <w:bottom w:val="single" w:sz="8" w:space="0" w:color="F2A063" w:themeColor="accent2" w:themeTint="BF"/>
          <w:right w:val="single" w:sz="8" w:space="0" w:color="F2A063" w:themeColor="accent2" w:themeTint="BF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A063" w:themeColor="accent2" w:themeTint="BF"/>
          <w:left w:val="single" w:sz="8" w:space="0" w:color="F2A063" w:themeColor="accent2" w:themeTint="BF"/>
          <w:bottom w:val="single" w:sz="8" w:space="0" w:color="F2A063" w:themeColor="accent2" w:themeTint="BF"/>
          <w:right w:val="single" w:sz="8" w:space="0" w:color="F2A06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F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F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FDCF39" w:themeColor="accent3" w:themeTint="BF"/>
        <w:left w:val="single" w:sz="8" w:space="0" w:color="FDCF39" w:themeColor="accent3" w:themeTint="BF"/>
        <w:bottom w:val="single" w:sz="8" w:space="0" w:color="FDCF39" w:themeColor="accent3" w:themeTint="BF"/>
        <w:right w:val="single" w:sz="8" w:space="0" w:color="FDCF39" w:themeColor="accent3" w:themeTint="BF"/>
        <w:insideH w:val="single" w:sz="8" w:space="0" w:color="FDCF3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CF39" w:themeColor="accent3" w:themeTint="BF"/>
          <w:left w:val="single" w:sz="8" w:space="0" w:color="FDCF39" w:themeColor="accent3" w:themeTint="BF"/>
          <w:bottom w:val="single" w:sz="8" w:space="0" w:color="FDCF39" w:themeColor="accent3" w:themeTint="BF"/>
          <w:right w:val="single" w:sz="8" w:space="0" w:color="FDCF39" w:themeColor="accent3" w:themeTint="BF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CF39" w:themeColor="accent3" w:themeTint="BF"/>
          <w:left w:val="single" w:sz="8" w:space="0" w:color="FDCF39" w:themeColor="accent3" w:themeTint="BF"/>
          <w:bottom w:val="single" w:sz="8" w:space="0" w:color="FDCF39" w:themeColor="accent3" w:themeTint="BF"/>
          <w:right w:val="single" w:sz="8" w:space="0" w:color="FDCF3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F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7CD71" w:themeColor="accent4" w:themeTint="BF"/>
        <w:left w:val="single" w:sz="8" w:space="0" w:color="97CD71" w:themeColor="accent4" w:themeTint="BF"/>
        <w:bottom w:val="single" w:sz="8" w:space="0" w:color="97CD71" w:themeColor="accent4" w:themeTint="BF"/>
        <w:right w:val="single" w:sz="8" w:space="0" w:color="97CD71" w:themeColor="accent4" w:themeTint="BF"/>
        <w:insideH w:val="single" w:sz="8" w:space="0" w:color="97CD7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71" w:themeColor="accent4" w:themeTint="BF"/>
          <w:left w:val="single" w:sz="8" w:space="0" w:color="97CD71" w:themeColor="accent4" w:themeTint="BF"/>
          <w:bottom w:val="single" w:sz="8" w:space="0" w:color="97CD71" w:themeColor="accent4" w:themeTint="BF"/>
          <w:right w:val="single" w:sz="8" w:space="0" w:color="97CD71" w:themeColor="accent4" w:themeTint="BF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71" w:themeColor="accent4" w:themeTint="BF"/>
          <w:left w:val="single" w:sz="8" w:space="0" w:color="97CD71" w:themeColor="accent4" w:themeTint="BF"/>
          <w:bottom w:val="single" w:sz="8" w:space="0" w:color="97CD71" w:themeColor="accent4" w:themeTint="BF"/>
          <w:right w:val="single" w:sz="8" w:space="0" w:color="97CD7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5DD6CC" w:themeColor="accent5" w:themeTint="BF"/>
        <w:left w:val="single" w:sz="8" w:space="0" w:color="5DD6CC" w:themeColor="accent5" w:themeTint="BF"/>
        <w:bottom w:val="single" w:sz="8" w:space="0" w:color="5DD6CC" w:themeColor="accent5" w:themeTint="BF"/>
        <w:right w:val="single" w:sz="8" w:space="0" w:color="5DD6CC" w:themeColor="accent5" w:themeTint="BF"/>
        <w:insideH w:val="single" w:sz="8" w:space="0" w:color="5DD6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D6CC" w:themeColor="accent5" w:themeTint="BF"/>
          <w:left w:val="single" w:sz="8" w:space="0" w:color="5DD6CC" w:themeColor="accent5" w:themeTint="BF"/>
          <w:bottom w:val="single" w:sz="8" w:space="0" w:color="5DD6CC" w:themeColor="accent5" w:themeTint="BF"/>
          <w:right w:val="single" w:sz="8" w:space="0" w:color="5DD6CC" w:themeColor="accent5" w:themeTint="BF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D6CC" w:themeColor="accent5" w:themeTint="BF"/>
          <w:left w:val="single" w:sz="8" w:space="0" w:color="5DD6CC" w:themeColor="accent5" w:themeTint="BF"/>
          <w:bottom w:val="single" w:sz="8" w:space="0" w:color="5DD6CC" w:themeColor="accent5" w:themeTint="BF"/>
          <w:right w:val="single" w:sz="8" w:space="0" w:color="5DD6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1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EB7886" w:themeColor="accent6" w:themeTint="BF"/>
        <w:left w:val="single" w:sz="8" w:space="0" w:color="EB7886" w:themeColor="accent6" w:themeTint="BF"/>
        <w:bottom w:val="single" w:sz="8" w:space="0" w:color="EB7886" w:themeColor="accent6" w:themeTint="BF"/>
        <w:right w:val="single" w:sz="8" w:space="0" w:color="EB7886" w:themeColor="accent6" w:themeTint="BF"/>
        <w:insideH w:val="single" w:sz="8" w:space="0" w:color="EB788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7886" w:themeColor="accent6" w:themeTint="BF"/>
          <w:left w:val="single" w:sz="8" w:space="0" w:color="EB7886" w:themeColor="accent6" w:themeTint="BF"/>
          <w:bottom w:val="single" w:sz="8" w:space="0" w:color="EB7886" w:themeColor="accent6" w:themeTint="BF"/>
          <w:right w:val="single" w:sz="8" w:space="0" w:color="EB7886" w:themeColor="accent6" w:themeTint="BF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7886" w:themeColor="accent6" w:themeTint="BF"/>
          <w:left w:val="single" w:sz="8" w:space="0" w:color="EB7886" w:themeColor="accent6" w:themeTint="BF"/>
          <w:bottom w:val="single" w:sz="8" w:space="0" w:color="EB7886" w:themeColor="accent6" w:themeTint="BF"/>
          <w:right w:val="single" w:sz="8" w:space="0" w:color="EB788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2D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6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874CB" w:themeColor="accent1"/>
        <w:bottom w:val="single" w:sz="8" w:space="0" w:color="4874C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74CB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874CB" w:themeColor="accent1"/>
          <w:bottom w:val="single" w:sz="8" w:space="0" w:color="4874C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74CB" w:themeColor="accent1"/>
          <w:bottom w:val="single" w:sz="8" w:space="0" w:color="4874CB" w:themeColor="accent1"/>
        </w:tcBorders>
      </w:tcPr>
    </w:tblStylePr>
    <w:tblStylePr w:type="band1Vert">
      <w:tblPr/>
      <w:tcPr>
        <w:shd w:val="clear" w:color="auto" w:fill="D1DCF2" w:themeFill="accent1" w:themeFillTint="3F"/>
      </w:tcPr>
    </w:tblStylePr>
    <w:tblStylePr w:type="band1Horz">
      <w:tblPr/>
      <w:tcPr>
        <w:shd w:val="clear" w:color="auto" w:fill="D1DCF2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EE822F" w:themeColor="accent2"/>
        <w:bottom w:val="single" w:sz="8" w:space="0" w:color="EE822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822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E822F" w:themeColor="accent2"/>
          <w:bottom w:val="single" w:sz="8" w:space="0" w:color="EE82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822F" w:themeColor="accent2"/>
          <w:bottom w:val="single" w:sz="8" w:space="0" w:color="EE822F" w:themeColor="accent2"/>
        </w:tcBorders>
      </w:tcPr>
    </w:tblStylePr>
    <w:tblStylePr w:type="band1Vert">
      <w:tblPr/>
      <w:tcPr>
        <w:shd w:val="clear" w:color="auto" w:fill="FADFCB" w:themeFill="accent2" w:themeFillTint="3F"/>
      </w:tcPr>
    </w:tblStylePr>
    <w:tblStylePr w:type="band1Horz">
      <w:tblPr/>
      <w:tcPr>
        <w:shd w:val="clear" w:color="auto" w:fill="FADFCB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F2BA02" w:themeColor="accent3"/>
        <w:bottom w:val="single" w:sz="8" w:space="0" w:color="F2BA0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BA0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2BA02" w:themeColor="accent3"/>
          <w:bottom w:val="single" w:sz="8" w:space="0" w:color="F2BA0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BA02" w:themeColor="accent3"/>
          <w:bottom w:val="single" w:sz="8" w:space="0" w:color="F2BA02" w:themeColor="accent3"/>
        </w:tcBorders>
      </w:tcPr>
    </w:tblStylePr>
    <w:tblStylePr w:type="band1Vert">
      <w:tblPr/>
      <w:tcPr>
        <w:shd w:val="clear" w:color="auto" w:fill="FEEFBD" w:themeFill="accent3" w:themeFillTint="3F"/>
      </w:tcPr>
    </w:tblStylePr>
    <w:tblStylePr w:type="band1Horz">
      <w:tblPr/>
      <w:tcPr>
        <w:shd w:val="clear" w:color="auto" w:fill="FEEFBD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75BD42" w:themeColor="accent4"/>
        <w:bottom w:val="single" w:sz="8" w:space="0" w:color="75BD4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42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5BD42" w:themeColor="accent4"/>
          <w:bottom w:val="single" w:sz="8" w:space="0" w:color="75BD4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42" w:themeColor="accent4"/>
          <w:bottom w:val="single" w:sz="8" w:space="0" w:color="75BD42" w:themeColor="accent4"/>
        </w:tcBorders>
      </w:tcPr>
    </w:tblStylePr>
    <w:tblStylePr w:type="band1Vert">
      <w:tblPr/>
      <w:tcPr>
        <w:shd w:val="clear" w:color="auto" w:fill="DCEED0" w:themeFill="accent4" w:themeFillTint="3F"/>
      </w:tcPr>
    </w:tblStylePr>
    <w:tblStylePr w:type="band1Horz">
      <w:tblPr/>
      <w:tcPr>
        <w:shd w:val="clear" w:color="auto" w:fill="DCEED0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30C0B4" w:themeColor="accent5"/>
        <w:bottom w:val="single" w:sz="8" w:space="0" w:color="30C0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0C0B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0C0B4" w:themeColor="accent5"/>
          <w:bottom w:val="single" w:sz="8" w:space="0" w:color="30C0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0C0B4" w:themeColor="accent5"/>
          <w:bottom w:val="single" w:sz="8" w:space="0" w:color="30C0B4" w:themeColor="accent5"/>
        </w:tcBorders>
      </w:tcPr>
    </w:tblStylePr>
    <w:tblStylePr w:type="band1Vert">
      <w:tblPr/>
      <w:tcPr>
        <w:shd w:val="clear" w:color="auto" w:fill="C9F1EE" w:themeFill="accent5" w:themeFillTint="3F"/>
      </w:tcPr>
    </w:tblStylePr>
    <w:tblStylePr w:type="band1Horz">
      <w:tblPr/>
      <w:tcPr>
        <w:shd w:val="clear" w:color="auto" w:fill="C9F1EE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E54C5E" w:themeColor="accent6"/>
        <w:bottom w:val="single" w:sz="8" w:space="0" w:color="E54C5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4C5E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54C5E" w:themeColor="accent6"/>
          <w:bottom w:val="single" w:sz="8" w:space="0" w:color="E54C5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4C5E" w:themeColor="accent6"/>
          <w:bottom w:val="single" w:sz="8" w:space="0" w:color="E54C5E" w:themeColor="accent6"/>
        </w:tcBorders>
      </w:tcPr>
    </w:tblStylePr>
    <w:tblStylePr w:type="band1Vert">
      <w:tblPr/>
      <w:tcPr>
        <w:shd w:val="clear" w:color="auto" w:fill="F8D2D7" w:themeFill="accent6" w:themeFillTint="3F"/>
      </w:tcPr>
    </w:tblStylePr>
    <w:tblStylePr w:type="band1Horz">
      <w:tblPr/>
      <w:tcPr>
        <w:shd w:val="clear" w:color="auto" w:fill="F8D2D7" w:themeFill="accent6" w:themeFillTint="3F"/>
      </w:tcPr>
    </w:tblStylePr>
  </w:style>
  <w:style w:type="table" w:styleId="27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74C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74C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74C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74C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C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822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822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822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F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BA0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BA0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BA0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BA0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F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5BD4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4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4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0C0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0C0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0C0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0C0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1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4C5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54C5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4C5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4C5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2D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596D8" w:themeColor="accent1" w:themeTint="BF"/>
        <w:left w:val="single" w:sz="8" w:space="0" w:color="7596D8" w:themeColor="accent1" w:themeTint="BF"/>
        <w:bottom w:val="single" w:sz="8" w:space="0" w:color="7596D8" w:themeColor="accent1" w:themeTint="BF"/>
        <w:right w:val="single" w:sz="8" w:space="0" w:color="7596D8" w:themeColor="accent1" w:themeTint="BF"/>
        <w:insideH w:val="single" w:sz="8" w:space="0" w:color="7596D8" w:themeColor="accent1" w:themeTint="BF"/>
        <w:insideV w:val="single" w:sz="8" w:space="0" w:color="7596D8" w:themeColor="accent1" w:themeTint="BF"/>
      </w:tblBorders>
    </w:tblPr>
    <w:tcPr>
      <w:shd w:val="clear" w:color="auto" w:fill="D1DC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6D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F2A063" w:themeColor="accent2" w:themeTint="BF"/>
        <w:left w:val="single" w:sz="8" w:space="0" w:color="F2A063" w:themeColor="accent2" w:themeTint="BF"/>
        <w:bottom w:val="single" w:sz="8" w:space="0" w:color="F2A063" w:themeColor="accent2" w:themeTint="BF"/>
        <w:right w:val="single" w:sz="8" w:space="0" w:color="F2A063" w:themeColor="accent2" w:themeTint="BF"/>
        <w:insideH w:val="single" w:sz="8" w:space="0" w:color="F2A063" w:themeColor="accent2" w:themeTint="BF"/>
        <w:insideV w:val="single" w:sz="8" w:space="0" w:color="F2A063" w:themeColor="accent2" w:themeTint="BF"/>
      </w:tblBorders>
    </w:tblPr>
    <w:tcPr>
      <w:shd w:val="clear" w:color="auto" w:fill="FADF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A06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FDCF39" w:themeColor="accent3" w:themeTint="BF"/>
        <w:left w:val="single" w:sz="8" w:space="0" w:color="FDCF39" w:themeColor="accent3" w:themeTint="BF"/>
        <w:bottom w:val="single" w:sz="8" w:space="0" w:color="FDCF39" w:themeColor="accent3" w:themeTint="BF"/>
        <w:right w:val="single" w:sz="8" w:space="0" w:color="FDCF39" w:themeColor="accent3" w:themeTint="BF"/>
        <w:insideH w:val="single" w:sz="8" w:space="0" w:color="FDCF39" w:themeColor="accent3" w:themeTint="BF"/>
        <w:insideV w:val="single" w:sz="8" w:space="0" w:color="FDCF39" w:themeColor="accent3" w:themeTint="BF"/>
      </w:tblBorders>
    </w:tblPr>
    <w:tcPr>
      <w:shd w:val="clear" w:color="auto" w:fill="FEEF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CF3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7B" w:themeFill="accent3" w:themeFillTint="7F"/>
      </w:tcPr>
    </w:tblStylePr>
    <w:tblStylePr w:type="band1Horz">
      <w:tblPr/>
      <w:tcPr>
        <w:shd w:val="clear" w:color="auto" w:fill="FEDF7B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7CD71" w:themeColor="accent4" w:themeTint="BF"/>
        <w:left w:val="single" w:sz="8" w:space="0" w:color="97CD71" w:themeColor="accent4" w:themeTint="BF"/>
        <w:bottom w:val="single" w:sz="8" w:space="0" w:color="97CD71" w:themeColor="accent4" w:themeTint="BF"/>
        <w:right w:val="single" w:sz="8" w:space="0" w:color="97CD71" w:themeColor="accent4" w:themeTint="BF"/>
        <w:insideH w:val="single" w:sz="8" w:space="0" w:color="97CD71" w:themeColor="accent4" w:themeTint="BF"/>
        <w:insideV w:val="single" w:sz="8" w:space="0" w:color="97CD71" w:themeColor="accent4" w:themeTint="BF"/>
      </w:tblBorders>
    </w:tblPr>
    <w:tcPr>
      <w:shd w:val="clear" w:color="auto" w:fill="DCEE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7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5DD6CC" w:themeColor="accent5" w:themeTint="BF"/>
        <w:left w:val="single" w:sz="8" w:space="0" w:color="5DD6CC" w:themeColor="accent5" w:themeTint="BF"/>
        <w:bottom w:val="single" w:sz="8" w:space="0" w:color="5DD6CC" w:themeColor="accent5" w:themeTint="BF"/>
        <w:right w:val="single" w:sz="8" w:space="0" w:color="5DD6CC" w:themeColor="accent5" w:themeTint="BF"/>
        <w:insideH w:val="single" w:sz="8" w:space="0" w:color="5DD6CC" w:themeColor="accent5" w:themeTint="BF"/>
        <w:insideV w:val="single" w:sz="8" w:space="0" w:color="5DD6CC" w:themeColor="accent5" w:themeTint="BF"/>
      </w:tblBorders>
    </w:tblPr>
    <w:tcPr>
      <w:shd w:val="clear" w:color="auto" w:fill="C9F1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D6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EB7886" w:themeColor="accent6" w:themeTint="BF"/>
        <w:left w:val="single" w:sz="8" w:space="0" w:color="EB7886" w:themeColor="accent6" w:themeTint="BF"/>
        <w:bottom w:val="single" w:sz="8" w:space="0" w:color="EB7886" w:themeColor="accent6" w:themeTint="BF"/>
        <w:right w:val="single" w:sz="8" w:space="0" w:color="EB7886" w:themeColor="accent6" w:themeTint="BF"/>
        <w:insideH w:val="single" w:sz="8" w:space="0" w:color="EB7886" w:themeColor="accent6" w:themeTint="BF"/>
        <w:insideV w:val="single" w:sz="8" w:space="0" w:color="EB7886" w:themeColor="accent6" w:themeTint="BF"/>
      </w:tblBorders>
    </w:tblPr>
    <w:tcPr>
      <w:shd w:val="clear" w:color="auto" w:fill="F8D2D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788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table" w:styleId="28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874CB" w:themeColor="accent1"/>
        <w:left w:val="single" w:sz="8" w:space="0" w:color="4874CB" w:themeColor="accent1"/>
        <w:bottom w:val="single" w:sz="8" w:space="0" w:color="4874CB" w:themeColor="accent1"/>
        <w:right w:val="single" w:sz="8" w:space="0" w:color="4874CB" w:themeColor="accent1"/>
        <w:insideH w:val="single" w:sz="8" w:space="0" w:color="4874CB" w:themeColor="accent1"/>
        <w:insideV w:val="single" w:sz="8" w:space="0" w:color="4874CB" w:themeColor="accent1"/>
      </w:tblBorders>
    </w:tblPr>
    <w:tcPr>
      <w:shd w:val="clear" w:color="auto" w:fill="D1DC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3F4" w:themeFill="accent1" w:themeFillTint="33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3B9E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E822F" w:themeColor="accent2"/>
        <w:left w:val="single" w:sz="8" w:space="0" w:color="EE822F" w:themeColor="accent2"/>
        <w:bottom w:val="single" w:sz="8" w:space="0" w:color="EE822F" w:themeColor="accent2"/>
        <w:right w:val="single" w:sz="8" w:space="0" w:color="EE822F" w:themeColor="accent2"/>
        <w:insideH w:val="single" w:sz="8" w:space="0" w:color="EE822F" w:themeColor="accent2"/>
        <w:insideV w:val="single" w:sz="8" w:space="0" w:color="EE822F" w:themeColor="accent2"/>
      </w:tblBorders>
    </w:tblPr>
    <w:tcPr>
      <w:shd w:val="clear" w:color="auto" w:fill="FADF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5D5" w:themeFill="accent2" w:themeFillTint="33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C0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2BA02" w:themeColor="accent3"/>
        <w:left w:val="single" w:sz="8" w:space="0" w:color="F2BA02" w:themeColor="accent3"/>
        <w:bottom w:val="single" w:sz="8" w:space="0" w:color="F2BA02" w:themeColor="accent3"/>
        <w:right w:val="single" w:sz="8" w:space="0" w:color="F2BA02" w:themeColor="accent3"/>
        <w:insideH w:val="single" w:sz="8" w:space="0" w:color="F2BA02" w:themeColor="accent3"/>
        <w:insideV w:val="single" w:sz="8" w:space="0" w:color="F2BA02" w:themeColor="accent3"/>
      </w:tblBorders>
    </w:tblPr>
    <w:tcPr>
      <w:shd w:val="clear" w:color="auto" w:fill="FEEFB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A" w:themeFill="accent3" w:themeFillTint="33"/>
      </w:tcPr>
    </w:tblStylePr>
    <w:tblStylePr w:type="band1Vert">
      <w:tblPr/>
      <w:tcPr>
        <w:shd w:val="clear" w:color="auto" w:fill="FEDF7B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EDF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5BD42" w:themeColor="accent4"/>
        <w:left w:val="single" w:sz="8" w:space="0" w:color="75BD42" w:themeColor="accent4"/>
        <w:bottom w:val="single" w:sz="8" w:space="0" w:color="75BD42" w:themeColor="accent4"/>
        <w:right w:val="single" w:sz="8" w:space="0" w:color="75BD42" w:themeColor="accent4"/>
        <w:insideH w:val="single" w:sz="8" w:space="0" w:color="75BD42" w:themeColor="accent4"/>
        <w:insideV w:val="single" w:sz="8" w:space="0" w:color="75BD42" w:themeColor="accent4"/>
      </w:tblBorders>
    </w:tblPr>
    <w:tcPr>
      <w:shd w:val="clear" w:color="auto" w:fill="DCEED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D9" w:themeFill="accent4" w:themeFillTint="33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ADE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30C0B4" w:themeColor="accent5"/>
        <w:left w:val="single" w:sz="8" w:space="0" w:color="30C0B4" w:themeColor="accent5"/>
        <w:bottom w:val="single" w:sz="8" w:space="0" w:color="30C0B4" w:themeColor="accent5"/>
        <w:right w:val="single" w:sz="8" w:space="0" w:color="30C0B4" w:themeColor="accent5"/>
        <w:insideH w:val="single" w:sz="8" w:space="0" w:color="30C0B4" w:themeColor="accent5"/>
        <w:insideV w:val="single" w:sz="8" w:space="0" w:color="30C0B4" w:themeColor="accent5"/>
      </w:tblBorders>
    </w:tblPr>
    <w:tcPr>
      <w:shd w:val="clear" w:color="auto" w:fill="C9F1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4F1" w:themeFill="accent5" w:themeFillTint="33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93E4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54C5E" w:themeColor="accent6"/>
        <w:left w:val="single" w:sz="8" w:space="0" w:color="E54C5E" w:themeColor="accent6"/>
        <w:bottom w:val="single" w:sz="8" w:space="0" w:color="E54C5E" w:themeColor="accent6"/>
        <w:right w:val="single" w:sz="8" w:space="0" w:color="E54C5E" w:themeColor="accent6"/>
        <w:insideH w:val="single" w:sz="8" w:space="0" w:color="E54C5E" w:themeColor="accent6"/>
        <w:insideV w:val="single" w:sz="8" w:space="0" w:color="E54C5E" w:themeColor="accent6"/>
      </w:tblBorders>
    </w:tblPr>
    <w:tcPr>
      <w:shd w:val="clear" w:color="auto" w:fill="F8D2D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DE" w:themeFill="accent6" w:themeFillTint="33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2A5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C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874C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874C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74C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74C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9E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3B9E5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F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E822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E822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822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822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09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C097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FB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2BA0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2BA0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BA0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BA0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F7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EDF7B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D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5BD4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5BD4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4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4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ADEA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1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30C0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30C0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0C0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0C0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4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93E4DD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2D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54C5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54C5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4C5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4C5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A5A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2A5AE" w:themeFill="accent6" w:themeFillTint="7F"/>
      </w:tcPr>
    </w:tblStylePr>
  </w:style>
  <w:style w:type="table" w:styleId="af7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874C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76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3A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3A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3A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3A0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EE822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E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5E1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E10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F2BA0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5C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8A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8A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A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A01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75BD4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E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D3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D31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30C0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5F5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48F8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48F8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8F8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8F86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E54C5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132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1D3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1D3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D3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1D31" w:themeFill="accent6" w:themeFillShade="BF"/>
      </w:tcPr>
    </w:tblStylePr>
  </w:style>
  <w:style w:type="table" w:styleId="af8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EE822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EE822F" w:themeColor="accent2"/>
        <w:left w:val="single" w:sz="4" w:space="0" w:color="4874CB" w:themeColor="accent1"/>
        <w:bottom w:val="single" w:sz="4" w:space="0" w:color="4874CB" w:themeColor="accent1"/>
        <w:right w:val="single" w:sz="4" w:space="0" w:color="4874C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38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4438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380" w:themeFill="accent1" w:themeFillShade="99"/>
      </w:tcPr>
    </w:tblStylePr>
    <w:tblStylePr w:type="band1Vert">
      <w:tblPr/>
      <w:tcPr>
        <w:shd w:val="clear" w:color="auto" w:fill="B5C7EA" w:themeFill="accent1" w:themeFillTint="66"/>
      </w:tcPr>
    </w:tblStylePr>
    <w:tblStylePr w:type="band1Horz">
      <w:tblPr/>
      <w:tcPr>
        <w:shd w:val="clear" w:color="auto" w:fill="A3B9E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EE822F" w:themeColor="accent2"/>
        <w:left w:val="single" w:sz="4" w:space="0" w:color="EE822F" w:themeColor="accent2"/>
        <w:bottom w:val="single" w:sz="4" w:space="0" w:color="EE822F" w:themeColor="accent2"/>
        <w:right w:val="single" w:sz="4" w:space="0" w:color="EE822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822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E4B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E4B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4B0D" w:themeFill="accent2" w:themeFillShade="99"/>
      </w:tcPr>
    </w:tblStylePr>
    <w:tblStylePr w:type="band1Vert">
      <w:tblPr/>
      <w:tcPr>
        <w:shd w:val="clear" w:color="auto" w:fill="F8CCAB" w:themeFill="accent2" w:themeFillTint="66"/>
      </w:tcPr>
    </w:tblStylePr>
    <w:tblStylePr w:type="band1Horz">
      <w:tblPr/>
      <w:tcPr>
        <w:shd w:val="clear" w:color="auto" w:fill="F6C09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75BD42" w:themeColor="accent4"/>
        <w:left w:val="single" w:sz="4" w:space="0" w:color="F2BA02" w:themeColor="accent3"/>
        <w:bottom w:val="single" w:sz="4" w:space="0" w:color="F2BA02" w:themeColor="accent3"/>
        <w:right w:val="single" w:sz="4" w:space="0" w:color="F2BA0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4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6F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16F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F01" w:themeFill="accent3" w:themeFillShade="99"/>
      </w:tcPr>
    </w:tblStylePr>
    <w:tblStylePr w:type="band1Vert">
      <w:tblPr/>
      <w:tcPr>
        <w:shd w:val="clear" w:color="auto" w:fill="FEE595" w:themeFill="accent3" w:themeFillTint="66"/>
      </w:tcPr>
    </w:tblStylePr>
    <w:tblStylePr w:type="band1Horz">
      <w:tblPr/>
      <w:tcPr>
        <w:shd w:val="clear" w:color="auto" w:fill="FEDF7B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F2BA02" w:themeColor="accent3"/>
        <w:left w:val="single" w:sz="4" w:space="0" w:color="75BD42" w:themeColor="accent4"/>
        <w:bottom w:val="single" w:sz="4" w:space="0" w:color="75BD42" w:themeColor="accent4"/>
        <w:right w:val="single" w:sz="4" w:space="0" w:color="75BD4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BA0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712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6712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27" w:themeFill="accent4" w:themeFillShade="99"/>
      </w:tcPr>
    </w:tblStylePr>
    <w:tblStylePr w:type="band1Vert">
      <w:tblPr/>
      <w:tcPr>
        <w:shd w:val="clear" w:color="auto" w:fill="C7E4B3" w:themeFill="accent4" w:themeFillTint="66"/>
      </w:tcPr>
    </w:tblStylePr>
    <w:tblStylePr w:type="band1Horz">
      <w:tblPr/>
      <w:tcPr>
        <w:shd w:val="clear" w:color="auto" w:fill="BADE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E54C5E" w:themeColor="accent6"/>
        <w:left w:val="single" w:sz="4" w:space="0" w:color="30C0B4" w:themeColor="accent5"/>
        <w:bottom w:val="single" w:sz="4" w:space="0" w:color="30C0B4" w:themeColor="accent5"/>
        <w:right w:val="single" w:sz="4" w:space="0" w:color="30C0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4C5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736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1C736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36B" w:themeFill="accent5" w:themeFillShade="99"/>
      </w:tcPr>
    </w:tblStylePr>
    <w:tblStylePr w:type="band1Vert">
      <w:tblPr/>
      <w:tcPr>
        <w:shd w:val="clear" w:color="auto" w:fill="A8E9E3" w:themeFill="accent5" w:themeFillTint="66"/>
      </w:tcPr>
    </w:tblStylePr>
    <w:tblStylePr w:type="band1Horz">
      <w:tblPr/>
      <w:tcPr>
        <w:shd w:val="clear" w:color="auto" w:fill="93E4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30C0B4" w:themeColor="accent5"/>
        <w:left w:val="single" w:sz="4" w:space="0" w:color="E54C5E" w:themeColor="accent6"/>
        <w:bottom w:val="single" w:sz="4" w:space="0" w:color="E54C5E" w:themeColor="accent6"/>
        <w:right w:val="single" w:sz="4" w:space="0" w:color="E54C5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0C0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172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F172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1727" w:themeFill="accent6" w:themeFillShade="99"/>
      </w:tcPr>
    </w:tblStylePr>
    <w:tblStylePr w:type="band1Vert">
      <w:tblPr/>
      <w:tcPr>
        <w:shd w:val="clear" w:color="auto" w:fill="F4B7BE" w:themeFill="accent6" w:themeFillTint="66"/>
      </w:tcPr>
    </w:tblStylePr>
    <w:tblStylePr w:type="band1Horz">
      <w:tblPr/>
      <w:tcPr>
        <w:shd w:val="clear" w:color="auto" w:fill="F2A5A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9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6411" w:themeFill="accent2" w:themeFillShade="CC"/>
      </w:tcPr>
    </w:tblStylePr>
    <w:tblStylePr w:type="lastRow">
      <w:rPr>
        <w:b/>
        <w:bCs/>
        <w:color w:val="D264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6411" w:themeFill="accent2" w:themeFillShade="CC"/>
      </w:tcPr>
    </w:tblStylePr>
    <w:tblStylePr w:type="lastRow">
      <w:rPr>
        <w:b/>
        <w:bCs/>
        <w:color w:val="D264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CF2" w:themeFill="accent1" w:themeFillTint="3F"/>
      </w:tcPr>
    </w:tblStylePr>
    <w:tblStylePr w:type="band1Horz">
      <w:tblPr/>
      <w:tcPr>
        <w:shd w:val="clear" w:color="auto" w:fill="DAE3F4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6411" w:themeFill="accent2" w:themeFillShade="CC"/>
      </w:tcPr>
    </w:tblStylePr>
    <w:tblStylePr w:type="lastRow">
      <w:rPr>
        <w:b/>
        <w:bCs/>
        <w:color w:val="D264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FCB" w:themeFill="accent2" w:themeFillTint="3F"/>
      </w:tcPr>
    </w:tblStylePr>
    <w:tblStylePr w:type="band1Horz">
      <w:tblPr/>
      <w:tcPr>
        <w:shd w:val="clear" w:color="auto" w:fill="FBE5D5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EF8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734" w:themeFill="accent4" w:themeFillShade="CC"/>
      </w:tcPr>
    </w:tblStylePr>
    <w:tblStylePr w:type="lastRow">
      <w:rPr>
        <w:b/>
        <w:bCs/>
        <w:color w:val="5D973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BD" w:themeFill="accent3" w:themeFillTint="3F"/>
      </w:tcPr>
    </w:tblStylePr>
    <w:tblStylePr w:type="band1Horz">
      <w:tblPr/>
      <w:tcPr>
        <w:shd w:val="clear" w:color="auto" w:fill="FEF2CA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1F8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9401" w:themeFill="accent3" w:themeFillShade="CC"/>
      </w:tcPr>
    </w:tblStylePr>
    <w:tblStylePr w:type="lastRow">
      <w:rPr>
        <w:b/>
        <w:bCs/>
        <w:color w:val="C194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D0" w:themeFill="accent4" w:themeFillTint="3F"/>
      </w:tcPr>
    </w:tblStylePr>
    <w:tblStylePr w:type="band1Horz">
      <w:tblPr/>
      <w:tcPr>
        <w:shd w:val="clear" w:color="auto" w:fill="E3F1D9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9F9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41F34" w:themeFill="accent6" w:themeFillShade="CC"/>
      </w:tcPr>
    </w:tblStylePr>
    <w:tblStylePr w:type="lastRow">
      <w:rPr>
        <w:b/>
        <w:bCs/>
        <w:color w:val="D41F3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1EE" w:themeFill="accent5" w:themeFillTint="3F"/>
      </w:tcPr>
    </w:tblStylePr>
    <w:tblStylePr w:type="band1Horz">
      <w:tblPr/>
      <w:tcPr>
        <w:shd w:val="clear" w:color="auto" w:fill="D3F4F1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CED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6998F" w:themeFill="accent5" w:themeFillShade="CC"/>
      </w:tcPr>
    </w:tblStylePr>
    <w:tblStylePr w:type="lastRow">
      <w:rPr>
        <w:b/>
        <w:bCs/>
        <w:color w:val="26998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2D7" w:themeFill="accent6" w:themeFillTint="3F"/>
      </w:tcPr>
    </w:tblStylePr>
    <w:tblStylePr w:type="band1Horz">
      <w:tblPr/>
      <w:tcPr>
        <w:shd w:val="clear" w:color="auto" w:fill="F9DBDE" w:themeFill="accent6" w:themeFillTint="33"/>
      </w:tcPr>
    </w:tblStylePr>
  </w:style>
  <w:style w:type="table" w:styleId="afa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3F4" w:themeFill="accent1" w:themeFillTint="33"/>
    </w:tcPr>
    <w:tblStylePr w:type="firstRow">
      <w:rPr>
        <w:b/>
        <w:bCs/>
      </w:rPr>
      <w:tblPr/>
      <w:tcPr>
        <w:shd w:val="clear" w:color="auto" w:fill="B5C7E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7E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D53A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D53A0" w:themeFill="accent1" w:themeFillShade="BF"/>
      </w:tcPr>
    </w:tblStylePr>
    <w:tblStylePr w:type="band1Vert">
      <w:tblPr/>
      <w:tcPr>
        <w:shd w:val="clear" w:color="auto" w:fill="A3B9E5" w:themeFill="accent1" w:themeFillTint="7F"/>
      </w:tcPr>
    </w:tblStylePr>
    <w:tblStylePr w:type="band1Horz">
      <w:tblPr/>
      <w:tcPr>
        <w:shd w:val="clear" w:color="auto" w:fill="A3B9E5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5D5" w:themeFill="accent2" w:themeFillTint="33"/>
    </w:tcPr>
    <w:tblStylePr w:type="firstRow">
      <w:rPr>
        <w:b/>
        <w:bCs/>
      </w:rPr>
      <w:tblPr/>
      <w:tcPr>
        <w:shd w:val="clear" w:color="auto" w:fill="F8CCA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CA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55E1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55E10" w:themeFill="accent2" w:themeFillShade="BF"/>
      </w:tcPr>
    </w:tblStylePr>
    <w:tblStylePr w:type="band1Vert">
      <w:tblPr/>
      <w:tcPr>
        <w:shd w:val="clear" w:color="auto" w:fill="F6C097" w:themeFill="accent2" w:themeFillTint="7F"/>
      </w:tcPr>
    </w:tblStylePr>
    <w:tblStylePr w:type="band1Horz">
      <w:tblPr/>
      <w:tcPr>
        <w:shd w:val="clear" w:color="auto" w:fill="F6C097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EF2CA" w:themeFill="accent3" w:themeFillTint="33"/>
    </w:tcPr>
    <w:tblStylePr w:type="firstRow">
      <w:rPr>
        <w:b/>
        <w:bCs/>
      </w:rPr>
      <w:tblPr/>
      <w:tcPr>
        <w:shd w:val="clear" w:color="auto" w:fill="FEE59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59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58A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58A01" w:themeFill="accent3" w:themeFillShade="BF"/>
      </w:tcPr>
    </w:tblStylePr>
    <w:tblStylePr w:type="band1Vert">
      <w:tblPr/>
      <w:tcPr>
        <w:shd w:val="clear" w:color="auto" w:fill="FEDF7B" w:themeFill="accent3" w:themeFillTint="7F"/>
      </w:tcPr>
    </w:tblStylePr>
    <w:tblStylePr w:type="band1Horz">
      <w:tblPr/>
      <w:tcPr>
        <w:shd w:val="clear" w:color="auto" w:fill="FEDF7B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3F1D9" w:themeFill="accent4" w:themeFillTint="33"/>
    </w:tcPr>
    <w:tblStylePr w:type="firstRow">
      <w:rPr>
        <w:b/>
        <w:bCs/>
      </w:rPr>
      <w:tblPr/>
      <w:tcPr>
        <w:shd w:val="clear" w:color="auto" w:fill="C7E4B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B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78D3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78D31" w:themeFill="accent4" w:themeFillShade="BF"/>
      </w:tcPr>
    </w:tblStylePr>
    <w:tblStylePr w:type="band1Vert">
      <w:tblPr/>
      <w:tcPr>
        <w:shd w:val="clear" w:color="auto" w:fill="BADEA0" w:themeFill="accent4" w:themeFillTint="7F"/>
      </w:tcPr>
    </w:tblStylePr>
    <w:tblStylePr w:type="band1Horz">
      <w:tblPr/>
      <w:tcPr>
        <w:shd w:val="clear" w:color="auto" w:fill="BADEA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3F4F1" w:themeFill="accent5" w:themeFillTint="33"/>
    </w:tcPr>
    <w:tblStylePr w:type="firstRow">
      <w:rPr>
        <w:b/>
        <w:bCs/>
      </w:rPr>
      <w:tblPr/>
      <w:tcPr>
        <w:shd w:val="clear" w:color="auto" w:fill="A8E9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9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48F8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48F86" w:themeFill="accent5" w:themeFillShade="BF"/>
      </w:tcPr>
    </w:tblStylePr>
    <w:tblStylePr w:type="band1Vert">
      <w:tblPr/>
      <w:tcPr>
        <w:shd w:val="clear" w:color="auto" w:fill="93E4DD" w:themeFill="accent5" w:themeFillTint="7F"/>
      </w:tcPr>
    </w:tblStylePr>
    <w:tblStylePr w:type="band1Horz">
      <w:tblPr/>
      <w:tcPr>
        <w:shd w:val="clear" w:color="auto" w:fill="93E4DD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9DBDE" w:themeFill="accent6" w:themeFillTint="33"/>
    </w:tcPr>
    <w:tblStylePr w:type="firstRow">
      <w:rPr>
        <w:b/>
        <w:bCs/>
      </w:rPr>
      <w:tblPr/>
      <w:tcPr>
        <w:shd w:val="clear" w:color="auto" w:fill="F4B7B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B7B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71D3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71D31" w:themeFill="accent6" w:themeFillShade="BF"/>
      </w:tcPr>
    </w:tblStylePr>
    <w:tblStylePr w:type="band1Vert">
      <w:tblPr/>
      <w:tcPr>
        <w:shd w:val="clear" w:color="auto" w:fill="F2A5AE" w:themeFill="accent6" w:themeFillTint="7F"/>
      </w:tcPr>
    </w:tblStylePr>
    <w:tblStylePr w:type="band1Horz">
      <w:tblPr/>
      <w:tcPr>
        <w:shd w:val="clear" w:color="auto" w:fill="F2A5AE" w:themeFill="accent6" w:themeFillTint="7F"/>
      </w:tcPr>
    </w:tblStylePr>
  </w:style>
  <w:style w:type="character" w:styleId="afb">
    <w:name w:val="Strong"/>
    <w:basedOn w:val="a2"/>
    <w:uiPriority w:val="22"/>
    <w:qFormat/>
    <w:rPr>
      <w:b/>
      <w:bCs/>
    </w:rPr>
  </w:style>
  <w:style w:type="character" w:styleId="afc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Heading1Char">
    <w:name w:val="Heading 1 Char"/>
    <w:basedOn w:val="a2"/>
    <w:uiPriority w:val="9"/>
    <w:qFormat/>
    <w:rPr>
      <w:rFonts w:asciiTheme="majorHAnsi" w:eastAsiaTheme="majorEastAsia" w:hAnsiTheme="majorHAnsi" w:cstheme="majorBidi"/>
      <w:b/>
      <w:bCs/>
      <w:color w:val="2D53A0" w:themeColor="accent1" w:themeShade="BF"/>
      <w:sz w:val="28"/>
      <w:szCs w:val="28"/>
    </w:rPr>
  </w:style>
  <w:style w:type="character" w:customStyle="1" w:styleId="Heading2Char">
    <w:name w:val="Heading 2 Char"/>
    <w:basedOn w:val="a2"/>
    <w:uiPriority w:val="9"/>
    <w:qFormat/>
    <w:rPr>
      <w:rFonts w:asciiTheme="majorHAnsi" w:eastAsiaTheme="majorEastAsia" w:hAnsiTheme="majorHAnsi" w:cstheme="majorBidi"/>
      <w:b/>
      <w:bCs/>
      <w:color w:val="4874CB" w:themeColor="accent1"/>
      <w:sz w:val="26"/>
      <w:szCs w:val="26"/>
    </w:rPr>
  </w:style>
  <w:style w:type="character" w:customStyle="1" w:styleId="Heading3Char">
    <w:name w:val="Heading 3 Char"/>
    <w:basedOn w:val="a2"/>
    <w:uiPriority w:val="9"/>
    <w:qFormat/>
    <w:rPr>
      <w:rFonts w:asciiTheme="majorHAnsi" w:eastAsiaTheme="majorEastAsia" w:hAnsiTheme="majorHAnsi" w:cstheme="majorBidi"/>
      <w:b/>
      <w:bCs/>
      <w:color w:val="4874CB" w:themeColor="accent1"/>
    </w:rPr>
  </w:style>
  <w:style w:type="character" w:customStyle="1" w:styleId="TitleChar">
    <w:name w:val="Title Char"/>
    <w:basedOn w:val="a2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link w:val="af"/>
    <w:uiPriority w:val="11"/>
    <w:qFormat/>
    <w:rPr>
      <w:rFonts w:ascii="Times New Roman" w:eastAsia="宋体" w:hAnsi="Times New Roman"/>
      <w:kern w:val="28"/>
      <w:sz w:val="21"/>
    </w:rPr>
  </w:style>
  <w:style w:type="paragraph" w:styleId="afe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link w:val="a8"/>
    <w:uiPriority w:val="99"/>
    <w:qFormat/>
    <w:rPr>
      <w:rFonts w:ascii="Times New Roman" w:eastAsia="宋体" w:hAnsi="Times New Roman"/>
      <w:sz w:val="24"/>
    </w:rPr>
  </w:style>
  <w:style w:type="character" w:customStyle="1" w:styleId="24">
    <w:name w:val="正文文本 2 字符"/>
    <w:basedOn w:val="a2"/>
    <w:link w:val="23"/>
    <w:uiPriority w:val="99"/>
    <w:qFormat/>
  </w:style>
  <w:style w:type="character" w:customStyle="1" w:styleId="34">
    <w:name w:val="正文文本 3 字符"/>
    <w:basedOn w:val="a2"/>
    <w:link w:val="33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">
    <w:name w:val="Quote"/>
    <w:basedOn w:val="a1"/>
    <w:next w:val="a1"/>
    <w:link w:val="aff0"/>
    <w:uiPriority w:val="29"/>
    <w:qFormat/>
    <w:rPr>
      <w:i/>
      <w:iCs/>
      <w:color w:val="000000" w:themeColor="text1"/>
    </w:rPr>
  </w:style>
  <w:style w:type="character" w:customStyle="1" w:styleId="aff0">
    <w:name w:val="引用 字符"/>
    <w:basedOn w:val="a2"/>
    <w:link w:val="aff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a2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874CB" w:themeColor="accent1"/>
    </w:rPr>
  </w:style>
  <w:style w:type="character" w:customStyle="1" w:styleId="Heading5Char">
    <w:name w:val="Heading 5 Char"/>
    <w:basedOn w:val="a2"/>
    <w:uiPriority w:val="9"/>
    <w:semiHidden/>
    <w:qFormat/>
    <w:rPr>
      <w:rFonts w:asciiTheme="majorHAnsi" w:eastAsiaTheme="majorEastAsia" w:hAnsiTheme="majorHAnsi" w:cstheme="majorBidi"/>
      <w:color w:val="1E386B" w:themeColor="accent1" w:themeShade="80"/>
    </w:rPr>
  </w:style>
  <w:style w:type="character" w:customStyle="1" w:styleId="Heading6Char">
    <w:name w:val="Heading 6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1E386B" w:themeColor="accent1" w:themeShade="80"/>
    </w:rPr>
  </w:style>
  <w:style w:type="character" w:customStyle="1" w:styleId="Heading7Char">
    <w:name w:val="Heading 7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2"/>
    <w:uiPriority w:val="9"/>
    <w:semiHidden/>
    <w:qFormat/>
    <w:rPr>
      <w:rFonts w:asciiTheme="majorHAnsi" w:eastAsiaTheme="majorEastAsia" w:hAnsiTheme="majorHAnsi" w:cstheme="majorBidi"/>
      <w:color w:val="4874CB" w:themeColor="accent1"/>
      <w:sz w:val="20"/>
      <w:szCs w:val="20"/>
    </w:rPr>
  </w:style>
  <w:style w:type="character" w:customStyle="1" w:styleId="Heading9Char">
    <w:name w:val="Heading 9 Char"/>
    <w:basedOn w:val="a2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874CB" w:themeColor="accent1"/>
      </w:pBdr>
      <w:spacing w:before="200" w:after="280"/>
      <w:ind w:left="936" w:right="936"/>
    </w:pPr>
    <w:rPr>
      <w:b/>
      <w:bCs/>
      <w:i/>
      <w:iCs/>
      <w:color w:val="4874CB" w:themeColor="accent1"/>
    </w:rPr>
  </w:style>
  <w:style w:type="character" w:customStyle="1" w:styleId="aff2">
    <w:name w:val="明显引用 字符"/>
    <w:basedOn w:val="a2"/>
    <w:link w:val="aff1"/>
    <w:uiPriority w:val="30"/>
    <w:qFormat/>
    <w:rPr>
      <w:b/>
      <w:bCs/>
      <w:i/>
      <w:iCs/>
      <w:color w:val="4874CB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874CB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EE822F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EE822F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</cp:lastModifiedBy>
  <cp:revision>3</cp:revision>
  <dcterms:created xsi:type="dcterms:W3CDTF">2026-09-14T07:17:00Z</dcterms:created>
  <dcterms:modified xsi:type="dcterms:W3CDTF">2026-09-14T07:17:00Z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eyJoZGlkIjoiNGU4OWI5OGUwYjJkNjRmZjVkZWIzZWJiMWQ3OWEyMzUiLCJ1c2VySWQiOiIxMTAyMzEzNzgwIn0=</vt:lpwstr>
  </property>
  <property fmtid="{D5CDD505-2E9C-101B-9397-08002B2CF9AE}" pid="3" name="KSOProductBuildVer">
    <vt:lpwstr>2052-12.1.0.28505</vt:lpwstr>
  </property>
  <property fmtid="{D5CDD505-2E9C-101B-9397-08002B2CF9AE}" pid="4" name="ICV">
    <vt:lpwstr>6ECA4C1FF95A44F5848A8C6909C6AF19_13</vt:lpwstr>
  </property>
</Properties>
</file>