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E49FD">
      <w:pPr>
        <w:spacing w:line="360" w:lineRule="auto"/>
        <w:jc w:val="right"/>
        <w:rPr>
          <w:sz w:val="36"/>
        </w:rPr>
      </w:pPr>
    </w:p>
    <w:p w14:paraId="5FC96A3E">
      <w:pPr>
        <w:spacing w:line="360" w:lineRule="auto"/>
        <w:jc w:val="right"/>
        <w:outlineLvl w:val="0"/>
        <w:rPr>
          <w:rFonts w:hint="eastAsia" w:eastAsia="宋体"/>
          <w:b/>
          <w:bCs/>
          <w:sz w:val="36"/>
          <w:lang w:eastAsia="zh-CN"/>
        </w:rPr>
      </w:pPr>
      <w:r>
        <w:rPr>
          <w:rFonts w:hint="eastAsia"/>
          <w:b/>
          <w:bCs/>
          <w:sz w:val="36"/>
          <w:lang w:eastAsia="zh-CN"/>
        </w:rPr>
        <w:t>YDFYSW-20260901-1号</w:t>
      </w:r>
    </w:p>
    <w:p w14:paraId="4CFDA5C3">
      <w:pPr>
        <w:spacing w:line="360" w:lineRule="auto"/>
        <w:jc w:val="right"/>
        <w:rPr>
          <w:sz w:val="36"/>
        </w:rPr>
      </w:pPr>
    </w:p>
    <w:p w14:paraId="39CD107E">
      <w:pPr>
        <w:spacing w:line="360" w:lineRule="auto"/>
        <w:jc w:val="center"/>
        <w:rPr>
          <w:b/>
          <w:bCs/>
          <w:sz w:val="36"/>
        </w:rPr>
      </w:pPr>
      <w:r>
        <w:rPr>
          <w:rFonts w:hint="eastAsia"/>
          <w:b/>
          <w:bCs/>
          <w:sz w:val="36"/>
        </w:rPr>
        <w:t>扬州大学附属医院</w:t>
      </w:r>
    </w:p>
    <w:p w14:paraId="0AFE85C6">
      <w:pPr>
        <w:spacing w:line="360" w:lineRule="auto"/>
        <w:jc w:val="center"/>
        <w:rPr>
          <w:rFonts w:hint="eastAsia" w:eastAsia="宋体"/>
          <w:b/>
          <w:bCs/>
          <w:sz w:val="36"/>
          <w:lang w:eastAsia="zh-CN"/>
        </w:rPr>
      </w:pPr>
      <w:r>
        <w:rPr>
          <w:rFonts w:hint="eastAsia"/>
          <w:b/>
          <w:bCs/>
          <w:sz w:val="36"/>
        </w:rPr>
        <w:t>西区医院医气系统采购及改造项目</w:t>
      </w:r>
      <w:r>
        <w:rPr>
          <w:rFonts w:hint="eastAsia"/>
          <w:b/>
          <w:bCs/>
          <w:sz w:val="36"/>
          <w:lang w:eastAsia="zh-CN"/>
        </w:rPr>
        <w:t>（二次）</w:t>
      </w:r>
    </w:p>
    <w:p w14:paraId="615EA1CB">
      <w:pPr>
        <w:spacing w:line="360" w:lineRule="auto"/>
        <w:jc w:val="center"/>
        <w:rPr>
          <w:sz w:val="36"/>
        </w:rPr>
      </w:pPr>
      <w:r>
        <w:rPr>
          <w:rFonts w:hint="eastAsia"/>
          <w:b/>
          <w:bCs/>
          <w:sz w:val="36"/>
        </w:rPr>
        <w:t xml:space="preserve">公开招标文件 </w:t>
      </w:r>
    </w:p>
    <w:p w14:paraId="0671D0AD">
      <w:pPr>
        <w:spacing w:line="360" w:lineRule="auto"/>
        <w:jc w:val="center"/>
        <w:rPr>
          <w:sz w:val="36"/>
        </w:rPr>
      </w:pPr>
      <w:r>
        <w:drawing>
          <wp:inline distT="0" distB="0" distL="0" distR="0">
            <wp:extent cx="5032375" cy="4514850"/>
            <wp:effectExtent l="0" t="0" r="0" b="0"/>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9"/>
                    <a:stretch>
                      <a:fillRect/>
                    </a:stretch>
                  </pic:blipFill>
                  <pic:spPr>
                    <a:xfrm>
                      <a:off x="0" y="0"/>
                      <a:ext cx="5032375" cy="4514850"/>
                    </a:xfrm>
                    <a:prstGeom prst="rect">
                      <a:avLst/>
                    </a:prstGeom>
                    <a:noFill/>
                    <a:ln>
                      <a:noFill/>
                    </a:ln>
                  </pic:spPr>
                </pic:pic>
              </a:graphicData>
            </a:graphic>
          </wp:inline>
        </w:drawing>
      </w:r>
    </w:p>
    <w:p w14:paraId="575F2DDA">
      <w:pPr>
        <w:spacing w:line="360" w:lineRule="auto"/>
        <w:jc w:val="center"/>
        <w:outlineLvl w:val="0"/>
        <w:rPr>
          <w:b/>
          <w:bCs/>
          <w:sz w:val="36"/>
        </w:rPr>
      </w:pPr>
      <w:bookmarkStart w:id="0" w:name="_Toc29277"/>
      <w:r>
        <w:rPr>
          <w:rFonts w:hint="eastAsia"/>
          <w:b/>
          <w:bCs/>
          <w:sz w:val="36"/>
        </w:rPr>
        <w:t>江苏苏维工程管理有限公司</w:t>
      </w:r>
      <w:bookmarkEnd w:id="0"/>
    </w:p>
    <w:p w14:paraId="796ED617">
      <w:pPr>
        <w:spacing w:line="360" w:lineRule="auto"/>
        <w:jc w:val="center"/>
        <w:rPr>
          <w:b/>
          <w:bCs/>
          <w:sz w:val="36"/>
        </w:rPr>
        <w:sectPr>
          <w:headerReference r:id="rId3" w:type="default"/>
          <w:pgSz w:w="11906" w:h="16838"/>
          <w:pgMar w:top="1440" w:right="1800" w:bottom="1440" w:left="1800" w:header="851" w:footer="992" w:gutter="0"/>
          <w:cols w:space="1701" w:num="1"/>
          <w:docGrid w:linePitch="360" w:charSpace="0"/>
        </w:sectPr>
      </w:pPr>
      <w:r>
        <w:rPr>
          <w:rFonts w:hint="eastAsia"/>
          <w:b/>
          <w:bCs/>
          <w:sz w:val="36"/>
        </w:rPr>
        <w:t>2026年10月</w:t>
      </w:r>
      <w:r>
        <w:rPr>
          <w:rFonts w:hint="eastAsia"/>
          <w:b/>
          <w:bCs/>
          <w:sz w:val="36"/>
          <w:lang w:val="en-US" w:eastAsia="zh-CN"/>
        </w:rPr>
        <w:t>30</w:t>
      </w:r>
      <w:r>
        <w:rPr>
          <w:rFonts w:hint="eastAsia"/>
          <w:b/>
          <w:bCs/>
          <w:sz w:val="36"/>
        </w:rPr>
        <w:t>日</w:t>
      </w:r>
    </w:p>
    <w:p w14:paraId="2C181EA7">
      <w:pPr>
        <w:spacing w:line="360" w:lineRule="auto"/>
        <w:jc w:val="center"/>
        <w:rPr>
          <w:b/>
          <w:bCs/>
          <w:sz w:val="28"/>
          <w:szCs w:val="28"/>
        </w:rPr>
      </w:pPr>
      <w:bookmarkStart w:id="1" w:name="_Toc497133090"/>
      <w:r>
        <w:rPr>
          <w:b/>
          <w:bCs/>
          <w:sz w:val="28"/>
          <w:szCs w:val="28"/>
        </w:rPr>
        <w:t>目录</w:t>
      </w:r>
    </w:p>
    <w:p w14:paraId="345CAE88">
      <w:pPr>
        <w:pStyle w:val="339"/>
        <w:tabs>
          <w:tab w:val="right" w:leader="dot" w:pos="8306"/>
        </w:tabs>
        <w:spacing w:line="360" w:lineRule="auto"/>
        <w:rPr>
          <w:b/>
          <w:bCs/>
          <w:sz w:val="28"/>
          <w:szCs w:val="28"/>
        </w:rPr>
      </w:pPr>
      <w:r>
        <w:rPr>
          <w:b/>
          <w:bCs/>
          <w:sz w:val="28"/>
          <w:szCs w:val="28"/>
        </w:rPr>
        <w:fldChar w:fldCharType="begin"/>
      </w:r>
      <w:r>
        <w:rPr>
          <w:b/>
          <w:bCs/>
          <w:sz w:val="28"/>
          <w:szCs w:val="28"/>
        </w:rPr>
        <w:instrText xml:space="preserve">TOC \o "1-1" \h \u </w:instrText>
      </w:r>
      <w:r>
        <w:rPr>
          <w:b/>
          <w:bCs/>
          <w:sz w:val="28"/>
          <w:szCs w:val="28"/>
        </w:rPr>
        <w:fldChar w:fldCharType="separate"/>
      </w:r>
    </w:p>
    <w:p w14:paraId="62A06448">
      <w:pPr>
        <w:pStyle w:val="339"/>
        <w:tabs>
          <w:tab w:val="right" w:leader="dot" w:pos="8306"/>
        </w:tabs>
        <w:spacing w:line="360" w:lineRule="auto"/>
        <w:rPr>
          <w:b/>
          <w:bCs/>
          <w:sz w:val="28"/>
          <w:szCs w:val="28"/>
        </w:rPr>
      </w:pPr>
      <w:r>
        <w:fldChar w:fldCharType="begin"/>
      </w:r>
      <w:r>
        <w:instrText xml:space="preserve"> HYPERLINK \l "_Toc7326" </w:instrText>
      </w:r>
      <w:r>
        <w:fldChar w:fldCharType="separate"/>
      </w:r>
      <w:r>
        <w:rPr>
          <w:rFonts w:hint="eastAsia"/>
          <w:b/>
          <w:bCs/>
          <w:sz w:val="28"/>
          <w:szCs w:val="28"/>
        </w:rPr>
        <w:t>第一章</w:t>
      </w:r>
      <w:r>
        <w:rPr>
          <w:b/>
          <w:bCs/>
          <w:sz w:val="28"/>
          <w:szCs w:val="28"/>
        </w:rPr>
        <w:t xml:space="preserve"> 招标公告</w:t>
      </w:r>
      <w:r>
        <w:rPr>
          <w:b/>
          <w:bCs/>
          <w:sz w:val="28"/>
          <w:szCs w:val="28"/>
        </w:rPr>
        <w:tab/>
      </w:r>
      <w:r>
        <w:rPr>
          <w:b/>
          <w:bCs/>
          <w:sz w:val="28"/>
          <w:szCs w:val="28"/>
        </w:rPr>
        <w:fldChar w:fldCharType="begin"/>
      </w:r>
      <w:r>
        <w:rPr>
          <w:b/>
          <w:bCs/>
          <w:sz w:val="28"/>
          <w:szCs w:val="28"/>
        </w:rPr>
        <w:instrText xml:space="preserve"> PAGEREF _Toc7326 \h </w:instrText>
      </w:r>
      <w:r>
        <w:rPr>
          <w:b/>
          <w:bCs/>
          <w:sz w:val="28"/>
          <w:szCs w:val="28"/>
        </w:rPr>
        <w:fldChar w:fldCharType="separate"/>
      </w:r>
      <w:r>
        <w:rPr>
          <w:b/>
          <w:bCs/>
          <w:sz w:val="28"/>
          <w:szCs w:val="28"/>
        </w:rPr>
        <w:t>1</w:t>
      </w:r>
      <w:r>
        <w:rPr>
          <w:b/>
          <w:bCs/>
          <w:sz w:val="28"/>
          <w:szCs w:val="28"/>
        </w:rPr>
        <w:fldChar w:fldCharType="end"/>
      </w:r>
      <w:r>
        <w:rPr>
          <w:b/>
          <w:bCs/>
          <w:sz w:val="28"/>
          <w:szCs w:val="28"/>
        </w:rPr>
        <w:fldChar w:fldCharType="end"/>
      </w:r>
    </w:p>
    <w:p w14:paraId="3E3405EF">
      <w:pPr>
        <w:pStyle w:val="339"/>
        <w:tabs>
          <w:tab w:val="right" w:leader="dot" w:pos="8306"/>
        </w:tabs>
        <w:spacing w:line="360" w:lineRule="auto"/>
        <w:rPr>
          <w:b/>
          <w:bCs/>
          <w:sz w:val="28"/>
          <w:szCs w:val="28"/>
        </w:rPr>
      </w:pPr>
      <w:r>
        <w:fldChar w:fldCharType="begin"/>
      </w:r>
      <w:r>
        <w:instrText xml:space="preserve"> HYPERLINK \l "_Toc22236" </w:instrText>
      </w:r>
      <w:r>
        <w:fldChar w:fldCharType="separate"/>
      </w:r>
      <w:r>
        <w:rPr>
          <w:rFonts w:hint="eastAsia"/>
          <w:b/>
          <w:bCs/>
          <w:sz w:val="28"/>
          <w:szCs w:val="28"/>
        </w:rPr>
        <w:t>第二章 投标人须知</w:t>
      </w:r>
      <w:r>
        <w:rPr>
          <w:b/>
          <w:bCs/>
          <w:sz w:val="28"/>
          <w:szCs w:val="28"/>
        </w:rPr>
        <w:tab/>
      </w:r>
      <w:r>
        <w:rPr>
          <w:b/>
          <w:bCs/>
          <w:sz w:val="28"/>
          <w:szCs w:val="28"/>
        </w:rPr>
        <w:fldChar w:fldCharType="begin"/>
      </w:r>
      <w:r>
        <w:rPr>
          <w:b/>
          <w:bCs/>
          <w:sz w:val="28"/>
          <w:szCs w:val="28"/>
        </w:rPr>
        <w:instrText xml:space="preserve"> PAGEREF _Toc22236 \h </w:instrText>
      </w:r>
      <w:r>
        <w:rPr>
          <w:b/>
          <w:bCs/>
          <w:sz w:val="28"/>
          <w:szCs w:val="28"/>
        </w:rPr>
        <w:fldChar w:fldCharType="separate"/>
      </w:r>
      <w:r>
        <w:rPr>
          <w:b/>
          <w:bCs/>
          <w:sz w:val="28"/>
          <w:szCs w:val="28"/>
        </w:rPr>
        <w:t>4</w:t>
      </w:r>
      <w:r>
        <w:rPr>
          <w:b/>
          <w:bCs/>
          <w:sz w:val="28"/>
          <w:szCs w:val="28"/>
        </w:rPr>
        <w:fldChar w:fldCharType="end"/>
      </w:r>
      <w:r>
        <w:rPr>
          <w:b/>
          <w:bCs/>
          <w:sz w:val="28"/>
          <w:szCs w:val="28"/>
        </w:rPr>
        <w:fldChar w:fldCharType="end"/>
      </w:r>
    </w:p>
    <w:p w14:paraId="6CD46B40">
      <w:pPr>
        <w:pStyle w:val="339"/>
        <w:tabs>
          <w:tab w:val="right" w:leader="dot" w:pos="8306"/>
        </w:tabs>
        <w:spacing w:line="360" w:lineRule="auto"/>
        <w:rPr>
          <w:b/>
          <w:bCs/>
          <w:sz w:val="28"/>
          <w:szCs w:val="28"/>
        </w:rPr>
      </w:pPr>
      <w:r>
        <w:fldChar w:fldCharType="begin"/>
      </w:r>
      <w:r>
        <w:instrText xml:space="preserve"> HYPERLINK \l "_Toc30592" </w:instrText>
      </w:r>
      <w:r>
        <w:fldChar w:fldCharType="separate"/>
      </w:r>
      <w:r>
        <w:rPr>
          <w:rFonts w:hint="eastAsia" w:cs="宋体"/>
          <w:b/>
          <w:bCs/>
          <w:sz w:val="28"/>
          <w:szCs w:val="28"/>
        </w:rPr>
        <w:t>第三章 合同条款及格式</w:t>
      </w:r>
      <w:r>
        <w:rPr>
          <w:b/>
          <w:bCs/>
          <w:sz w:val="28"/>
          <w:szCs w:val="28"/>
        </w:rPr>
        <w:tab/>
      </w:r>
      <w:r>
        <w:rPr>
          <w:b/>
          <w:bCs/>
          <w:sz w:val="28"/>
          <w:szCs w:val="28"/>
        </w:rPr>
        <w:fldChar w:fldCharType="begin"/>
      </w:r>
      <w:r>
        <w:rPr>
          <w:b/>
          <w:bCs/>
          <w:sz w:val="28"/>
          <w:szCs w:val="28"/>
        </w:rPr>
        <w:instrText xml:space="preserve"> PAGEREF _Toc30592 \h </w:instrText>
      </w:r>
      <w:r>
        <w:rPr>
          <w:b/>
          <w:bCs/>
          <w:sz w:val="28"/>
          <w:szCs w:val="28"/>
        </w:rPr>
        <w:fldChar w:fldCharType="separate"/>
      </w:r>
      <w:r>
        <w:rPr>
          <w:b/>
          <w:bCs/>
          <w:sz w:val="28"/>
          <w:szCs w:val="28"/>
        </w:rPr>
        <w:t>18</w:t>
      </w:r>
      <w:r>
        <w:rPr>
          <w:b/>
          <w:bCs/>
          <w:sz w:val="28"/>
          <w:szCs w:val="28"/>
        </w:rPr>
        <w:fldChar w:fldCharType="end"/>
      </w:r>
      <w:r>
        <w:rPr>
          <w:b/>
          <w:bCs/>
          <w:sz w:val="28"/>
          <w:szCs w:val="28"/>
        </w:rPr>
        <w:fldChar w:fldCharType="end"/>
      </w:r>
    </w:p>
    <w:p w14:paraId="2C2376C1">
      <w:pPr>
        <w:pStyle w:val="339"/>
        <w:tabs>
          <w:tab w:val="right" w:leader="dot" w:pos="8306"/>
        </w:tabs>
        <w:spacing w:line="360" w:lineRule="auto"/>
        <w:rPr>
          <w:b/>
          <w:bCs/>
          <w:sz w:val="28"/>
          <w:szCs w:val="28"/>
        </w:rPr>
      </w:pPr>
      <w:r>
        <w:fldChar w:fldCharType="begin"/>
      </w:r>
      <w:r>
        <w:instrText xml:space="preserve"> HYPERLINK \l "_Toc23819" </w:instrText>
      </w:r>
      <w:r>
        <w:fldChar w:fldCharType="separate"/>
      </w:r>
      <w:r>
        <w:rPr>
          <w:rFonts w:hint="eastAsia"/>
          <w:b/>
          <w:bCs/>
          <w:sz w:val="28"/>
          <w:szCs w:val="28"/>
        </w:rPr>
        <w:t>第四章 项目需求</w:t>
      </w:r>
      <w:r>
        <w:rPr>
          <w:b/>
          <w:bCs/>
          <w:sz w:val="28"/>
          <w:szCs w:val="28"/>
        </w:rPr>
        <w:tab/>
      </w:r>
      <w:r>
        <w:rPr>
          <w:rFonts w:hint="eastAsia"/>
          <w:b/>
          <w:bCs/>
          <w:sz w:val="28"/>
          <w:szCs w:val="28"/>
        </w:rPr>
        <w:t>2</w:t>
      </w:r>
      <w:r>
        <w:rPr>
          <w:rFonts w:hint="eastAsia"/>
          <w:b/>
          <w:bCs/>
          <w:sz w:val="28"/>
          <w:szCs w:val="28"/>
        </w:rPr>
        <w:fldChar w:fldCharType="end"/>
      </w:r>
      <w:r>
        <w:rPr>
          <w:rFonts w:hint="eastAsia"/>
          <w:b/>
          <w:bCs/>
          <w:sz w:val="28"/>
          <w:szCs w:val="28"/>
        </w:rPr>
        <w:t>4</w:t>
      </w:r>
    </w:p>
    <w:p w14:paraId="678F915E">
      <w:pPr>
        <w:pStyle w:val="339"/>
        <w:tabs>
          <w:tab w:val="right" w:leader="dot" w:pos="8306"/>
        </w:tabs>
        <w:spacing w:line="360" w:lineRule="auto"/>
        <w:rPr>
          <w:b/>
          <w:bCs/>
          <w:sz w:val="28"/>
          <w:szCs w:val="28"/>
        </w:rPr>
      </w:pPr>
      <w:r>
        <w:fldChar w:fldCharType="begin"/>
      </w:r>
      <w:r>
        <w:instrText xml:space="preserve"> HYPERLINK \l "_Toc23859" </w:instrText>
      </w:r>
      <w:r>
        <w:fldChar w:fldCharType="separate"/>
      </w:r>
      <w:r>
        <w:rPr>
          <w:rFonts w:hint="eastAsia"/>
          <w:b/>
          <w:bCs/>
          <w:sz w:val="28"/>
          <w:szCs w:val="28"/>
        </w:rPr>
        <w:t>第五章 评标方法及评标标准</w:t>
      </w:r>
      <w:r>
        <w:rPr>
          <w:b/>
          <w:bCs/>
          <w:sz w:val="28"/>
          <w:szCs w:val="28"/>
        </w:rPr>
        <w:tab/>
      </w:r>
      <w:r>
        <w:rPr>
          <w:rFonts w:hint="eastAsia"/>
          <w:b/>
          <w:bCs/>
          <w:sz w:val="28"/>
          <w:szCs w:val="28"/>
        </w:rPr>
        <w:t>4</w:t>
      </w:r>
      <w:r>
        <w:rPr>
          <w:rFonts w:hint="eastAsia"/>
          <w:b/>
          <w:bCs/>
          <w:sz w:val="28"/>
          <w:szCs w:val="28"/>
        </w:rPr>
        <w:fldChar w:fldCharType="end"/>
      </w:r>
      <w:r>
        <w:rPr>
          <w:rFonts w:hint="eastAsia"/>
          <w:b/>
          <w:bCs/>
          <w:sz w:val="28"/>
          <w:szCs w:val="28"/>
        </w:rPr>
        <w:t>0</w:t>
      </w:r>
    </w:p>
    <w:p w14:paraId="09C8B964">
      <w:pPr>
        <w:pStyle w:val="339"/>
        <w:tabs>
          <w:tab w:val="right" w:leader="dot" w:pos="8306"/>
        </w:tabs>
        <w:spacing w:line="360" w:lineRule="auto"/>
        <w:rPr>
          <w:b/>
          <w:bCs/>
          <w:sz w:val="28"/>
          <w:szCs w:val="28"/>
        </w:rPr>
      </w:pPr>
      <w:r>
        <w:fldChar w:fldCharType="begin"/>
      </w:r>
      <w:r>
        <w:instrText xml:space="preserve"> HYPERLINK \l "_Toc29906" </w:instrText>
      </w:r>
      <w:r>
        <w:fldChar w:fldCharType="separate"/>
      </w:r>
      <w:r>
        <w:rPr>
          <w:rFonts w:hint="eastAsia"/>
          <w:b/>
          <w:bCs/>
          <w:sz w:val="28"/>
          <w:szCs w:val="28"/>
        </w:rPr>
        <w:t>第六章 投标文件格式</w:t>
      </w:r>
      <w:r>
        <w:rPr>
          <w:b/>
          <w:bCs/>
          <w:sz w:val="28"/>
          <w:szCs w:val="28"/>
        </w:rPr>
        <w:tab/>
      </w:r>
      <w:r>
        <w:rPr>
          <w:rFonts w:hint="eastAsia"/>
          <w:b/>
          <w:bCs/>
          <w:sz w:val="28"/>
          <w:szCs w:val="28"/>
        </w:rPr>
        <w:t>4</w:t>
      </w:r>
      <w:r>
        <w:rPr>
          <w:rFonts w:hint="eastAsia"/>
          <w:b/>
          <w:bCs/>
          <w:sz w:val="28"/>
          <w:szCs w:val="28"/>
        </w:rPr>
        <w:fldChar w:fldCharType="end"/>
      </w:r>
      <w:r>
        <w:rPr>
          <w:rFonts w:hint="eastAsia"/>
          <w:b/>
          <w:bCs/>
          <w:sz w:val="28"/>
          <w:szCs w:val="28"/>
        </w:rPr>
        <w:t>4</w:t>
      </w:r>
    </w:p>
    <w:p w14:paraId="747CD691">
      <w:pPr>
        <w:spacing w:line="360" w:lineRule="auto"/>
      </w:pPr>
      <w:r>
        <w:rPr>
          <w:b/>
          <w:bCs/>
          <w:sz w:val="28"/>
          <w:szCs w:val="28"/>
        </w:rPr>
        <w:fldChar w:fldCharType="end"/>
      </w:r>
    </w:p>
    <w:p w14:paraId="74405D14">
      <w:pPr>
        <w:pStyle w:val="191"/>
        <w:spacing w:before="0" w:after="0" w:line="360" w:lineRule="auto"/>
        <w:jc w:val="center"/>
        <w:rPr>
          <w:sz w:val="36"/>
        </w:rPr>
        <w:sectPr>
          <w:footerReference r:id="rId4" w:type="default"/>
          <w:pgSz w:w="11906" w:h="16838"/>
          <w:pgMar w:top="1440" w:right="1800" w:bottom="1440" w:left="1800" w:header="851" w:footer="992" w:gutter="0"/>
          <w:pgNumType w:start="2"/>
          <w:cols w:space="1701" w:num="1"/>
          <w:docGrid w:linePitch="360" w:charSpace="0"/>
        </w:sectPr>
      </w:pPr>
      <w:bookmarkStart w:id="2" w:name="_Toc7326"/>
    </w:p>
    <w:p w14:paraId="643FB163">
      <w:pPr>
        <w:pStyle w:val="191"/>
        <w:spacing w:before="0" w:after="0" w:line="360" w:lineRule="auto"/>
        <w:jc w:val="center"/>
        <w:rPr>
          <w:sz w:val="36"/>
        </w:rPr>
      </w:pPr>
      <w:r>
        <w:rPr>
          <w:rFonts w:hint="eastAsia"/>
          <w:sz w:val="36"/>
        </w:rPr>
        <w:t>第一章</w:t>
      </w:r>
      <w:r>
        <w:rPr>
          <w:sz w:val="36"/>
        </w:rPr>
        <w:t xml:space="preserve"> 招标公告</w:t>
      </w:r>
      <w:bookmarkEnd w:id="1"/>
      <w:bookmarkEnd w:id="2"/>
    </w:p>
    <w:p w14:paraId="7A851D2B">
      <w:pPr>
        <w:spacing w:line="360" w:lineRule="auto"/>
        <w:ind w:firstLine="420" w:firstLineChars="200"/>
        <w:rPr>
          <w:szCs w:val="21"/>
        </w:rPr>
      </w:pPr>
      <w:bookmarkStart w:id="3" w:name="OLE_LINK1"/>
      <w:r>
        <w:rPr>
          <w:rFonts w:hint="eastAsia"/>
          <w:szCs w:val="21"/>
        </w:rPr>
        <w:t>江苏苏维工程管理有限公司（以下简称“代理机构”）受扬州大学附属医院（以下简称“采购人”）的委托，</w:t>
      </w:r>
      <w:r>
        <w:rPr>
          <w:rFonts w:hint="eastAsia"/>
          <w:bCs/>
          <w:szCs w:val="21"/>
        </w:rPr>
        <w:t>就其</w:t>
      </w:r>
      <w:r>
        <w:rPr>
          <w:rFonts w:hint="eastAsia"/>
          <w:szCs w:val="21"/>
          <w:lang w:eastAsia="zh-CN"/>
        </w:rPr>
        <w:t>扬州大学附属医院西区医院医气系统采购及改造项目（二次）</w:t>
      </w:r>
      <w:r>
        <w:rPr>
          <w:rFonts w:hint="eastAsia"/>
          <w:szCs w:val="21"/>
        </w:rPr>
        <w:t>进行公开招标采购，</w:t>
      </w:r>
      <w:r>
        <w:rPr>
          <w:rFonts w:hint="eastAsia"/>
          <w:bCs/>
          <w:szCs w:val="21"/>
        </w:rPr>
        <w:t>现欢迎符合相关条件的供应商投标</w:t>
      </w:r>
      <w:r>
        <w:rPr>
          <w:rFonts w:hint="eastAsia"/>
          <w:szCs w:val="21"/>
        </w:rPr>
        <w:t>。</w:t>
      </w:r>
    </w:p>
    <w:p w14:paraId="5FBD04A3">
      <w:pPr>
        <w:spacing w:line="360" w:lineRule="auto"/>
        <w:ind w:firstLine="422" w:firstLineChars="200"/>
        <w:outlineLvl w:val="0"/>
        <w:rPr>
          <w:b/>
          <w:szCs w:val="21"/>
        </w:rPr>
      </w:pPr>
      <w:bookmarkStart w:id="4" w:name="_Toc21151"/>
      <w:r>
        <w:rPr>
          <w:rFonts w:hint="eastAsia"/>
          <w:b/>
          <w:szCs w:val="21"/>
        </w:rPr>
        <w:t>一、招标项目名称及编号</w:t>
      </w:r>
      <w:bookmarkEnd w:id="4"/>
    </w:p>
    <w:p w14:paraId="7167D188">
      <w:pPr>
        <w:spacing w:line="360" w:lineRule="auto"/>
        <w:ind w:firstLine="420" w:firstLineChars="200"/>
        <w:rPr>
          <w:rFonts w:hint="eastAsia" w:eastAsia="宋体"/>
          <w:szCs w:val="21"/>
          <w:lang w:eastAsia="zh-CN"/>
        </w:rPr>
      </w:pPr>
      <w:r>
        <w:rPr>
          <w:rFonts w:hint="eastAsia"/>
          <w:szCs w:val="21"/>
        </w:rPr>
        <w:t>项目名称</w:t>
      </w:r>
      <w:r>
        <w:rPr>
          <w:rFonts w:hint="eastAsia"/>
          <w:sz w:val="24"/>
        </w:rPr>
        <w:t>：</w:t>
      </w:r>
      <w:bookmarkStart w:id="123" w:name="_GoBack"/>
      <w:bookmarkEnd w:id="123"/>
      <w:r>
        <w:rPr>
          <w:rFonts w:hint="eastAsia"/>
          <w:szCs w:val="21"/>
          <w:lang w:eastAsia="zh-CN"/>
        </w:rPr>
        <w:t>扬州大学附属医院西区医院医气系统采购及改造项目（二次）</w:t>
      </w:r>
    </w:p>
    <w:p w14:paraId="36DE32F6">
      <w:pPr>
        <w:spacing w:line="360" w:lineRule="auto"/>
        <w:ind w:firstLine="420" w:firstLineChars="200"/>
        <w:rPr>
          <w:rFonts w:hint="eastAsia" w:eastAsia="宋体"/>
          <w:szCs w:val="21"/>
          <w:lang w:eastAsia="zh-CN"/>
        </w:rPr>
      </w:pPr>
      <w:r>
        <w:rPr>
          <w:rFonts w:hint="eastAsia"/>
          <w:szCs w:val="21"/>
        </w:rPr>
        <w:t>项目编号</w:t>
      </w:r>
      <w:r>
        <w:rPr>
          <w:rFonts w:hint="eastAsia"/>
          <w:sz w:val="24"/>
        </w:rPr>
        <w:t>：</w:t>
      </w:r>
      <w:r>
        <w:rPr>
          <w:rFonts w:hint="eastAsia"/>
          <w:szCs w:val="21"/>
          <w:lang w:eastAsia="zh-CN"/>
        </w:rPr>
        <w:t>YDFYSW-20260901-1号</w:t>
      </w:r>
    </w:p>
    <w:p w14:paraId="0555D838">
      <w:pPr>
        <w:tabs>
          <w:tab w:val="left" w:pos="900"/>
        </w:tabs>
        <w:spacing w:line="360" w:lineRule="auto"/>
        <w:ind w:firstLine="422" w:firstLineChars="200"/>
        <w:rPr>
          <w:szCs w:val="21"/>
        </w:rPr>
      </w:pPr>
      <w:r>
        <w:rPr>
          <w:rFonts w:hint="eastAsia"/>
          <w:b/>
          <w:bCs/>
          <w:szCs w:val="21"/>
        </w:rPr>
        <w:t>二、招标项目简要说明及预算金额</w:t>
      </w:r>
    </w:p>
    <w:p w14:paraId="49548F72">
      <w:pPr>
        <w:tabs>
          <w:tab w:val="left" w:pos="900"/>
        </w:tabs>
        <w:spacing w:line="360" w:lineRule="auto"/>
        <w:ind w:firstLine="420" w:firstLineChars="200"/>
        <w:rPr>
          <w:szCs w:val="21"/>
        </w:rPr>
      </w:pPr>
      <w:r>
        <w:rPr>
          <w:bCs/>
          <w:szCs w:val="21"/>
        </w:rPr>
        <w:t>项目简要说明：</w:t>
      </w:r>
      <w:r>
        <w:rPr>
          <w:rFonts w:hint="eastAsia"/>
          <w:szCs w:val="21"/>
          <w:lang w:eastAsia="zh-CN"/>
        </w:rPr>
        <w:t>扬州大学附属医院西区医院医气系统采购及改造项目（二次）</w:t>
      </w:r>
      <w:r>
        <w:rPr>
          <w:rFonts w:hint="eastAsia"/>
          <w:bCs/>
          <w:szCs w:val="21"/>
        </w:rPr>
        <w:t>。本次项目需按照规定提供</w:t>
      </w:r>
      <w:r>
        <w:rPr>
          <w:rFonts w:hint="eastAsia"/>
          <w:szCs w:val="21"/>
        </w:rPr>
        <w:t>医气系统设备及改造</w:t>
      </w:r>
      <w:r>
        <w:rPr>
          <w:rFonts w:hint="eastAsia"/>
          <w:bCs/>
          <w:szCs w:val="21"/>
        </w:rPr>
        <w:t>，详见招标文件第四章。</w:t>
      </w:r>
    </w:p>
    <w:p w14:paraId="4C0FDD9B">
      <w:pPr>
        <w:tabs>
          <w:tab w:val="left" w:pos="900"/>
        </w:tabs>
        <w:spacing w:line="360" w:lineRule="auto"/>
        <w:ind w:firstLine="420" w:firstLineChars="200"/>
        <w:rPr>
          <w:szCs w:val="21"/>
        </w:rPr>
      </w:pPr>
      <w:r>
        <w:rPr>
          <w:szCs w:val="21"/>
        </w:rPr>
        <w:t>预算金额</w:t>
      </w:r>
      <w:r>
        <w:rPr>
          <w:rFonts w:hint="eastAsia"/>
          <w:szCs w:val="21"/>
        </w:rPr>
        <w:t>：74.4万元</w:t>
      </w:r>
    </w:p>
    <w:p w14:paraId="17B5714E">
      <w:pPr>
        <w:tabs>
          <w:tab w:val="left" w:pos="900"/>
        </w:tabs>
        <w:spacing w:line="360" w:lineRule="auto"/>
        <w:ind w:firstLine="420" w:firstLineChars="200"/>
        <w:rPr>
          <w:b/>
          <w:bCs/>
          <w:szCs w:val="21"/>
        </w:rPr>
      </w:pPr>
      <w:r>
        <w:rPr>
          <w:szCs w:val="21"/>
        </w:rPr>
        <w:t>本项目设定最高限价，最高限价为</w:t>
      </w:r>
      <w:r>
        <w:rPr>
          <w:rFonts w:hint="eastAsia"/>
          <w:szCs w:val="21"/>
        </w:rPr>
        <w:t>74.4万元，</w:t>
      </w:r>
      <w:r>
        <w:rPr>
          <w:szCs w:val="21"/>
        </w:rPr>
        <w:t>报价超过最高限价的为无效报价，按照无效</w:t>
      </w:r>
      <w:r>
        <w:rPr>
          <w:rFonts w:hint="eastAsia"/>
          <w:szCs w:val="21"/>
        </w:rPr>
        <w:t>投标</w:t>
      </w:r>
      <w:r>
        <w:rPr>
          <w:szCs w:val="21"/>
        </w:rPr>
        <w:t>处理。</w:t>
      </w:r>
    </w:p>
    <w:p w14:paraId="26C889B1">
      <w:pPr>
        <w:tabs>
          <w:tab w:val="left" w:pos="900"/>
        </w:tabs>
        <w:spacing w:line="360" w:lineRule="auto"/>
        <w:ind w:firstLine="422" w:firstLineChars="200"/>
        <w:rPr>
          <w:b/>
          <w:bCs/>
          <w:szCs w:val="21"/>
        </w:rPr>
      </w:pPr>
      <w:r>
        <w:rPr>
          <w:rFonts w:hint="eastAsia"/>
          <w:b/>
          <w:bCs/>
          <w:szCs w:val="21"/>
        </w:rPr>
        <w:t>三、供应商应具备下列资格条件，并提供证明材料（包括但不限于）：</w:t>
      </w:r>
    </w:p>
    <w:p w14:paraId="7657024C">
      <w:pPr>
        <w:spacing w:line="360" w:lineRule="auto"/>
        <w:ind w:firstLine="420" w:firstLineChars="200"/>
        <w:rPr>
          <w:rFonts w:cs="Arial"/>
          <w:szCs w:val="21"/>
        </w:rPr>
      </w:pPr>
      <w:r>
        <w:rPr>
          <w:rFonts w:hint="eastAsia" w:cs="Arial"/>
          <w:szCs w:val="21"/>
        </w:rPr>
        <w:t>（一）符合相关法律法规规定的条件，并提供下列材料：</w:t>
      </w:r>
    </w:p>
    <w:p w14:paraId="030003E4">
      <w:pPr>
        <w:spacing w:line="360" w:lineRule="auto"/>
        <w:ind w:firstLine="420" w:firstLineChars="200"/>
        <w:rPr>
          <w:rFonts w:cs="宋体"/>
          <w:i/>
          <w:iCs/>
          <w:szCs w:val="21"/>
          <w:u w:val="single"/>
        </w:rPr>
      </w:pPr>
      <w:r>
        <w:rPr>
          <w:rFonts w:hint="eastAsia" w:cs="宋体"/>
          <w:i/>
          <w:iCs/>
          <w:szCs w:val="21"/>
          <w:u w:val="single"/>
        </w:rPr>
        <w:t>1.1法人或者其他组织的营业执照等证明文件，自然人的身份证明</w:t>
      </w:r>
      <w:r>
        <w:rPr>
          <w:rFonts w:hint="eastAsia" w:cs="宋体"/>
          <w:b/>
          <w:bCs/>
          <w:i/>
          <w:iCs/>
          <w:szCs w:val="21"/>
          <w:u w:val="single"/>
        </w:rPr>
        <w:t>（</w:t>
      </w:r>
      <w:r>
        <w:rPr>
          <w:rFonts w:hint="eastAsia" w:ascii="宋体" w:hAnsi="宋体" w:cs="宋体"/>
          <w:b/>
          <w:bCs/>
          <w:i/>
          <w:iCs/>
          <w:szCs w:val="21"/>
          <w:u w:val="single"/>
        </w:rPr>
        <w:t>复</w:t>
      </w:r>
      <w:r>
        <w:rPr>
          <w:rFonts w:hint="eastAsia" w:ascii="宋体" w:hAnsi="宋体" w:cs="宋体"/>
          <w:b/>
          <w:i/>
          <w:iCs/>
          <w:szCs w:val="21"/>
          <w:u w:val="single"/>
        </w:rPr>
        <w:t>印件加盖投标人公章）</w:t>
      </w:r>
    </w:p>
    <w:p w14:paraId="32A1F30F">
      <w:pPr>
        <w:spacing w:line="360" w:lineRule="auto"/>
        <w:ind w:firstLine="420" w:firstLineChars="200"/>
        <w:rPr>
          <w:b/>
          <w:bCs/>
          <w:i/>
          <w:iCs/>
          <w:u w:val="single"/>
        </w:rPr>
      </w:pPr>
      <w:r>
        <w:rPr>
          <w:rFonts w:hint="eastAsia" w:cs="宋体"/>
          <w:i/>
          <w:iCs/>
          <w:szCs w:val="21"/>
          <w:u w:val="single"/>
        </w:rPr>
        <w:t>1.2 依法缴纳税收和社会保障资金的相关材料</w:t>
      </w:r>
      <w:r>
        <w:rPr>
          <w:rFonts w:hint="eastAsia" w:cs="宋体"/>
          <w:b/>
          <w:bCs/>
          <w:i/>
          <w:iCs/>
          <w:szCs w:val="21"/>
          <w:u w:val="single"/>
        </w:rPr>
        <w:t>（提供提交投标文件截止时间前一年内至少一个月依法缴纳税收及缴纳社会保障资金的证明材料。供应商依法享受缓缴、免缴税收、社会保障资金的提供证明材料。新成立企业距投标截止日不足30日的，可不提供，以新办企业营业执照发放日期为准）</w:t>
      </w:r>
    </w:p>
    <w:p w14:paraId="09F646E5">
      <w:pPr>
        <w:spacing w:line="360" w:lineRule="auto"/>
        <w:ind w:firstLine="420" w:firstLineChars="200"/>
        <w:rPr>
          <w:rFonts w:cs="宋体"/>
          <w:b/>
          <w:bCs/>
          <w:i/>
          <w:iCs/>
          <w:szCs w:val="21"/>
          <w:u w:val="single"/>
        </w:rPr>
      </w:pPr>
      <w:r>
        <w:rPr>
          <w:rFonts w:hint="eastAsia" w:cs="宋体"/>
          <w:i/>
          <w:iCs/>
          <w:szCs w:val="21"/>
          <w:u w:val="single"/>
        </w:rPr>
        <w:t xml:space="preserve">1.3 </w:t>
      </w:r>
      <w:r>
        <w:rPr>
          <w:rFonts w:hint="eastAsia" w:ascii="宋体" w:hAnsi="宋体" w:cs="宋体"/>
          <w:i/>
          <w:iCs/>
          <w:szCs w:val="21"/>
          <w:u w:val="single"/>
        </w:rPr>
        <w:t>2025年度的财务状况</w:t>
      </w:r>
      <w:r>
        <w:rPr>
          <w:rFonts w:hint="eastAsia" w:cs="宋体"/>
          <w:i/>
          <w:iCs/>
          <w:szCs w:val="21"/>
          <w:u w:val="single"/>
        </w:rPr>
        <w:t>报告</w:t>
      </w:r>
      <w:r>
        <w:rPr>
          <w:rFonts w:hint="eastAsia" w:cs="宋体"/>
          <w:b/>
          <w:bCs/>
          <w:i/>
          <w:iCs/>
          <w:szCs w:val="21"/>
          <w:u w:val="single"/>
        </w:rPr>
        <w:t>（成立不满一年不需提供）</w:t>
      </w:r>
    </w:p>
    <w:p w14:paraId="480A6B66">
      <w:pPr>
        <w:spacing w:line="360" w:lineRule="auto"/>
        <w:ind w:firstLine="420" w:firstLineChars="200"/>
        <w:rPr>
          <w:rFonts w:cs="宋体"/>
          <w:b/>
          <w:bCs/>
          <w:i/>
          <w:iCs/>
          <w:szCs w:val="21"/>
          <w:u w:val="single"/>
        </w:rPr>
      </w:pPr>
      <w:r>
        <w:rPr>
          <w:rFonts w:hint="eastAsia" w:cs="宋体"/>
          <w:i/>
          <w:iCs/>
          <w:szCs w:val="21"/>
          <w:u w:val="single"/>
        </w:rPr>
        <w:t>1.4 具备履行合同所必需的设备和专业技术能力的证明材料</w:t>
      </w:r>
      <w:r>
        <w:rPr>
          <w:rFonts w:hint="eastAsia" w:cs="宋体"/>
          <w:b/>
          <w:bCs/>
          <w:i/>
          <w:iCs/>
          <w:szCs w:val="21"/>
          <w:u w:val="single"/>
        </w:rPr>
        <w:t>（原件）</w:t>
      </w:r>
    </w:p>
    <w:p w14:paraId="52C70856">
      <w:pPr>
        <w:spacing w:line="360" w:lineRule="auto"/>
        <w:ind w:firstLine="420" w:firstLineChars="200"/>
        <w:rPr>
          <w:rFonts w:cs="宋体"/>
          <w:b/>
          <w:bCs/>
          <w:i/>
          <w:iCs/>
          <w:szCs w:val="21"/>
          <w:u w:val="single"/>
        </w:rPr>
      </w:pPr>
      <w:r>
        <w:rPr>
          <w:rFonts w:hint="eastAsia" w:cs="宋体"/>
          <w:i/>
          <w:iCs/>
          <w:szCs w:val="21"/>
          <w:u w:val="single"/>
        </w:rPr>
        <w:t>1.5 参加本次采购活动前3年内在经营活动中没有重大违法记录的书面声明</w:t>
      </w:r>
      <w:r>
        <w:rPr>
          <w:rFonts w:hint="eastAsia" w:cs="宋体"/>
          <w:b/>
          <w:bCs/>
          <w:i/>
          <w:iCs/>
          <w:szCs w:val="21"/>
          <w:u w:val="single"/>
        </w:rPr>
        <w:t>（原件）</w:t>
      </w:r>
    </w:p>
    <w:p w14:paraId="3897B4BE">
      <w:pPr>
        <w:spacing w:line="360" w:lineRule="auto"/>
        <w:ind w:firstLine="420" w:firstLineChars="200"/>
        <w:rPr>
          <w:rFonts w:cs="宋体"/>
          <w:b/>
          <w:bCs/>
          <w:i/>
          <w:iCs/>
          <w:szCs w:val="21"/>
          <w:u w:val="single"/>
        </w:rPr>
      </w:pPr>
      <w:r>
        <w:rPr>
          <w:rFonts w:hint="eastAsia" w:cs="宋体"/>
          <w:i/>
          <w:iCs/>
          <w:szCs w:val="21"/>
          <w:u w:val="single"/>
        </w:rPr>
        <w:t>1.6 未被“信用中国”网站（www.creditchina.gov.cn）、“中国政府采购网”（www.ccgp.gov.cn）列入失信被执行人、重大税收违法案件当事人名单、政府采购严重违法失信行为记录名单及其他不符合《中华人民共和国政府采购法》第二十二条规定条件的信用记录。</w:t>
      </w:r>
      <w:r>
        <w:rPr>
          <w:rFonts w:hint="eastAsia" w:cs="宋体"/>
          <w:b/>
          <w:bCs/>
          <w:i/>
          <w:iCs/>
          <w:szCs w:val="21"/>
          <w:u w:val="single"/>
        </w:rPr>
        <w:t>（投标文件中无需提供证明材料）</w:t>
      </w:r>
    </w:p>
    <w:p w14:paraId="2EFDAD46">
      <w:pPr>
        <w:spacing w:line="360" w:lineRule="auto"/>
        <w:ind w:firstLine="420" w:firstLineChars="200"/>
        <w:rPr>
          <w:rFonts w:cs="宋体"/>
          <w:i/>
          <w:iCs/>
          <w:szCs w:val="21"/>
          <w:u w:val="single"/>
        </w:rPr>
      </w:pPr>
      <w:r>
        <w:rPr>
          <w:rFonts w:hint="eastAsia" w:cs="宋体"/>
          <w:i/>
          <w:iCs/>
          <w:szCs w:val="21"/>
          <w:u w:val="single"/>
        </w:rPr>
        <w:t>1.7供应商信用承诺函</w:t>
      </w:r>
      <w:r>
        <w:rPr>
          <w:rFonts w:hint="eastAsia" w:ascii="宋体" w:hAnsi="宋体" w:cs="宋体"/>
          <w:b/>
          <w:bCs/>
          <w:i/>
          <w:szCs w:val="21"/>
          <w:u w:val="single"/>
        </w:rPr>
        <w:t>（原件）</w:t>
      </w:r>
    </w:p>
    <w:p w14:paraId="54ED1E82">
      <w:pPr>
        <w:spacing w:line="360" w:lineRule="auto"/>
        <w:ind w:firstLine="420" w:firstLineChars="200"/>
        <w:rPr>
          <w:rFonts w:cs="宋体"/>
          <w:szCs w:val="21"/>
        </w:rPr>
      </w:pPr>
      <w:r>
        <w:rPr>
          <w:rFonts w:hint="eastAsia"/>
          <w:szCs w:val="21"/>
        </w:rPr>
        <w:t>（二）</w:t>
      </w:r>
      <w:r>
        <w:rPr>
          <w:rFonts w:hint="eastAsia" w:cs="宋体"/>
          <w:szCs w:val="21"/>
        </w:rPr>
        <w:t>本项目的特定资格要求：</w:t>
      </w:r>
    </w:p>
    <w:p w14:paraId="65FD5BF6">
      <w:pPr>
        <w:pStyle w:val="16"/>
        <w:spacing w:line="360" w:lineRule="auto"/>
        <w:ind w:firstLine="422" w:firstLineChars="200"/>
        <w:rPr>
          <w:rFonts w:hint="eastAsia" w:ascii="宋体" w:hAnsi="宋体" w:cs="宋体"/>
          <w:b/>
          <w:bCs/>
          <w:i/>
          <w:iCs/>
          <w:sz w:val="21"/>
          <w:szCs w:val="21"/>
          <w:u w:val="single"/>
        </w:rPr>
      </w:pPr>
      <w:r>
        <w:rPr>
          <w:rFonts w:hint="eastAsia" w:ascii="宋体" w:hAnsi="宋体" w:cs="宋体"/>
          <w:b/>
          <w:bCs/>
          <w:i/>
          <w:iCs/>
          <w:sz w:val="21"/>
          <w:szCs w:val="21"/>
          <w:u w:val="single"/>
        </w:rPr>
        <w:t>2.1投标供应商为代理商的，须具有药监部门颁发的《医疗器械经营许可证》或医疗器械经营备案凭证；投标供应商为生产商的，须具有药监局颁发的《医疗器械生产许可证》或生产备案凭证（医疗器械生产许可证如有医疗器械生产产品登记表的须一并提供）。</w:t>
      </w:r>
    </w:p>
    <w:p w14:paraId="43BDD4E4">
      <w:pPr>
        <w:spacing w:line="360" w:lineRule="auto"/>
        <w:ind w:firstLine="420"/>
        <w:rPr>
          <w:rFonts w:cs="宋体"/>
          <w:szCs w:val="21"/>
        </w:rPr>
      </w:pPr>
      <w:r>
        <w:rPr>
          <w:rFonts w:hint="eastAsia" w:ascii="宋体" w:hAnsi="宋体" w:cs="宋体"/>
          <w:b/>
          <w:bCs/>
          <w:i/>
          <w:iCs/>
          <w:szCs w:val="21"/>
          <w:u w:val="single"/>
        </w:rPr>
        <w:t>2.2投标人须具备有效的《中华人民共和国特种设备生产许可证（工业管道，GC2 级及以上）》，原《中华人民共和国特种设备安装改造维修许可证（压力管道 GC2 级及以上）》在证书有效期内视为等效;</w:t>
      </w:r>
    </w:p>
    <w:p w14:paraId="649D1793">
      <w:pPr>
        <w:spacing w:line="360" w:lineRule="auto"/>
        <w:ind w:firstLine="420" w:firstLineChars="200"/>
        <w:rPr>
          <w:szCs w:val="21"/>
        </w:rPr>
      </w:pPr>
      <w:r>
        <w:rPr>
          <w:rFonts w:hint="eastAsia"/>
          <w:szCs w:val="21"/>
        </w:rPr>
        <w:t>（三）拒绝下述供应商参加本次采购活动：</w:t>
      </w:r>
    </w:p>
    <w:p w14:paraId="799E600E">
      <w:pPr>
        <w:spacing w:line="360" w:lineRule="auto"/>
        <w:ind w:firstLine="420" w:firstLineChars="200"/>
        <w:rPr>
          <w:szCs w:val="21"/>
        </w:rPr>
      </w:pPr>
      <w:r>
        <w:rPr>
          <w:rFonts w:hint="eastAsia"/>
          <w:szCs w:val="21"/>
        </w:rPr>
        <w:t>3.1供应商单位负责人为同一人或者存在直接控股、管理关系的不同供应商，不得参加同一合同项下的政府采购活动。</w:t>
      </w:r>
    </w:p>
    <w:p w14:paraId="4BD7EA61">
      <w:pPr>
        <w:spacing w:line="360" w:lineRule="auto"/>
        <w:ind w:firstLine="420" w:firstLineChars="200"/>
        <w:rPr>
          <w:szCs w:val="21"/>
        </w:rPr>
      </w:pPr>
      <w:r>
        <w:rPr>
          <w:rFonts w:hint="eastAsia"/>
          <w:szCs w:val="21"/>
        </w:rPr>
        <w:t>3.2凡为采购项目提供整体设计、规范编制或者项目管理、监理、检测等服务的供应商，不得再参加该项目的其他采购活动。</w:t>
      </w:r>
    </w:p>
    <w:p w14:paraId="3547574B">
      <w:pPr>
        <w:spacing w:line="360" w:lineRule="auto"/>
        <w:ind w:firstLine="420" w:firstLineChars="200"/>
        <w:rPr>
          <w:szCs w:val="21"/>
        </w:rPr>
      </w:pPr>
      <w:r>
        <w:rPr>
          <w:rFonts w:hint="eastAsia"/>
          <w:szCs w:val="21"/>
        </w:rPr>
        <w:t>3.3供应商被“信用中国”网站（www.creditchina.gov.cn）、中国政府采购网”（www.ccgp.gov.cn）列入失信被执行人、重大税收违法案件当事人名单、政府采购严重违法失信行为记录名单。</w:t>
      </w:r>
    </w:p>
    <w:p w14:paraId="0CEC99BD">
      <w:pPr>
        <w:tabs>
          <w:tab w:val="left" w:pos="900"/>
        </w:tabs>
        <w:spacing w:line="360" w:lineRule="auto"/>
        <w:ind w:firstLine="420" w:firstLineChars="200"/>
        <w:rPr>
          <w:szCs w:val="21"/>
          <w:lang w:val="zh-CN"/>
        </w:rPr>
      </w:pPr>
      <w:r>
        <w:rPr>
          <w:rFonts w:hint="eastAsia" w:cs="Arial"/>
          <w:szCs w:val="21"/>
        </w:rPr>
        <w:t>（四）现场考察或召开答疑会：投标人自行现场踏勘。</w:t>
      </w:r>
    </w:p>
    <w:p w14:paraId="6BD291B1">
      <w:pPr>
        <w:tabs>
          <w:tab w:val="left" w:pos="900"/>
        </w:tabs>
        <w:spacing w:line="360" w:lineRule="auto"/>
        <w:ind w:firstLine="420" w:firstLineChars="200"/>
        <w:rPr>
          <w:rFonts w:cs="Arial"/>
          <w:szCs w:val="21"/>
        </w:rPr>
      </w:pPr>
      <w:r>
        <w:rPr>
          <w:rFonts w:hint="eastAsia" w:cs="Arial"/>
          <w:szCs w:val="21"/>
        </w:rPr>
        <w:t>（五）本项目</w:t>
      </w:r>
      <w:r>
        <w:rPr>
          <w:rFonts w:hint="eastAsia" w:cs="Arial"/>
          <w:szCs w:val="21"/>
          <w:u w:val="single"/>
        </w:rPr>
        <w:t>不接受</w:t>
      </w:r>
      <w:r>
        <w:rPr>
          <w:rFonts w:hint="eastAsia" w:cs="Arial"/>
          <w:szCs w:val="21"/>
        </w:rPr>
        <w:t>联合体投标；</w:t>
      </w:r>
    </w:p>
    <w:p w14:paraId="082C2FAF">
      <w:pPr>
        <w:spacing w:line="360" w:lineRule="auto"/>
        <w:ind w:firstLine="420" w:firstLineChars="200"/>
        <w:rPr>
          <w:rFonts w:cs="Arial"/>
          <w:szCs w:val="21"/>
        </w:rPr>
      </w:pPr>
      <w:r>
        <w:rPr>
          <w:rFonts w:hint="eastAsia" w:cs="Arial"/>
          <w:szCs w:val="21"/>
        </w:rPr>
        <w:t>（六）本项目</w:t>
      </w:r>
      <w:r>
        <w:rPr>
          <w:rFonts w:hint="eastAsia" w:cs="Arial"/>
          <w:szCs w:val="21"/>
          <w:u w:val="single"/>
        </w:rPr>
        <w:t>不接受</w:t>
      </w:r>
      <w:r>
        <w:rPr>
          <w:rFonts w:hint="eastAsia" w:cs="Arial"/>
          <w:szCs w:val="21"/>
        </w:rPr>
        <w:t>进口产品投标。</w:t>
      </w:r>
    </w:p>
    <w:p w14:paraId="222E1422">
      <w:pPr>
        <w:spacing w:line="360" w:lineRule="auto"/>
        <w:ind w:firstLine="422" w:firstLineChars="200"/>
        <w:rPr>
          <w:b/>
          <w:bCs/>
          <w:szCs w:val="21"/>
        </w:rPr>
      </w:pPr>
      <w:r>
        <w:rPr>
          <w:rFonts w:hint="eastAsia"/>
          <w:b/>
          <w:bCs/>
          <w:szCs w:val="21"/>
        </w:rPr>
        <w:t>四、招标文件提供信息</w:t>
      </w:r>
    </w:p>
    <w:p w14:paraId="5CC721BC">
      <w:pPr>
        <w:spacing w:line="360" w:lineRule="auto"/>
        <w:ind w:firstLine="420" w:firstLineChars="200"/>
        <w:rPr>
          <w:rFonts w:hint="eastAsia" w:ascii="宋体" w:hAnsi="宋体" w:cs="宋体"/>
          <w:szCs w:val="21"/>
        </w:rPr>
      </w:pPr>
      <w:r>
        <w:rPr>
          <w:rFonts w:hint="eastAsia" w:ascii="宋体" w:hAnsi="宋体" w:cs="宋体"/>
          <w:szCs w:val="21"/>
        </w:rPr>
        <w:t>招标公告及招标文件公告期限：自招标公告在“扬州大学附属医院”、“扬州大学网”和“江苏招标采购服务平台”发布之日起5个工作日。招标文件在“扬州大学附属医院”、“扬州大学网”和“江苏招标采购服务平台”上下载，投标人如确定参加投标，请如实填写《供应商参加投标确认函》，填写打印后加盖公章，拍照或扫描发送至邮箱（电子邮箱：291581649@qq.com，邮件标题备注企业全称+项目简称，联系电话：0514-82129122）。如供应商未按上述要求去做，将自行承担所产生的风险。如投标单位未按上述要求去做，将自行承担所产生的风险。未报名者、超过时限者不得前来投标，内容不全者后果自负。《供应商参加投标确认函》格式详见“采购文件第六章投标文件格式”。</w:t>
      </w:r>
    </w:p>
    <w:p w14:paraId="5E660AC7">
      <w:pPr>
        <w:tabs>
          <w:tab w:val="left" w:pos="900"/>
        </w:tabs>
        <w:spacing w:line="360" w:lineRule="auto"/>
        <w:ind w:firstLine="422" w:firstLineChars="200"/>
        <w:rPr>
          <w:b/>
          <w:bCs/>
          <w:szCs w:val="21"/>
        </w:rPr>
      </w:pPr>
      <w:r>
        <w:rPr>
          <w:rFonts w:hint="eastAsia"/>
          <w:b/>
          <w:bCs/>
          <w:szCs w:val="21"/>
        </w:rPr>
        <w:t xml:space="preserve">五、投标文件接收信息 </w:t>
      </w:r>
    </w:p>
    <w:p w14:paraId="0BB85A33">
      <w:pPr>
        <w:spacing w:line="360" w:lineRule="auto"/>
        <w:ind w:firstLine="420" w:firstLineChars="200"/>
        <w:rPr>
          <w:rFonts w:cs="宋体"/>
          <w:szCs w:val="21"/>
        </w:rPr>
      </w:pPr>
      <w:r>
        <w:rPr>
          <w:rFonts w:hint="eastAsia" w:cs="宋体"/>
          <w:szCs w:val="21"/>
        </w:rPr>
        <w:t>投标文件接收开始时间：2026年11月</w:t>
      </w:r>
      <w:r>
        <w:rPr>
          <w:rFonts w:hint="eastAsia" w:cs="宋体"/>
          <w:szCs w:val="21"/>
          <w:lang w:val="en-US" w:eastAsia="zh-CN"/>
        </w:rPr>
        <w:t>20</w:t>
      </w:r>
      <w:r>
        <w:rPr>
          <w:rFonts w:hint="eastAsia" w:cs="宋体"/>
          <w:szCs w:val="21"/>
        </w:rPr>
        <w:t>日下午2:00（北京时间）</w:t>
      </w:r>
    </w:p>
    <w:p w14:paraId="3A690B34">
      <w:pPr>
        <w:spacing w:line="360" w:lineRule="auto"/>
        <w:ind w:firstLine="420" w:firstLineChars="200"/>
        <w:rPr>
          <w:rFonts w:cs="宋体"/>
          <w:szCs w:val="21"/>
        </w:rPr>
      </w:pPr>
      <w:r>
        <w:rPr>
          <w:rFonts w:hint="eastAsia" w:cs="宋体"/>
          <w:szCs w:val="21"/>
        </w:rPr>
        <w:t>投标文件接收结束时间：2026年11月</w:t>
      </w:r>
      <w:r>
        <w:rPr>
          <w:rFonts w:hint="eastAsia" w:cs="宋体"/>
          <w:szCs w:val="21"/>
          <w:lang w:val="en-US" w:eastAsia="zh-CN"/>
        </w:rPr>
        <w:t>20</w:t>
      </w:r>
      <w:r>
        <w:rPr>
          <w:rFonts w:hint="eastAsia" w:cs="宋体"/>
          <w:szCs w:val="21"/>
        </w:rPr>
        <w:t>日下午2:30（北京时间）</w:t>
      </w:r>
    </w:p>
    <w:p w14:paraId="6ADF97F7">
      <w:pPr>
        <w:spacing w:line="360" w:lineRule="auto"/>
        <w:ind w:firstLine="420" w:firstLineChars="200"/>
        <w:rPr>
          <w:rFonts w:cs="宋体"/>
          <w:szCs w:val="21"/>
        </w:rPr>
      </w:pPr>
      <w:r>
        <w:rPr>
          <w:rFonts w:hint="eastAsia" w:cs="宋体"/>
          <w:szCs w:val="21"/>
        </w:rPr>
        <w:t>投标文件接收地点：</w:t>
      </w:r>
      <w:r>
        <w:rPr>
          <w:rFonts w:hint="eastAsia"/>
          <w:szCs w:val="21"/>
        </w:rPr>
        <w:t>江苏苏维工程管理有限公司</w:t>
      </w:r>
      <w:r>
        <w:rPr>
          <w:rFonts w:hint="eastAsia" w:cs="宋体"/>
          <w:szCs w:val="21"/>
        </w:rPr>
        <w:t>三楼东开标室</w:t>
      </w:r>
      <w:r>
        <w:rPr>
          <w:rFonts w:hint="eastAsia"/>
          <w:szCs w:val="21"/>
        </w:rPr>
        <w:t>（扬州市</w:t>
      </w:r>
      <w:r>
        <w:rPr>
          <w:rFonts w:hint="eastAsia" w:cs="宋体"/>
          <w:szCs w:val="21"/>
        </w:rPr>
        <w:t>邗江区</w:t>
      </w:r>
      <w:r>
        <w:rPr>
          <w:rFonts w:hint="eastAsia"/>
          <w:szCs w:val="21"/>
        </w:rPr>
        <w:t>翠岗路48号）</w:t>
      </w:r>
    </w:p>
    <w:p w14:paraId="1ED5C2E9">
      <w:pPr>
        <w:spacing w:line="360" w:lineRule="auto"/>
        <w:ind w:firstLine="420" w:firstLineChars="200"/>
        <w:rPr>
          <w:rFonts w:cs="宋体"/>
          <w:szCs w:val="21"/>
        </w:rPr>
      </w:pPr>
      <w:r>
        <w:rPr>
          <w:rFonts w:hint="eastAsia" w:cs="宋体"/>
          <w:szCs w:val="21"/>
        </w:rPr>
        <w:t>接收人：</w:t>
      </w:r>
      <w:r>
        <w:rPr>
          <w:rFonts w:hint="eastAsia" w:ascii="宋体" w:hAnsi="宋体" w:cs="宋体"/>
          <w:szCs w:val="21"/>
        </w:rPr>
        <w:t>李俊0514-82129122</w:t>
      </w:r>
    </w:p>
    <w:p w14:paraId="09A338F1">
      <w:pPr>
        <w:spacing w:line="360" w:lineRule="auto"/>
        <w:ind w:firstLine="420" w:firstLineChars="200"/>
        <w:rPr>
          <w:rFonts w:cs="宋体"/>
          <w:i/>
          <w:iCs/>
          <w:szCs w:val="21"/>
          <w:u w:val="single"/>
        </w:rPr>
      </w:pPr>
      <w:r>
        <w:rPr>
          <w:rFonts w:hint="eastAsia" w:cs="宋体"/>
          <w:szCs w:val="21"/>
        </w:rPr>
        <w:t>注：投标人须由法定代表人或其授权委托人现场参加投标并递交投标文件，否则投标文件不予接收。</w:t>
      </w:r>
    </w:p>
    <w:p w14:paraId="55CC364A">
      <w:pPr>
        <w:spacing w:line="360" w:lineRule="auto"/>
        <w:ind w:firstLine="422" w:firstLineChars="200"/>
        <w:outlineLvl w:val="0"/>
        <w:rPr>
          <w:b/>
          <w:szCs w:val="21"/>
        </w:rPr>
      </w:pPr>
      <w:bookmarkStart w:id="5" w:name="_Toc10814"/>
      <w:r>
        <w:rPr>
          <w:rFonts w:hint="eastAsia"/>
          <w:b/>
          <w:bCs/>
          <w:szCs w:val="21"/>
        </w:rPr>
        <w:t>六</w:t>
      </w:r>
      <w:r>
        <w:rPr>
          <w:rFonts w:hint="eastAsia"/>
          <w:b/>
          <w:szCs w:val="21"/>
        </w:rPr>
        <w:t>、开标有关信息</w:t>
      </w:r>
      <w:bookmarkEnd w:id="5"/>
    </w:p>
    <w:p w14:paraId="164B8C54">
      <w:pPr>
        <w:spacing w:line="360" w:lineRule="auto"/>
        <w:ind w:firstLine="420" w:firstLineChars="200"/>
        <w:rPr>
          <w:szCs w:val="21"/>
        </w:rPr>
      </w:pPr>
      <w:r>
        <w:rPr>
          <w:rFonts w:hint="eastAsia"/>
          <w:szCs w:val="21"/>
        </w:rPr>
        <w:t>开标时间：</w:t>
      </w:r>
      <w:r>
        <w:rPr>
          <w:rFonts w:hint="eastAsia" w:cs="宋体"/>
          <w:szCs w:val="21"/>
        </w:rPr>
        <w:t>2026年11月</w:t>
      </w:r>
      <w:r>
        <w:rPr>
          <w:rFonts w:hint="eastAsia" w:cs="宋体"/>
          <w:szCs w:val="21"/>
          <w:lang w:val="en-US" w:eastAsia="zh-CN"/>
        </w:rPr>
        <w:t>20</w:t>
      </w:r>
      <w:r>
        <w:rPr>
          <w:rFonts w:hint="eastAsia" w:cs="宋体"/>
          <w:szCs w:val="21"/>
        </w:rPr>
        <w:t>日下午2:30（北京时间）</w:t>
      </w:r>
    </w:p>
    <w:p w14:paraId="6B532504">
      <w:pPr>
        <w:spacing w:line="360" w:lineRule="auto"/>
        <w:ind w:firstLine="420" w:firstLineChars="200"/>
        <w:rPr>
          <w:szCs w:val="21"/>
        </w:rPr>
      </w:pPr>
      <w:r>
        <w:rPr>
          <w:rFonts w:hint="eastAsia"/>
          <w:szCs w:val="21"/>
        </w:rPr>
        <w:t>开标地点：江苏苏维工程管理有限公司</w:t>
      </w:r>
      <w:r>
        <w:rPr>
          <w:rFonts w:hint="eastAsia" w:cs="宋体"/>
          <w:szCs w:val="21"/>
        </w:rPr>
        <w:t>三楼东开标室</w:t>
      </w:r>
      <w:r>
        <w:rPr>
          <w:rFonts w:hint="eastAsia"/>
          <w:szCs w:val="21"/>
        </w:rPr>
        <w:t>（扬州市邗江区翠岗路48号）</w:t>
      </w:r>
    </w:p>
    <w:p w14:paraId="6FBFF4A0">
      <w:pPr>
        <w:spacing w:line="360" w:lineRule="auto"/>
        <w:ind w:firstLine="422" w:firstLineChars="200"/>
        <w:outlineLvl w:val="0"/>
        <w:rPr>
          <w:b/>
          <w:szCs w:val="21"/>
        </w:rPr>
      </w:pPr>
      <w:bookmarkStart w:id="6" w:name="_Toc11952"/>
      <w:r>
        <w:rPr>
          <w:rFonts w:hint="eastAsia"/>
          <w:b/>
          <w:szCs w:val="21"/>
        </w:rPr>
        <w:t>七、本次招标联系事项</w:t>
      </w:r>
      <w:bookmarkEnd w:id="6"/>
    </w:p>
    <w:p w14:paraId="321886CD">
      <w:pPr>
        <w:pStyle w:val="223"/>
        <w:spacing w:line="360" w:lineRule="auto"/>
        <w:ind w:firstLine="420" w:firstLineChars="200"/>
        <w:rPr>
          <w:rFonts w:ascii="Times New Roman" w:hAnsi="Times New Roman" w:cs="宋体"/>
          <w:sz w:val="21"/>
        </w:rPr>
      </w:pPr>
      <w:r>
        <w:rPr>
          <w:rFonts w:hint="eastAsia" w:ascii="Times New Roman" w:hAnsi="Times New Roman" w:cs="宋体"/>
          <w:sz w:val="21"/>
        </w:rPr>
        <w:t>（一）采购人信息</w:t>
      </w:r>
    </w:p>
    <w:p w14:paraId="71F836DE">
      <w:pPr>
        <w:spacing w:line="360" w:lineRule="auto"/>
        <w:ind w:firstLine="420" w:firstLineChars="200"/>
        <w:jc w:val="left"/>
        <w:rPr>
          <w:rFonts w:cs="宋体"/>
          <w:szCs w:val="21"/>
        </w:rPr>
      </w:pPr>
      <w:r>
        <w:rPr>
          <w:rFonts w:hint="eastAsia" w:cs="宋体"/>
          <w:szCs w:val="21"/>
        </w:rPr>
        <w:t>名 称：</w:t>
      </w:r>
      <w:r>
        <w:rPr>
          <w:rFonts w:hint="eastAsia"/>
          <w:szCs w:val="21"/>
        </w:rPr>
        <w:t>扬州大学附属医院</w:t>
      </w:r>
    </w:p>
    <w:p w14:paraId="5A5DDF07">
      <w:pPr>
        <w:spacing w:line="360" w:lineRule="auto"/>
        <w:ind w:firstLine="420" w:firstLineChars="200"/>
        <w:jc w:val="left"/>
        <w:rPr>
          <w:rFonts w:cs="宋体"/>
          <w:szCs w:val="21"/>
        </w:rPr>
      </w:pPr>
      <w:r>
        <w:rPr>
          <w:rFonts w:hint="eastAsia" w:cs="宋体"/>
          <w:szCs w:val="21"/>
        </w:rPr>
        <w:t>地 址：扬州市邗江中路368号</w:t>
      </w:r>
    </w:p>
    <w:p w14:paraId="5E41FD76">
      <w:pPr>
        <w:spacing w:line="360" w:lineRule="auto"/>
        <w:ind w:firstLine="420" w:firstLineChars="200"/>
        <w:jc w:val="left"/>
        <w:rPr>
          <w:rFonts w:cs="宋体"/>
          <w:szCs w:val="21"/>
        </w:rPr>
      </w:pPr>
      <w:r>
        <w:rPr>
          <w:rFonts w:hint="eastAsia" w:cs="宋体"/>
          <w:szCs w:val="21"/>
        </w:rPr>
        <w:t>联系人：</w:t>
      </w:r>
      <w:r>
        <w:rPr>
          <w:rFonts w:hint="eastAsia"/>
        </w:rPr>
        <w:t xml:space="preserve">张老师 </w:t>
      </w:r>
      <w:r>
        <w:rPr>
          <w:rFonts w:hint="eastAsia" w:cs="宋体"/>
          <w:szCs w:val="21"/>
        </w:rPr>
        <w:t xml:space="preserve">  </w:t>
      </w:r>
    </w:p>
    <w:p w14:paraId="24A5839E">
      <w:pPr>
        <w:spacing w:line="360" w:lineRule="auto"/>
        <w:ind w:firstLine="420" w:firstLineChars="200"/>
        <w:jc w:val="left"/>
        <w:rPr>
          <w:rFonts w:cs="宋体"/>
          <w:szCs w:val="21"/>
        </w:rPr>
      </w:pPr>
      <w:r>
        <w:rPr>
          <w:rFonts w:hint="eastAsia" w:cs="宋体"/>
          <w:szCs w:val="21"/>
        </w:rPr>
        <w:t>联系方式：</w:t>
      </w:r>
      <w:r>
        <w:rPr>
          <w:rFonts w:hint="eastAsia" w:ascii="宋体" w:hAnsi="宋体" w:cs="宋体"/>
          <w:szCs w:val="21"/>
        </w:rPr>
        <w:t>0514-82099552</w:t>
      </w:r>
    </w:p>
    <w:p w14:paraId="7CB6FF83">
      <w:pPr>
        <w:spacing w:line="360" w:lineRule="auto"/>
        <w:ind w:firstLine="420" w:firstLineChars="200"/>
        <w:jc w:val="left"/>
        <w:rPr>
          <w:rFonts w:cs="宋体"/>
          <w:szCs w:val="21"/>
        </w:rPr>
      </w:pPr>
      <w:r>
        <w:rPr>
          <w:rFonts w:hint="eastAsia" w:cs="宋体"/>
          <w:szCs w:val="21"/>
        </w:rPr>
        <w:t>（二）代理机构信息</w:t>
      </w:r>
    </w:p>
    <w:p w14:paraId="137550DC">
      <w:pPr>
        <w:spacing w:line="360" w:lineRule="auto"/>
        <w:ind w:firstLine="420" w:firstLineChars="200"/>
        <w:jc w:val="left"/>
        <w:rPr>
          <w:rFonts w:hint="eastAsia" w:ascii="宋体" w:hAnsi="宋体" w:cs="宋体"/>
          <w:szCs w:val="21"/>
        </w:rPr>
      </w:pPr>
      <w:r>
        <w:rPr>
          <w:rFonts w:hint="eastAsia" w:ascii="宋体" w:hAnsi="宋体" w:cs="宋体"/>
          <w:szCs w:val="21"/>
        </w:rPr>
        <w:t>名 称：江苏苏维工程管理有限公司</w:t>
      </w:r>
    </w:p>
    <w:p w14:paraId="16ABBC99">
      <w:pPr>
        <w:spacing w:line="360" w:lineRule="auto"/>
        <w:ind w:firstLine="420" w:firstLineChars="200"/>
        <w:jc w:val="left"/>
        <w:rPr>
          <w:rFonts w:hint="eastAsia" w:ascii="宋体" w:hAnsi="宋体" w:cs="宋体"/>
          <w:szCs w:val="21"/>
        </w:rPr>
      </w:pPr>
      <w:r>
        <w:rPr>
          <w:rFonts w:hint="eastAsia" w:ascii="宋体" w:hAnsi="宋体" w:cs="宋体"/>
          <w:szCs w:val="21"/>
        </w:rPr>
        <w:t>地　址：扬州市邗江区翠岗路48号</w:t>
      </w:r>
    </w:p>
    <w:p w14:paraId="556F07A8">
      <w:pPr>
        <w:spacing w:line="360" w:lineRule="auto"/>
        <w:ind w:firstLine="420" w:firstLineChars="200"/>
        <w:jc w:val="left"/>
        <w:rPr>
          <w:rFonts w:hint="eastAsia" w:ascii="宋体" w:hAnsi="宋体" w:cs="宋体"/>
          <w:szCs w:val="21"/>
        </w:rPr>
      </w:pPr>
      <w:r>
        <w:rPr>
          <w:rFonts w:hint="eastAsia" w:ascii="宋体" w:hAnsi="宋体" w:cs="宋体"/>
          <w:szCs w:val="21"/>
        </w:rPr>
        <w:t>联系人：李俊</w:t>
      </w:r>
    </w:p>
    <w:p w14:paraId="1F859C36">
      <w:pPr>
        <w:spacing w:line="360" w:lineRule="auto"/>
        <w:ind w:firstLine="420" w:firstLineChars="200"/>
        <w:jc w:val="left"/>
        <w:rPr>
          <w:rFonts w:hint="eastAsia" w:ascii="宋体" w:hAnsi="宋体" w:cs="宋体"/>
          <w:szCs w:val="21"/>
        </w:rPr>
      </w:pPr>
      <w:r>
        <w:rPr>
          <w:rFonts w:hint="eastAsia" w:ascii="宋体" w:hAnsi="宋体" w:cs="宋体"/>
          <w:szCs w:val="21"/>
        </w:rPr>
        <w:t>联系方式：0514-82129122</w:t>
      </w:r>
    </w:p>
    <w:p w14:paraId="63C697D6">
      <w:pPr>
        <w:spacing w:line="360" w:lineRule="auto"/>
        <w:ind w:firstLine="422" w:firstLineChars="200"/>
        <w:rPr>
          <w:b/>
          <w:szCs w:val="21"/>
        </w:rPr>
      </w:pPr>
      <w:r>
        <w:rPr>
          <w:rFonts w:hint="eastAsia"/>
          <w:b/>
          <w:bCs/>
          <w:szCs w:val="21"/>
        </w:rPr>
        <w:t>八、投标文件制作份数要求</w:t>
      </w:r>
    </w:p>
    <w:p w14:paraId="54BBCCE0">
      <w:pPr>
        <w:spacing w:line="360" w:lineRule="auto"/>
        <w:ind w:firstLine="420" w:firstLineChars="200"/>
        <w:rPr>
          <w:rFonts w:cs="宋体"/>
          <w:szCs w:val="21"/>
        </w:rPr>
      </w:pPr>
      <w:r>
        <w:rPr>
          <w:rFonts w:hint="eastAsia" w:cs="宋体"/>
          <w:szCs w:val="21"/>
        </w:rPr>
        <w:t>投标文件纸质版一式伍份（壹份正本、肆份副本）、电子版壹份（一般应为U盘或光盘形式、随纸质正本文件一并提交）。当电子版文件和纸质正本文件不一致时，以纸质正本文件为准。电子版文件用于辅助评标和平台存档，投标人需承担前述不一致造成的不利后果。每份投标文件须清楚标明“正本”或“副本”字样。一旦正本和副本不符，以正本为准。</w:t>
      </w:r>
    </w:p>
    <w:p w14:paraId="43AF88F0">
      <w:pPr>
        <w:spacing w:line="360" w:lineRule="auto"/>
        <w:ind w:firstLine="422" w:firstLineChars="200"/>
        <w:rPr>
          <w:b/>
          <w:bCs/>
          <w:szCs w:val="21"/>
        </w:rPr>
      </w:pPr>
      <w:r>
        <w:rPr>
          <w:rFonts w:hint="eastAsia"/>
          <w:b/>
          <w:bCs/>
          <w:szCs w:val="21"/>
        </w:rPr>
        <w:t>九、本次招标投标保证金</w:t>
      </w:r>
    </w:p>
    <w:p w14:paraId="402537AE">
      <w:pPr>
        <w:spacing w:line="360" w:lineRule="auto"/>
        <w:ind w:firstLine="420" w:firstLineChars="200"/>
        <w:rPr>
          <w:szCs w:val="21"/>
        </w:rPr>
      </w:pPr>
      <w:r>
        <w:rPr>
          <w:rFonts w:hint="eastAsia"/>
          <w:szCs w:val="21"/>
        </w:rPr>
        <w:t>本次招标</w:t>
      </w:r>
      <w:r>
        <w:rPr>
          <w:rFonts w:hint="eastAsia"/>
          <w:szCs w:val="21"/>
          <w:u w:val="single"/>
        </w:rPr>
        <w:t>不收取</w:t>
      </w:r>
      <w:r>
        <w:rPr>
          <w:rFonts w:hint="eastAsia"/>
          <w:szCs w:val="21"/>
        </w:rPr>
        <w:t>投标保证金。</w:t>
      </w:r>
    </w:p>
    <w:p w14:paraId="6ED5D58A">
      <w:pPr>
        <w:spacing w:line="360" w:lineRule="auto"/>
        <w:ind w:firstLine="422" w:firstLineChars="200"/>
        <w:rPr>
          <w:b/>
          <w:szCs w:val="21"/>
        </w:rPr>
      </w:pPr>
      <w:r>
        <w:rPr>
          <w:rFonts w:hint="eastAsia"/>
          <w:b/>
          <w:szCs w:val="21"/>
        </w:rPr>
        <w:t>十、其他补充事宜</w:t>
      </w:r>
    </w:p>
    <w:p w14:paraId="1C6E0C57">
      <w:pPr>
        <w:tabs>
          <w:tab w:val="left" w:pos="266"/>
        </w:tabs>
        <w:spacing w:line="360" w:lineRule="auto"/>
        <w:ind w:firstLine="420" w:firstLineChars="200"/>
        <w:rPr>
          <w:rFonts w:cs="宋体"/>
          <w:b/>
          <w:i/>
          <w:iCs/>
          <w:szCs w:val="21"/>
          <w:u w:val="single"/>
        </w:rPr>
      </w:pPr>
      <w:r>
        <w:rPr>
          <w:rFonts w:hint="eastAsia" w:cs="宋体"/>
        </w:rPr>
        <w:t>（一）</w:t>
      </w:r>
      <w:r>
        <w:rPr>
          <w:rFonts w:hint="eastAsia" w:cs="宋体"/>
          <w:b/>
          <w:i/>
          <w:iCs/>
          <w:szCs w:val="21"/>
          <w:u w:val="single"/>
        </w:rPr>
        <w:t>本项目招标文件中所有斜体下划线部分为实质性条款，如不满足，则为无效投标。</w:t>
      </w:r>
    </w:p>
    <w:p w14:paraId="44DC2D29">
      <w:pPr>
        <w:tabs>
          <w:tab w:val="left" w:pos="900"/>
        </w:tabs>
        <w:spacing w:line="360" w:lineRule="auto"/>
        <w:ind w:firstLine="420" w:firstLineChars="200"/>
        <w:jc w:val="left"/>
        <w:rPr>
          <w:rFonts w:hint="eastAsia" w:ascii="宋体" w:hAnsi="宋体" w:cs="宋体"/>
          <w:szCs w:val="21"/>
        </w:rPr>
      </w:pPr>
      <w:r>
        <w:rPr>
          <w:rFonts w:hint="eastAsia" w:ascii="宋体" w:hAnsi="宋体" w:cs="宋体"/>
          <w:szCs w:val="21"/>
        </w:rPr>
        <w:t>（二）有关本次招标的事项若存在变动或修改，敬请及时关注“扬州大学附属医院”、“扬州大学网”和“江苏招标采购服务平台”上发布的信息或更正公告。</w:t>
      </w:r>
    </w:p>
    <w:p w14:paraId="4DBD69A4">
      <w:pPr>
        <w:spacing w:line="360" w:lineRule="auto"/>
        <w:jc w:val="right"/>
        <w:rPr>
          <w:szCs w:val="21"/>
        </w:rPr>
      </w:pPr>
    </w:p>
    <w:p w14:paraId="768A9A0F">
      <w:pPr>
        <w:spacing w:line="360" w:lineRule="auto"/>
        <w:jc w:val="right"/>
        <w:rPr>
          <w:szCs w:val="21"/>
        </w:rPr>
      </w:pPr>
      <w:r>
        <w:rPr>
          <w:rFonts w:hint="eastAsia"/>
          <w:szCs w:val="21"/>
        </w:rPr>
        <w:t>江苏苏维工程管理有限公司</w:t>
      </w:r>
    </w:p>
    <w:bookmarkEnd w:id="3"/>
    <w:p w14:paraId="3E45175A">
      <w:pPr>
        <w:spacing w:line="360" w:lineRule="auto"/>
        <w:jc w:val="right"/>
        <w:rPr>
          <w:szCs w:val="21"/>
        </w:rPr>
      </w:pPr>
      <w:r>
        <w:rPr>
          <w:rFonts w:hint="eastAsia"/>
          <w:szCs w:val="21"/>
        </w:rPr>
        <w:t>2026年10月</w:t>
      </w:r>
      <w:r>
        <w:rPr>
          <w:rFonts w:hint="eastAsia"/>
          <w:szCs w:val="21"/>
          <w:lang w:val="en-US" w:eastAsia="zh-CN"/>
        </w:rPr>
        <w:t>30</w:t>
      </w:r>
      <w:r>
        <w:rPr>
          <w:rFonts w:hint="eastAsia"/>
          <w:szCs w:val="21"/>
        </w:rPr>
        <w:t>日</w:t>
      </w:r>
    </w:p>
    <w:p w14:paraId="7B9DB2BB">
      <w:pPr>
        <w:spacing w:line="360" w:lineRule="auto"/>
        <w:rPr>
          <w:szCs w:val="21"/>
        </w:rPr>
        <w:sectPr>
          <w:footerReference r:id="rId5" w:type="default"/>
          <w:pgSz w:w="11906" w:h="16838"/>
          <w:pgMar w:top="1440" w:right="1800" w:bottom="1440" w:left="1800" w:header="851" w:footer="992" w:gutter="0"/>
          <w:pgNumType w:start="1"/>
          <w:cols w:space="1701" w:num="1"/>
          <w:docGrid w:linePitch="360" w:charSpace="0"/>
        </w:sectPr>
      </w:pPr>
    </w:p>
    <w:p w14:paraId="6BDEA45F">
      <w:pPr>
        <w:pStyle w:val="191"/>
        <w:spacing w:before="0" w:after="0" w:line="360" w:lineRule="auto"/>
        <w:jc w:val="center"/>
        <w:rPr>
          <w:sz w:val="36"/>
        </w:rPr>
      </w:pPr>
      <w:bookmarkStart w:id="7" w:name="_Toc22236"/>
      <w:bookmarkStart w:id="8" w:name="_Toc497133091"/>
      <w:r>
        <w:rPr>
          <w:rFonts w:hint="eastAsia"/>
          <w:sz w:val="36"/>
        </w:rPr>
        <w:t>第二章 投标人须知</w:t>
      </w:r>
      <w:bookmarkEnd w:id="7"/>
      <w:bookmarkEnd w:id="8"/>
    </w:p>
    <w:p w14:paraId="5754B4D7">
      <w:pPr>
        <w:pStyle w:val="194"/>
        <w:spacing w:before="0" w:after="0" w:line="360" w:lineRule="auto"/>
        <w:ind w:firstLine="422"/>
        <w:rPr>
          <w:rFonts w:hint="eastAsia" w:ascii="宋体" w:hAnsi="宋体" w:eastAsia="宋体" w:cs="宋体"/>
          <w:bCs w:val="0"/>
          <w:sz w:val="21"/>
          <w:szCs w:val="21"/>
        </w:rPr>
      </w:pPr>
      <w:bookmarkStart w:id="9" w:name="_Toc458694821"/>
      <w:bookmarkStart w:id="10" w:name="_Toc16938520"/>
      <w:bookmarkStart w:id="11" w:name="_Toc20823276"/>
      <w:bookmarkStart w:id="12" w:name="_Toc513029204"/>
      <w:r>
        <w:rPr>
          <w:rFonts w:hint="eastAsia" w:ascii="宋体" w:hAnsi="宋体" w:eastAsia="宋体" w:cs="宋体"/>
          <w:bCs w:val="0"/>
          <w:sz w:val="21"/>
          <w:szCs w:val="21"/>
        </w:rPr>
        <w:t>1.</w:t>
      </w:r>
      <w:bookmarkEnd w:id="9"/>
      <w:r>
        <w:rPr>
          <w:rFonts w:hint="eastAsia" w:ascii="宋体" w:hAnsi="宋体" w:eastAsia="宋体" w:cs="宋体"/>
          <w:bCs w:val="0"/>
          <w:sz w:val="21"/>
          <w:szCs w:val="21"/>
        </w:rPr>
        <w:t>招标方式</w:t>
      </w:r>
      <w:bookmarkEnd w:id="10"/>
      <w:bookmarkEnd w:id="11"/>
      <w:bookmarkEnd w:id="12"/>
    </w:p>
    <w:p w14:paraId="67AA7E56">
      <w:pPr>
        <w:spacing w:line="360" w:lineRule="auto"/>
        <w:ind w:firstLine="420"/>
        <w:rPr>
          <w:rFonts w:hint="eastAsia" w:ascii="宋体" w:hAnsi="宋体" w:cs="宋体"/>
          <w:szCs w:val="21"/>
        </w:rPr>
      </w:pPr>
      <w:r>
        <w:rPr>
          <w:rFonts w:hint="eastAsia" w:ascii="宋体" w:hAnsi="宋体" w:cs="宋体"/>
          <w:szCs w:val="21"/>
        </w:rPr>
        <w:t>1.1 本次招标采取公开招标方式，本招标文件仅适用于</w:t>
      </w:r>
      <w:r>
        <w:rPr>
          <w:rFonts w:hint="eastAsia" w:ascii="宋体" w:hAnsi="宋体" w:cs="宋体"/>
          <w:szCs w:val="21"/>
          <w:lang w:eastAsia="zh-CN"/>
        </w:rPr>
        <w:t>YDFYSW-20260901-1号</w:t>
      </w:r>
      <w:r>
        <w:rPr>
          <w:rFonts w:hint="eastAsia" w:ascii="宋体" w:hAnsi="宋体" w:cs="宋体"/>
          <w:szCs w:val="21"/>
        </w:rPr>
        <w:t>项目。</w:t>
      </w:r>
    </w:p>
    <w:p w14:paraId="12BD881B">
      <w:pPr>
        <w:pStyle w:val="194"/>
        <w:spacing w:before="0" w:after="0" w:line="360" w:lineRule="auto"/>
        <w:ind w:firstLine="422"/>
        <w:rPr>
          <w:rFonts w:hint="eastAsia" w:ascii="宋体" w:hAnsi="宋体" w:eastAsia="宋体" w:cs="宋体"/>
          <w:bCs w:val="0"/>
          <w:sz w:val="21"/>
          <w:szCs w:val="21"/>
        </w:rPr>
      </w:pPr>
      <w:bookmarkStart w:id="13" w:name="_Toc20823277"/>
      <w:bookmarkStart w:id="14" w:name="_Toc513029205"/>
      <w:bookmarkStart w:id="15" w:name="_Toc16938521"/>
      <w:r>
        <w:rPr>
          <w:rFonts w:hint="eastAsia" w:ascii="宋体" w:hAnsi="宋体" w:eastAsia="宋体" w:cs="宋体"/>
          <w:bCs w:val="0"/>
          <w:sz w:val="21"/>
          <w:szCs w:val="21"/>
        </w:rPr>
        <w:t>2.投标人</w:t>
      </w:r>
    </w:p>
    <w:p w14:paraId="0C1B25A4">
      <w:pPr>
        <w:pStyle w:val="194"/>
        <w:spacing w:before="0" w:after="0" w:line="360" w:lineRule="auto"/>
        <w:ind w:firstLine="420"/>
        <w:rPr>
          <w:rFonts w:hint="eastAsia" w:ascii="宋体" w:hAnsi="宋体" w:eastAsia="宋体" w:cs="宋体"/>
          <w:b w:val="0"/>
          <w:bCs w:val="0"/>
          <w:sz w:val="21"/>
          <w:szCs w:val="21"/>
        </w:rPr>
      </w:pPr>
      <w:r>
        <w:rPr>
          <w:rFonts w:hint="eastAsia" w:ascii="宋体" w:hAnsi="宋体" w:eastAsia="宋体" w:cs="宋体"/>
          <w:b w:val="0"/>
          <w:bCs w:val="0"/>
          <w:sz w:val="21"/>
          <w:szCs w:val="21"/>
        </w:rPr>
        <w:t>2.1 本招标文件中“供应商”，即“投标人”，是指参加投标竞争，并符合招标文件规定资格条件的法人、其他组织或者自然人。</w:t>
      </w:r>
    </w:p>
    <w:p w14:paraId="087FB00A">
      <w:pPr>
        <w:pStyle w:val="194"/>
        <w:spacing w:before="0" w:after="0" w:line="360" w:lineRule="auto"/>
        <w:ind w:firstLine="420"/>
        <w:rPr>
          <w:rFonts w:hint="eastAsia" w:ascii="宋体" w:hAnsi="宋体" w:eastAsia="宋体" w:cs="宋体"/>
          <w:b w:val="0"/>
          <w:bCs w:val="0"/>
          <w:sz w:val="21"/>
          <w:szCs w:val="21"/>
        </w:rPr>
      </w:pPr>
      <w:r>
        <w:rPr>
          <w:rFonts w:hint="eastAsia" w:ascii="宋体" w:hAnsi="宋体" w:eastAsia="宋体" w:cs="宋体"/>
          <w:b w:val="0"/>
          <w:bCs w:val="0"/>
          <w:sz w:val="21"/>
          <w:szCs w:val="21"/>
        </w:rPr>
        <w:t>2.2合格的投标人</w:t>
      </w:r>
      <w:bookmarkEnd w:id="13"/>
      <w:bookmarkEnd w:id="14"/>
      <w:bookmarkEnd w:id="15"/>
    </w:p>
    <w:p w14:paraId="25913099">
      <w:pPr>
        <w:spacing w:line="360" w:lineRule="auto"/>
        <w:ind w:firstLine="420"/>
        <w:rPr>
          <w:rFonts w:hint="eastAsia" w:ascii="宋体" w:hAnsi="宋体" w:cs="宋体"/>
          <w:szCs w:val="21"/>
        </w:rPr>
      </w:pPr>
      <w:r>
        <w:rPr>
          <w:rFonts w:hint="eastAsia" w:ascii="宋体" w:hAnsi="宋体" w:cs="宋体"/>
          <w:szCs w:val="21"/>
        </w:rPr>
        <w:t>2.2.1 满足投标邀请中供应商的资格条件要求的规定。</w:t>
      </w:r>
    </w:p>
    <w:p w14:paraId="4E022391">
      <w:pPr>
        <w:spacing w:line="360" w:lineRule="auto"/>
        <w:ind w:firstLine="420"/>
        <w:rPr>
          <w:rFonts w:hint="eastAsia" w:ascii="宋体" w:hAnsi="宋体" w:cs="宋体"/>
          <w:szCs w:val="21"/>
        </w:rPr>
      </w:pPr>
      <w:r>
        <w:rPr>
          <w:rFonts w:hint="eastAsia" w:ascii="宋体" w:hAnsi="宋体" w:cs="宋体"/>
          <w:szCs w:val="21"/>
        </w:rPr>
        <w:t>2.2.2 满足本文件实质性条款的规定。</w:t>
      </w:r>
    </w:p>
    <w:p w14:paraId="431B3E2D">
      <w:pPr>
        <w:pStyle w:val="194"/>
        <w:spacing w:before="0" w:after="0" w:line="360" w:lineRule="auto"/>
        <w:ind w:firstLine="422"/>
        <w:rPr>
          <w:rFonts w:hint="eastAsia" w:ascii="宋体" w:hAnsi="宋体" w:eastAsia="宋体" w:cs="宋体"/>
          <w:bCs w:val="0"/>
          <w:sz w:val="21"/>
          <w:szCs w:val="21"/>
        </w:rPr>
      </w:pPr>
      <w:bookmarkStart w:id="16" w:name="_Toc16938522"/>
      <w:bookmarkStart w:id="17" w:name="_Toc20823278"/>
      <w:bookmarkStart w:id="18" w:name="_Toc513029206"/>
      <w:r>
        <w:rPr>
          <w:rFonts w:hint="eastAsia" w:ascii="宋体" w:hAnsi="宋体" w:eastAsia="宋体" w:cs="宋体"/>
          <w:bCs w:val="0"/>
          <w:sz w:val="21"/>
          <w:szCs w:val="21"/>
        </w:rPr>
        <w:t>3.适用法律</w:t>
      </w:r>
      <w:bookmarkEnd w:id="16"/>
      <w:bookmarkEnd w:id="17"/>
      <w:bookmarkEnd w:id="18"/>
    </w:p>
    <w:p w14:paraId="072D2FA6">
      <w:pPr>
        <w:pStyle w:val="194"/>
        <w:spacing w:before="0" w:after="0" w:line="360" w:lineRule="auto"/>
        <w:ind w:firstLine="420"/>
        <w:rPr>
          <w:rFonts w:hint="eastAsia" w:ascii="宋体" w:hAnsi="宋体" w:eastAsia="宋体" w:cs="宋体"/>
          <w:b w:val="0"/>
          <w:bCs w:val="0"/>
          <w:sz w:val="21"/>
          <w:szCs w:val="21"/>
        </w:rPr>
      </w:pPr>
      <w:r>
        <w:rPr>
          <w:rFonts w:hint="eastAsia" w:ascii="宋体" w:hAnsi="宋体" w:eastAsia="宋体" w:cs="宋体"/>
          <w:b w:val="0"/>
          <w:sz w:val="21"/>
          <w:szCs w:val="21"/>
        </w:rPr>
        <w:t>3.1 本次招标及由此产生的合同受中华人民共和国有关的法律法规制约和保护。</w:t>
      </w:r>
    </w:p>
    <w:p w14:paraId="6B89AAF9">
      <w:pPr>
        <w:spacing w:line="360" w:lineRule="auto"/>
        <w:ind w:firstLine="422"/>
        <w:rPr>
          <w:rFonts w:hint="eastAsia" w:ascii="宋体" w:hAnsi="宋体" w:cs="宋体"/>
          <w:b/>
          <w:szCs w:val="21"/>
        </w:rPr>
      </w:pPr>
      <w:r>
        <w:rPr>
          <w:rFonts w:hint="eastAsia" w:ascii="宋体" w:hAnsi="宋体" w:cs="宋体"/>
          <w:b/>
          <w:szCs w:val="21"/>
        </w:rPr>
        <w:t>4.投标费用</w:t>
      </w:r>
    </w:p>
    <w:p w14:paraId="1B711117">
      <w:pPr>
        <w:spacing w:line="360" w:lineRule="auto"/>
        <w:ind w:firstLine="420"/>
        <w:rPr>
          <w:rFonts w:hint="eastAsia" w:ascii="宋体" w:hAnsi="宋体" w:cs="宋体"/>
          <w:szCs w:val="21"/>
        </w:rPr>
      </w:pPr>
      <w:r>
        <w:rPr>
          <w:rFonts w:hint="eastAsia" w:ascii="宋体" w:hAnsi="宋体" w:cs="宋体"/>
          <w:bCs/>
          <w:szCs w:val="21"/>
        </w:rPr>
        <w:t>4.1</w:t>
      </w:r>
      <w:r>
        <w:rPr>
          <w:rFonts w:hint="eastAsia" w:ascii="宋体" w:hAnsi="宋体" w:cs="宋体"/>
          <w:szCs w:val="21"/>
        </w:rPr>
        <w:t xml:space="preserve"> 投标人应自行承担所有与参加投标有关的费用，无论投标过程中的做法和结果如何，代理机构在任何情况下均无义务和责任承担这些费用。</w:t>
      </w:r>
    </w:p>
    <w:p w14:paraId="5BA951EE">
      <w:pPr>
        <w:spacing w:line="360" w:lineRule="auto"/>
        <w:ind w:firstLine="420"/>
        <w:jc w:val="left"/>
        <w:rPr>
          <w:rFonts w:hint="eastAsia" w:ascii="宋体" w:hAnsi="宋体" w:cs="宋体"/>
          <w:szCs w:val="21"/>
        </w:rPr>
      </w:pPr>
      <w:r>
        <w:rPr>
          <w:rFonts w:hint="eastAsia" w:ascii="宋体" w:hAnsi="宋体" w:cs="宋体"/>
          <w:szCs w:val="21"/>
        </w:rPr>
        <w:t>4.2本采购文件获取方式为线上下载，如未按要求操作，导致投标（响应）无效，由此产生的风险自行承担。</w:t>
      </w:r>
    </w:p>
    <w:p w14:paraId="09B9089B">
      <w:pPr>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4.3</w:t>
      </w:r>
      <w:r>
        <w:rPr>
          <w:rFonts w:hint="eastAsia" w:ascii="宋体" w:hAnsi="宋体" w:cs="宋体"/>
          <w:b/>
          <w:bCs/>
          <w:szCs w:val="21"/>
        </w:rPr>
        <w:t>本次采购由中标单位在领取中标通知书前一次性支付给招标代理机构代理服务费（具体计算方式详见下表）。</w:t>
      </w:r>
    </w:p>
    <w:tbl>
      <w:tblPr>
        <w:tblStyle w:val="36"/>
        <w:tblW w:w="8111" w:type="dxa"/>
        <w:jc w:val="center"/>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Layout w:type="fixed"/>
        <w:tblCellMar>
          <w:top w:w="0" w:type="dxa"/>
          <w:left w:w="0" w:type="dxa"/>
          <w:bottom w:w="0" w:type="dxa"/>
          <w:right w:w="0" w:type="dxa"/>
        </w:tblCellMar>
      </w:tblPr>
      <w:tblGrid>
        <w:gridCol w:w="1847"/>
        <w:gridCol w:w="2214"/>
        <w:gridCol w:w="1879"/>
        <w:gridCol w:w="2171"/>
      </w:tblGrid>
      <w:tr w14:paraId="2599B520">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795" w:hRule="atLeast"/>
          <w:jc w:val="center"/>
        </w:trPr>
        <w:tc>
          <w:tcPr>
            <w:tcW w:w="1847" w:type="dxa"/>
            <w:vMerge w:val="restart"/>
            <w:tcBorders>
              <w:tl2br w:val="nil"/>
              <w:tr2bl w:val="nil"/>
            </w:tcBorders>
            <w:noWrap/>
            <w:tcMar>
              <w:top w:w="0" w:type="dxa"/>
              <w:left w:w="108" w:type="dxa"/>
              <w:bottom w:w="0" w:type="dxa"/>
              <w:right w:w="108" w:type="dxa"/>
            </w:tcMar>
            <w:vAlign w:val="center"/>
          </w:tcPr>
          <w:p w14:paraId="1A8BE06D">
            <w:pPr>
              <w:widowControl/>
              <w:spacing w:line="360" w:lineRule="auto"/>
              <w:jc w:val="center"/>
              <w:rPr>
                <w:rFonts w:hint="eastAsia" w:ascii="宋体" w:hAnsi="宋体" w:cs="宋体"/>
                <w:spacing w:val="40"/>
                <w:szCs w:val="21"/>
              </w:rPr>
            </w:pPr>
            <w:r>
              <w:rPr>
                <w:rFonts w:hint="eastAsia" w:ascii="宋体" w:hAnsi="宋体" w:cs="宋体"/>
                <w:spacing w:val="40"/>
                <w:szCs w:val="21"/>
              </w:rPr>
              <w:t>项目</w:t>
            </w:r>
          </w:p>
          <w:p w14:paraId="032D7F55">
            <w:pPr>
              <w:widowControl/>
              <w:spacing w:line="360" w:lineRule="auto"/>
              <w:jc w:val="center"/>
              <w:rPr>
                <w:rFonts w:hint="eastAsia" w:ascii="宋体" w:hAnsi="宋体" w:cs="宋体"/>
                <w:spacing w:val="40"/>
                <w:szCs w:val="21"/>
              </w:rPr>
            </w:pPr>
            <w:r>
              <w:rPr>
                <w:rFonts w:hint="eastAsia" w:ascii="宋体" w:hAnsi="宋体" w:cs="宋体"/>
                <w:spacing w:val="40"/>
                <w:szCs w:val="21"/>
              </w:rPr>
              <w:t>类型</w:t>
            </w:r>
          </w:p>
        </w:tc>
        <w:tc>
          <w:tcPr>
            <w:tcW w:w="2214" w:type="dxa"/>
            <w:tcBorders>
              <w:tl2br w:val="nil"/>
              <w:tr2bl w:val="nil"/>
            </w:tcBorders>
            <w:noWrap/>
            <w:tcMar>
              <w:top w:w="0" w:type="dxa"/>
              <w:left w:w="108" w:type="dxa"/>
              <w:bottom w:w="0" w:type="dxa"/>
              <w:right w:w="108" w:type="dxa"/>
            </w:tcMar>
            <w:vAlign w:val="center"/>
          </w:tcPr>
          <w:p w14:paraId="037A892B">
            <w:pPr>
              <w:widowControl/>
              <w:spacing w:line="360" w:lineRule="auto"/>
              <w:jc w:val="center"/>
              <w:rPr>
                <w:rFonts w:hint="eastAsia" w:ascii="宋体" w:hAnsi="宋体" w:cs="宋体"/>
                <w:szCs w:val="21"/>
              </w:rPr>
            </w:pPr>
            <w:r>
              <w:rPr>
                <w:rFonts w:hint="eastAsia" w:ascii="宋体" w:hAnsi="宋体" w:cs="宋体"/>
                <w:szCs w:val="21"/>
              </w:rPr>
              <w:t>100万以下</w:t>
            </w:r>
          </w:p>
        </w:tc>
        <w:tc>
          <w:tcPr>
            <w:tcW w:w="1879" w:type="dxa"/>
            <w:tcBorders>
              <w:tl2br w:val="nil"/>
              <w:tr2bl w:val="nil"/>
            </w:tcBorders>
            <w:noWrap/>
            <w:tcMar>
              <w:top w:w="0" w:type="dxa"/>
              <w:left w:w="108" w:type="dxa"/>
              <w:bottom w:w="0" w:type="dxa"/>
              <w:right w:w="108" w:type="dxa"/>
            </w:tcMar>
            <w:vAlign w:val="center"/>
          </w:tcPr>
          <w:p w14:paraId="0EECED53">
            <w:pPr>
              <w:widowControl/>
              <w:spacing w:line="360" w:lineRule="auto"/>
              <w:jc w:val="center"/>
              <w:rPr>
                <w:rFonts w:hint="eastAsia" w:ascii="宋体" w:hAnsi="宋体" w:cs="宋体"/>
                <w:szCs w:val="21"/>
              </w:rPr>
            </w:pPr>
            <w:r>
              <w:rPr>
                <w:rFonts w:hint="eastAsia" w:ascii="宋体" w:hAnsi="宋体" w:cs="宋体"/>
                <w:szCs w:val="21"/>
              </w:rPr>
              <w:t>100万以上</w:t>
            </w:r>
          </w:p>
        </w:tc>
        <w:tc>
          <w:tcPr>
            <w:tcW w:w="2171" w:type="dxa"/>
            <w:tcBorders>
              <w:tl2br w:val="nil"/>
              <w:tr2bl w:val="nil"/>
            </w:tcBorders>
            <w:noWrap/>
            <w:tcMar>
              <w:top w:w="0" w:type="dxa"/>
              <w:left w:w="108" w:type="dxa"/>
              <w:bottom w:w="0" w:type="dxa"/>
              <w:right w:w="108" w:type="dxa"/>
            </w:tcMar>
            <w:vAlign w:val="center"/>
          </w:tcPr>
          <w:p w14:paraId="32594430">
            <w:pPr>
              <w:widowControl/>
              <w:spacing w:line="360" w:lineRule="auto"/>
              <w:jc w:val="center"/>
              <w:rPr>
                <w:rFonts w:hint="eastAsia" w:ascii="宋体" w:hAnsi="宋体" w:cs="宋体"/>
                <w:szCs w:val="21"/>
              </w:rPr>
            </w:pPr>
            <w:r>
              <w:rPr>
                <w:rFonts w:hint="eastAsia" w:ascii="宋体" w:hAnsi="宋体" w:cs="宋体"/>
                <w:szCs w:val="21"/>
              </w:rPr>
              <w:t>代理服务费最高限价</w:t>
            </w:r>
          </w:p>
        </w:tc>
      </w:tr>
      <w:tr w14:paraId="37C68B6B">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952" w:hRule="atLeast"/>
          <w:jc w:val="center"/>
        </w:trPr>
        <w:tc>
          <w:tcPr>
            <w:tcW w:w="1847" w:type="dxa"/>
            <w:vMerge w:val="continue"/>
            <w:tcBorders>
              <w:tl2br w:val="nil"/>
              <w:tr2bl w:val="nil"/>
            </w:tcBorders>
            <w:noWrap/>
            <w:tcMar>
              <w:top w:w="0" w:type="dxa"/>
              <w:left w:w="108" w:type="dxa"/>
              <w:bottom w:w="0" w:type="dxa"/>
              <w:right w:w="108" w:type="dxa"/>
            </w:tcMar>
            <w:vAlign w:val="center"/>
          </w:tcPr>
          <w:p w14:paraId="14C659FE">
            <w:pPr>
              <w:widowControl/>
              <w:spacing w:line="360" w:lineRule="auto"/>
              <w:jc w:val="center"/>
              <w:rPr>
                <w:rFonts w:hint="eastAsia" w:ascii="宋体" w:hAnsi="宋体" w:cs="宋体"/>
                <w:spacing w:val="40"/>
                <w:szCs w:val="21"/>
              </w:rPr>
            </w:pPr>
          </w:p>
        </w:tc>
        <w:tc>
          <w:tcPr>
            <w:tcW w:w="2214" w:type="dxa"/>
            <w:tcBorders>
              <w:tl2br w:val="nil"/>
              <w:tr2bl w:val="nil"/>
            </w:tcBorders>
            <w:noWrap/>
            <w:tcMar>
              <w:top w:w="0" w:type="dxa"/>
              <w:left w:w="108" w:type="dxa"/>
              <w:bottom w:w="0" w:type="dxa"/>
              <w:right w:w="108" w:type="dxa"/>
            </w:tcMar>
            <w:vAlign w:val="center"/>
          </w:tcPr>
          <w:p w14:paraId="18771A70">
            <w:pPr>
              <w:widowControl/>
              <w:spacing w:line="360" w:lineRule="auto"/>
              <w:jc w:val="center"/>
              <w:rPr>
                <w:rFonts w:hint="eastAsia" w:ascii="宋体" w:hAnsi="宋体" w:cs="宋体"/>
                <w:szCs w:val="21"/>
              </w:rPr>
            </w:pPr>
            <w:r>
              <w:rPr>
                <w:rFonts w:hint="eastAsia" w:ascii="宋体" w:hAnsi="宋体" w:cs="宋体"/>
                <w:szCs w:val="21"/>
              </w:rPr>
              <w:t>代理费</w:t>
            </w:r>
          </w:p>
          <w:p w14:paraId="2C3DFC83">
            <w:pPr>
              <w:widowControl/>
              <w:spacing w:line="360" w:lineRule="auto"/>
              <w:jc w:val="center"/>
              <w:rPr>
                <w:rFonts w:hint="eastAsia" w:ascii="宋体" w:hAnsi="宋体" w:cs="宋体"/>
                <w:szCs w:val="21"/>
              </w:rPr>
            </w:pPr>
            <w:r>
              <w:rPr>
                <w:rFonts w:hint="eastAsia" w:ascii="宋体" w:hAnsi="宋体" w:cs="宋体"/>
                <w:szCs w:val="21"/>
              </w:rPr>
              <w:t>（单位：元）</w:t>
            </w:r>
          </w:p>
        </w:tc>
        <w:tc>
          <w:tcPr>
            <w:tcW w:w="1879" w:type="dxa"/>
            <w:tcBorders>
              <w:tl2br w:val="nil"/>
              <w:tr2bl w:val="nil"/>
            </w:tcBorders>
            <w:noWrap/>
            <w:tcMar>
              <w:top w:w="0" w:type="dxa"/>
              <w:left w:w="108" w:type="dxa"/>
              <w:bottom w:w="0" w:type="dxa"/>
              <w:right w:w="108" w:type="dxa"/>
            </w:tcMar>
            <w:vAlign w:val="center"/>
          </w:tcPr>
          <w:p w14:paraId="610D0A29">
            <w:pPr>
              <w:widowControl/>
              <w:spacing w:line="360" w:lineRule="auto"/>
              <w:jc w:val="center"/>
              <w:rPr>
                <w:rFonts w:hint="eastAsia" w:ascii="宋体" w:hAnsi="宋体" w:cs="宋体"/>
                <w:szCs w:val="21"/>
              </w:rPr>
            </w:pPr>
            <w:r>
              <w:rPr>
                <w:rFonts w:hint="eastAsia" w:ascii="宋体" w:hAnsi="宋体" w:cs="宋体"/>
                <w:szCs w:val="21"/>
              </w:rPr>
              <w:t>代理费</w:t>
            </w:r>
          </w:p>
          <w:p w14:paraId="4C4BC3E9">
            <w:pPr>
              <w:widowControl/>
              <w:spacing w:line="360" w:lineRule="auto"/>
              <w:jc w:val="center"/>
              <w:rPr>
                <w:rFonts w:hint="eastAsia" w:ascii="宋体" w:hAnsi="宋体" w:cs="宋体"/>
                <w:szCs w:val="21"/>
              </w:rPr>
            </w:pPr>
            <w:r>
              <w:rPr>
                <w:rFonts w:hint="eastAsia" w:ascii="宋体" w:hAnsi="宋体" w:cs="宋体"/>
                <w:szCs w:val="21"/>
              </w:rPr>
              <w:t>（折扣率）</w:t>
            </w:r>
          </w:p>
        </w:tc>
        <w:tc>
          <w:tcPr>
            <w:tcW w:w="2171" w:type="dxa"/>
            <w:tcBorders>
              <w:tl2br w:val="nil"/>
              <w:tr2bl w:val="nil"/>
            </w:tcBorders>
            <w:noWrap/>
            <w:tcMar>
              <w:top w:w="0" w:type="dxa"/>
              <w:left w:w="108" w:type="dxa"/>
              <w:bottom w:w="0" w:type="dxa"/>
              <w:right w:w="108" w:type="dxa"/>
            </w:tcMar>
            <w:vAlign w:val="center"/>
          </w:tcPr>
          <w:p w14:paraId="11A7B14A">
            <w:pPr>
              <w:widowControl/>
              <w:spacing w:line="360" w:lineRule="auto"/>
              <w:jc w:val="center"/>
              <w:rPr>
                <w:rFonts w:hint="eastAsia" w:ascii="宋体" w:hAnsi="宋体" w:cs="宋体"/>
                <w:szCs w:val="21"/>
              </w:rPr>
            </w:pPr>
            <w:r>
              <w:rPr>
                <w:rFonts w:hint="eastAsia" w:ascii="宋体" w:hAnsi="宋体" w:cs="宋体"/>
                <w:szCs w:val="21"/>
              </w:rPr>
              <w:t>代理费</w:t>
            </w:r>
          </w:p>
          <w:p w14:paraId="69493015">
            <w:pPr>
              <w:widowControl/>
              <w:spacing w:line="360" w:lineRule="auto"/>
              <w:jc w:val="center"/>
              <w:rPr>
                <w:rFonts w:hint="eastAsia" w:ascii="宋体" w:hAnsi="宋体" w:cs="宋体"/>
                <w:szCs w:val="21"/>
              </w:rPr>
            </w:pPr>
            <w:r>
              <w:rPr>
                <w:rFonts w:hint="eastAsia" w:ascii="宋体" w:hAnsi="宋体" w:cs="宋体"/>
                <w:szCs w:val="21"/>
              </w:rPr>
              <w:t>（单位：元）</w:t>
            </w:r>
          </w:p>
        </w:tc>
      </w:tr>
      <w:tr w14:paraId="727CC333">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431" w:hRule="atLeast"/>
          <w:jc w:val="center"/>
        </w:trPr>
        <w:tc>
          <w:tcPr>
            <w:tcW w:w="1847" w:type="dxa"/>
            <w:tcBorders>
              <w:tl2br w:val="nil"/>
              <w:tr2bl w:val="nil"/>
            </w:tcBorders>
            <w:noWrap/>
            <w:tcMar>
              <w:top w:w="0" w:type="dxa"/>
              <w:left w:w="108" w:type="dxa"/>
              <w:bottom w:w="0" w:type="dxa"/>
              <w:right w:w="108" w:type="dxa"/>
            </w:tcMar>
            <w:vAlign w:val="center"/>
          </w:tcPr>
          <w:p w14:paraId="56DF5007">
            <w:pPr>
              <w:widowControl/>
              <w:spacing w:line="360" w:lineRule="auto"/>
              <w:jc w:val="center"/>
              <w:rPr>
                <w:rFonts w:hint="eastAsia" w:ascii="宋体" w:hAnsi="宋体" w:cs="宋体"/>
                <w:szCs w:val="21"/>
              </w:rPr>
            </w:pPr>
            <w:r>
              <w:rPr>
                <w:rFonts w:hint="eastAsia" w:ascii="宋体" w:hAnsi="宋体" w:cs="宋体"/>
                <w:szCs w:val="21"/>
              </w:rPr>
              <w:t>货物</w:t>
            </w:r>
          </w:p>
        </w:tc>
        <w:tc>
          <w:tcPr>
            <w:tcW w:w="2214" w:type="dxa"/>
            <w:vMerge w:val="restart"/>
            <w:tcBorders>
              <w:tl2br w:val="nil"/>
              <w:tr2bl w:val="nil"/>
            </w:tcBorders>
            <w:noWrap/>
            <w:tcMar>
              <w:top w:w="0" w:type="dxa"/>
              <w:left w:w="108" w:type="dxa"/>
              <w:bottom w:w="0" w:type="dxa"/>
              <w:right w:w="108" w:type="dxa"/>
            </w:tcMar>
            <w:vAlign w:val="center"/>
          </w:tcPr>
          <w:p w14:paraId="500DF34F">
            <w:pPr>
              <w:widowControl/>
              <w:spacing w:line="360" w:lineRule="auto"/>
              <w:jc w:val="center"/>
              <w:rPr>
                <w:rFonts w:hint="eastAsia" w:ascii="宋体" w:hAnsi="宋体" w:cs="宋体"/>
                <w:szCs w:val="21"/>
              </w:rPr>
            </w:pPr>
            <w:r>
              <w:rPr>
                <w:rFonts w:hint="eastAsia" w:ascii="宋体" w:hAnsi="宋体" w:cs="宋体"/>
                <w:szCs w:val="21"/>
              </w:rPr>
              <w:t>2000元</w:t>
            </w:r>
          </w:p>
        </w:tc>
        <w:tc>
          <w:tcPr>
            <w:tcW w:w="1879" w:type="dxa"/>
            <w:vMerge w:val="restart"/>
            <w:tcBorders>
              <w:tl2br w:val="nil"/>
              <w:tr2bl w:val="nil"/>
            </w:tcBorders>
            <w:noWrap/>
            <w:tcMar>
              <w:top w:w="0" w:type="dxa"/>
              <w:left w:w="108" w:type="dxa"/>
              <w:bottom w:w="0" w:type="dxa"/>
              <w:right w:w="108" w:type="dxa"/>
            </w:tcMar>
            <w:vAlign w:val="center"/>
          </w:tcPr>
          <w:p w14:paraId="423C0493">
            <w:pPr>
              <w:widowControl/>
              <w:spacing w:line="360" w:lineRule="auto"/>
              <w:jc w:val="center"/>
              <w:rPr>
                <w:rFonts w:hint="eastAsia" w:ascii="宋体" w:hAnsi="宋体" w:cs="宋体"/>
                <w:szCs w:val="21"/>
              </w:rPr>
            </w:pPr>
            <w:r>
              <w:rPr>
                <w:rFonts w:hint="eastAsia" w:ascii="宋体" w:hAnsi="宋体" w:cs="宋体"/>
                <w:szCs w:val="21"/>
                <w:u w:val="single"/>
              </w:rPr>
              <w:t>18</w:t>
            </w:r>
            <w:r>
              <w:rPr>
                <w:rFonts w:hint="eastAsia" w:ascii="宋体" w:hAnsi="宋体" w:cs="宋体"/>
                <w:szCs w:val="21"/>
              </w:rPr>
              <w:t>%</w:t>
            </w:r>
          </w:p>
        </w:tc>
        <w:tc>
          <w:tcPr>
            <w:tcW w:w="2171" w:type="dxa"/>
            <w:vMerge w:val="restart"/>
            <w:tcBorders>
              <w:tl2br w:val="nil"/>
              <w:tr2bl w:val="nil"/>
            </w:tcBorders>
            <w:noWrap/>
            <w:tcMar>
              <w:top w:w="0" w:type="dxa"/>
              <w:left w:w="108" w:type="dxa"/>
              <w:bottom w:w="0" w:type="dxa"/>
              <w:right w:w="108" w:type="dxa"/>
            </w:tcMar>
            <w:vAlign w:val="center"/>
          </w:tcPr>
          <w:p w14:paraId="1388644E">
            <w:pPr>
              <w:widowControl/>
              <w:spacing w:line="360" w:lineRule="auto"/>
              <w:jc w:val="center"/>
              <w:rPr>
                <w:rFonts w:hint="eastAsia" w:ascii="宋体" w:hAnsi="宋体" w:cs="宋体"/>
                <w:szCs w:val="21"/>
              </w:rPr>
            </w:pPr>
            <w:r>
              <w:rPr>
                <w:rFonts w:hint="eastAsia" w:ascii="宋体" w:hAnsi="宋体" w:cs="宋体"/>
                <w:szCs w:val="21"/>
              </w:rPr>
              <w:t>10000元</w:t>
            </w:r>
          </w:p>
        </w:tc>
      </w:tr>
      <w:tr w14:paraId="3484FA7E">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436" w:hRule="atLeast"/>
          <w:jc w:val="center"/>
        </w:trPr>
        <w:tc>
          <w:tcPr>
            <w:tcW w:w="1847" w:type="dxa"/>
            <w:tcBorders>
              <w:tl2br w:val="nil"/>
              <w:tr2bl w:val="nil"/>
            </w:tcBorders>
            <w:noWrap/>
            <w:tcMar>
              <w:top w:w="0" w:type="dxa"/>
              <w:left w:w="108" w:type="dxa"/>
              <w:bottom w:w="0" w:type="dxa"/>
              <w:right w:w="108" w:type="dxa"/>
            </w:tcMar>
            <w:vAlign w:val="center"/>
          </w:tcPr>
          <w:p w14:paraId="37596494">
            <w:pPr>
              <w:widowControl/>
              <w:spacing w:line="360" w:lineRule="auto"/>
              <w:jc w:val="center"/>
              <w:rPr>
                <w:rFonts w:hint="eastAsia" w:ascii="宋体" w:hAnsi="宋体" w:cs="宋体"/>
                <w:szCs w:val="21"/>
              </w:rPr>
            </w:pPr>
            <w:r>
              <w:rPr>
                <w:rFonts w:hint="eastAsia" w:ascii="宋体" w:hAnsi="宋体" w:cs="宋体"/>
                <w:szCs w:val="21"/>
              </w:rPr>
              <w:t>服务</w:t>
            </w:r>
          </w:p>
        </w:tc>
        <w:tc>
          <w:tcPr>
            <w:tcW w:w="2214" w:type="dxa"/>
            <w:vMerge w:val="continue"/>
            <w:tcBorders>
              <w:tl2br w:val="nil"/>
              <w:tr2bl w:val="nil"/>
            </w:tcBorders>
            <w:noWrap/>
            <w:tcMar>
              <w:top w:w="0" w:type="dxa"/>
              <w:left w:w="108" w:type="dxa"/>
              <w:bottom w:w="0" w:type="dxa"/>
              <w:right w:w="108" w:type="dxa"/>
            </w:tcMar>
            <w:vAlign w:val="center"/>
          </w:tcPr>
          <w:p w14:paraId="7B744EB7">
            <w:pPr>
              <w:widowControl/>
              <w:spacing w:line="360" w:lineRule="auto"/>
              <w:jc w:val="center"/>
              <w:rPr>
                <w:rFonts w:hint="eastAsia" w:ascii="宋体" w:hAnsi="宋体" w:cs="宋体"/>
                <w:szCs w:val="21"/>
              </w:rPr>
            </w:pPr>
          </w:p>
        </w:tc>
        <w:tc>
          <w:tcPr>
            <w:tcW w:w="1879" w:type="dxa"/>
            <w:vMerge w:val="continue"/>
            <w:tcBorders>
              <w:tl2br w:val="nil"/>
              <w:tr2bl w:val="nil"/>
            </w:tcBorders>
            <w:noWrap/>
            <w:tcMar>
              <w:top w:w="0" w:type="dxa"/>
              <w:left w:w="108" w:type="dxa"/>
              <w:bottom w:w="0" w:type="dxa"/>
              <w:right w:w="108" w:type="dxa"/>
            </w:tcMar>
            <w:vAlign w:val="center"/>
          </w:tcPr>
          <w:p w14:paraId="37FCB13A">
            <w:pPr>
              <w:widowControl/>
              <w:spacing w:line="360" w:lineRule="auto"/>
              <w:jc w:val="center"/>
              <w:rPr>
                <w:rFonts w:hint="eastAsia" w:ascii="宋体" w:hAnsi="宋体" w:cs="宋体"/>
                <w:szCs w:val="21"/>
              </w:rPr>
            </w:pPr>
          </w:p>
        </w:tc>
        <w:tc>
          <w:tcPr>
            <w:tcW w:w="2171" w:type="dxa"/>
            <w:vMerge w:val="continue"/>
            <w:tcBorders>
              <w:tl2br w:val="nil"/>
              <w:tr2bl w:val="nil"/>
            </w:tcBorders>
            <w:noWrap/>
            <w:tcMar>
              <w:top w:w="0" w:type="dxa"/>
              <w:left w:w="108" w:type="dxa"/>
              <w:bottom w:w="0" w:type="dxa"/>
              <w:right w:w="108" w:type="dxa"/>
            </w:tcMar>
            <w:vAlign w:val="center"/>
          </w:tcPr>
          <w:p w14:paraId="7427C387">
            <w:pPr>
              <w:widowControl/>
              <w:spacing w:line="360" w:lineRule="auto"/>
              <w:jc w:val="center"/>
              <w:rPr>
                <w:rFonts w:hint="eastAsia" w:ascii="宋体" w:hAnsi="宋体" w:cs="宋体"/>
                <w:szCs w:val="21"/>
              </w:rPr>
            </w:pPr>
          </w:p>
        </w:tc>
      </w:tr>
      <w:tr w14:paraId="5EF3C681">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535" w:hRule="atLeast"/>
          <w:jc w:val="center"/>
        </w:trPr>
        <w:tc>
          <w:tcPr>
            <w:tcW w:w="1847" w:type="dxa"/>
            <w:tcBorders>
              <w:tl2br w:val="nil"/>
              <w:tr2bl w:val="nil"/>
            </w:tcBorders>
            <w:noWrap/>
            <w:tcMar>
              <w:top w:w="0" w:type="dxa"/>
              <w:left w:w="108" w:type="dxa"/>
              <w:bottom w:w="0" w:type="dxa"/>
              <w:right w:w="108" w:type="dxa"/>
            </w:tcMar>
            <w:vAlign w:val="center"/>
          </w:tcPr>
          <w:p w14:paraId="6C8A95B4">
            <w:pPr>
              <w:widowControl/>
              <w:spacing w:line="360" w:lineRule="auto"/>
              <w:jc w:val="center"/>
              <w:rPr>
                <w:rFonts w:hint="eastAsia" w:ascii="宋体" w:hAnsi="宋体" w:cs="宋体"/>
                <w:szCs w:val="21"/>
              </w:rPr>
            </w:pPr>
            <w:r>
              <w:rPr>
                <w:rFonts w:hint="eastAsia" w:ascii="宋体" w:hAnsi="宋体" w:cs="宋体"/>
                <w:szCs w:val="21"/>
              </w:rPr>
              <w:t>工程</w:t>
            </w:r>
          </w:p>
        </w:tc>
        <w:tc>
          <w:tcPr>
            <w:tcW w:w="2214" w:type="dxa"/>
            <w:vMerge w:val="continue"/>
            <w:tcBorders>
              <w:tl2br w:val="nil"/>
              <w:tr2bl w:val="nil"/>
            </w:tcBorders>
            <w:noWrap/>
            <w:tcMar>
              <w:top w:w="0" w:type="dxa"/>
              <w:left w:w="108" w:type="dxa"/>
              <w:bottom w:w="0" w:type="dxa"/>
              <w:right w:w="108" w:type="dxa"/>
            </w:tcMar>
            <w:vAlign w:val="center"/>
          </w:tcPr>
          <w:p w14:paraId="1B9E03BE">
            <w:pPr>
              <w:widowControl/>
              <w:spacing w:line="360" w:lineRule="auto"/>
              <w:jc w:val="center"/>
              <w:rPr>
                <w:rFonts w:hint="eastAsia" w:ascii="宋体" w:hAnsi="宋体" w:cs="宋体"/>
                <w:szCs w:val="21"/>
              </w:rPr>
            </w:pPr>
          </w:p>
        </w:tc>
        <w:tc>
          <w:tcPr>
            <w:tcW w:w="1879" w:type="dxa"/>
            <w:tcBorders>
              <w:tl2br w:val="nil"/>
              <w:tr2bl w:val="nil"/>
            </w:tcBorders>
            <w:noWrap/>
            <w:tcMar>
              <w:top w:w="0" w:type="dxa"/>
              <w:left w:w="108" w:type="dxa"/>
              <w:bottom w:w="0" w:type="dxa"/>
              <w:right w:w="108" w:type="dxa"/>
            </w:tcMar>
            <w:vAlign w:val="center"/>
          </w:tcPr>
          <w:p w14:paraId="1802527D">
            <w:pPr>
              <w:widowControl/>
              <w:spacing w:line="360" w:lineRule="auto"/>
              <w:jc w:val="center"/>
              <w:rPr>
                <w:rFonts w:hint="eastAsia" w:ascii="宋体" w:hAnsi="宋体" w:cs="宋体"/>
                <w:szCs w:val="21"/>
              </w:rPr>
            </w:pPr>
            <w:r>
              <w:rPr>
                <w:rFonts w:hint="eastAsia" w:ascii="宋体" w:hAnsi="宋体" w:cs="宋体"/>
                <w:szCs w:val="21"/>
                <w:u w:val="single"/>
              </w:rPr>
              <w:t>18</w:t>
            </w:r>
            <w:r>
              <w:rPr>
                <w:rFonts w:hint="eastAsia" w:ascii="宋体" w:hAnsi="宋体" w:cs="宋体"/>
                <w:szCs w:val="21"/>
              </w:rPr>
              <w:t>%</w:t>
            </w:r>
          </w:p>
        </w:tc>
        <w:tc>
          <w:tcPr>
            <w:tcW w:w="2171" w:type="dxa"/>
            <w:vMerge w:val="continue"/>
            <w:tcBorders>
              <w:tl2br w:val="nil"/>
              <w:tr2bl w:val="nil"/>
            </w:tcBorders>
            <w:noWrap/>
            <w:tcMar>
              <w:top w:w="0" w:type="dxa"/>
              <w:left w:w="108" w:type="dxa"/>
              <w:bottom w:w="0" w:type="dxa"/>
              <w:right w:w="108" w:type="dxa"/>
            </w:tcMar>
            <w:vAlign w:val="center"/>
          </w:tcPr>
          <w:p w14:paraId="2C233D4F">
            <w:pPr>
              <w:widowControl/>
              <w:spacing w:line="360" w:lineRule="auto"/>
              <w:jc w:val="center"/>
              <w:rPr>
                <w:rFonts w:hint="eastAsia" w:ascii="宋体" w:hAnsi="宋体" w:cs="宋体"/>
                <w:szCs w:val="21"/>
              </w:rPr>
            </w:pPr>
          </w:p>
        </w:tc>
      </w:tr>
    </w:tbl>
    <w:p w14:paraId="491335A7">
      <w:pPr>
        <w:widowControl/>
        <w:spacing w:line="360" w:lineRule="auto"/>
        <w:jc w:val="center"/>
        <w:rPr>
          <w:rFonts w:hint="eastAsia" w:ascii="宋体" w:hAnsi="宋体" w:cs="宋体"/>
          <w:szCs w:val="21"/>
        </w:rPr>
      </w:pPr>
      <w:r>
        <w:rPr>
          <w:rFonts w:hint="eastAsia" w:ascii="宋体" w:hAnsi="宋体" w:cs="宋体"/>
          <w:szCs w:val="21"/>
        </w:rPr>
        <w:t>基准费率表</w:t>
      </w:r>
    </w:p>
    <w:tbl>
      <w:tblPr>
        <w:tblStyle w:val="36"/>
        <w:tblW w:w="8141" w:type="dxa"/>
        <w:jc w:val="center"/>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Layout w:type="fixed"/>
        <w:tblCellMar>
          <w:top w:w="0" w:type="dxa"/>
          <w:left w:w="0" w:type="dxa"/>
          <w:bottom w:w="0" w:type="dxa"/>
          <w:right w:w="0" w:type="dxa"/>
        </w:tblCellMar>
      </w:tblPr>
      <w:tblGrid>
        <w:gridCol w:w="2864"/>
        <w:gridCol w:w="1759"/>
        <w:gridCol w:w="1759"/>
        <w:gridCol w:w="1759"/>
      </w:tblGrid>
      <w:tr w14:paraId="7237FBA3">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27" w:hRule="atLeast"/>
          <w:jc w:val="center"/>
        </w:trPr>
        <w:tc>
          <w:tcPr>
            <w:tcW w:w="2864" w:type="dxa"/>
            <w:tcBorders>
              <w:tl2br w:val="nil"/>
              <w:tr2bl w:val="nil"/>
            </w:tcBorders>
            <w:noWrap/>
            <w:tcMar>
              <w:top w:w="0" w:type="dxa"/>
              <w:left w:w="0" w:type="dxa"/>
              <w:bottom w:w="0" w:type="dxa"/>
              <w:right w:w="0" w:type="dxa"/>
            </w:tcMar>
            <w:vAlign w:val="center"/>
          </w:tcPr>
          <w:p w14:paraId="00FE2C00">
            <w:pPr>
              <w:widowControl/>
              <w:spacing w:line="360" w:lineRule="auto"/>
              <w:jc w:val="center"/>
              <w:rPr>
                <w:rFonts w:hint="eastAsia" w:ascii="宋体" w:hAnsi="宋体" w:cs="宋体"/>
                <w:szCs w:val="21"/>
              </w:rPr>
            </w:pPr>
            <w:r>
              <w:rPr>
                <w:rFonts w:hint="eastAsia" w:ascii="宋体" w:hAnsi="宋体" w:cs="宋体"/>
                <w:szCs w:val="21"/>
              </w:rPr>
              <w:t>中标（成交）金额（万元）</w:t>
            </w:r>
          </w:p>
        </w:tc>
        <w:tc>
          <w:tcPr>
            <w:tcW w:w="1759" w:type="dxa"/>
            <w:tcBorders>
              <w:tl2br w:val="nil"/>
              <w:tr2bl w:val="nil"/>
            </w:tcBorders>
            <w:noWrap/>
            <w:tcMar>
              <w:top w:w="0" w:type="dxa"/>
              <w:left w:w="0" w:type="dxa"/>
              <w:bottom w:w="0" w:type="dxa"/>
              <w:right w:w="0" w:type="dxa"/>
            </w:tcMar>
            <w:vAlign w:val="center"/>
          </w:tcPr>
          <w:p w14:paraId="31EAB7CB">
            <w:pPr>
              <w:widowControl/>
              <w:spacing w:line="360" w:lineRule="auto"/>
              <w:jc w:val="center"/>
              <w:rPr>
                <w:rFonts w:hint="eastAsia" w:ascii="宋体" w:hAnsi="宋体" w:cs="宋体"/>
                <w:szCs w:val="21"/>
              </w:rPr>
            </w:pPr>
            <w:r>
              <w:rPr>
                <w:rFonts w:hint="eastAsia" w:ascii="宋体" w:hAnsi="宋体" w:cs="宋体"/>
                <w:szCs w:val="21"/>
              </w:rPr>
              <w:t>货物采购</w:t>
            </w:r>
          </w:p>
        </w:tc>
        <w:tc>
          <w:tcPr>
            <w:tcW w:w="1759" w:type="dxa"/>
            <w:tcBorders>
              <w:tl2br w:val="nil"/>
              <w:tr2bl w:val="nil"/>
            </w:tcBorders>
            <w:noWrap/>
            <w:tcMar>
              <w:top w:w="0" w:type="dxa"/>
              <w:left w:w="0" w:type="dxa"/>
              <w:bottom w:w="0" w:type="dxa"/>
              <w:right w:w="0" w:type="dxa"/>
            </w:tcMar>
            <w:vAlign w:val="center"/>
          </w:tcPr>
          <w:p w14:paraId="1499BEA4">
            <w:pPr>
              <w:widowControl/>
              <w:spacing w:line="360" w:lineRule="auto"/>
              <w:jc w:val="center"/>
              <w:rPr>
                <w:rFonts w:hint="eastAsia" w:ascii="宋体" w:hAnsi="宋体" w:cs="宋体"/>
                <w:szCs w:val="21"/>
              </w:rPr>
            </w:pPr>
            <w:r>
              <w:rPr>
                <w:rFonts w:hint="eastAsia" w:ascii="宋体" w:hAnsi="宋体" w:cs="宋体"/>
                <w:szCs w:val="21"/>
              </w:rPr>
              <w:t>服务采购</w:t>
            </w:r>
          </w:p>
        </w:tc>
        <w:tc>
          <w:tcPr>
            <w:tcW w:w="1759" w:type="dxa"/>
            <w:tcBorders>
              <w:tl2br w:val="nil"/>
              <w:tr2bl w:val="nil"/>
            </w:tcBorders>
            <w:noWrap/>
            <w:tcMar>
              <w:top w:w="0" w:type="dxa"/>
              <w:left w:w="0" w:type="dxa"/>
              <w:bottom w:w="0" w:type="dxa"/>
              <w:right w:w="0" w:type="dxa"/>
            </w:tcMar>
            <w:vAlign w:val="center"/>
          </w:tcPr>
          <w:p w14:paraId="69335B07">
            <w:pPr>
              <w:widowControl/>
              <w:spacing w:line="360" w:lineRule="auto"/>
              <w:jc w:val="center"/>
              <w:rPr>
                <w:rFonts w:hint="eastAsia" w:ascii="宋体" w:hAnsi="宋体" w:cs="宋体"/>
                <w:szCs w:val="21"/>
              </w:rPr>
            </w:pPr>
            <w:r>
              <w:rPr>
                <w:rFonts w:hint="eastAsia" w:ascii="宋体" w:hAnsi="宋体" w:cs="宋体"/>
                <w:szCs w:val="21"/>
              </w:rPr>
              <w:t>工程采购</w:t>
            </w:r>
          </w:p>
        </w:tc>
      </w:tr>
      <w:tr w14:paraId="7EA5571A">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374" w:hRule="atLeast"/>
          <w:jc w:val="center"/>
        </w:trPr>
        <w:tc>
          <w:tcPr>
            <w:tcW w:w="2864" w:type="dxa"/>
            <w:tcBorders>
              <w:tl2br w:val="nil"/>
              <w:tr2bl w:val="nil"/>
            </w:tcBorders>
            <w:noWrap/>
            <w:tcMar>
              <w:top w:w="0" w:type="dxa"/>
              <w:left w:w="0" w:type="dxa"/>
              <w:bottom w:w="0" w:type="dxa"/>
              <w:right w:w="0" w:type="dxa"/>
            </w:tcMar>
            <w:vAlign w:val="center"/>
          </w:tcPr>
          <w:p w14:paraId="68BD8783">
            <w:pPr>
              <w:widowControl/>
              <w:spacing w:line="360" w:lineRule="auto"/>
              <w:jc w:val="center"/>
              <w:rPr>
                <w:rFonts w:hint="eastAsia" w:ascii="宋体" w:hAnsi="宋体" w:cs="宋体"/>
                <w:szCs w:val="21"/>
              </w:rPr>
            </w:pPr>
            <w:r>
              <w:rPr>
                <w:rFonts w:hint="eastAsia" w:ascii="宋体" w:hAnsi="宋体" w:cs="宋体"/>
                <w:szCs w:val="21"/>
              </w:rPr>
              <w:t>100以下</w:t>
            </w:r>
          </w:p>
        </w:tc>
        <w:tc>
          <w:tcPr>
            <w:tcW w:w="1759" w:type="dxa"/>
            <w:tcBorders>
              <w:tl2br w:val="nil"/>
              <w:tr2bl w:val="nil"/>
            </w:tcBorders>
            <w:noWrap/>
            <w:tcMar>
              <w:top w:w="0" w:type="dxa"/>
              <w:left w:w="0" w:type="dxa"/>
              <w:bottom w:w="0" w:type="dxa"/>
              <w:right w:w="0" w:type="dxa"/>
            </w:tcMar>
            <w:vAlign w:val="center"/>
          </w:tcPr>
          <w:p w14:paraId="4A048AA0">
            <w:pPr>
              <w:widowControl/>
              <w:spacing w:line="360" w:lineRule="auto"/>
              <w:jc w:val="center"/>
              <w:rPr>
                <w:rFonts w:hint="eastAsia" w:ascii="宋体" w:hAnsi="宋体" w:cs="宋体"/>
                <w:szCs w:val="21"/>
              </w:rPr>
            </w:pPr>
            <w:r>
              <w:rPr>
                <w:rFonts w:hint="eastAsia" w:ascii="宋体" w:hAnsi="宋体" w:cs="宋体"/>
                <w:szCs w:val="21"/>
              </w:rPr>
              <w:t>1.5％</w:t>
            </w:r>
          </w:p>
        </w:tc>
        <w:tc>
          <w:tcPr>
            <w:tcW w:w="1759" w:type="dxa"/>
            <w:tcBorders>
              <w:tl2br w:val="nil"/>
              <w:tr2bl w:val="nil"/>
            </w:tcBorders>
            <w:noWrap/>
            <w:tcMar>
              <w:top w:w="0" w:type="dxa"/>
              <w:left w:w="0" w:type="dxa"/>
              <w:bottom w:w="0" w:type="dxa"/>
              <w:right w:w="0" w:type="dxa"/>
            </w:tcMar>
            <w:vAlign w:val="center"/>
          </w:tcPr>
          <w:p w14:paraId="2B46F464">
            <w:pPr>
              <w:widowControl/>
              <w:spacing w:line="360" w:lineRule="auto"/>
              <w:jc w:val="center"/>
              <w:rPr>
                <w:rFonts w:hint="eastAsia" w:ascii="宋体" w:hAnsi="宋体" w:cs="宋体"/>
                <w:szCs w:val="21"/>
              </w:rPr>
            </w:pPr>
            <w:r>
              <w:rPr>
                <w:rFonts w:hint="eastAsia" w:ascii="宋体" w:hAnsi="宋体" w:cs="宋体"/>
                <w:szCs w:val="21"/>
              </w:rPr>
              <w:t>1.5％</w:t>
            </w:r>
          </w:p>
        </w:tc>
        <w:tc>
          <w:tcPr>
            <w:tcW w:w="1759" w:type="dxa"/>
            <w:tcBorders>
              <w:tl2br w:val="nil"/>
              <w:tr2bl w:val="nil"/>
            </w:tcBorders>
            <w:noWrap/>
            <w:tcMar>
              <w:top w:w="0" w:type="dxa"/>
              <w:left w:w="0" w:type="dxa"/>
              <w:bottom w:w="0" w:type="dxa"/>
              <w:right w:w="0" w:type="dxa"/>
            </w:tcMar>
            <w:vAlign w:val="center"/>
          </w:tcPr>
          <w:p w14:paraId="5C1A791E">
            <w:pPr>
              <w:widowControl/>
              <w:spacing w:line="360" w:lineRule="auto"/>
              <w:jc w:val="center"/>
              <w:rPr>
                <w:rFonts w:hint="eastAsia" w:ascii="宋体" w:hAnsi="宋体" w:cs="宋体"/>
                <w:szCs w:val="21"/>
              </w:rPr>
            </w:pPr>
            <w:r>
              <w:rPr>
                <w:rFonts w:hint="eastAsia" w:ascii="宋体" w:hAnsi="宋体" w:cs="宋体"/>
                <w:szCs w:val="21"/>
              </w:rPr>
              <w:t>1.0％</w:t>
            </w:r>
          </w:p>
        </w:tc>
      </w:tr>
      <w:tr w14:paraId="322CB490">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27" w:hRule="atLeast"/>
          <w:jc w:val="center"/>
        </w:trPr>
        <w:tc>
          <w:tcPr>
            <w:tcW w:w="2864" w:type="dxa"/>
            <w:tcBorders>
              <w:tl2br w:val="nil"/>
              <w:tr2bl w:val="nil"/>
            </w:tcBorders>
            <w:noWrap/>
            <w:tcMar>
              <w:top w:w="0" w:type="dxa"/>
              <w:left w:w="0" w:type="dxa"/>
              <w:bottom w:w="0" w:type="dxa"/>
              <w:right w:w="0" w:type="dxa"/>
            </w:tcMar>
            <w:vAlign w:val="center"/>
          </w:tcPr>
          <w:p w14:paraId="280B6D2B">
            <w:pPr>
              <w:widowControl/>
              <w:spacing w:line="360" w:lineRule="auto"/>
              <w:jc w:val="center"/>
              <w:rPr>
                <w:rFonts w:hint="eastAsia" w:ascii="宋体" w:hAnsi="宋体" w:cs="宋体"/>
                <w:szCs w:val="21"/>
              </w:rPr>
            </w:pPr>
            <w:r>
              <w:rPr>
                <w:rFonts w:hint="eastAsia" w:ascii="宋体" w:hAnsi="宋体" w:cs="宋体"/>
                <w:szCs w:val="21"/>
              </w:rPr>
              <w:t>100-500</w:t>
            </w:r>
          </w:p>
        </w:tc>
        <w:tc>
          <w:tcPr>
            <w:tcW w:w="1759" w:type="dxa"/>
            <w:tcBorders>
              <w:tl2br w:val="nil"/>
              <w:tr2bl w:val="nil"/>
            </w:tcBorders>
            <w:noWrap/>
            <w:tcMar>
              <w:top w:w="0" w:type="dxa"/>
              <w:left w:w="0" w:type="dxa"/>
              <w:bottom w:w="0" w:type="dxa"/>
              <w:right w:w="0" w:type="dxa"/>
            </w:tcMar>
            <w:vAlign w:val="center"/>
          </w:tcPr>
          <w:p w14:paraId="5967D3AD">
            <w:pPr>
              <w:widowControl/>
              <w:spacing w:line="360" w:lineRule="auto"/>
              <w:jc w:val="center"/>
              <w:rPr>
                <w:rFonts w:hint="eastAsia" w:ascii="宋体" w:hAnsi="宋体" w:cs="宋体"/>
                <w:szCs w:val="21"/>
              </w:rPr>
            </w:pPr>
            <w:r>
              <w:rPr>
                <w:rFonts w:hint="eastAsia" w:ascii="宋体" w:hAnsi="宋体" w:cs="宋体"/>
                <w:szCs w:val="21"/>
              </w:rPr>
              <w:t>1.1％</w:t>
            </w:r>
          </w:p>
        </w:tc>
        <w:tc>
          <w:tcPr>
            <w:tcW w:w="1759" w:type="dxa"/>
            <w:tcBorders>
              <w:tl2br w:val="nil"/>
              <w:tr2bl w:val="nil"/>
            </w:tcBorders>
            <w:noWrap/>
            <w:tcMar>
              <w:top w:w="0" w:type="dxa"/>
              <w:left w:w="0" w:type="dxa"/>
              <w:bottom w:w="0" w:type="dxa"/>
              <w:right w:w="0" w:type="dxa"/>
            </w:tcMar>
            <w:vAlign w:val="center"/>
          </w:tcPr>
          <w:p w14:paraId="7F307181">
            <w:pPr>
              <w:widowControl/>
              <w:spacing w:line="360" w:lineRule="auto"/>
              <w:jc w:val="center"/>
              <w:rPr>
                <w:rFonts w:hint="eastAsia" w:ascii="宋体" w:hAnsi="宋体" w:cs="宋体"/>
                <w:szCs w:val="21"/>
              </w:rPr>
            </w:pPr>
            <w:r>
              <w:rPr>
                <w:rFonts w:hint="eastAsia" w:ascii="宋体" w:hAnsi="宋体" w:cs="宋体"/>
                <w:szCs w:val="21"/>
              </w:rPr>
              <w:t>0.8％</w:t>
            </w:r>
          </w:p>
        </w:tc>
        <w:tc>
          <w:tcPr>
            <w:tcW w:w="1759" w:type="dxa"/>
            <w:tcBorders>
              <w:tl2br w:val="nil"/>
              <w:tr2bl w:val="nil"/>
            </w:tcBorders>
            <w:noWrap/>
            <w:tcMar>
              <w:top w:w="0" w:type="dxa"/>
              <w:left w:w="0" w:type="dxa"/>
              <w:bottom w:w="0" w:type="dxa"/>
              <w:right w:w="0" w:type="dxa"/>
            </w:tcMar>
            <w:vAlign w:val="center"/>
          </w:tcPr>
          <w:p w14:paraId="007F6405">
            <w:pPr>
              <w:widowControl/>
              <w:spacing w:line="360" w:lineRule="auto"/>
              <w:jc w:val="center"/>
              <w:rPr>
                <w:rFonts w:hint="eastAsia" w:ascii="宋体" w:hAnsi="宋体" w:cs="宋体"/>
                <w:szCs w:val="21"/>
              </w:rPr>
            </w:pPr>
            <w:r>
              <w:rPr>
                <w:rFonts w:hint="eastAsia" w:ascii="宋体" w:hAnsi="宋体" w:cs="宋体"/>
                <w:szCs w:val="21"/>
              </w:rPr>
              <w:t>0.7％</w:t>
            </w:r>
          </w:p>
        </w:tc>
      </w:tr>
      <w:tr w14:paraId="5EF3E8CA">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27" w:hRule="atLeast"/>
          <w:jc w:val="center"/>
        </w:trPr>
        <w:tc>
          <w:tcPr>
            <w:tcW w:w="2864" w:type="dxa"/>
            <w:tcBorders>
              <w:tl2br w:val="nil"/>
              <w:tr2bl w:val="nil"/>
            </w:tcBorders>
            <w:noWrap/>
            <w:tcMar>
              <w:top w:w="0" w:type="dxa"/>
              <w:left w:w="0" w:type="dxa"/>
              <w:bottom w:w="0" w:type="dxa"/>
              <w:right w:w="0" w:type="dxa"/>
            </w:tcMar>
            <w:vAlign w:val="center"/>
          </w:tcPr>
          <w:p w14:paraId="7817BA3F">
            <w:pPr>
              <w:widowControl/>
              <w:spacing w:line="360" w:lineRule="auto"/>
              <w:jc w:val="center"/>
              <w:rPr>
                <w:rFonts w:hint="eastAsia" w:ascii="宋体" w:hAnsi="宋体" w:cs="宋体"/>
                <w:szCs w:val="21"/>
              </w:rPr>
            </w:pPr>
            <w:r>
              <w:rPr>
                <w:rFonts w:hint="eastAsia" w:ascii="宋体" w:hAnsi="宋体" w:cs="宋体"/>
                <w:szCs w:val="21"/>
              </w:rPr>
              <w:t>500-1000</w:t>
            </w:r>
          </w:p>
        </w:tc>
        <w:tc>
          <w:tcPr>
            <w:tcW w:w="1759" w:type="dxa"/>
            <w:tcBorders>
              <w:tl2br w:val="nil"/>
              <w:tr2bl w:val="nil"/>
            </w:tcBorders>
            <w:noWrap/>
            <w:tcMar>
              <w:top w:w="0" w:type="dxa"/>
              <w:left w:w="0" w:type="dxa"/>
              <w:bottom w:w="0" w:type="dxa"/>
              <w:right w:w="0" w:type="dxa"/>
            </w:tcMar>
            <w:vAlign w:val="center"/>
          </w:tcPr>
          <w:p w14:paraId="41510899">
            <w:pPr>
              <w:widowControl/>
              <w:spacing w:line="360" w:lineRule="auto"/>
              <w:jc w:val="center"/>
              <w:rPr>
                <w:rFonts w:hint="eastAsia" w:ascii="宋体" w:hAnsi="宋体" w:cs="宋体"/>
                <w:szCs w:val="21"/>
              </w:rPr>
            </w:pPr>
            <w:r>
              <w:rPr>
                <w:rFonts w:hint="eastAsia" w:ascii="宋体" w:hAnsi="宋体" w:cs="宋体"/>
                <w:szCs w:val="21"/>
              </w:rPr>
              <w:t>0.8％</w:t>
            </w:r>
          </w:p>
        </w:tc>
        <w:tc>
          <w:tcPr>
            <w:tcW w:w="1759" w:type="dxa"/>
            <w:tcBorders>
              <w:tl2br w:val="nil"/>
              <w:tr2bl w:val="nil"/>
            </w:tcBorders>
            <w:noWrap/>
            <w:tcMar>
              <w:top w:w="0" w:type="dxa"/>
              <w:left w:w="0" w:type="dxa"/>
              <w:bottom w:w="0" w:type="dxa"/>
              <w:right w:w="0" w:type="dxa"/>
            </w:tcMar>
            <w:vAlign w:val="center"/>
          </w:tcPr>
          <w:p w14:paraId="5CC3A1A2">
            <w:pPr>
              <w:widowControl/>
              <w:spacing w:line="360" w:lineRule="auto"/>
              <w:jc w:val="center"/>
              <w:rPr>
                <w:rFonts w:hint="eastAsia" w:ascii="宋体" w:hAnsi="宋体" w:cs="宋体"/>
                <w:szCs w:val="21"/>
              </w:rPr>
            </w:pPr>
            <w:r>
              <w:rPr>
                <w:rFonts w:hint="eastAsia" w:ascii="宋体" w:hAnsi="宋体" w:cs="宋体"/>
                <w:szCs w:val="21"/>
              </w:rPr>
              <w:t>0.45％</w:t>
            </w:r>
          </w:p>
        </w:tc>
        <w:tc>
          <w:tcPr>
            <w:tcW w:w="1759" w:type="dxa"/>
            <w:tcBorders>
              <w:tl2br w:val="nil"/>
              <w:tr2bl w:val="nil"/>
            </w:tcBorders>
            <w:noWrap/>
            <w:tcMar>
              <w:top w:w="0" w:type="dxa"/>
              <w:left w:w="0" w:type="dxa"/>
              <w:bottom w:w="0" w:type="dxa"/>
              <w:right w:w="0" w:type="dxa"/>
            </w:tcMar>
            <w:vAlign w:val="center"/>
          </w:tcPr>
          <w:p w14:paraId="581CABB3">
            <w:pPr>
              <w:widowControl/>
              <w:spacing w:line="360" w:lineRule="auto"/>
              <w:jc w:val="center"/>
              <w:rPr>
                <w:rFonts w:hint="eastAsia" w:ascii="宋体" w:hAnsi="宋体" w:cs="宋体"/>
                <w:szCs w:val="21"/>
              </w:rPr>
            </w:pPr>
            <w:r>
              <w:rPr>
                <w:rFonts w:hint="eastAsia" w:ascii="宋体" w:hAnsi="宋体" w:cs="宋体"/>
                <w:szCs w:val="21"/>
              </w:rPr>
              <w:t>0.55％</w:t>
            </w:r>
          </w:p>
        </w:tc>
      </w:tr>
      <w:tr w14:paraId="67DB9B69">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27" w:hRule="atLeast"/>
          <w:jc w:val="center"/>
        </w:trPr>
        <w:tc>
          <w:tcPr>
            <w:tcW w:w="2864" w:type="dxa"/>
            <w:tcBorders>
              <w:tl2br w:val="nil"/>
              <w:tr2bl w:val="nil"/>
            </w:tcBorders>
            <w:noWrap/>
            <w:tcMar>
              <w:top w:w="0" w:type="dxa"/>
              <w:left w:w="0" w:type="dxa"/>
              <w:bottom w:w="0" w:type="dxa"/>
              <w:right w:w="0" w:type="dxa"/>
            </w:tcMar>
            <w:vAlign w:val="center"/>
          </w:tcPr>
          <w:p w14:paraId="4E366366">
            <w:pPr>
              <w:widowControl/>
              <w:spacing w:line="360" w:lineRule="auto"/>
              <w:jc w:val="center"/>
              <w:rPr>
                <w:rFonts w:hint="eastAsia" w:ascii="宋体" w:hAnsi="宋体" w:cs="宋体"/>
                <w:szCs w:val="21"/>
              </w:rPr>
            </w:pPr>
            <w:r>
              <w:rPr>
                <w:rFonts w:hint="eastAsia" w:ascii="宋体" w:hAnsi="宋体" w:cs="宋体"/>
                <w:szCs w:val="21"/>
              </w:rPr>
              <w:t>1000-5000</w:t>
            </w:r>
          </w:p>
        </w:tc>
        <w:tc>
          <w:tcPr>
            <w:tcW w:w="1759" w:type="dxa"/>
            <w:tcBorders>
              <w:tl2br w:val="nil"/>
              <w:tr2bl w:val="nil"/>
            </w:tcBorders>
            <w:noWrap/>
            <w:tcMar>
              <w:top w:w="0" w:type="dxa"/>
              <w:left w:w="0" w:type="dxa"/>
              <w:bottom w:w="0" w:type="dxa"/>
              <w:right w:w="0" w:type="dxa"/>
            </w:tcMar>
            <w:vAlign w:val="center"/>
          </w:tcPr>
          <w:p w14:paraId="17902DFA">
            <w:pPr>
              <w:widowControl/>
              <w:spacing w:line="360" w:lineRule="auto"/>
              <w:jc w:val="center"/>
              <w:rPr>
                <w:rFonts w:hint="eastAsia" w:ascii="宋体" w:hAnsi="宋体" w:cs="宋体"/>
                <w:szCs w:val="21"/>
              </w:rPr>
            </w:pPr>
            <w:r>
              <w:rPr>
                <w:rFonts w:hint="eastAsia" w:ascii="宋体" w:hAnsi="宋体" w:cs="宋体"/>
                <w:szCs w:val="21"/>
              </w:rPr>
              <w:t>0.5％</w:t>
            </w:r>
          </w:p>
        </w:tc>
        <w:tc>
          <w:tcPr>
            <w:tcW w:w="1759" w:type="dxa"/>
            <w:tcBorders>
              <w:tl2br w:val="nil"/>
              <w:tr2bl w:val="nil"/>
            </w:tcBorders>
            <w:noWrap/>
            <w:tcMar>
              <w:top w:w="0" w:type="dxa"/>
              <w:left w:w="0" w:type="dxa"/>
              <w:bottom w:w="0" w:type="dxa"/>
              <w:right w:w="0" w:type="dxa"/>
            </w:tcMar>
            <w:vAlign w:val="center"/>
          </w:tcPr>
          <w:p w14:paraId="11409535">
            <w:pPr>
              <w:widowControl/>
              <w:spacing w:line="360" w:lineRule="auto"/>
              <w:jc w:val="center"/>
              <w:rPr>
                <w:rFonts w:hint="eastAsia" w:ascii="宋体" w:hAnsi="宋体" w:cs="宋体"/>
                <w:szCs w:val="21"/>
              </w:rPr>
            </w:pPr>
            <w:r>
              <w:rPr>
                <w:rFonts w:hint="eastAsia" w:ascii="宋体" w:hAnsi="宋体" w:cs="宋体"/>
                <w:szCs w:val="21"/>
              </w:rPr>
              <w:t>0.25％</w:t>
            </w:r>
          </w:p>
        </w:tc>
        <w:tc>
          <w:tcPr>
            <w:tcW w:w="1759" w:type="dxa"/>
            <w:tcBorders>
              <w:tl2br w:val="nil"/>
              <w:tr2bl w:val="nil"/>
            </w:tcBorders>
            <w:noWrap/>
            <w:tcMar>
              <w:top w:w="0" w:type="dxa"/>
              <w:left w:w="0" w:type="dxa"/>
              <w:bottom w:w="0" w:type="dxa"/>
              <w:right w:w="0" w:type="dxa"/>
            </w:tcMar>
            <w:vAlign w:val="center"/>
          </w:tcPr>
          <w:p w14:paraId="75A8CD5F">
            <w:pPr>
              <w:widowControl/>
              <w:spacing w:line="360" w:lineRule="auto"/>
              <w:jc w:val="center"/>
              <w:rPr>
                <w:rFonts w:hint="eastAsia" w:ascii="宋体" w:hAnsi="宋体" w:cs="宋体"/>
                <w:szCs w:val="21"/>
              </w:rPr>
            </w:pPr>
            <w:r>
              <w:rPr>
                <w:rFonts w:hint="eastAsia" w:ascii="宋体" w:hAnsi="宋体" w:cs="宋体"/>
                <w:szCs w:val="21"/>
              </w:rPr>
              <w:t>0.35％</w:t>
            </w:r>
          </w:p>
        </w:tc>
      </w:tr>
      <w:tr w14:paraId="6EEEAB0A">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27" w:hRule="atLeast"/>
          <w:jc w:val="center"/>
        </w:trPr>
        <w:tc>
          <w:tcPr>
            <w:tcW w:w="2864" w:type="dxa"/>
            <w:tcBorders>
              <w:tl2br w:val="nil"/>
              <w:tr2bl w:val="nil"/>
            </w:tcBorders>
            <w:noWrap/>
            <w:tcMar>
              <w:top w:w="0" w:type="dxa"/>
              <w:left w:w="0" w:type="dxa"/>
              <w:bottom w:w="0" w:type="dxa"/>
              <w:right w:w="0" w:type="dxa"/>
            </w:tcMar>
            <w:vAlign w:val="center"/>
          </w:tcPr>
          <w:p w14:paraId="6EE60C8B">
            <w:pPr>
              <w:widowControl/>
              <w:spacing w:line="360" w:lineRule="auto"/>
              <w:jc w:val="center"/>
              <w:rPr>
                <w:rFonts w:hint="eastAsia" w:ascii="宋体" w:hAnsi="宋体" w:cs="宋体"/>
                <w:szCs w:val="21"/>
              </w:rPr>
            </w:pPr>
            <w:r>
              <w:rPr>
                <w:rFonts w:hint="eastAsia" w:ascii="宋体" w:hAnsi="宋体" w:cs="宋体"/>
                <w:szCs w:val="21"/>
              </w:rPr>
              <w:t>5000-1亿</w:t>
            </w:r>
          </w:p>
        </w:tc>
        <w:tc>
          <w:tcPr>
            <w:tcW w:w="1759" w:type="dxa"/>
            <w:tcBorders>
              <w:tl2br w:val="nil"/>
              <w:tr2bl w:val="nil"/>
            </w:tcBorders>
            <w:noWrap/>
            <w:tcMar>
              <w:top w:w="0" w:type="dxa"/>
              <w:left w:w="0" w:type="dxa"/>
              <w:bottom w:w="0" w:type="dxa"/>
              <w:right w:w="0" w:type="dxa"/>
            </w:tcMar>
            <w:vAlign w:val="center"/>
          </w:tcPr>
          <w:p w14:paraId="0A7C24F0">
            <w:pPr>
              <w:widowControl/>
              <w:spacing w:line="360" w:lineRule="auto"/>
              <w:jc w:val="center"/>
              <w:rPr>
                <w:rFonts w:hint="eastAsia" w:ascii="宋体" w:hAnsi="宋体" w:cs="宋体"/>
                <w:szCs w:val="21"/>
              </w:rPr>
            </w:pPr>
            <w:r>
              <w:rPr>
                <w:rFonts w:hint="eastAsia" w:ascii="宋体" w:hAnsi="宋体" w:cs="宋体"/>
                <w:szCs w:val="21"/>
              </w:rPr>
              <w:t>0.25％</w:t>
            </w:r>
          </w:p>
        </w:tc>
        <w:tc>
          <w:tcPr>
            <w:tcW w:w="1759" w:type="dxa"/>
            <w:tcBorders>
              <w:tl2br w:val="nil"/>
              <w:tr2bl w:val="nil"/>
            </w:tcBorders>
            <w:noWrap/>
            <w:tcMar>
              <w:top w:w="0" w:type="dxa"/>
              <w:left w:w="0" w:type="dxa"/>
              <w:bottom w:w="0" w:type="dxa"/>
              <w:right w:w="0" w:type="dxa"/>
            </w:tcMar>
            <w:vAlign w:val="center"/>
          </w:tcPr>
          <w:p w14:paraId="57A1C927">
            <w:pPr>
              <w:widowControl/>
              <w:spacing w:line="360" w:lineRule="auto"/>
              <w:jc w:val="center"/>
              <w:rPr>
                <w:rFonts w:hint="eastAsia" w:ascii="宋体" w:hAnsi="宋体" w:cs="宋体"/>
                <w:szCs w:val="21"/>
              </w:rPr>
            </w:pPr>
            <w:r>
              <w:rPr>
                <w:rFonts w:hint="eastAsia" w:ascii="宋体" w:hAnsi="宋体" w:cs="宋体"/>
                <w:szCs w:val="21"/>
              </w:rPr>
              <w:t>0.1％</w:t>
            </w:r>
          </w:p>
        </w:tc>
        <w:tc>
          <w:tcPr>
            <w:tcW w:w="1759" w:type="dxa"/>
            <w:tcBorders>
              <w:tl2br w:val="nil"/>
              <w:tr2bl w:val="nil"/>
            </w:tcBorders>
            <w:noWrap/>
            <w:tcMar>
              <w:top w:w="0" w:type="dxa"/>
              <w:left w:w="0" w:type="dxa"/>
              <w:bottom w:w="0" w:type="dxa"/>
              <w:right w:w="0" w:type="dxa"/>
            </w:tcMar>
            <w:vAlign w:val="center"/>
          </w:tcPr>
          <w:p w14:paraId="74AEBF52">
            <w:pPr>
              <w:widowControl/>
              <w:spacing w:line="360" w:lineRule="auto"/>
              <w:jc w:val="center"/>
              <w:rPr>
                <w:rFonts w:hint="eastAsia" w:ascii="宋体" w:hAnsi="宋体" w:cs="宋体"/>
                <w:szCs w:val="21"/>
              </w:rPr>
            </w:pPr>
            <w:r>
              <w:rPr>
                <w:rFonts w:hint="eastAsia" w:ascii="宋体" w:hAnsi="宋体" w:cs="宋体"/>
                <w:szCs w:val="21"/>
              </w:rPr>
              <w:t>0.2％</w:t>
            </w:r>
          </w:p>
        </w:tc>
      </w:tr>
      <w:tr w14:paraId="198B0029">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27" w:hRule="atLeast"/>
          <w:jc w:val="center"/>
        </w:trPr>
        <w:tc>
          <w:tcPr>
            <w:tcW w:w="2864" w:type="dxa"/>
            <w:tcBorders>
              <w:tl2br w:val="nil"/>
              <w:tr2bl w:val="nil"/>
            </w:tcBorders>
            <w:noWrap/>
            <w:tcMar>
              <w:top w:w="0" w:type="dxa"/>
              <w:left w:w="0" w:type="dxa"/>
              <w:bottom w:w="0" w:type="dxa"/>
              <w:right w:w="0" w:type="dxa"/>
            </w:tcMar>
            <w:vAlign w:val="center"/>
          </w:tcPr>
          <w:p w14:paraId="5524A162">
            <w:pPr>
              <w:widowControl/>
              <w:spacing w:line="360" w:lineRule="auto"/>
              <w:jc w:val="center"/>
              <w:rPr>
                <w:rFonts w:hint="eastAsia" w:ascii="宋体" w:hAnsi="宋体" w:cs="宋体"/>
                <w:szCs w:val="21"/>
              </w:rPr>
            </w:pPr>
            <w:r>
              <w:rPr>
                <w:rFonts w:hint="eastAsia" w:ascii="宋体" w:hAnsi="宋体" w:cs="宋体"/>
                <w:szCs w:val="21"/>
              </w:rPr>
              <w:t>1亿以上</w:t>
            </w:r>
          </w:p>
        </w:tc>
        <w:tc>
          <w:tcPr>
            <w:tcW w:w="1759" w:type="dxa"/>
            <w:tcBorders>
              <w:tl2br w:val="nil"/>
              <w:tr2bl w:val="nil"/>
            </w:tcBorders>
            <w:noWrap/>
            <w:tcMar>
              <w:top w:w="0" w:type="dxa"/>
              <w:left w:w="0" w:type="dxa"/>
              <w:bottom w:w="0" w:type="dxa"/>
              <w:right w:w="0" w:type="dxa"/>
            </w:tcMar>
            <w:vAlign w:val="center"/>
          </w:tcPr>
          <w:p w14:paraId="79500517">
            <w:pPr>
              <w:widowControl/>
              <w:spacing w:line="360" w:lineRule="auto"/>
              <w:jc w:val="center"/>
              <w:rPr>
                <w:rFonts w:hint="eastAsia" w:ascii="宋体" w:hAnsi="宋体" w:cs="宋体"/>
                <w:szCs w:val="21"/>
              </w:rPr>
            </w:pPr>
            <w:r>
              <w:rPr>
                <w:rFonts w:hint="eastAsia" w:ascii="宋体" w:hAnsi="宋体" w:cs="宋体"/>
                <w:szCs w:val="21"/>
              </w:rPr>
              <w:t>0.05％</w:t>
            </w:r>
          </w:p>
        </w:tc>
        <w:tc>
          <w:tcPr>
            <w:tcW w:w="1759" w:type="dxa"/>
            <w:tcBorders>
              <w:tl2br w:val="nil"/>
              <w:tr2bl w:val="nil"/>
            </w:tcBorders>
            <w:noWrap/>
            <w:tcMar>
              <w:top w:w="0" w:type="dxa"/>
              <w:left w:w="0" w:type="dxa"/>
              <w:bottom w:w="0" w:type="dxa"/>
              <w:right w:w="0" w:type="dxa"/>
            </w:tcMar>
            <w:vAlign w:val="center"/>
          </w:tcPr>
          <w:p w14:paraId="0DE0310E">
            <w:pPr>
              <w:widowControl/>
              <w:spacing w:line="360" w:lineRule="auto"/>
              <w:jc w:val="center"/>
              <w:rPr>
                <w:rFonts w:hint="eastAsia" w:ascii="宋体" w:hAnsi="宋体" w:cs="宋体"/>
                <w:szCs w:val="21"/>
              </w:rPr>
            </w:pPr>
            <w:r>
              <w:rPr>
                <w:rFonts w:hint="eastAsia" w:ascii="宋体" w:hAnsi="宋体" w:cs="宋体"/>
                <w:szCs w:val="21"/>
              </w:rPr>
              <w:t>0.05％</w:t>
            </w:r>
          </w:p>
        </w:tc>
        <w:tc>
          <w:tcPr>
            <w:tcW w:w="1759" w:type="dxa"/>
            <w:tcBorders>
              <w:tl2br w:val="nil"/>
              <w:tr2bl w:val="nil"/>
            </w:tcBorders>
            <w:noWrap/>
            <w:tcMar>
              <w:top w:w="0" w:type="dxa"/>
              <w:left w:w="0" w:type="dxa"/>
              <w:bottom w:w="0" w:type="dxa"/>
              <w:right w:w="0" w:type="dxa"/>
            </w:tcMar>
            <w:vAlign w:val="center"/>
          </w:tcPr>
          <w:p w14:paraId="6CC69690">
            <w:pPr>
              <w:widowControl/>
              <w:spacing w:line="360" w:lineRule="auto"/>
              <w:jc w:val="center"/>
              <w:rPr>
                <w:rFonts w:hint="eastAsia" w:ascii="宋体" w:hAnsi="宋体" w:cs="宋体"/>
                <w:szCs w:val="21"/>
              </w:rPr>
            </w:pPr>
            <w:r>
              <w:rPr>
                <w:rFonts w:hint="eastAsia" w:ascii="宋体" w:hAnsi="宋体" w:cs="宋体"/>
                <w:szCs w:val="21"/>
              </w:rPr>
              <w:t>0.05％</w:t>
            </w:r>
          </w:p>
        </w:tc>
      </w:tr>
    </w:tbl>
    <w:p w14:paraId="0491E377">
      <w:pPr>
        <w:spacing w:line="360" w:lineRule="auto"/>
        <w:ind w:firstLine="420"/>
        <w:rPr>
          <w:rFonts w:hint="eastAsia" w:ascii="宋体" w:hAnsi="宋体" w:cs="宋体"/>
          <w:szCs w:val="21"/>
        </w:rPr>
      </w:pPr>
      <w:r>
        <w:rPr>
          <w:rFonts w:hint="eastAsia" w:ascii="宋体" w:hAnsi="宋体" w:cs="宋体"/>
          <w:szCs w:val="21"/>
        </w:rPr>
        <w:t>（1）本项目代理服务费以中标金额为计算基础，按差额定率累进法计算；</w:t>
      </w:r>
    </w:p>
    <w:p w14:paraId="6BCFF30A">
      <w:pPr>
        <w:spacing w:line="360" w:lineRule="auto"/>
        <w:ind w:firstLine="420"/>
        <w:rPr>
          <w:rFonts w:hint="eastAsia" w:ascii="宋体" w:hAnsi="宋体" w:cs="宋体"/>
          <w:szCs w:val="21"/>
        </w:rPr>
      </w:pPr>
      <w:r>
        <w:rPr>
          <w:rFonts w:hint="eastAsia" w:ascii="宋体" w:hAnsi="宋体" w:cs="宋体"/>
          <w:szCs w:val="21"/>
        </w:rPr>
        <w:t>（2）代理服务费以人民币支付；</w:t>
      </w:r>
    </w:p>
    <w:p w14:paraId="23ABCA49">
      <w:pPr>
        <w:spacing w:line="360" w:lineRule="auto"/>
        <w:ind w:firstLine="420"/>
        <w:rPr>
          <w:rFonts w:hint="eastAsia" w:ascii="宋体" w:hAnsi="宋体" w:cs="宋体"/>
          <w:szCs w:val="21"/>
        </w:rPr>
      </w:pPr>
      <w:r>
        <w:rPr>
          <w:rFonts w:hint="eastAsia" w:ascii="宋体" w:hAnsi="宋体" w:cs="宋体"/>
          <w:szCs w:val="21"/>
        </w:rPr>
        <w:t>（3）代理服务费一次性以电汇或转账等非现金形式支付。</w:t>
      </w:r>
    </w:p>
    <w:p w14:paraId="107C0B8B">
      <w:pPr>
        <w:spacing w:line="360" w:lineRule="auto"/>
        <w:ind w:firstLine="422" w:firstLineChars="200"/>
        <w:rPr>
          <w:rFonts w:hint="eastAsia" w:ascii="宋体" w:hAnsi="宋体" w:cs="宋体"/>
          <w:b/>
          <w:bCs/>
          <w:szCs w:val="21"/>
        </w:rPr>
      </w:pPr>
      <w:r>
        <w:rPr>
          <w:rFonts w:hint="eastAsia" w:ascii="宋体" w:hAnsi="宋体" w:cs="宋体"/>
          <w:b/>
          <w:bCs/>
          <w:szCs w:val="21"/>
        </w:rPr>
        <w:t>招标代理服务费开户银行：中国工商银行扬州雍华府支行</w:t>
      </w:r>
    </w:p>
    <w:p w14:paraId="01D38FBE">
      <w:pPr>
        <w:spacing w:line="360" w:lineRule="auto"/>
        <w:ind w:firstLine="422" w:firstLineChars="200"/>
        <w:rPr>
          <w:rFonts w:hint="eastAsia" w:ascii="宋体" w:hAnsi="宋体" w:cs="宋体"/>
          <w:b/>
          <w:bCs/>
          <w:szCs w:val="21"/>
        </w:rPr>
      </w:pPr>
      <w:r>
        <w:rPr>
          <w:rFonts w:hint="eastAsia" w:ascii="宋体" w:hAnsi="宋体" w:cs="宋体"/>
          <w:b/>
          <w:bCs/>
          <w:szCs w:val="21"/>
        </w:rPr>
        <w:t>开户名称：江苏苏维工程管理有限公司</w:t>
      </w:r>
    </w:p>
    <w:p w14:paraId="2C3E2100">
      <w:pPr>
        <w:spacing w:line="360" w:lineRule="auto"/>
        <w:ind w:firstLine="422" w:firstLineChars="200"/>
        <w:rPr>
          <w:rFonts w:hint="eastAsia" w:ascii="宋体" w:hAnsi="宋体" w:cs="宋体"/>
          <w:b/>
          <w:bCs/>
          <w:szCs w:val="21"/>
        </w:rPr>
      </w:pPr>
      <w:r>
        <w:rPr>
          <w:rFonts w:hint="eastAsia" w:ascii="宋体" w:hAnsi="宋体" w:cs="宋体"/>
          <w:b/>
          <w:bCs/>
          <w:szCs w:val="21"/>
        </w:rPr>
        <w:t>开户账号：1108020819100000612</w:t>
      </w:r>
    </w:p>
    <w:p w14:paraId="6684C096">
      <w:pPr>
        <w:spacing w:line="360" w:lineRule="auto"/>
        <w:ind w:firstLine="422" w:firstLineChars="200"/>
        <w:rPr>
          <w:rFonts w:hint="eastAsia" w:ascii="宋体" w:hAnsi="宋体" w:cs="宋体"/>
          <w:szCs w:val="21"/>
        </w:rPr>
      </w:pPr>
      <w:r>
        <w:rPr>
          <w:rFonts w:hint="eastAsia" w:ascii="宋体" w:hAnsi="宋体" w:cs="宋体"/>
          <w:b/>
          <w:bCs/>
          <w:szCs w:val="21"/>
        </w:rPr>
        <w:t>4.4本次招标采购专家评审费按照《关于规范江苏省政府采购专家评审费标准的通知》（苏财购〔2016〕48号）执行。</w:t>
      </w:r>
    </w:p>
    <w:p w14:paraId="0DDD2532">
      <w:pPr>
        <w:pStyle w:val="194"/>
        <w:spacing w:before="0" w:after="0" w:line="360" w:lineRule="auto"/>
        <w:ind w:firstLine="422"/>
        <w:rPr>
          <w:rFonts w:hint="eastAsia" w:ascii="宋体" w:hAnsi="宋体" w:eastAsia="宋体" w:cs="宋体"/>
          <w:bCs w:val="0"/>
          <w:sz w:val="21"/>
          <w:szCs w:val="21"/>
        </w:rPr>
      </w:pPr>
      <w:r>
        <w:rPr>
          <w:rFonts w:hint="eastAsia" w:ascii="宋体" w:hAnsi="宋体" w:eastAsia="宋体" w:cs="宋体"/>
          <w:sz w:val="21"/>
          <w:szCs w:val="21"/>
        </w:rPr>
        <w:t>5.</w:t>
      </w:r>
      <w:r>
        <w:rPr>
          <w:rFonts w:hint="eastAsia" w:ascii="宋体" w:hAnsi="宋体" w:eastAsia="宋体" w:cs="宋体"/>
          <w:bCs w:val="0"/>
          <w:sz w:val="21"/>
          <w:szCs w:val="21"/>
        </w:rPr>
        <w:t>招标文件的约束力</w:t>
      </w:r>
    </w:p>
    <w:p w14:paraId="77E89573">
      <w:pPr>
        <w:spacing w:line="360" w:lineRule="auto"/>
        <w:ind w:firstLine="420"/>
        <w:rPr>
          <w:rFonts w:hint="eastAsia" w:ascii="宋体" w:hAnsi="宋体" w:cs="宋体"/>
          <w:bCs/>
          <w:szCs w:val="21"/>
        </w:rPr>
      </w:pPr>
      <w:r>
        <w:rPr>
          <w:rFonts w:hint="eastAsia" w:ascii="宋体" w:hAnsi="宋体" w:cs="宋体"/>
          <w:bCs/>
          <w:szCs w:val="21"/>
        </w:rPr>
        <w:t>5.1</w:t>
      </w:r>
      <w:r>
        <w:rPr>
          <w:rFonts w:hint="eastAsia" w:ascii="宋体" w:hAnsi="宋体" w:cs="宋体"/>
          <w:szCs w:val="21"/>
        </w:rPr>
        <w:t xml:space="preserve"> 投标人一旦参加本项目采购活动，即被认为接受了本招标文件的规定和约束。</w:t>
      </w:r>
    </w:p>
    <w:p w14:paraId="30BA5603">
      <w:pPr>
        <w:pStyle w:val="194"/>
        <w:spacing w:before="0" w:after="0" w:line="360" w:lineRule="auto"/>
        <w:ind w:firstLine="422"/>
        <w:rPr>
          <w:rFonts w:hint="eastAsia" w:ascii="宋体" w:hAnsi="宋体" w:eastAsia="宋体" w:cs="宋体"/>
          <w:bCs w:val="0"/>
          <w:sz w:val="21"/>
          <w:szCs w:val="21"/>
        </w:rPr>
      </w:pPr>
      <w:bookmarkStart w:id="19" w:name="_Toc16938526"/>
      <w:bookmarkStart w:id="20" w:name="_Toc20823282"/>
      <w:bookmarkStart w:id="21" w:name="_Toc513029210"/>
      <w:r>
        <w:rPr>
          <w:rFonts w:hint="eastAsia" w:ascii="宋体" w:hAnsi="宋体" w:eastAsia="宋体" w:cs="宋体"/>
          <w:bCs w:val="0"/>
          <w:sz w:val="21"/>
          <w:szCs w:val="21"/>
        </w:rPr>
        <w:t>6.招标文件构成</w:t>
      </w:r>
      <w:bookmarkEnd w:id="19"/>
      <w:bookmarkEnd w:id="20"/>
      <w:bookmarkEnd w:id="21"/>
    </w:p>
    <w:p w14:paraId="77828708">
      <w:pPr>
        <w:spacing w:line="360" w:lineRule="auto"/>
        <w:ind w:firstLine="420"/>
        <w:rPr>
          <w:rFonts w:hint="eastAsia" w:ascii="宋体" w:hAnsi="宋体" w:cs="宋体"/>
          <w:szCs w:val="21"/>
        </w:rPr>
      </w:pPr>
      <w:r>
        <w:rPr>
          <w:rFonts w:hint="eastAsia" w:ascii="宋体" w:hAnsi="宋体" w:cs="宋体"/>
          <w:bCs/>
          <w:szCs w:val="21"/>
        </w:rPr>
        <w:t>6.1</w:t>
      </w:r>
      <w:r>
        <w:rPr>
          <w:rFonts w:hint="eastAsia" w:ascii="宋体" w:hAnsi="宋体" w:cs="宋体"/>
          <w:szCs w:val="21"/>
        </w:rPr>
        <w:t xml:space="preserve"> 招标文件有以下部分组成：</w:t>
      </w:r>
    </w:p>
    <w:p w14:paraId="658324DB">
      <w:pPr>
        <w:spacing w:line="360" w:lineRule="auto"/>
        <w:ind w:firstLine="315"/>
        <w:rPr>
          <w:rFonts w:hint="eastAsia" w:ascii="宋体" w:hAnsi="宋体" w:cs="宋体"/>
          <w:szCs w:val="21"/>
        </w:rPr>
      </w:pPr>
      <w:r>
        <w:rPr>
          <w:rFonts w:hint="eastAsia" w:ascii="宋体" w:hAnsi="宋体" w:cs="宋体"/>
          <w:szCs w:val="21"/>
        </w:rPr>
        <w:t>（1）招标公告</w:t>
      </w:r>
    </w:p>
    <w:p w14:paraId="7329D593">
      <w:pPr>
        <w:tabs>
          <w:tab w:val="left" w:pos="2580"/>
        </w:tabs>
        <w:spacing w:line="360" w:lineRule="auto"/>
        <w:ind w:firstLine="315"/>
        <w:rPr>
          <w:rFonts w:hint="eastAsia" w:ascii="宋体" w:hAnsi="宋体" w:cs="宋体"/>
          <w:szCs w:val="21"/>
        </w:rPr>
      </w:pPr>
      <w:r>
        <w:rPr>
          <w:rFonts w:hint="eastAsia" w:ascii="宋体" w:hAnsi="宋体" w:cs="宋体"/>
          <w:szCs w:val="21"/>
        </w:rPr>
        <w:t>（2）投标人须知</w:t>
      </w:r>
      <w:r>
        <w:rPr>
          <w:rFonts w:hint="eastAsia" w:ascii="宋体" w:hAnsi="宋体" w:cs="宋体"/>
          <w:szCs w:val="21"/>
        </w:rPr>
        <w:tab/>
      </w:r>
    </w:p>
    <w:p w14:paraId="26F35773">
      <w:pPr>
        <w:spacing w:line="360" w:lineRule="auto"/>
        <w:ind w:firstLine="315"/>
        <w:rPr>
          <w:rFonts w:hint="eastAsia" w:ascii="宋体" w:hAnsi="宋体" w:cs="宋体"/>
          <w:szCs w:val="21"/>
        </w:rPr>
      </w:pPr>
      <w:r>
        <w:rPr>
          <w:rFonts w:hint="eastAsia" w:ascii="宋体" w:hAnsi="宋体" w:cs="宋体"/>
          <w:szCs w:val="21"/>
        </w:rPr>
        <w:t>（3）合同条款及格式</w:t>
      </w:r>
    </w:p>
    <w:p w14:paraId="606E91BF">
      <w:pPr>
        <w:spacing w:line="360" w:lineRule="auto"/>
        <w:ind w:firstLine="315"/>
        <w:rPr>
          <w:rFonts w:hint="eastAsia" w:ascii="宋体" w:hAnsi="宋体" w:cs="宋体"/>
          <w:szCs w:val="21"/>
        </w:rPr>
      </w:pPr>
      <w:r>
        <w:rPr>
          <w:rFonts w:hint="eastAsia" w:ascii="宋体" w:hAnsi="宋体" w:cs="宋体"/>
          <w:szCs w:val="21"/>
        </w:rPr>
        <w:t>（4）项目需求</w:t>
      </w:r>
    </w:p>
    <w:p w14:paraId="0CDA245B">
      <w:pPr>
        <w:spacing w:line="360" w:lineRule="auto"/>
        <w:ind w:firstLine="315"/>
        <w:rPr>
          <w:rFonts w:hint="eastAsia" w:ascii="宋体" w:hAnsi="宋体" w:cs="宋体"/>
          <w:szCs w:val="21"/>
        </w:rPr>
      </w:pPr>
      <w:r>
        <w:rPr>
          <w:rFonts w:hint="eastAsia" w:ascii="宋体" w:hAnsi="宋体" w:cs="宋体"/>
          <w:szCs w:val="21"/>
        </w:rPr>
        <w:t>（5）评标方法与评标标准</w:t>
      </w:r>
    </w:p>
    <w:p w14:paraId="27B173FA">
      <w:pPr>
        <w:spacing w:line="360" w:lineRule="auto"/>
        <w:ind w:firstLine="315"/>
        <w:rPr>
          <w:rFonts w:hint="eastAsia" w:ascii="宋体" w:hAnsi="宋体" w:cs="宋体"/>
          <w:szCs w:val="21"/>
        </w:rPr>
      </w:pPr>
      <w:r>
        <w:rPr>
          <w:rFonts w:hint="eastAsia" w:ascii="宋体" w:hAnsi="宋体" w:cs="宋体"/>
          <w:szCs w:val="21"/>
        </w:rPr>
        <w:t>（6）投标文件格式</w:t>
      </w:r>
    </w:p>
    <w:p w14:paraId="5DBB0B25">
      <w:pPr>
        <w:spacing w:line="360" w:lineRule="auto"/>
        <w:ind w:firstLine="420"/>
        <w:rPr>
          <w:rFonts w:hint="eastAsia" w:ascii="宋体" w:hAnsi="宋体" w:cs="宋体"/>
          <w:szCs w:val="21"/>
        </w:rPr>
      </w:pPr>
      <w:r>
        <w:rPr>
          <w:rFonts w:hint="eastAsia" w:ascii="宋体" w:hAnsi="宋体" w:cs="宋体"/>
          <w:szCs w:val="21"/>
        </w:rPr>
        <w:t>请仔细检查招标文件是否齐全，如有缺漏请立即与代理机构联系解决。</w:t>
      </w:r>
    </w:p>
    <w:p w14:paraId="6BA775A9">
      <w:pPr>
        <w:spacing w:line="360" w:lineRule="auto"/>
        <w:ind w:firstLine="420"/>
        <w:rPr>
          <w:rFonts w:hint="eastAsia" w:ascii="宋体" w:hAnsi="宋体" w:cs="宋体"/>
          <w:bCs/>
          <w:szCs w:val="21"/>
        </w:rPr>
      </w:pPr>
      <w:r>
        <w:rPr>
          <w:rFonts w:hint="eastAsia" w:ascii="宋体" w:hAnsi="宋体" w:cs="宋体"/>
          <w:bCs/>
          <w:szCs w:val="21"/>
        </w:rPr>
        <w:t>6.2 招标的最小单位是包。招标内容数量及技术要求中未分包的，供应商对要求提供的内容不得部分投标；招标内容数量及技术要求中已经分包的，应当以包为单位投标。</w:t>
      </w:r>
    </w:p>
    <w:p w14:paraId="1259D1D4">
      <w:pPr>
        <w:spacing w:line="360" w:lineRule="auto"/>
        <w:ind w:firstLine="420"/>
        <w:rPr>
          <w:rFonts w:hint="eastAsia" w:ascii="宋体" w:hAnsi="宋体" w:cs="宋体"/>
          <w:bCs/>
          <w:szCs w:val="21"/>
        </w:rPr>
      </w:pPr>
      <w:r>
        <w:rPr>
          <w:rFonts w:hint="eastAsia" w:ascii="宋体" w:hAnsi="宋体" w:cs="宋体"/>
          <w:bCs/>
          <w:szCs w:val="21"/>
        </w:rPr>
        <w:t>6.3 招标文件如果要求供应商提交备选方案的，供应商可以提交备选方案；否则，备选方案将被拒绝。</w:t>
      </w:r>
    </w:p>
    <w:p w14:paraId="1AD36831">
      <w:pPr>
        <w:spacing w:line="360" w:lineRule="auto"/>
        <w:ind w:firstLine="420"/>
        <w:rPr>
          <w:rFonts w:hint="eastAsia" w:ascii="宋体" w:hAnsi="宋体" w:cs="宋体"/>
          <w:szCs w:val="21"/>
        </w:rPr>
      </w:pPr>
      <w:r>
        <w:rPr>
          <w:rFonts w:hint="eastAsia" w:ascii="宋体" w:hAnsi="宋体" w:cs="宋体"/>
          <w:bCs/>
          <w:szCs w:val="21"/>
        </w:rPr>
        <w:t>6.4</w:t>
      </w:r>
      <w:r>
        <w:rPr>
          <w:rFonts w:hint="eastAsia" w:ascii="宋体" w:hAnsi="宋体" w:cs="宋体"/>
          <w:szCs w:val="21"/>
        </w:rPr>
        <w:t xml:space="preserve">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3B50DFCA">
      <w:pPr>
        <w:pStyle w:val="194"/>
        <w:spacing w:before="0" w:after="0" w:line="360" w:lineRule="auto"/>
        <w:ind w:firstLine="422"/>
        <w:rPr>
          <w:rFonts w:hint="eastAsia" w:ascii="宋体" w:hAnsi="宋体" w:eastAsia="宋体" w:cs="宋体"/>
          <w:b w:val="0"/>
          <w:bCs w:val="0"/>
          <w:sz w:val="21"/>
          <w:szCs w:val="21"/>
        </w:rPr>
      </w:pPr>
      <w:bookmarkStart w:id="22" w:name="_Toc16938527"/>
      <w:bookmarkStart w:id="23" w:name="_Toc462564070"/>
      <w:bookmarkStart w:id="24" w:name="_Toc20823283"/>
      <w:bookmarkStart w:id="25" w:name="_Toc513029211"/>
      <w:r>
        <w:rPr>
          <w:rFonts w:hint="eastAsia" w:ascii="宋体" w:hAnsi="宋体" w:eastAsia="宋体" w:cs="宋体"/>
          <w:bCs w:val="0"/>
          <w:sz w:val="21"/>
          <w:szCs w:val="21"/>
        </w:rPr>
        <w:t>7.招标文件的</w:t>
      </w:r>
      <w:bookmarkEnd w:id="22"/>
      <w:bookmarkEnd w:id="23"/>
      <w:bookmarkEnd w:id="24"/>
      <w:bookmarkEnd w:id="25"/>
      <w:r>
        <w:rPr>
          <w:rFonts w:hint="eastAsia" w:ascii="宋体" w:hAnsi="宋体" w:eastAsia="宋体" w:cs="宋体"/>
          <w:bCs w:val="0"/>
          <w:sz w:val="21"/>
          <w:szCs w:val="21"/>
        </w:rPr>
        <w:t>澄清</w:t>
      </w:r>
    </w:p>
    <w:p w14:paraId="28A626DE">
      <w:pPr>
        <w:spacing w:line="360" w:lineRule="auto"/>
        <w:ind w:firstLine="420"/>
        <w:rPr>
          <w:rFonts w:hint="eastAsia" w:ascii="宋体" w:hAnsi="宋体" w:cs="宋体"/>
          <w:szCs w:val="21"/>
        </w:rPr>
      </w:pPr>
      <w:r>
        <w:rPr>
          <w:rFonts w:hint="eastAsia" w:ascii="宋体" w:hAnsi="宋体" w:cs="宋体"/>
          <w:szCs w:val="21"/>
        </w:rPr>
        <w:t>7.1 任何要求对招标文件进行澄清的投标人，应在投标截止日期的十日前按投标邀请中的通讯地址，以书面形式通知代理机构。</w:t>
      </w:r>
    </w:p>
    <w:p w14:paraId="092DEE5D">
      <w:pPr>
        <w:pStyle w:val="194"/>
        <w:spacing w:before="0" w:after="0" w:line="360" w:lineRule="auto"/>
        <w:ind w:firstLine="422"/>
        <w:rPr>
          <w:rFonts w:hint="eastAsia" w:ascii="宋体" w:hAnsi="宋体" w:eastAsia="宋体" w:cs="宋体"/>
          <w:b w:val="0"/>
          <w:bCs w:val="0"/>
          <w:sz w:val="21"/>
          <w:szCs w:val="21"/>
        </w:rPr>
      </w:pPr>
      <w:bookmarkStart w:id="26" w:name="_Toc20823284"/>
      <w:bookmarkStart w:id="27" w:name="_Toc513029212"/>
      <w:bookmarkStart w:id="28" w:name="_Toc16938528"/>
      <w:bookmarkStart w:id="29" w:name="_Toc462564071"/>
      <w:r>
        <w:rPr>
          <w:rFonts w:hint="eastAsia" w:ascii="宋体" w:hAnsi="宋体" w:eastAsia="宋体" w:cs="宋体"/>
          <w:bCs w:val="0"/>
          <w:sz w:val="21"/>
          <w:szCs w:val="21"/>
        </w:rPr>
        <w:t>8.招标文件的修改</w:t>
      </w:r>
      <w:bookmarkEnd w:id="26"/>
      <w:bookmarkEnd w:id="27"/>
      <w:bookmarkEnd w:id="28"/>
      <w:bookmarkEnd w:id="29"/>
    </w:p>
    <w:p w14:paraId="421E25D9">
      <w:pPr>
        <w:spacing w:line="360" w:lineRule="auto"/>
        <w:ind w:firstLine="420"/>
        <w:rPr>
          <w:rFonts w:hint="eastAsia" w:ascii="宋体" w:hAnsi="宋体" w:cs="宋体"/>
          <w:szCs w:val="21"/>
        </w:rPr>
      </w:pPr>
      <w:r>
        <w:rPr>
          <w:rFonts w:hint="eastAsia" w:ascii="宋体" w:hAnsi="宋体" w:cs="宋体"/>
          <w:bCs/>
          <w:szCs w:val="21"/>
        </w:rPr>
        <w:t>8.1</w:t>
      </w:r>
      <w:r>
        <w:rPr>
          <w:rFonts w:hint="eastAsia" w:ascii="宋体" w:hAnsi="宋体" w:cs="宋体"/>
          <w:szCs w:val="21"/>
        </w:rPr>
        <w:t xml:space="preserve"> 在投标截止时间前，代理机构可以对招标文件进行修改。</w:t>
      </w:r>
    </w:p>
    <w:p w14:paraId="199EDB4A">
      <w:pPr>
        <w:spacing w:line="360" w:lineRule="auto"/>
        <w:ind w:firstLine="420"/>
        <w:rPr>
          <w:rFonts w:hint="eastAsia" w:ascii="宋体" w:hAnsi="宋体" w:cs="宋体"/>
          <w:bCs/>
          <w:szCs w:val="21"/>
        </w:rPr>
      </w:pPr>
      <w:r>
        <w:rPr>
          <w:rFonts w:hint="eastAsia" w:ascii="宋体" w:hAnsi="宋体" w:cs="宋体"/>
          <w:bCs/>
          <w:szCs w:val="21"/>
        </w:rPr>
        <w:t>8.2代理机构在招标文件要求提交投标文件截止时间前，有权决定延长投标截止时间和开标时间，并在原采购信息发布媒体上发布变更公告。</w:t>
      </w:r>
    </w:p>
    <w:p w14:paraId="7E4F571B">
      <w:pPr>
        <w:spacing w:line="360" w:lineRule="auto"/>
        <w:ind w:firstLine="420"/>
        <w:rPr>
          <w:rFonts w:hint="eastAsia" w:ascii="宋体" w:hAnsi="宋体" w:cs="宋体"/>
          <w:szCs w:val="21"/>
        </w:rPr>
      </w:pPr>
      <w:r>
        <w:rPr>
          <w:rFonts w:hint="eastAsia" w:ascii="宋体" w:hAnsi="宋体" w:cs="宋体"/>
          <w:bCs/>
          <w:szCs w:val="21"/>
        </w:rPr>
        <w:t>8.3</w:t>
      </w:r>
      <w:r>
        <w:rPr>
          <w:rFonts w:hint="eastAsia" w:ascii="宋体" w:hAnsi="宋体" w:cs="宋体"/>
          <w:szCs w:val="21"/>
        </w:rPr>
        <w:t>招标文件的修改将在“扬州大学附属医院”、“扬州大学网”和“江苏招标采购服务平台”公布，补充文件将作为招标文件的组成部分，并对投标人具有约束力。</w:t>
      </w:r>
    </w:p>
    <w:p w14:paraId="44CDB3F9">
      <w:pPr>
        <w:spacing w:line="360" w:lineRule="auto"/>
        <w:ind w:firstLine="420"/>
        <w:rPr>
          <w:rFonts w:hint="eastAsia" w:ascii="宋体" w:hAnsi="宋体" w:cs="宋体"/>
          <w:szCs w:val="21"/>
        </w:rPr>
      </w:pPr>
      <w:r>
        <w:rPr>
          <w:rFonts w:hint="eastAsia" w:ascii="宋体" w:hAnsi="宋体" w:cs="宋体"/>
          <w:szCs w:val="21"/>
        </w:rPr>
        <w:t>8.4投标人应在投标截止时间前关注原采购信息发布媒体上有关本招标项目有无变更公告。</w:t>
      </w:r>
    </w:p>
    <w:p w14:paraId="227E3964">
      <w:pPr>
        <w:pStyle w:val="194"/>
        <w:spacing w:before="0" w:after="0" w:line="360" w:lineRule="auto"/>
        <w:ind w:firstLine="422"/>
        <w:rPr>
          <w:rFonts w:hint="eastAsia" w:ascii="宋体" w:hAnsi="宋体" w:eastAsia="宋体" w:cs="宋体"/>
          <w:bCs w:val="0"/>
          <w:sz w:val="21"/>
          <w:szCs w:val="21"/>
        </w:rPr>
      </w:pPr>
      <w:bookmarkStart w:id="30" w:name="_Toc20823286"/>
      <w:bookmarkStart w:id="31" w:name="_Toc513029214"/>
      <w:bookmarkStart w:id="32" w:name="_Toc462564073"/>
      <w:bookmarkStart w:id="33" w:name="_Toc16938530"/>
      <w:r>
        <w:rPr>
          <w:rFonts w:hint="eastAsia" w:ascii="宋体" w:hAnsi="宋体" w:eastAsia="宋体" w:cs="宋体"/>
          <w:bCs w:val="0"/>
          <w:sz w:val="21"/>
          <w:szCs w:val="21"/>
        </w:rPr>
        <w:t>9.投标文件的语言、度量衡单位</w:t>
      </w:r>
      <w:bookmarkEnd w:id="30"/>
      <w:bookmarkEnd w:id="31"/>
      <w:bookmarkEnd w:id="32"/>
      <w:bookmarkEnd w:id="33"/>
      <w:r>
        <w:rPr>
          <w:rFonts w:hint="eastAsia" w:ascii="宋体" w:hAnsi="宋体" w:eastAsia="宋体" w:cs="宋体"/>
          <w:bCs w:val="0"/>
          <w:sz w:val="21"/>
          <w:szCs w:val="21"/>
        </w:rPr>
        <w:t>、货币和编制</w:t>
      </w:r>
    </w:p>
    <w:p w14:paraId="5F6C7450">
      <w:pPr>
        <w:spacing w:line="360" w:lineRule="auto"/>
        <w:ind w:firstLine="420"/>
        <w:rPr>
          <w:rFonts w:hint="eastAsia" w:ascii="宋体" w:hAnsi="宋体" w:cs="宋体"/>
          <w:szCs w:val="21"/>
        </w:rPr>
      </w:pPr>
      <w:r>
        <w:rPr>
          <w:rFonts w:hint="eastAsia" w:ascii="宋体" w:hAnsi="宋体" w:cs="宋体"/>
          <w:bCs/>
          <w:szCs w:val="21"/>
        </w:rPr>
        <w:t>9.1</w:t>
      </w:r>
      <w:r>
        <w:rPr>
          <w:rFonts w:hint="eastAsia" w:ascii="宋体" w:hAnsi="宋体" w:cs="宋体"/>
          <w:szCs w:val="21"/>
        </w:rPr>
        <w:t>投标人提交的投标文件、技术文件和资料，包括图纸中的说明，以及投标人与代理机构就有关投标的所有来往函、电、通知和文件均应使用中文。投标文件中若有英文或其他语言文字的资料，应提供相应的中文翻译资料。对不同文本投标文件的解释发生异议的，以中文文本为准。投标文件以及投标人与代理机构就有关投标的所有来往通知、函件和文件均应使用简体中文。</w:t>
      </w:r>
    </w:p>
    <w:p w14:paraId="5EB709BC">
      <w:pPr>
        <w:spacing w:line="360" w:lineRule="auto"/>
        <w:ind w:firstLine="420"/>
        <w:rPr>
          <w:rFonts w:hint="eastAsia" w:ascii="宋体" w:hAnsi="宋体" w:cs="宋体"/>
          <w:szCs w:val="21"/>
        </w:rPr>
      </w:pPr>
      <w:r>
        <w:rPr>
          <w:rFonts w:hint="eastAsia" w:ascii="宋体" w:hAnsi="宋体" w:cs="宋体"/>
          <w:bCs/>
          <w:szCs w:val="21"/>
        </w:rPr>
        <w:t>9.2</w:t>
      </w:r>
      <w:r>
        <w:rPr>
          <w:rFonts w:hint="eastAsia" w:ascii="宋体" w:hAnsi="宋体" w:cs="宋体"/>
          <w:szCs w:val="21"/>
        </w:rPr>
        <w:t xml:space="preserve"> 除技术性能另有规定外，投标文件所使用的度量衡单位，均须采用国家法定计量单位。</w:t>
      </w:r>
    </w:p>
    <w:p w14:paraId="2EFD67FC">
      <w:pPr>
        <w:spacing w:line="360" w:lineRule="auto"/>
        <w:ind w:firstLine="420"/>
        <w:rPr>
          <w:rFonts w:hint="eastAsia" w:ascii="宋体" w:hAnsi="宋体" w:cs="宋体"/>
          <w:szCs w:val="21"/>
        </w:rPr>
      </w:pPr>
      <w:r>
        <w:rPr>
          <w:rFonts w:hint="eastAsia" w:ascii="宋体" w:hAnsi="宋体" w:cs="宋体"/>
          <w:szCs w:val="21"/>
        </w:rPr>
        <w:t>9.3投标人应使用人民币报价。</w:t>
      </w:r>
    </w:p>
    <w:p w14:paraId="4A8AFD99">
      <w:pPr>
        <w:spacing w:line="360" w:lineRule="auto"/>
        <w:ind w:firstLine="420"/>
        <w:rPr>
          <w:rFonts w:hint="eastAsia" w:ascii="宋体" w:hAnsi="宋体" w:cs="宋体"/>
          <w:szCs w:val="21"/>
        </w:rPr>
      </w:pPr>
      <w:r>
        <w:rPr>
          <w:rFonts w:hint="eastAsia" w:ascii="宋体" w:hAnsi="宋体" w:cs="宋体"/>
          <w:szCs w:val="21"/>
        </w:rPr>
        <w:t>9.4投标文件应字迹清楚、内容齐全、不得涂改。如有修改，修改处须有投标人加盖公章和法定代表人或其授权代表签字。</w:t>
      </w:r>
    </w:p>
    <w:p w14:paraId="512FA242">
      <w:pPr>
        <w:pStyle w:val="194"/>
        <w:spacing w:before="0" w:after="0" w:line="360" w:lineRule="auto"/>
        <w:ind w:firstLine="422"/>
        <w:rPr>
          <w:rFonts w:hint="eastAsia" w:ascii="宋体" w:hAnsi="宋体" w:eastAsia="宋体" w:cs="宋体"/>
          <w:bCs w:val="0"/>
          <w:sz w:val="21"/>
          <w:szCs w:val="21"/>
        </w:rPr>
      </w:pPr>
      <w:bookmarkStart w:id="34" w:name="_Toc462564074"/>
      <w:bookmarkStart w:id="35" w:name="_Toc513029215"/>
      <w:bookmarkStart w:id="36" w:name="_Toc20823287"/>
      <w:bookmarkStart w:id="37" w:name="_Toc16938531"/>
      <w:r>
        <w:rPr>
          <w:rFonts w:hint="eastAsia" w:ascii="宋体" w:hAnsi="宋体" w:eastAsia="宋体" w:cs="宋体"/>
          <w:bCs w:val="0"/>
          <w:sz w:val="21"/>
          <w:szCs w:val="21"/>
        </w:rPr>
        <w:t>10.投标文件构成</w:t>
      </w:r>
      <w:bookmarkEnd w:id="34"/>
      <w:bookmarkEnd w:id="35"/>
      <w:bookmarkEnd w:id="36"/>
      <w:bookmarkEnd w:id="37"/>
    </w:p>
    <w:p w14:paraId="2B70A95A">
      <w:pPr>
        <w:spacing w:line="360" w:lineRule="auto"/>
        <w:ind w:firstLine="420"/>
        <w:rPr>
          <w:rFonts w:hint="eastAsia" w:ascii="宋体" w:hAnsi="宋体" w:cs="宋体"/>
          <w:szCs w:val="21"/>
        </w:rPr>
      </w:pPr>
      <w:r>
        <w:rPr>
          <w:rFonts w:hint="eastAsia" w:ascii="宋体" w:hAnsi="宋体" w:cs="宋体"/>
          <w:bCs/>
          <w:szCs w:val="21"/>
        </w:rPr>
        <w:t>10.1</w:t>
      </w:r>
      <w:r>
        <w:rPr>
          <w:rFonts w:hint="eastAsia" w:ascii="宋体" w:hAnsi="宋体" w:cs="宋体"/>
          <w:szCs w:val="21"/>
        </w:rPr>
        <w:t xml:space="preserve"> 投标人编写的投标文件应包括：资信证明文件、投标产品配置与分项报价表、供货一览表、技术参数响应及偏离表、商务条款响应及偏离表、技术及售后服务承诺书、开标一览表等部分；</w:t>
      </w:r>
    </w:p>
    <w:p w14:paraId="1C1DA056">
      <w:pPr>
        <w:pStyle w:val="194"/>
        <w:spacing w:before="0" w:after="0" w:line="360" w:lineRule="auto"/>
        <w:ind w:firstLine="420"/>
        <w:rPr>
          <w:rFonts w:hint="eastAsia" w:ascii="宋体" w:hAnsi="宋体" w:eastAsia="宋体" w:cs="宋体"/>
          <w:b w:val="0"/>
          <w:bCs w:val="0"/>
          <w:sz w:val="21"/>
          <w:szCs w:val="21"/>
        </w:rPr>
      </w:pPr>
      <w:bookmarkStart w:id="38" w:name="_Toc14577357"/>
      <w:bookmarkStart w:id="39" w:name="_Toc49090509"/>
      <w:bookmarkStart w:id="40" w:name="_Toc513029219"/>
      <w:bookmarkStart w:id="41" w:name="_Toc513029216"/>
      <w:bookmarkStart w:id="42" w:name="_Toc49090507"/>
      <w:bookmarkStart w:id="43" w:name="_Toc14577354"/>
      <w:r>
        <w:rPr>
          <w:rFonts w:hint="eastAsia" w:ascii="宋体" w:hAnsi="宋体" w:eastAsia="宋体" w:cs="宋体"/>
          <w:b w:val="0"/>
          <w:bCs w:val="0"/>
          <w:sz w:val="21"/>
          <w:szCs w:val="21"/>
        </w:rPr>
        <w:t>10.2 投标人应将投标文件按顺序装订成册，应逐页编码，不得跳页（包括但不限于证明材料、声明及产品介绍、彩页等），并编制投标文件资料目录。由于编排混乱导致投标文件被误读或查找不到，责任由投标人承担。</w:t>
      </w:r>
    </w:p>
    <w:p w14:paraId="379CD763">
      <w:pPr>
        <w:pStyle w:val="194"/>
        <w:spacing w:before="0" w:after="0" w:line="360" w:lineRule="auto"/>
        <w:ind w:firstLine="420"/>
        <w:rPr>
          <w:rFonts w:hint="eastAsia" w:ascii="宋体" w:hAnsi="宋体" w:eastAsia="宋体" w:cs="宋体"/>
          <w:b w:val="0"/>
          <w:bCs w:val="0"/>
          <w:sz w:val="21"/>
          <w:szCs w:val="21"/>
        </w:rPr>
      </w:pPr>
      <w:r>
        <w:rPr>
          <w:rFonts w:hint="eastAsia" w:ascii="宋体" w:hAnsi="宋体" w:eastAsia="宋体" w:cs="宋体"/>
          <w:b w:val="0"/>
          <w:bCs w:val="0"/>
          <w:sz w:val="21"/>
          <w:szCs w:val="21"/>
        </w:rPr>
        <w:t>10.3 投标人应当根据招标文件要求编制投标文件，投标文件应对招标文件提出的要求和条件作出实质性响应，并在相应的投标文件中逐条标明满足与否。</w:t>
      </w:r>
    </w:p>
    <w:p w14:paraId="16FFCA22">
      <w:pPr>
        <w:pStyle w:val="194"/>
        <w:spacing w:before="0" w:after="0" w:line="360" w:lineRule="auto"/>
        <w:ind w:firstLine="422"/>
        <w:rPr>
          <w:rFonts w:hint="eastAsia" w:ascii="宋体" w:hAnsi="宋体" w:eastAsia="宋体" w:cs="宋体"/>
          <w:b w:val="0"/>
          <w:bCs w:val="0"/>
          <w:sz w:val="21"/>
          <w:szCs w:val="21"/>
        </w:rPr>
      </w:pPr>
      <w:r>
        <w:rPr>
          <w:rFonts w:hint="eastAsia" w:ascii="宋体" w:hAnsi="宋体" w:eastAsia="宋体" w:cs="宋体"/>
          <w:bCs w:val="0"/>
          <w:sz w:val="21"/>
          <w:szCs w:val="21"/>
        </w:rPr>
        <w:t>11.证明投标人资格及符合招标文件规定的文件</w:t>
      </w:r>
      <w:bookmarkEnd w:id="38"/>
      <w:bookmarkEnd w:id="39"/>
      <w:bookmarkEnd w:id="40"/>
    </w:p>
    <w:p w14:paraId="6DFA33AB">
      <w:pPr>
        <w:spacing w:line="360" w:lineRule="auto"/>
        <w:ind w:firstLine="420"/>
        <w:rPr>
          <w:rFonts w:hint="eastAsia" w:ascii="宋体" w:hAnsi="宋体" w:cs="宋体"/>
          <w:szCs w:val="21"/>
        </w:rPr>
      </w:pPr>
      <w:r>
        <w:rPr>
          <w:rFonts w:hint="eastAsia" w:ascii="宋体" w:hAnsi="宋体" w:cs="宋体"/>
          <w:szCs w:val="21"/>
        </w:rPr>
        <w:t>11.1投标人应按要求提交资格证明文件及符合招标文件规定的文件。</w:t>
      </w:r>
    </w:p>
    <w:p w14:paraId="329D259A">
      <w:pPr>
        <w:spacing w:line="360" w:lineRule="auto"/>
        <w:ind w:firstLine="420"/>
        <w:rPr>
          <w:rFonts w:hint="eastAsia" w:ascii="宋体" w:hAnsi="宋体" w:cs="宋体"/>
          <w:szCs w:val="21"/>
        </w:rPr>
      </w:pPr>
      <w:r>
        <w:rPr>
          <w:rFonts w:hint="eastAsia" w:ascii="宋体" w:hAnsi="宋体" w:cs="宋体"/>
          <w:szCs w:val="21"/>
        </w:rPr>
        <w:t>11.2投标人应提交证明其有资格参加投标和中标后有能力独立履行合同的文件。</w:t>
      </w:r>
    </w:p>
    <w:p w14:paraId="51B84FCC">
      <w:pPr>
        <w:spacing w:line="360" w:lineRule="auto"/>
        <w:ind w:firstLine="420"/>
        <w:rPr>
          <w:rFonts w:hint="eastAsia" w:ascii="宋体" w:hAnsi="宋体" w:cs="宋体"/>
          <w:szCs w:val="21"/>
        </w:rPr>
      </w:pPr>
      <w:r>
        <w:rPr>
          <w:rFonts w:hint="eastAsia" w:ascii="宋体" w:hAnsi="宋体" w:cs="宋体"/>
          <w:szCs w:val="21"/>
        </w:rPr>
        <w:t>11.3投标人除必须具有履行合同所需提供的货物以及服务的能力外，还必须具备相应的财务、技术方面的能力。</w:t>
      </w:r>
    </w:p>
    <w:p w14:paraId="26DA308F">
      <w:pPr>
        <w:spacing w:line="360" w:lineRule="auto"/>
        <w:rPr>
          <w:rFonts w:hint="eastAsia" w:ascii="宋体" w:hAnsi="宋体" w:cs="宋体"/>
          <w:szCs w:val="21"/>
        </w:rPr>
      </w:pPr>
      <w:r>
        <w:rPr>
          <w:rFonts w:hint="eastAsia" w:ascii="宋体" w:hAnsi="宋体" w:cs="宋体"/>
          <w:szCs w:val="21"/>
        </w:rPr>
        <w:t xml:space="preserve">    11.4投标人应提交根据合同要求提供的证明产品质量合格以及符合招标文件规定的证明文件。</w:t>
      </w:r>
    </w:p>
    <w:p w14:paraId="1B85A38F">
      <w:pPr>
        <w:spacing w:line="360" w:lineRule="auto"/>
        <w:rPr>
          <w:rFonts w:hint="eastAsia" w:ascii="宋体" w:hAnsi="宋体" w:cs="宋体"/>
          <w:szCs w:val="21"/>
        </w:rPr>
      </w:pPr>
      <w:r>
        <w:rPr>
          <w:rFonts w:hint="eastAsia" w:ascii="宋体" w:hAnsi="宋体" w:cs="宋体"/>
          <w:szCs w:val="21"/>
        </w:rPr>
        <w:t xml:space="preserve">    11.5证明投标人所提供货物与招标文件的要求相一致的文件可以是手册、图纸、文字资料和数据</w:t>
      </w:r>
      <w:r>
        <w:rPr>
          <w:rFonts w:hint="eastAsia" w:ascii="宋体" w:hAnsi="宋体" w:cs="宋体"/>
          <w:bCs/>
          <w:szCs w:val="21"/>
        </w:rPr>
        <w:t>。</w:t>
      </w:r>
    </w:p>
    <w:bookmarkEnd w:id="41"/>
    <w:bookmarkEnd w:id="42"/>
    <w:bookmarkEnd w:id="43"/>
    <w:p w14:paraId="70E074F8">
      <w:pPr>
        <w:pStyle w:val="194"/>
        <w:spacing w:before="0" w:after="0" w:line="360" w:lineRule="auto"/>
        <w:ind w:firstLine="422"/>
        <w:rPr>
          <w:rFonts w:hint="eastAsia" w:ascii="宋体" w:hAnsi="宋体" w:eastAsia="宋体" w:cs="宋体"/>
          <w:bCs w:val="0"/>
          <w:sz w:val="21"/>
          <w:szCs w:val="21"/>
        </w:rPr>
      </w:pPr>
      <w:bookmarkStart w:id="44" w:name="_Toc14577355"/>
      <w:bookmarkStart w:id="45" w:name="_Toc49090508"/>
      <w:r>
        <w:rPr>
          <w:rFonts w:hint="eastAsia" w:ascii="宋体" w:hAnsi="宋体" w:eastAsia="宋体" w:cs="宋体"/>
          <w:bCs w:val="0"/>
          <w:sz w:val="21"/>
          <w:szCs w:val="21"/>
        </w:rPr>
        <w:t>12.供货一览表和投标配置与分项报价</w:t>
      </w:r>
      <w:bookmarkEnd w:id="44"/>
      <w:r>
        <w:rPr>
          <w:rFonts w:hint="eastAsia" w:ascii="宋体" w:hAnsi="宋体" w:eastAsia="宋体" w:cs="宋体"/>
          <w:bCs w:val="0"/>
          <w:sz w:val="21"/>
          <w:szCs w:val="21"/>
        </w:rPr>
        <w:t>表</w:t>
      </w:r>
      <w:bookmarkEnd w:id="45"/>
    </w:p>
    <w:p w14:paraId="6DF44DFE">
      <w:pPr>
        <w:spacing w:line="360" w:lineRule="auto"/>
        <w:ind w:firstLine="420"/>
        <w:rPr>
          <w:rFonts w:hint="eastAsia" w:ascii="宋体" w:hAnsi="宋体" w:cs="宋体"/>
          <w:bCs/>
          <w:szCs w:val="21"/>
        </w:rPr>
      </w:pPr>
      <w:r>
        <w:rPr>
          <w:rFonts w:hint="eastAsia" w:ascii="宋体" w:hAnsi="宋体" w:cs="宋体"/>
          <w:bCs/>
          <w:szCs w:val="21"/>
        </w:rPr>
        <w:t>12.1</w:t>
      </w:r>
      <w:r>
        <w:rPr>
          <w:rFonts w:hint="eastAsia" w:ascii="宋体" w:hAnsi="宋体" w:cs="宋体"/>
          <w:szCs w:val="21"/>
        </w:rPr>
        <w:t xml:space="preserve"> 投标人应按照招标文件规定格式填报供货一览表、投标配置与分项报价表，在表中标明所提供的设备品牌、规格、型号、原产地、主要部件型号及其功能的中文说明和供货期。每项货物和服务等只允许有一个报价，任何有选择的报价将不予接受（如有备选配件，备选配件的报价不属于选择的报价）。</w:t>
      </w:r>
    </w:p>
    <w:p w14:paraId="50610BDF">
      <w:pPr>
        <w:spacing w:line="360" w:lineRule="auto"/>
        <w:ind w:firstLine="420"/>
        <w:rPr>
          <w:rFonts w:hint="eastAsia" w:ascii="宋体" w:hAnsi="宋体" w:cs="宋体"/>
          <w:szCs w:val="21"/>
        </w:rPr>
      </w:pPr>
      <w:r>
        <w:rPr>
          <w:rFonts w:hint="eastAsia" w:ascii="宋体" w:hAnsi="宋体" w:cs="宋体"/>
          <w:bCs/>
          <w:szCs w:val="21"/>
        </w:rPr>
        <w:t>12.2</w:t>
      </w:r>
      <w:r>
        <w:rPr>
          <w:rFonts w:hint="eastAsia" w:ascii="宋体" w:hAnsi="宋体" w:cs="宋体"/>
          <w:szCs w:val="21"/>
        </w:rPr>
        <w:t xml:space="preserve"> 标的物</w:t>
      </w:r>
    </w:p>
    <w:p w14:paraId="36115AEE">
      <w:pPr>
        <w:spacing w:line="360" w:lineRule="auto"/>
        <w:ind w:firstLine="420"/>
        <w:rPr>
          <w:rFonts w:hint="eastAsia" w:ascii="宋体" w:hAnsi="宋体" w:cs="宋体"/>
          <w:szCs w:val="21"/>
        </w:rPr>
      </w:pPr>
      <w:r>
        <w:rPr>
          <w:rFonts w:hint="eastAsia" w:ascii="宋体" w:hAnsi="宋体" w:cs="宋体"/>
          <w:bCs/>
          <w:szCs w:val="21"/>
        </w:rPr>
        <w:t>采购人需求的货物供应、安装，调试及有关技术服务等</w:t>
      </w:r>
      <w:r>
        <w:rPr>
          <w:rFonts w:hint="eastAsia" w:ascii="宋体" w:hAnsi="宋体" w:cs="宋体"/>
          <w:szCs w:val="21"/>
        </w:rPr>
        <w:t>。</w:t>
      </w:r>
    </w:p>
    <w:p w14:paraId="52DA2C09">
      <w:pPr>
        <w:spacing w:line="360" w:lineRule="auto"/>
        <w:ind w:firstLine="420"/>
        <w:rPr>
          <w:rFonts w:hint="eastAsia" w:ascii="宋体" w:hAnsi="宋体" w:cs="宋体"/>
          <w:bCs/>
          <w:szCs w:val="21"/>
        </w:rPr>
      </w:pPr>
      <w:r>
        <w:rPr>
          <w:rFonts w:hint="eastAsia" w:ascii="宋体" w:hAnsi="宋体" w:cs="宋体"/>
          <w:szCs w:val="21"/>
        </w:rPr>
        <w:t>12.3</w:t>
      </w:r>
      <w:r>
        <w:rPr>
          <w:rFonts w:hint="eastAsia" w:ascii="宋体" w:hAnsi="宋体" w:cs="宋体"/>
          <w:bCs/>
          <w:szCs w:val="21"/>
        </w:rPr>
        <w:t>有关费用处理</w:t>
      </w:r>
    </w:p>
    <w:p w14:paraId="16D82B5D">
      <w:pPr>
        <w:spacing w:line="360" w:lineRule="auto"/>
        <w:ind w:firstLine="420"/>
        <w:rPr>
          <w:rFonts w:hint="eastAsia" w:ascii="宋体" w:hAnsi="宋体" w:cs="宋体"/>
          <w:bCs/>
          <w:szCs w:val="21"/>
        </w:rPr>
      </w:pPr>
      <w:r>
        <w:rPr>
          <w:rFonts w:hint="eastAsia" w:ascii="宋体" w:hAnsi="宋体" w:cs="宋体"/>
          <w:szCs w:val="21"/>
        </w:rPr>
        <w:t>招标报价采用总承包方式，投标人的报价应包括所投产品费用、安装调试费、测试验收费、培训费、运行维护费用、税金及其他有关的为完成本项目发生的所有费用，招标文件中另有规定的除外。</w:t>
      </w:r>
    </w:p>
    <w:p w14:paraId="7E045D4E">
      <w:pPr>
        <w:spacing w:line="360" w:lineRule="auto"/>
        <w:ind w:firstLine="420"/>
        <w:rPr>
          <w:rFonts w:hint="eastAsia" w:ascii="宋体" w:hAnsi="宋体" w:cs="宋体"/>
          <w:bCs/>
          <w:szCs w:val="21"/>
        </w:rPr>
      </w:pPr>
      <w:r>
        <w:rPr>
          <w:rFonts w:hint="eastAsia" w:ascii="宋体" w:hAnsi="宋体" w:cs="宋体"/>
          <w:szCs w:val="21"/>
        </w:rPr>
        <w:t>12.4</w:t>
      </w:r>
      <w:r>
        <w:rPr>
          <w:rFonts w:hint="eastAsia" w:ascii="宋体" w:hAnsi="宋体" w:cs="宋体"/>
          <w:bCs/>
          <w:szCs w:val="21"/>
        </w:rPr>
        <w:t>其它费用处理</w:t>
      </w:r>
    </w:p>
    <w:p w14:paraId="087C8754">
      <w:pPr>
        <w:spacing w:line="360" w:lineRule="auto"/>
        <w:ind w:firstLine="420"/>
        <w:rPr>
          <w:rFonts w:hint="eastAsia" w:ascii="宋体" w:hAnsi="宋体" w:cs="宋体"/>
          <w:bCs/>
          <w:szCs w:val="21"/>
        </w:rPr>
      </w:pPr>
      <w:r>
        <w:rPr>
          <w:rFonts w:hint="eastAsia" w:ascii="宋体" w:hAnsi="宋体" w:cs="宋体"/>
          <w:bCs/>
          <w:szCs w:val="21"/>
        </w:rPr>
        <w:t>招标文件未列明，而投标人认为必需的费用也需列入报价。</w:t>
      </w:r>
    </w:p>
    <w:p w14:paraId="2C605D16">
      <w:pPr>
        <w:spacing w:line="360" w:lineRule="auto"/>
        <w:ind w:firstLine="420"/>
        <w:rPr>
          <w:rFonts w:hint="eastAsia" w:ascii="宋体" w:hAnsi="宋体" w:cs="宋体"/>
          <w:bCs/>
          <w:szCs w:val="21"/>
        </w:rPr>
      </w:pPr>
      <w:r>
        <w:rPr>
          <w:rFonts w:hint="eastAsia" w:ascii="宋体" w:hAnsi="宋体" w:cs="宋体"/>
          <w:szCs w:val="21"/>
        </w:rPr>
        <w:t>12.5</w:t>
      </w:r>
      <w:r>
        <w:rPr>
          <w:rFonts w:hint="eastAsia" w:ascii="宋体" w:hAnsi="宋体" w:cs="宋体"/>
          <w:bCs/>
          <w:szCs w:val="21"/>
        </w:rPr>
        <w:t>投标货币</w:t>
      </w:r>
    </w:p>
    <w:p w14:paraId="07DFD7FB">
      <w:pPr>
        <w:spacing w:line="360" w:lineRule="auto"/>
        <w:ind w:firstLine="420"/>
        <w:rPr>
          <w:rFonts w:hint="eastAsia" w:ascii="宋体" w:hAnsi="宋体" w:cs="宋体"/>
          <w:bCs/>
          <w:szCs w:val="21"/>
        </w:rPr>
      </w:pPr>
      <w:r>
        <w:rPr>
          <w:rFonts w:hint="eastAsia" w:ascii="宋体" w:hAnsi="宋体" w:cs="宋体"/>
          <w:bCs/>
          <w:szCs w:val="21"/>
        </w:rPr>
        <w:t>投标文件中的货物单价和总价无特殊规定的采用人民币报价，以元为单位标注。</w:t>
      </w:r>
      <w:r>
        <w:rPr>
          <w:rFonts w:hint="eastAsia" w:ascii="宋体" w:hAnsi="宋体" w:cs="宋体"/>
          <w:szCs w:val="21"/>
        </w:rPr>
        <w:t>招标文件中另有规定的按规定执行。</w:t>
      </w:r>
    </w:p>
    <w:p w14:paraId="316D7A7F">
      <w:pPr>
        <w:spacing w:line="360" w:lineRule="auto"/>
        <w:ind w:firstLine="420"/>
        <w:rPr>
          <w:rFonts w:hint="eastAsia" w:ascii="宋体" w:hAnsi="宋体" w:cs="宋体"/>
          <w:szCs w:val="21"/>
        </w:rPr>
      </w:pPr>
      <w:r>
        <w:rPr>
          <w:rFonts w:hint="eastAsia" w:ascii="宋体" w:hAnsi="宋体" w:cs="宋体"/>
          <w:szCs w:val="21"/>
        </w:rPr>
        <w:t>12.6</w:t>
      </w:r>
      <w:r>
        <w:rPr>
          <w:rFonts w:hint="eastAsia" w:ascii="宋体" w:hAnsi="宋体" w:cs="宋体"/>
          <w:bCs/>
          <w:szCs w:val="21"/>
        </w:rPr>
        <w:t xml:space="preserve"> 投标配置与分项报价表上的价格应按下列方式分开填写</w:t>
      </w:r>
      <w:r>
        <w:rPr>
          <w:rFonts w:hint="eastAsia" w:ascii="宋体" w:hAnsi="宋体" w:cs="宋体"/>
          <w:szCs w:val="21"/>
        </w:rPr>
        <w:t>：</w:t>
      </w:r>
    </w:p>
    <w:p w14:paraId="50012A76">
      <w:pPr>
        <w:spacing w:line="360" w:lineRule="auto"/>
        <w:ind w:firstLine="420"/>
        <w:rPr>
          <w:rFonts w:hint="eastAsia" w:ascii="宋体" w:hAnsi="宋体" w:cs="宋体"/>
          <w:bCs/>
          <w:szCs w:val="21"/>
        </w:rPr>
      </w:pPr>
      <w:r>
        <w:rPr>
          <w:rFonts w:hint="eastAsia" w:ascii="宋体" w:hAnsi="宋体" w:cs="宋体"/>
          <w:bCs/>
          <w:szCs w:val="21"/>
        </w:rPr>
        <w:t>1.</w:t>
      </w:r>
      <w:r>
        <w:rPr>
          <w:rFonts w:hint="eastAsia" w:ascii="宋体" w:hAnsi="宋体" w:cs="宋体"/>
          <w:szCs w:val="21"/>
        </w:rPr>
        <w:t>项目总价：包括</w:t>
      </w:r>
      <w:r>
        <w:rPr>
          <w:rFonts w:hint="eastAsia" w:ascii="宋体" w:hAnsi="宋体" w:cs="宋体"/>
          <w:bCs/>
          <w:szCs w:val="21"/>
        </w:rPr>
        <w:t>采购人需求的货物价格</w:t>
      </w:r>
      <w:r>
        <w:rPr>
          <w:rFonts w:hint="eastAsia" w:ascii="宋体" w:hAnsi="宋体" w:cs="宋体"/>
          <w:szCs w:val="21"/>
        </w:rPr>
        <w:t>、</w:t>
      </w:r>
      <w:r>
        <w:rPr>
          <w:rFonts w:hint="eastAsia" w:ascii="宋体" w:hAnsi="宋体" w:cs="宋体"/>
          <w:bCs/>
          <w:szCs w:val="21"/>
        </w:rPr>
        <w:t>质量保证费用、培训费用及售后服务费用，项目在指定地点、环境交付、安装、调试、验收所需费用和所有</w:t>
      </w:r>
      <w:r>
        <w:rPr>
          <w:rFonts w:hint="eastAsia" w:ascii="宋体" w:hAnsi="宋体" w:cs="宋体"/>
          <w:szCs w:val="21"/>
        </w:rPr>
        <w:t>相关税金费用</w:t>
      </w:r>
      <w:r>
        <w:rPr>
          <w:rFonts w:hint="eastAsia" w:ascii="宋体" w:hAnsi="宋体" w:cs="宋体"/>
          <w:bCs/>
          <w:szCs w:val="21"/>
        </w:rPr>
        <w:t>及为完成整个项目所产生的其他所有费用。</w:t>
      </w:r>
    </w:p>
    <w:p w14:paraId="57C6BFEA">
      <w:pPr>
        <w:spacing w:line="360" w:lineRule="auto"/>
        <w:ind w:firstLine="420"/>
        <w:rPr>
          <w:rFonts w:hint="eastAsia" w:ascii="宋体" w:hAnsi="宋体" w:cs="宋体"/>
          <w:bCs/>
          <w:szCs w:val="21"/>
        </w:rPr>
      </w:pPr>
      <w:r>
        <w:rPr>
          <w:rFonts w:hint="eastAsia" w:ascii="宋体" w:hAnsi="宋体" w:cs="宋体"/>
          <w:szCs w:val="21"/>
        </w:rPr>
        <w:t>2.</w:t>
      </w:r>
      <w:r>
        <w:rPr>
          <w:rFonts w:hint="eastAsia" w:ascii="宋体" w:hAnsi="宋体" w:cs="宋体"/>
          <w:bCs/>
          <w:szCs w:val="21"/>
        </w:rPr>
        <w:t>项目单价按投标配置及分项报价表中要求填报。</w:t>
      </w:r>
    </w:p>
    <w:p w14:paraId="7EBD660C">
      <w:pPr>
        <w:spacing w:line="360" w:lineRule="auto"/>
        <w:ind w:firstLine="422"/>
        <w:rPr>
          <w:rFonts w:hint="eastAsia" w:ascii="宋体" w:hAnsi="宋体" w:cs="宋体"/>
          <w:b/>
          <w:szCs w:val="21"/>
        </w:rPr>
      </w:pPr>
      <w:r>
        <w:rPr>
          <w:rFonts w:hint="eastAsia" w:ascii="宋体" w:hAnsi="宋体" w:cs="宋体"/>
          <w:b/>
          <w:bCs/>
          <w:szCs w:val="21"/>
        </w:rPr>
        <w:t>13.</w:t>
      </w:r>
      <w:r>
        <w:rPr>
          <w:rFonts w:hint="eastAsia" w:ascii="宋体" w:hAnsi="宋体" w:cs="宋体"/>
          <w:b/>
          <w:szCs w:val="21"/>
        </w:rPr>
        <w:t>技术参数响应及偏离表、商务条款响应及偏离表及投标货物说明</w:t>
      </w:r>
    </w:p>
    <w:p w14:paraId="4300C5BB">
      <w:pPr>
        <w:spacing w:line="360" w:lineRule="auto"/>
        <w:ind w:firstLine="420"/>
        <w:rPr>
          <w:rFonts w:hint="eastAsia" w:ascii="宋体" w:hAnsi="宋体" w:cs="宋体"/>
          <w:szCs w:val="21"/>
          <w:lang w:val="zh-CN"/>
        </w:rPr>
      </w:pPr>
      <w:r>
        <w:rPr>
          <w:rFonts w:hint="eastAsia" w:ascii="宋体" w:hAnsi="宋体" w:cs="宋体"/>
          <w:bCs/>
          <w:szCs w:val="21"/>
          <w:lang w:val="zh-CN"/>
        </w:rPr>
        <w:t>13.1</w:t>
      </w:r>
      <w:r>
        <w:rPr>
          <w:rFonts w:hint="eastAsia" w:ascii="宋体" w:hAnsi="宋体" w:cs="宋体"/>
          <w:szCs w:val="21"/>
          <w:lang w:val="zh-CN"/>
        </w:rPr>
        <w:t xml:space="preserve"> 对招标文件中的技术与商务条款要求逐项作出响应或偏离，并说明原因；</w:t>
      </w:r>
    </w:p>
    <w:p w14:paraId="0FAE7C04">
      <w:pPr>
        <w:tabs>
          <w:tab w:val="left" w:pos="1035"/>
        </w:tabs>
        <w:spacing w:line="360" w:lineRule="auto"/>
        <w:ind w:firstLine="420"/>
        <w:rPr>
          <w:rFonts w:hint="eastAsia" w:ascii="宋体" w:hAnsi="宋体" w:cs="宋体"/>
          <w:szCs w:val="21"/>
          <w:lang w:val="zh-CN"/>
        </w:rPr>
      </w:pPr>
      <w:r>
        <w:rPr>
          <w:rFonts w:hint="eastAsia" w:ascii="宋体" w:hAnsi="宋体" w:cs="宋体"/>
          <w:szCs w:val="21"/>
          <w:lang w:val="zh-CN"/>
        </w:rPr>
        <w:t>13.2 提供参加本项目类似案例简介；</w:t>
      </w:r>
    </w:p>
    <w:p w14:paraId="33D85A34">
      <w:pPr>
        <w:tabs>
          <w:tab w:val="left" w:pos="1035"/>
        </w:tabs>
        <w:spacing w:line="360" w:lineRule="auto"/>
        <w:ind w:firstLine="420"/>
        <w:rPr>
          <w:rFonts w:hint="eastAsia" w:ascii="宋体" w:hAnsi="宋体" w:cs="宋体"/>
          <w:szCs w:val="21"/>
          <w:lang w:val="zh-CN"/>
        </w:rPr>
      </w:pPr>
      <w:r>
        <w:rPr>
          <w:rFonts w:hint="eastAsia" w:ascii="宋体" w:hAnsi="宋体" w:cs="宋体"/>
          <w:szCs w:val="21"/>
          <w:lang w:val="zh-CN"/>
        </w:rPr>
        <w:t>13.3 培训计划；</w:t>
      </w:r>
    </w:p>
    <w:p w14:paraId="0E0951F0">
      <w:pPr>
        <w:tabs>
          <w:tab w:val="left" w:pos="1035"/>
        </w:tabs>
        <w:spacing w:line="360" w:lineRule="auto"/>
        <w:ind w:firstLine="420"/>
        <w:rPr>
          <w:rFonts w:hint="eastAsia" w:ascii="宋体" w:hAnsi="宋体" w:cs="宋体"/>
          <w:szCs w:val="21"/>
          <w:lang w:val="zh-CN"/>
        </w:rPr>
      </w:pPr>
      <w:r>
        <w:rPr>
          <w:rFonts w:hint="eastAsia" w:ascii="宋体" w:hAnsi="宋体" w:cs="宋体"/>
          <w:szCs w:val="21"/>
          <w:lang w:val="zh-CN"/>
        </w:rPr>
        <w:t>13.4 详细阐述所投货物的主要组成部分、功能设计、实现思路及关键技术；</w:t>
      </w:r>
    </w:p>
    <w:p w14:paraId="16991DE3">
      <w:pPr>
        <w:tabs>
          <w:tab w:val="left" w:pos="1035"/>
        </w:tabs>
        <w:spacing w:line="360" w:lineRule="auto"/>
        <w:ind w:firstLine="420"/>
        <w:rPr>
          <w:rFonts w:hint="eastAsia" w:ascii="宋体" w:hAnsi="宋体" w:cs="宋体"/>
          <w:szCs w:val="21"/>
          <w:lang w:val="zh-CN"/>
        </w:rPr>
      </w:pPr>
      <w:r>
        <w:rPr>
          <w:rFonts w:hint="eastAsia" w:ascii="宋体" w:hAnsi="宋体" w:cs="宋体"/>
          <w:szCs w:val="21"/>
          <w:lang w:val="zh-CN"/>
        </w:rPr>
        <w:t>13.5 投标人认为需要的其他技术文件或说明。</w:t>
      </w:r>
    </w:p>
    <w:p w14:paraId="0B1C3BB3">
      <w:pPr>
        <w:spacing w:line="360" w:lineRule="auto"/>
        <w:ind w:firstLine="422"/>
        <w:rPr>
          <w:rFonts w:hint="eastAsia" w:ascii="宋体" w:hAnsi="宋体" w:cs="宋体"/>
          <w:b/>
          <w:bCs/>
          <w:szCs w:val="21"/>
        </w:rPr>
      </w:pPr>
      <w:r>
        <w:rPr>
          <w:rFonts w:hint="eastAsia" w:ascii="宋体" w:hAnsi="宋体" w:cs="宋体"/>
          <w:b/>
          <w:bCs/>
          <w:szCs w:val="21"/>
        </w:rPr>
        <w:t>14.服务承诺及售后服务机构、人员的情况介绍</w:t>
      </w:r>
    </w:p>
    <w:p w14:paraId="552AF846">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bCs/>
          <w:szCs w:val="21"/>
        </w:rPr>
        <w:t>14.1</w:t>
      </w:r>
      <w:r>
        <w:rPr>
          <w:rFonts w:hint="eastAsia" w:ascii="宋体" w:hAnsi="宋体" w:cs="宋体"/>
          <w:szCs w:val="21"/>
        </w:rPr>
        <w:t>投标人的服务承诺应按不低于招标文件中商务要求的标准。</w:t>
      </w:r>
    </w:p>
    <w:p w14:paraId="6C8382BF">
      <w:pPr>
        <w:spacing w:line="360" w:lineRule="auto"/>
        <w:ind w:firstLine="420"/>
        <w:rPr>
          <w:rFonts w:hint="eastAsia" w:ascii="宋体" w:hAnsi="宋体" w:cs="宋体"/>
          <w:szCs w:val="21"/>
        </w:rPr>
      </w:pPr>
      <w:r>
        <w:rPr>
          <w:rFonts w:hint="eastAsia" w:ascii="宋体" w:hAnsi="宋体" w:cs="宋体"/>
          <w:bCs/>
          <w:szCs w:val="21"/>
        </w:rPr>
        <w:t>14.2</w:t>
      </w:r>
      <w:r>
        <w:rPr>
          <w:rFonts w:hint="eastAsia" w:ascii="宋体" w:hAnsi="宋体" w:cs="宋体"/>
          <w:szCs w:val="21"/>
        </w:rPr>
        <w:t>提供投标人有关售后服务的管理制度、售后服务机构的分布情况、售后服务人员的数量、素质、技术水平及售后服务的反应能力。</w:t>
      </w:r>
    </w:p>
    <w:p w14:paraId="0C3BDA1E">
      <w:pPr>
        <w:pStyle w:val="194"/>
        <w:spacing w:before="0" w:after="0" w:line="360" w:lineRule="auto"/>
        <w:ind w:firstLine="422"/>
        <w:rPr>
          <w:rFonts w:hint="eastAsia" w:ascii="宋体" w:hAnsi="宋体" w:eastAsia="宋体" w:cs="宋体"/>
          <w:b w:val="0"/>
          <w:bCs w:val="0"/>
          <w:sz w:val="21"/>
          <w:szCs w:val="21"/>
        </w:rPr>
      </w:pPr>
      <w:bookmarkStart w:id="46" w:name="_Toc49090510"/>
      <w:bookmarkStart w:id="47" w:name="_Toc14577359"/>
      <w:r>
        <w:rPr>
          <w:rFonts w:hint="eastAsia" w:ascii="宋体" w:hAnsi="宋体" w:eastAsia="宋体" w:cs="宋体"/>
          <w:bCs w:val="0"/>
          <w:sz w:val="21"/>
          <w:szCs w:val="21"/>
        </w:rPr>
        <w:t>15.投标函和开标一览表</w:t>
      </w:r>
    </w:p>
    <w:p w14:paraId="6F2B66C5">
      <w:pPr>
        <w:spacing w:line="360" w:lineRule="auto"/>
        <w:ind w:firstLine="420"/>
        <w:rPr>
          <w:rFonts w:hint="eastAsia" w:ascii="宋体" w:hAnsi="宋体" w:cs="宋体"/>
          <w:szCs w:val="21"/>
        </w:rPr>
      </w:pPr>
      <w:r>
        <w:rPr>
          <w:rFonts w:hint="eastAsia" w:ascii="宋体" w:hAnsi="宋体" w:cs="宋体"/>
          <w:bCs/>
          <w:szCs w:val="21"/>
        </w:rPr>
        <w:t>15.1</w:t>
      </w:r>
      <w:r>
        <w:rPr>
          <w:rFonts w:hint="eastAsia" w:ascii="宋体" w:hAnsi="宋体" w:cs="宋体"/>
          <w:szCs w:val="21"/>
        </w:rPr>
        <w:t xml:space="preserve"> 投标人应按照招标文件中提供的格式完整、正确填写投标函、开标一览表。</w:t>
      </w:r>
    </w:p>
    <w:p w14:paraId="6F128468">
      <w:pPr>
        <w:spacing w:line="360" w:lineRule="auto"/>
        <w:ind w:firstLine="420"/>
        <w:rPr>
          <w:rFonts w:hint="eastAsia" w:ascii="宋体" w:hAnsi="宋体" w:cs="宋体"/>
          <w:b/>
          <w:szCs w:val="21"/>
        </w:rPr>
      </w:pPr>
      <w:r>
        <w:rPr>
          <w:rFonts w:hint="eastAsia" w:ascii="宋体" w:hAnsi="宋体" w:cs="宋体"/>
          <w:b/>
          <w:szCs w:val="21"/>
        </w:rPr>
        <w:t xml:space="preserve">15.2 </w:t>
      </w:r>
      <w:r>
        <w:rPr>
          <w:rFonts w:hint="eastAsia" w:ascii="宋体" w:hAnsi="宋体" w:cs="宋体"/>
          <w:b/>
          <w:i/>
          <w:szCs w:val="21"/>
          <w:u w:val="single"/>
        </w:rPr>
        <w:t>开标一览表中的价格应与投标文件中投标配置与分项报价表中的价格一致，如不一致，不作为无效投标处理，但评标时按开标一览表中价格为准。</w:t>
      </w:r>
    </w:p>
    <w:p w14:paraId="346E78E7">
      <w:pPr>
        <w:pStyle w:val="194"/>
        <w:spacing w:before="0" w:after="0" w:line="360" w:lineRule="auto"/>
        <w:ind w:firstLine="422"/>
        <w:rPr>
          <w:rFonts w:hint="eastAsia" w:ascii="宋体" w:hAnsi="宋体" w:eastAsia="宋体" w:cs="宋体"/>
          <w:b w:val="0"/>
          <w:sz w:val="21"/>
          <w:szCs w:val="21"/>
        </w:rPr>
      </w:pPr>
      <w:r>
        <w:rPr>
          <w:rFonts w:hint="eastAsia" w:ascii="宋体" w:hAnsi="宋体" w:eastAsia="宋体" w:cs="宋体"/>
          <w:b w:val="0"/>
          <w:sz w:val="21"/>
          <w:szCs w:val="21"/>
        </w:rPr>
        <w:t>15.3开标一览表仅用于现场唱标使用，建议单独密封在独立信封内，于投标截止时间前与投标文件分开递交；未按前述要求递交的，不作为无效投标处理。</w:t>
      </w:r>
    </w:p>
    <w:p w14:paraId="0D20F7C9">
      <w:pPr>
        <w:pStyle w:val="194"/>
        <w:spacing w:before="0" w:after="0" w:line="360" w:lineRule="auto"/>
        <w:ind w:firstLine="422"/>
        <w:rPr>
          <w:rFonts w:hint="eastAsia" w:ascii="宋体" w:hAnsi="宋体" w:eastAsia="宋体" w:cs="宋体"/>
          <w:b w:val="0"/>
          <w:bCs w:val="0"/>
          <w:sz w:val="21"/>
          <w:szCs w:val="21"/>
        </w:rPr>
      </w:pPr>
      <w:r>
        <w:rPr>
          <w:rFonts w:hint="eastAsia" w:ascii="宋体" w:hAnsi="宋体" w:eastAsia="宋体" w:cs="宋体"/>
          <w:bCs w:val="0"/>
          <w:sz w:val="21"/>
          <w:szCs w:val="21"/>
        </w:rPr>
        <w:t>16.投标保证金</w:t>
      </w:r>
      <w:bookmarkEnd w:id="46"/>
      <w:bookmarkEnd w:id="47"/>
    </w:p>
    <w:p w14:paraId="44CE8088">
      <w:pPr>
        <w:pStyle w:val="194"/>
        <w:spacing w:before="0" w:after="0" w:line="360" w:lineRule="auto"/>
        <w:ind w:firstLine="420"/>
        <w:rPr>
          <w:rFonts w:hint="eastAsia" w:ascii="宋体" w:hAnsi="宋体" w:eastAsia="宋体" w:cs="宋体"/>
          <w:b w:val="0"/>
          <w:sz w:val="21"/>
          <w:szCs w:val="21"/>
        </w:rPr>
      </w:pPr>
      <w:bookmarkStart w:id="48" w:name="_Toc49090511"/>
      <w:bookmarkStart w:id="49" w:name="_Toc14577360"/>
      <w:r>
        <w:rPr>
          <w:rFonts w:hint="eastAsia" w:ascii="宋体" w:hAnsi="宋体" w:eastAsia="宋体" w:cs="宋体"/>
          <w:b w:val="0"/>
          <w:sz w:val="21"/>
          <w:szCs w:val="21"/>
        </w:rPr>
        <w:t>无</w:t>
      </w:r>
    </w:p>
    <w:p w14:paraId="4125C92F">
      <w:pPr>
        <w:pStyle w:val="194"/>
        <w:spacing w:before="0" w:after="0" w:line="360" w:lineRule="auto"/>
        <w:ind w:firstLine="422"/>
        <w:rPr>
          <w:rFonts w:hint="eastAsia" w:ascii="宋体" w:hAnsi="宋体" w:eastAsia="宋体" w:cs="宋体"/>
          <w:b w:val="0"/>
          <w:bCs w:val="0"/>
          <w:sz w:val="21"/>
          <w:szCs w:val="21"/>
        </w:rPr>
      </w:pPr>
      <w:r>
        <w:rPr>
          <w:rFonts w:hint="eastAsia" w:ascii="宋体" w:hAnsi="宋体" w:eastAsia="宋体" w:cs="宋体"/>
          <w:bCs w:val="0"/>
          <w:sz w:val="21"/>
          <w:szCs w:val="21"/>
        </w:rPr>
        <w:t>17.投标有效期</w:t>
      </w:r>
      <w:bookmarkEnd w:id="48"/>
      <w:bookmarkEnd w:id="49"/>
    </w:p>
    <w:p w14:paraId="61A3D981">
      <w:pPr>
        <w:spacing w:line="360" w:lineRule="auto"/>
        <w:ind w:firstLine="420"/>
        <w:rPr>
          <w:rFonts w:hint="eastAsia" w:ascii="宋体" w:hAnsi="宋体" w:cs="宋体"/>
          <w:bCs/>
          <w:szCs w:val="21"/>
        </w:rPr>
      </w:pPr>
      <w:r>
        <w:rPr>
          <w:rFonts w:hint="eastAsia" w:ascii="宋体" w:hAnsi="宋体" w:cs="宋体"/>
          <w:szCs w:val="21"/>
        </w:rPr>
        <w:t>17.1</w:t>
      </w:r>
      <w:r>
        <w:rPr>
          <w:rFonts w:hint="eastAsia" w:ascii="宋体" w:hAnsi="宋体" w:cs="宋体"/>
          <w:bCs/>
          <w:szCs w:val="21"/>
        </w:rPr>
        <w:t xml:space="preserve"> 投标有效期为代理机构规定的开标之日起</w:t>
      </w:r>
      <w:r>
        <w:rPr>
          <w:rFonts w:hint="eastAsia" w:ascii="宋体" w:hAnsi="宋体" w:cs="宋体"/>
          <w:b/>
          <w:szCs w:val="21"/>
          <w:u w:val="single"/>
        </w:rPr>
        <w:t>六十（60）天</w:t>
      </w:r>
      <w:r>
        <w:rPr>
          <w:rFonts w:hint="eastAsia" w:ascii="宋体" w:hAnsi="宋体" w:cs="宋体"/>
          <w:bCs/>
          <w:szCs w:val="21"/>
        </w:rPr>
        <w:t>。投标有效期比规定短的将被视为非响应性投标而予以拒绝。</w:t>
      </w:r>
    </w:p>
    <w:p w14:paraId="65DC0400">
      <w:pPr>
        <w:spacing w:line="360" w:lineRule="auto"/>
        <w:ind w:firstLine="420"/>
        <w:rPr>
          <w:rFonts w:hint="eastAsia" w:ascii="宋体" w:hAnsi="宋体" w:cs="宋体"/>
          <w:bCs/>
          <w:szCs w:val="21"/>
        </w:rPr>
      </w:pPr>
      <w:r>
        <w:rPr>
          <w:rFonts w:hint="eastAsia" w:ascii="宋体" w:hAnsi="宋体" w:cs="宋体"/>
          <w:szCs w:val="21"/>
        </w:rPr>
        <w:t>17.2</w:t>
      </w:r>
      <w:r>
        <w:rPr>
          <w:rFonts w:hint="eastAsia" w:ascii="宋体" w:hAnsi="宋体" w:cs="宋体"/>
          <w:bCs/>
          <w:szCs w:val="21"/>
        </w:rPr>
        <w:t xml:space="preserve"> 在特殊情况下，代理机构于原投标有效期满之前，可向投标人提出延长投标有效期的要求。这种要求与答复均应采用书面形式。投标人可以拒绝代理机构的这一要求而放弃投标</w:t>
      </w:r>
      <w:r>
        <w:rPr>
          <w:rFonts w:hint="eastAsia" w:ascii="宋体" w:hAnsi="宋体" w:cs="宋体"/>
          <w:szCs w:val="21"/>
        </w:rPr>
        <w:t>；</w:t>
      </w:r>
      <w:r>
        <w:rPr>
          <w:rFonts w:hint="eastAsia" w:ascii="宋体" w:hAnsi="宋体" w:cs="宋体"/>
          <w:bCs/>
          <w:szCs w:val="21"/>
        </w:rPr>
        <w:t>同意延长投标有效期的投标人既不能要求也不允许修改其投标文件</w:t>
      </w:r>
      <w:r>
        <w:rPr>
          <w:rFonts w:hint="eastAsia" w:ascii="宋体" w:hAnsi="宋体" w:cs="宋体"/>
          <w:szCs w:val="21"/>
        </w:rPr>
        <w:t>，同时受投标有效期约束的所有权利与义务均延长至新的有效期</w:t>
      </w:r>
      <w:r>
        <w:rPr>
          <w:rFonts w:hint="eastAsia" w:ascii="宋体" w:hAnsi="宋体" w:cs="宋体"/>
          <w:bCs/>
          <w:szCs w:val="21"/>
        </w:rPr>
        <w:t>。</w:t>
      </w:r>
    </w:p>
    <w:p w14:paraId="4492618C">
      <w:pPr>
        <w:pStyle w:val="194"/>
        <w:spacing w:before="0" w:after="0" w:line="360" w:lineRule="auto"/>
        <w:ind w:firstLine="422"/>
        <w:rPr>
          <w:rFonts w:hint="eastAsia" w:ascii="宋体" w:hAnsi="宋体" w:eastAsia="宋体" w:cs="宋体"/>
          <w:b w:val="0"/>
          <w:bCs w:val="0"/>
          <w:sz w:val="21"/>
          <w:szCs w:val="21"/>
        </w:rPr>
      </w:pPr>
      <w:bookmarkStart w:id="50" w:name="_Toc49090512"/>
      <w:bookmarkStart w:id="51" w:name="_Toc14577361"/>
      <w:r>
        <w:rPr>
          <w:rFonts w:hint="eastAsia" w:ascii="宋体" w:hAnsi="宋体" w:eastAsia="宋体" w:cs="宋体"/>
          <w:bCs w:val="0"/>
          <w:sz w:val="21"/>
          <w:szCs w:val="21"/>
        </w:rPr>
        <w:t>18.投标文件份数和签署</w:t>
      </w:r>
      <w:bookmarkEnd w:id="50"/>
      <w:bookmarkEnd w:id="51"/>
    </w:p>
    <w:p w14:paraId="3EB500C4">
      <w:pPr>
        <w:spacing w:line="360" w:lineRule="auto"/>
        <w:ind w:firstLine="420"/>
        <w:rPr>
          <w:rFonts w:hint="eastAsia" w:ascii="宋体" w:hAnsi="宋体" w:cs="宋体"/>
          <w:bCs/>
          <w:szCs w:val="21"/>
        </w:rPr>
      </w:pPr>
      <w:r>
        <w:rPr>
          <w:rFonts w:hint="eastAsia" w:ascii="宋体" w:hAnsi="宋体" w:cs="宋体"/>
          <w:szCs w:val="21"/>
        </w:rPr>
        <w:t>18.1</w:t>
      </w:r>
      <w:r>
        <w:rPr>
          <w:rFonts w:hint="eastAsia" w:ascii="宋体" w:hAnsi="宋体" w:cs="宋体"/>
          <w:b/>
          <w:szCs w:val="21"/>
        </w:rPr>
        <w:t xml:space="preserve"> </w:t>
      </w:r>
      <w:r>
        <w:rPr>
          <w:rFonts w:hint="eastAsia" w:ascii="宋体" w:hAnsi="宋体" w:cs="宋体"/>
          <w:bCs/>
          <w:szCs w:val="21"/>
        </w:rPr>
        <w:t>投标人应严格按照招标公告和招标文件要求的份数准备投标文件，每份投标文件须清楚地标明“正本”或“副本”字样。一旦正本和副本不符，以正本为准。</w:t>
      </w:r>
    </w:p>
    <w:p w14:paraId="40EB2EED">
      <w:pPr>
        <w:spacing w:line="360" w:lineRule="auto"/>
        <w:ind w:firstLine="420"/>
        <w:rPr>
          <w:rFonts w:hint="eastAsia" w:ascii="宋体" w:hAnsi="宋体" w:cs="宋体"/>
          <w:bCs/>
          <w:szCs w:val="21"/>
        </w:rPr>
      </w:pPr>
      <w:r>
        <w:rPr>
          <w:rFonts w:hint="eastAsia" w:ascii="宋体" w:hAnsi="宋体" w:cs="宋体"/>
          <w:szCs w:val="21"/>
        </w:rPr>
        <w:t>18.2</w:t>
      </w:r>
      <w:r>
        <w:rPr>
          <w:rFonts w:hint="eastAsia" w:ascii="宋体" w:hAnsi="宋体" w:cs="宋体"/>
          <w:b/>
          <w:szCs w:val="21"/>
        </w:rPr>
        <w:t xml:space="preserve"> </w:t>
      </w:r>
      <w:r>
        <w:rPr>
          <w:rFonts w:hint="eastAsia" w:ascii="宋体" w:hAnsi="宋体" w:cs="宋体"/>
          <w:szCs w:val="21"/>
        </w:rPr>
        <w:t>投标文件正本中，除招标文件规定的可提交复印件外，其他文件均须提交原件。文字材料需打印或用不褪色墨水书写。投标文件的正本须经法定代表人或授权代表签署和加盖投标人公章。 本采购文件所表述（指定）的公章是指法定名称章，不包括合同专用章、业务专用章等印章。本采购文件所表述（指定）的“签字”是指当事人用不褪色墨水书写签名，非签字章。</w:t>
      </w:r>
    </w:p>
    <w:p w14:paraId="19741E21">
      <w:pPr>
        <w:spacing w:line="360" w:lineRule="auto"/>
        <w:ind w:firstLine="420"/>
        <w:rPr>
          <w:rFonts w:hint="eastAsia" w:ascii="宋体" w:hAnsi="宋体" w:cs="宋体"/>
          <w:szCs w:val="21"/>
        </w:rPr>
      </w:pPr>
      <w:r>
        <w:rPr>
          <w:rFonts w:hint="eastAsia" w:ascii="宋体" w:hAnsi="宋体" w:cs="宋体"/>
          <w:szCs w:val="21"/>
        </w:rPr>
        <w:t>18.3</w:t>
      </w:r>
      <w:r>
        <w:rPr>
          <w:rFonts w:hint="eastAsia" w:ascii="宋体" w:hAnsi="宋体" w:cs="宋体"/>
          <w:bCs/>
          <w:szCs w:val="21"/>
        </w:rPr>
        <w:t xml:space="preserve"> 除投标人对错处做必要修改外，投标文件不得行间插字、涂改或增删。如有修改错漏处，必须由法定代表人或授权代表签字或盖章。</w:t>
      </w:r>
    </w:p>
    <w:p w14:paraId="16B49E46">
      <w:pPr>
        <w:pStyle w:val="194"/>
        <w:spacing w:before="0" w:after="0" w:line="360" w:lineRule="auto"/>
        <w:ind w:firstLine="422"/>
        <w:rPr>
          <w:rFonts w:hint="eastAsia" w:ascii="宋体" w:hAnsi="宋体" w:eastAsia="宋体" w:cs="宋体"/>
          <w:b w:val="0"/>
          <w:bCs w:val="0"/>
          <w:sz w:val="21"/>
          <w:szCs w:val="21"/>
        </w:rPr>
      </w:pPr>
      <w:bookmarkStart w:id="52" w:name="_Toc513029225"/>
      <w:bookmarkStart w:id="53" w:name="_Toc16938541"/>
      <w:bookmarkStart w:id="54" w:name="_Toc20823297"/>
      <w:bookmarkStart w:id="55" w:name="_Toc462564084"/>
      <w:r>
        <w:rPr>
          <w:rFonts w:hint="eastAsia" w:ascii="宋体" w:hAnsi="宋体" w:eastAsia="宋体" w:cs="宋体"/>
          <w:bCs w:val="0"/>
          <w:sz w:val="21"/>
          <w:szCs w:val="21"/>
        </w:rPr>
        <w:t>19.投标文件的密封和标记</w:t>
      </w:r>
      <w:bookmarkEnd w:id="52"/>
      <w:bookmarkEnd w:id="53"/>
      <w:bookmarkEnd w:id="54"/>
      <w:bookmarkEnd w:id="55"/>
    </w:p>
    <w:p w14:paraId="2A28A571">
      <w:pPr>
        <w:spacing w:line="360" w:lineRule="auto"/>
        <w:ind w:firstLine="420"/>
        <w:rPr>
          <w:rFonts w:hint="eastAsia" w:ascii="宋体" w:hAnsi="宋体" w:cs="宋体"/>
          <w:bCs/>
          <w:szCs w:val="21"/>
        </w:rPr>
      </w:pPr>
      <w:r>
        <w:rPr>
          <w:rFonts w:hint="eastAsia" w:ascii="宋体" w:hAnsi="宋体" w:cs="宋体"/>
          <w:szCs w:val="21"/>
        </w:rPr>
        <w:t>19.1</w:t>
      </w:r>
      <w:r>
        <w:rPr>
          <w:rFonts w:hint="eastAsia" w:ascii="宋体" w:hAnsi="宋体" w:cs="宋体"/>
          <w:bCs/>
          <w:szCs w:val="21"/>
        </w:rPr>
        <w:t>投标人应将投标文件正本和所有副本密封，不论投标人中标与否，投标文件均不退回。</w:t>
      </w:r>
    </w:p>
    <w:p w14:paraId="745FBADC">
      <w:pPr>
        <w:spacing w:line="360" w:lineRule="auto"/>
        <w:ind w:firstLine="420"/>
        <w:rPr>
          <w:rFonts w:hint="eastAsia" w:ascii="宋体" w:hAnsi="宋体" w:cs="宋体"/>
          <w:bCs/>
          <w:szCs w:val="21"/>
        </w:rPr>
      </w:pPr>
      <w:r>
        <w:rPr>
          <w:rFonts w:hint="eastAsia" w:ascii="宋体" w:hAnsi="宋体" w:cs="宋体"/>
          <w:szCs w:val="21"/>
        </w:rPr>
        <w:t>19.2</w:t>
      </w:r>
      <w:r>
        <w:rPr>
          <w:rFonts w:hint="eastAsia" w:ascii="宋体" w:hAnsi="宋体" w:cs="宋体"/>
          <w:bCs/>
          <w:szCs w:val="21"/>
        </w:rPr>
        <w:t xml:space="preserve"> 密封的投标文件应：</w:t>
      </w:r>
    </w:p>
    <w:p w14:paraId="17908FD2">
      <w:pPr>
        <w:spacing w:line="360" w:lineRule="auto"/>
        <w:ind w:firstLine="420"/>
        <w:rPr>
          <w:rFonts w:hint="eastAsia" w:ascii="宋体" w:hAnsi="宋体" w:cs="宋体"/>
          <w:bCs/>
          <w:szCs w:val="21"/>
        </w:rPr>
      </w:pPr>
      <w:r>
        <w:rPr>
          <w:rFonts w:hint="eastAsia" w:ascii="宋体" w:hAnsi="宋体" w:cs="宋体"/>
          <w:bCs/>
          <w:szCs w:val="21"/>
        </w:rPr>
        <w:t>19.2.1 注明投标人名称，如因标注不清而产生的后果由投标人自负。按招标公告中注明的地址送达；</w:t>
      </w:r>
    </w:p>
    <w:p w14:paraId="1FEA358C">
      <w:pPr>
        <w:spacing w:line="360" w:lineRule="auto"/>
        <w:ind w:firstLine="420"/>
        <w:rPr>
          <w:rFonts w:hint="eastAsia" w:ascii="宋体" w:hAnsi="宋体" w:cs="宋体"/>
          <w:bCs/>
          <w:szCs w:val="21"/>
        </w:rPr>
      </w:pPr>
      <w:r>
        <w:rPr>
          <w:rFonts w:hint="eastAsia" w:ascii="宋体" w:hAnsi="宋体" w:cs="宋体"/>
          <w:bCs/>
          <w:szCs w:val="21"/>
        </w:rPr>
        <w:t>19.2.2注明投标项目名称、标书编号。</w:t>
      </w:r>
    </w:p>
    <w:p w14:paraId="7714EF8F">
      <w:pPr>
        <w:spacing w:line="360" w:lineRule="auto"/>
        <w:ind w:firstLine="420"/>
        <w:rPr>
          <w:rFonts w:hint="eastAsia" w:ascii="宋体" w:hAnsi="宋体" w:cs="宋体"/>
          <w:bCs/>
          <w:szCs w:val="21"/>
        </w:rPr>
      </w:pPr>
      <w:r>
        <w:rPr>
          <w:rFonts w:hint="eastAsia" w:ascii="宋体" w:hAnsi="宋体" w:cs="宋体"/>
          <w:szCs w:val="21"/>
        </w:rPr>
        <w:t>19.2.3</w:t>
      </w:r>
      <w:r>
        <w:rPr>
          <w:rFonts w:hint="eastAsia" w:ascii="宋体" w:hAnsi="宋体" w:cs="宋体"/>
          <w:bCs/>
          <w:szCs w:val="21"/>
        </w:rPr>
        <w:t>未按要求密封和加写标记，代理机构对误投或过早启封概不负责。对由此造成提前开封的投标文件，代理机构将予以拒绝，作无效投标处理。</w:t>
      </w:r>
    </w:p>
    <w:p w14:paraId="79372786">
      <w:pPr>
        <w:pStyle w:val="194"/>
        <w:spacing w:before="0" w:after="0" w:line="360" w:lineRule="auto"/>
        <w:ind w:firstLine="422"/>
        <w:rPr>
          <w:rFonts w:hint="eastAsia" w:ascii="宋体" w:hAnsi="宋体" w:eastAsia="宋体" w:cs="宋体"/>
          <w:bCs w:val="0"/>
          <w:sz w:val="21"/>
          <w:szCs w:val="21"/>
        </w:rPr>
      </w:pPr>
      <w:bookmarkStart w:id="56" w:name="_Toc16938542"/>
      <w:bookmarkStart w:id="57" w:name="_Toc513029226"/>
      <w:bookmarkStart w:id="58" w:name="_Toc20823298"/>
      <w:r>
        <w:rPr>
          <w:rFonts w:hint="eastAsia" w:ascii="宋体" w:hAnsi="宋体" w:eastAsia="宋体" w:cs="宋体"/>
          <w:bCs w:val="0"/>
          <w:sz w:val="21"/>
          <w:szCs w:val="21"/>
        </w:rPr>
        <w:t>20.投标截止日期</w:t>
      </w:r>
      <w:bookmarkEnd w:id="56"/>
      <w:bookmarkEnd w:id="57"/>
      <w:bookmarkEnd w:id="58"/>
    </w:p>
    <w:p w14:paraId="53F43325">
      <w:pPr>
        <w:spacing w:line="360" w:lineRule="auto"/>
        <w:ind w:firstLine="420"/>
        <w:rPr>
          <w:rFonts w:hint="eastAsia" w:ascii="宋体" w:hAnsi="宋体" w:cs="宋体"/>
          <w:bCs/>
          <w:szCs w:val="21"/>
        </w:rPr>
      </w:pPr>
      <w:r>
        <w:rPr>
          <w:rFonts w:hint="eastAsia" w:ascii="宋体" w:hAnsi="宋体" w:cs="宋体"/>
          <w:szCs w:val="21"/>
        </w:rPr>
        <w:t>20.1</w:t>
      </w:r>
      <w:r>
        <w:rPr>
          <w:rFonts w:hint="eastAsia" w:ascii="宋体" w:hAnsi="宋体" w:cs="宋体"/>
          <w:bCs/>
          <w:szCs w:val="21"/>
        </w:rPr>
        <w:t xml:space="preserve"> 代理机构收到投标文件的时间不得迟于招标公告中规定的截止时间。</w:t>
      </w:r>
    </w:p>
    <w:p w14:paraId="5A5AE8D5">
      <w:pPr>
        <w:spacing w:line="360" w:lineRule="auto"/>
        <w:ind w:firstLine="420"/>
        <w:rPr>
          <w:rFonts w:hint="eastAsia" w:ascii="宋体" w:hAnsi="宋体" w:cs="宋体"/>
          <w:bCs/>
          <w:szCs w:val="21"/>
        </w:rPr>
      </w:pPr>
      <w:r>
        <w:rPr>
          <w:rFonts w:hint="eastAsia" w:ascii="宋体" w:hAnsi="宋体" w:cs="宋体"/>
          <w:szCs w:val="21"/>
        </w:rPr>
        <w:t>20.2</w:t>
      </w:r>
      <w:r>
        <w:rPr>
          <w:rFonts w:hint="eastAsia" w:ascii="宋体" w:hAnsi="宋体" w:cs="宋体"/>
          <w:bCs/>
          <w:szCs w:val="21"/>
        </w:rPr>
        <w:t xml:space="preserve"> 代理机构可以通过修改招标文件酌情延长投标截止日期，在此情况下，投标人的所有权利和义务以及投标人受制的截止日期均应以延长后新的截止日期为准。</w:t>
      </w:r>
    </w:p>
    <w:p w14:paraId="6CA31DC6">
      <w:pPr>
        <w:pStyle w:val="194"/>
        <w:spacing w:before="0" w:after="0" w:line="360" w:lineRule="auto"/>
        <w:ind w:firstLine="422"/>
        <w:rPr>
          <w:rFonts w:hint="eastAsia" w:ascii="宋体" w:hAnsi="宋体" w:eastAsia="宋体" w:cs="宋体"/>
          <w:bCs w:val="0"/>
          <w:sz w:val="21"/>
          <w:szCs w:val="21"/>
        </w:rPr>
      </w:pPr>
      <w:bookmarkStart w:id="59" w:name="_Toc513029227"/>
      <w:bookmarkStart w:id="60" w:name="_Toc16938543"/>
      <w:bookmarkStart w:id="61" w:name="_Toc20823299"/>
      <w:r>
        <w:rPr>
          <w:rFonts w:hint="eastAsia" w:ascii="宋体" w:hAnsi="宋体" w:eastAsia="宋体" w:cs="宋体"/>
          <w:bCs w:val="0"/>
          <w:sz w:val="21"/>
          <w:szCs w:val="21"/>
        </w:rPr>
        <w:t>21.迟交的投标文件</w:t>
      </w:r>
      <w:bookmarkEnd w:id="59"/>
      <w:bookmarkEnd w:id="60"/>
      <w:bookmarkEnd w:id="61"/>
    </w:p>
    <w:p w14:paraId="48BA326F">
      <w:pPr>
        <w:spacing w:line="360" w:lineRule="auto"/>
        <w:ind w:firstLine="420"/>
        <w:rPr>
          <w:rFonts w:hint="eastAsia" w:ascii="宋体" w:hAnsi="宋体" w:cs="宋体"/>
          <w:bCs/>
          <w:szCs w:val="21"/>
        </w:rPr>
      </w:pPr>
      <w:r>
        <w:rPr>
          <w:rFonts w:hint="eastAsia" w:ascii="宋体" w:hAnsi="宋体" w:cs="宋体"/>
          <w:szCs w:val="21"/>
        </w:rPr>
        <w:t>21.1</w:t>
      </w:r>
      <w:r>
        <w:rPr>
          <w:rFonts w:hint="eastAsia" w:ascii="宋体" w:hAnsi="宋体" w:cs="宋体"/>
          <w:bCs/>
          <w:szCs w:val="21"/>
        </w:rPr>
        <w:t xml:space="preserve"> 代理机构拒绝接收在其规定的投标截止时间后递交的任何投标文件。</w:t>
      </w:r>
    </w:p>
    <w:p w14:paraId="2A2DAFC1">
      <w:pPr>
        <w:pStyle w:val="194"/>
        <w:spacing w:before="0" w:after="0" w:line="360" w:lineRule="auto"/>
        <w:ind w:firstLine="422"/>
        <w:rPr>
          <w:rFonts w:hint="eastAsia" w:ascii="宋体" w:hAnsi="宋体" w:eastAsia="宋体" w:cs="宋体"/>
          <w:b w:val="0"/>
          <w:bCs w:val="0"/>
          <w:sz w:val="21"/>
          <w:szCs w:val="21"/>
        </w:rPr>
      </w:pPr>
      <w:bookmarkStart w:id="62" w:name="_Toc20823300"/>
      <w:bookmarkStart w:id="63" w:name="_Toc16938544"/>
      <w:bookmarkStart w:id="64" w:name="_Toc513029228"/>
      <w:r>
        <w:rPr>
          <w:rFonts w:hint="eastAsia" w:ascii="宋体" w:hAnsi="宋体" w:eastAsia="宋体" w:cs="宋体"/>
          <w:bCs w:val="0"/>
          <w:sz w:val="21"/>
          <w:szCs w:val="21"/>
        </w:rPr>
        <w:t>22.投标文件的修改和撤回</w:t>
      </w:r>
      <w:bookmarkEnd w:id="62"/>
      <w:bookmarkEnd w:id="63"/>
      <w:bookmarkEnd w:id="64"/>
    </w:p>
    <w:p w14:paraId="35BC5A60">
      <w:pPr>
        <w:spacing w:line="360" w:lineRule="auto"/>
        <w:ind w:firstLine="420"/>
        <w:rPr>
          <w:rFonts w:hint="eastAsia" w:ascii="宋体" w:hAnsi="宋体" w:cs="宋体"/>
          <w:szCs w:val="21"/>
        </w:rPr>
      </w:pPr>
      <w:r>
        <w:rPr>
          <w:rFonts w:hint="eastAsia" w:ascii="宋体" w:hAnsi="宋体" w:cs="宋体"/>
          <w:szCs w:val="21"/>
        </w:rPr>
        <w:t>22.1</w:t>
      </w:r>
      <w:r>
        <w:rPr>
          <w:rFonts w:hint="eastAsia" w:ascii="宋体" w:hAnsi="宋体" w:cs="宋体"/>
          <w:bCs/>
          <w:szCs w:val="21"/>
        </w:rPr>
        <w:t xml:space="preserve"> 投标人在递交投标文件后，可以修改或撤回其投标文件，但这种修改和撤回，必须在规定的投标截止时间前，以书面形式</w:t>
      </w:r>
      <w:r>
        <w:rPr>
          <w:rFonts w:hint="eastAsia" w:ascii="宋体" w:hAnsi="宋体" w:cs="宋体"/>
          <w:szCs w:val="21"/>
        </w:rPr>
        <w:t>通知代理机构，否则，代理机构将拒绝。</w:t>
      </w:r>
    </w:p>
    <w:p w14:paraId="15E3F7DC">
      <w:pPr>
        <w:spacing w:line="360" w:lineRule="auto"/>
        <w:ind w:firstLine="420"/>
        <w:rPr>
          <w:rFonts w:hint="eastAsia" w:ascii="宋体" w:hAnsi="宋体" w:cs="宋体"/>
          <w:szCs w:val="21"/>
        </w:rPr>
      </w:pPr>
      <w:r>
        <w:rPr>
          <w:rFonts w:hint="eastAsia" w:ascii="宋体" w:hAnsi="宋体" w:cs="宋体"/>
          <w:szCs w:val="21"/>
        </w:rPr>
        <w:t>22.2</w:t>
      </w:r>
      <w:r>
        <w:rPr>
          <w:rFonts w:hint="eastAsia" w:ascii="宋体" w:hAnsi="宋体" w:cs="宋体"/>
          <w:bCs/>
          <w:szCs w:val="21"/>
        </w:rPr>
        <w:t xml:space="preserve"> 投标人的修改或撤回文件应按规定进行编制、密封、标记和发送，并应在封套上加注“修改”或“撤回”字样。</w:t>
      </w:r>
      <w:r>
        <w:rPr>
          <w:rFonts w:hint="eastAsia" w:ascii="宋体" w:hAnsi="宋体" w:cs="宋体"/>
          <w:szCs w:val="21"/>
        </w:rPr>
        <w:t>上述补充或修改若涉及投标报价，必须注明“最后唯一报价”字样，否则将视为有选择的报价。修改文件必须在投标截止时间前送达代理机构。</w:t>
      </w:r>
    </w:p>
    <w:p w14:paraId="65A8645F">
      <w:pPr>
        <w:spacing w:line="360" w:lineRule="auto"/>
        <w:ind w:firstLine="420"/>
        <w:rPr>
          <w:rFonts w:hint="eastAsia" w:ascii="宋体" w:hAnsi="宋体" w:cs="宋体"/>
          <w:bCs/>
          <w:szCs w:val="21"/>
        </w:rPr>
      </w:pPr>
      <w:r>
        <w:rPr>
          <w:rFonts w:hint="eastAsia" w:ascii="宋体" w:hAnsi="宋体" w:cs="宋体"/>
          <w:szCs w:val="21"/>
        </w:rPr>
        <w:t>22.3</w:t>
      </w:r>
      <w:r>
        <w:rPr>
          <w:rFonts w:hint="eastAsia" w:ascii="宋体" w:hAnsi="宋体" w:cs="宋体"/>
          <w:bCs/>
          <w:szCs w:val="21"/>
        </w:rPr>
        <w:t xml:space="preserve"> 在投标截止时间之后，投标人不得对其投标文件作任何修改。</w:t>
      </w:r>
    </w:p>
    <w:p w14:paraId="081F8C39">
      <w:pPr>
        <w:spacing w:line="360" w:lineRule="auto"/>
        <w:ind w:firstLine="420"/>
        <w:rPr>
          <w:rFonts w:hint="eastAsia" w:ascii="宋体" w:hAnsi="宋体" w:cs="宋体"/>
          <w:szCs w:val="21"/>
        </w:rPr>
      </w:pPr>
      <w:r>
        <w:rPr>
          <w:rFonts w:hint="eastAsia" w:ascii="宋体" w:hAnsi="宋体" w:cs="宋体"/>
          <w:szCs w:val="21"/>
        </w:rPr>
        <w:t>22.4</w:t>
      </w:r>
      <w:r>
        <w:rPr>
          <w:rFonts w:hint="eastAsia" w:ascii="宋体" w:hAnsi="宋体" w:cs="宋体"/>
          <w:bCs/>
          <w:szCs w:val="21"/>
        </w:rPr>
        <w:t xml:space="preserve"> 在投标截止时间至招标文件中规定的投标有效期满之间的这段时间内，投标人不得撤回其投标。</w:t>
      </w:r>
    </w:p>
    <w:p w14:paraId="3D5315EA">
      <w:pPr>
        <w:pStyle w:val="194"/>
        <w:spacing w:before="0" w:after="0" w:line="360" w:lineRule="auto"/>
        <w:ind w:firstLine="422"/>
        <w:rPr>
          <w:rFonts w:hint="eastAsia" w:ascii="宋体" w:hAnsi="宋体" w:eastAsia="宋体" w:cs="宋体"/>
          <w:b w:val="0"/>
          <w:bCs w:val="0"/>
          <w:sz w:val="21"/>
          <w:szCs w:val="21"/>
        </w:rPr>
      </w:pPr>
      <w:bookmarkStart w:id="65" w:name="_Toc513029230"/>
      <w:bookmarkStart w:id="66" w:name="_Toc16938546"/>
      <w:bookmarkStart w:id="67" w:name="_Toc20823302"/>
      <w:r>
        <w:rPr>
          <w:rFonts w:hint="eastAsia" w:ascii="宋体" w:hAnsi="宋体" w:eastAsia="宋体" w:cs="宋体"/>
          <w:bCs w:val="0"/>
          <w:sz w:val="21"/>
          <w:szCs w:val="21"/>
        </w:rPr>
        <w:t>23.开标</w:t>
      </w:r>
      <w:bookmarkEnd w:id="65"/>
      <w:bookmarkEnd w:id="66"/>
      <w:bookmarkEnd w:id="67"/>
    </w:p>
    <w:p w14:paraId="377C761E">
      <w:pPr>
        <w:spacing w:line="360" w:lineRule="auto"/>
        <w:ind w:firstLine="420"/>
        <w:rPr>
          <w:rFonts w:hint="eastAsia" w:ascii="宋体" w:hAnsi="宋体" w:cs="宋体"/>
          <w:szCs w:val="21"/>
        </w:rPr>
      </w:pPr>
      <w:r>
        <w:rPr>
          <w:rFonts w:hint="eastAsia" w:ascii="宋体" w:hAnsi="宋体" w:cs="宋体"/>
          <w:szCs w:val="21"/>
        </w:rPr>
        <w:t>23.1</w:t>
      </w:r>
      <w:r>
        <w:rPr>
          <w:rFonts w:hint="eastAsia" w:ascii="宋体" w:hAnsi="宋体" w:cs="宋体"/>
          <w:bCs/>
          <w:szCs w:val="21"/>
        </w:rPr>
        <w:t xml:space="preserve"> 代理机构将在招标公告中规定的时间和地点组织公开开标</w:t>
      </w:r>
      <w:r>
        <w:rPr>
          <w:rFonts w:hint="eastAsia" w:ascii="宋体" w:hAnsi="宋体" w:cs="宋体"/>
          <w:szCs w:val="21"/>
        </w:rPr>
        <w:t>。投标人应委派携带有效证件的代表准时参加，参加开标的代表需签名以证明其出席。投标人未参加开标的，视同认可开标结果。</w:t>
      </w:r>
    </w:p>
    <w:p w14:paraId="3CCC3B02">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bCs/>
          <w:szCs w:val="21"/>
        </w:rPr>
        <w:t>23.2</w:t>
      </w:r>
      <w:r>
        <w:rPr>
          <w:rFonts w:hint="eastAsia" w:ascii="宋体" w:hAnsi="宋体" w:cs="宋体"/>
          <w:szCs w:val="21"/>
        </w:rPr>
        <w:t>开标仪式由代理机构组织，采购人代表、监委、投标人代表等参加。</w:t>
      </w:r>
    </w:p>
    <w:p w14:paraId="02009AF7">
      <w:pPr>
        <w:spacing w:line="360" w:lineRule="auto"/>
        <w:ind w:firstLine="420"/>
        <w:rPr>
          <w:rFonts w:hint="eastAsia" w:ascii="宋体" w:hAnsi="宋体" w:cs="宋体"/>
          <w:bCs/>
          <w:szCs w:val="21"/>
        </w:rPr>
      </w:pPr>
      <w:r>
        <w:rPr>
          <w:rFonts w:hint="eastAsia" w:ascii="宋体" w:hAnsi="宋体" w:cs="宋体"/>
          <w:szCs w:val="21"/>
        </w:rPr>
        <w:t>23.3</w:t>
      </w:r>
      <w:r>
        <w:rPr>
          <w:rFonts w:hint="eastAsia" w:ascii="宋体" w:hAnsi="宋体" w:cs="宋体"/>
          <w:b/>
          <w:szCs w:val="21"/>
        </w:rPr>
        <w:t xml:space="preserve"> </w:t>
      </w:r>
      <w:r>
        <w:rPr>
          <w:rFonts w:hint="eastAsia" w:ascii="宋体" w:hAnsi="宋体" w:cs="宋体"/>
          <w:bCs/>
          <w:szCs w:val="21"/>
        </w:rPr>
        <w:t>按照规定同意撤回的投标文件将不予开封。</w:t>
      </w:r>
    </w:p>
    <w:p w14:paraId="6C45A409">
      <w:pPr>
        <w:spacing w:line="360" w:lineRule="auto"/>
        <w:ind w:firstLine="420"/>
        <w:rPr>
          <w:rFonts w:hint="eastAsia" w:ascii="宋体" w:hAnsi="宋体" w:cs="宋体"/>
          <w:szCs w:val="21"/>
        </w:rPr>
      </w:pPr>
      <w:r>
        <w:rPr>
          <w:rFonts w:hint="eastAsia" w:ascii="宋体" w:hAnsi="宋体" w:cs="宋体"/>
          <w:szCs w:val="21"/>
        </w:rPr>
        <w:t>23.4 开标时请投标人推选的代表查验投标文件密封情况，投标登记簿上作记录无误后，代理机构当众拆封宣读每份投标文件中“开标一览表”的内容，未列入开标一览表的内容一律不在开标时宣读。开标时未宣读的投标报价信息，不得在评标时采用。</w:t>
      </w:r>
    </w:p>
    <w:p w14:paraId="46B2D0DA">
      <w:pPr>
        <w:spacing w:line="360" w:lineRule="auto"/>
        <w:rPr>
          <w:rFonts w:hint="eastAsia" w:ascii="宋体" w:hAnsi="宋体" w:cs="宋体"/>
          <w:szCs w:val="21"/>
        </w:rPr>
      </w:pPr>
      <w:r>
        <w:rPr>
          <w:rFonts w:hint="eastAsia" w:ascii="宋体" w:hAnsi="宋体" w:cs="宋体"/>
          <w:szCs w:val="21"/>
        </w:rPr>
        <w:t xml:space="preserve">    23.5 代理机构将指定专人负责开标记录并存档备查，各投标人需仔细核对开标记录相关内容并签字确认。</w:t>
      </w:r>
    </w:p>
    <w:p w14:paraId="55031509">
      <w:pPr>
        <w:spacing w:line="360" w:lineRule="auto"/>
        <w:ind w:firstLine="420"/>
        <w:rPr>
          <w:rFonts w:hint="eastAsia" w:ascii="宋体" w:hAnsi="宋体" w:cs="宋体"/>
          <w:szCs w:val="21"/>
        </w:rPr>
      </w:pPr>
      <w:r>
        <w:rPr>
          <w:rFonts w:hint="eastAsia" w:ascii="宋体" w:hAnsi="宋体" w:cs="宋体"/>
          <w:szCs w:val="21"/>
        </w:rPr>
        <w:t>23.6 投标人在报价时不允许采用选择性报价，否则将被视为无效投标。</w:t>
      </w:r>
    </w:p>
    <w:p w14:paraId="724ACBF0">
      <w:pPr>
        <w:pStyle w:val="194"/>
        <w:spacing w:before="0" w:after="0" w:line="360" w:lineRule="auto"/>
        <w:ind w:firstLine="422"/>
        <w:rPr>
          <w:rFonts w:hint="eastAsia" w:ascii="宋体" w:hAnsi="宋体" w:eastAsia="宋体" w:cs="宋体"/>
          <w:b w:val="0"/>
          <w:bCs w:val="0"/>
          <w:sz w:val="21"/>
          <w:szCs w:val="21"/>
        </w:rPr>
      </w:pPr>
      <w:bookmarkStart w:id="68" w:name="_Toc20823303"/>
      <w:bookmarkStart w:id="69" w:name="_Toc16938547"/>
      <w:bookmarkStart w:id="70" w:name="_Toc513029231"/>
      <w:r>
        <w:rPr>
          <w:rFonts w:hint="eastAsia" w:ascii="宋体" w:hAnsi="宋体" w:eastAsia="宋体" w:cs="宋体"/>
          <w:bCs w:val="0"/>
          <w:sz w:val="21"/>
          <w:szCs w:val="21"/>
        </w:rPr>
        <w:t>24.评标委员会</w:t>
      </w:r>
    </w:p>
    <w:p w14:paraId="3A7EB5F1">
      <w:pPr>
        <w:spacing w:line="360" w:lineRule="auto"/>
        <w:rPr>
          <w:rFonts w:hint="eastAsia" w:ascii="宋体" w:hAnsi="宋体" w:cs="宋体"/>
          <w:b/>
          <w:szCs w:val="21"/>
        </w:rPr>
      </w:pPr>
      <w:r>
        <w:rPr>
          <w:rFonts w:hint="eastAsia" w:ascii="宋体" w:hAnsi="宋体" w:cs="宋体"/>
          <w:b/>
          <w:szCs w:val="21"/>
        </w:rPr>
        <w:t xml:space="preserve">  </w:t>
      </w:r>
      <w:r>
        <w:rPr>
          <w:rFonts w:hint="eastAsia" w:ascii="宋体" w:hAnsi="宋体" w:cs="宋体"/>
          <w:szCs w:val="21"/>
        </w:rPr>
        <w:t xml:space="preserve">  24.1</w:t>
      </w:r>
      <w:r>
        <w:rPr>
          <w:rFonts w:hint="eastAsia" w:ascii="宋体" w:hAnsi="宋体" w:cs="宋体"/>
          <w:b/>
          <w:szCs w:val="21"/>
        </w:rPr>
        <w:t xml:space="preserve"> </w:t>
      </w:r>
      <w:r>
        <w:rPr>
          <w:rFonts w:hint="eastAsia" w:ascii="宋体" w:hAnsi="宋体" w:cs="宋体"/>
          <w:szCs w:val="21"/>
        </w:rPr>
        <w:t>开标后，代理机构将立即组织评标委员会（以下简称评委会）进行评标。</w:t>
      </w:r>
    </w:p>
    <w:p w14:paraId="2A16ACDA">
      <w:pPr>
        <w:spacing w:line="360" w:lineRule="auto"/>
        <w:rPr>
          <w:rFonts w:hint="eastAsia" w:ascii="宋体" w:hAnsi="宋体" w:cs="宋体"/>
          <w:szCs w:val="21"/>
        </w:rPr>
      </w:pPr>
      <w:r>
        <w:rPr>
          <w:rFonts w:hint="eastAsia" w:ascii="宋体" w:hAnsi="宋体" w:cs="宋体"/>
          <w:b/>
          <w:szCs w:val="21"/>
        </w:rPr>
        <w:t xml:space="preserve">   </w:t>
      </w:r>
      <w:r>
        <w:rPr>
          <w:rFonts w:hint="eastAsia" w:ascii="宋体" w:hAnsi="宋体" w:cs="宋体"/>
          <w:szCs w:val="21"/>
        </w:rPr>
        <w:t xml:space="preserve"> 24.2 评委会由采购人代表和有关技术、经济等方面的专家组成，且人员构成符合政府采购有关规定。</w:t>
      </w:r>
    </w:p>
    <w:p w14:paraId="42F1F9EB">
      <w:pPr>
        <w:spacing w:line="360" w:lineRule="auto"/>
        <w:rPr>
          <w:rFonts w:hint="eastAsia" w:ascii="宋体" w:hAnsi="宋体" w:cs="宋体"/>
          <w:szCs w:val="21"/>
        </w:rPr>
      </w:pPr>
      <w:r>
        <w:rPr>
          <w:rFonts w:hint="eastAsia" w:ascii="宋体" w:hAnsi="宋体" w:cs="宋体"/>
          <w:b/>
          <w:szCs w:val="21"/>
        </w:rPr>
        <w:t xml:space="preserve">  </w:t>
      </w:r>
      <w:r>
        <w:rPr>
          <w:rFonts w:hint="eastAsia" w:ascii="宋体" w:hAnsi="宋体" w:cs="宋体"/>
          <w:szCs w:val="21"/>
        </w:rPr>
        <w:t xml:space="preserve">  24.3评委会独立工作，负责评审所有投标文件并确定中标候选人。</w:t>
      </w:r>
    </w:p>
    <w:p w14:paraId="580D743A">
      <w:pPr>
        <w:pStyle w:val="194"/>
        <w:spacing w:before="0" w:after="0" w:line="360" w:lineRule="auto"/>
        <w:ind w:firstLine="422"/>
        <w:rPr>
          <w:rFonts w:hint="eastAsia" w:ascii="宋体" w:hAnsi="宋体" w:eastAsia="宋体" w:cs="宋体"/>
          <w:b w:val="0"/>
          <w:bCs w:val="0"/>
          <w:sz w:val="21"/>
          <w:szCs w:val="21"/>
        </w:rPr>
      </w:pPr>
      <w:r>
        <w:rPr>
          <w:rFonts w:hint="eastAsia" w:ascii="宋体" w:hAnsi="宋体" w:eastAsia="宋体" w:cs="宋体"/>
          <w:bCs w:val="0"/>
          <w:sz w:val="21"/>
          <w:szCs w:val="21"/>
        </w:rPr>
        <w:t>25.评标过程的保密与公正</w:t>
      </w:r>
    </w:p>
    <w:bookmarkEnd w:id="68"/>
    <w:bookmarkEnd w:id="69"/>
    <w:bookmarkEnd w:id="70"/>
    <w:p w14:paraId="1730B654">
      <w:pPr>
        <w:spacing w:line="360" w:lineRule="auto"/>
        <w:ind w:firstLine="420"/>
        <w:rPr>
          <w:rFonts w:hint="eastAsia" w:ascii="宋体" w:hAnsi="宋体" w:cs="宋体"/>
          <w:bCs/>
          <w:szCs w:val="21"/>
        </w:rPr>
      </w:pPr>
      <w:r>
        <w:rPr>
          <w:rFonts w:hint="eastAsia" w:ascii="宋体" w:hAnsi="宋体" w:cs="宋体"/>
          <w:szCs w:val="21"/>
        </w:rPr>
        <w:t>25.1</w:t>
      </w:r>
      <w:r>
        <w:rPr>
          <w:rFonts w:hint="eastAsia" w:ascii="宋体" w:hAnsi="宋体" w:cs="宋体"/>
          <w:bCs/>
          <w:szCs w:val="21"/>
        </w:rPr>
        <w:t>公开开标后，直至签订合同之日止，凡与审查、澄清、评价和比较投标的有关资料以及授标建议等，采购人、评委、代理机构工作人员均不得向投标人或与评标无关的其他人员透露。</w:t>
      </w:r>
    </w:p>
    <w:p w14:paraId="42CF8583">
      <w:pPr>
        <w:spacing w:line="360" w:lineRule="auto"/>
        <w:ind w:firstLine="420"/>
        <w:rPr>
          <w:rFonts w:hint="eastAsia" w:ascii="宋体" w:hAnsi="宋体" w:cs="宋体"/>
          <w:szCs w:val="21"/>
        </w:rPr>
      </w:pPr>
      <w:r>
        <w:rPr>
          <w:rFonts w:hint="eastAsia" w:ascii="宋体" w:hAnsi="宋体" w:cs="宋体"/>
          <w:szCs w:val="21"/>
        </w:rPr>
        <w:t>25.2在评标过程中，投标人不得以任何行为影响评标过程，否则其投标文件将被作为无效投标文件。</w:t>
      </w:r>
    </w:p>
    <w:p w14:paraId="2E41D9FE">
      <w:pPr>
        <w:spacing w:line="360" w:lineRule="auto"/>
        <w:ind w:firstLine="420"/>
        <w:rPr>
          <w:rFonts w:hint="eastAsia" w:ascii="宋体" w:hAnsi="宋体" w:cs="宋体"/>
          <w:szCs w:val="21"/>
        </w:rPr>
      </w:pPr>
      <w:r>
        <w:rPr>
          <w:rFonts w:hint="eastAsia" w:ascii="宋体" w:hAnsi="宋体" w:cs="宋体"/>
          <w:szCs w:val="21"/>
        </w:rPr>
        <w:t>25.3 在评标期间，代理机构将设专门工作人员与投标人联系。</w:t>
      </w:r>
    </w:p>
    <w:p w14:paraId="2F54B23A">
      <w:pPr>
        <w:spacing w:line="360" w:lineRule="auto"/>
        <w:ind w:firstLine="420"/>
        <w:rPr>
          <w:rFonts w:hint="eastAsia" w:ascii="宋体" w:hAnsi="宋体" w:cs="宋体"/>
          <w:szCs w:val="21"/>
        </w:rPr>
      </w:pPr>
      <w:r>
        <w:rPr>
          <w:rFonts w:hint="eastAsia" w:ascii="宋体" w:hAnsi="宋体" w:cs="宋体"/>
          <w:szCs w:val="21"/>
        </w:rPr>
        <w:t>25.4 代理机构和评委会不向落标的投标人解释未中标原因，也不公布评标过程中的相关细节。</w:t>
      </w:r>
    </w:p>
    <w:p w14:paraId="5F462373">
      <w:pPr>
        <w:spacing w:line="360" w:lineRule="auto"/>
        <w:ind w:firstLine="420"/>
        <w:rPr>
          <w:rFonts w:hint="eastAsia" w:ascii="宋体" w:hAnsi="宋体" w:cs="宋体"/>
          <w:szCs w:val="21"/>
        </w:rPr>
      </w:pPr>
      <w:r>
        <w:rPr>
          <w:rFonts w:hint="eastAsia" w:ascii="宋体" w:hAnsi="宋体" w:cs="宋体"/>
          <w:szCs w:val="21"/>
        </w:rPr>
        <w:t>25.5 采用综合评分法的项目，未中标的投标人如需了解自己的评审得分及排序情况，可于中标结果公告期限届满之日起7个工作日内，由其法定代表人或授权代表携带本人有效身份证件到代理机构进行查询，逾期将不予受理。</w:t>
      </w:r>
    </w:p>
    <w:p w14:paraId="20CADE74">
      <w:pPr>
        <w:pStyle w:val="194"/>
        <w:spacing w:before="0" w:after="0" w:line="360" w:lineRule="auto"/>
        <w:ind w:firstLine="422"/>
        <w:rPr>
          <w:rFonts w:hint="eastAsia" w:ascii="宋体" w:hAnsi="宋体" w:eastAsia="宋体" w:cs="宋体"/>
          <w:b w:val="0"/>
          <w:bCs w:val="0"/>
          <w:sz w:val="21"/>
          <w:szCs w:val="21"/>
        </w:rPr>
      </w:pPr>
      <w:bookmarkStart w:id="71" w:name="_Toc513029232"/>
      <w:bookmarkStart w:id="72" w:name="_Toc20823304"/>
      <w:bookmarkStart w:id="73" w:name="_Toc16938548"/>
      <w:r>
        <w:rPr>
          <w:rFonts w:hint="eastAsia" w:ascii="宋体" w:hAnsi="宋体" w:eastAsia="宋体" w:cs="宋体"/>
          <w:bCs w:val="0"/>
          <w:sz w:val="21"/>
          <w:szCs w:val="21"/>
        </w:rPr>
        <w:t>26.投标的澄清</w:t>
      </w:r>
      <w:bookmarkEnd w:id="71"/>
      <w:bookmarkEnd w:id="72"/>
      <w:bookmarkEnd w:id="73"/>
    </w:p>
    <w:p w14:paraId="21C4BC4B">
      <w:pPr>
        <w:spacing w:line="360" w:lineRule="auto"/>
        <w:ind w:firstLine="420"/>
        <w:rPr>
          <w:rFonts w:hint="eastAsia" w:ascii="宋体" w:hAnsi="宋体" w:cs="宋体"/>
          <w:szCs w:val="21"/>
        </w:rPr>
      </w:pPr>
      <w:r>
        <w:rPr>
          <w:rFonts w:hint="eastAsia" w:ascii="宋体" w:hAnsi="宋体" w:cs="宋体"/>
          <w:szCs w:val="21"/>
        </w:rPr>
        <w:t>26.1评标期间，为有助于投标文件的审查、评价和比较，评委会有权以书面形式要求投标人对其投标文件进行澄清，但并非对每个投标人都作澄清要求。</w:t>
      </w:r>
    </w:p>
    <w:p w14:paraId="13784CE9">
      <w:pPr>
        <w:spacing w:line="360" w:lineRule="auto"/>
        <w:rPr>
          <w:rFonts w:hint="eastAsia" w:ascii="宋体" w:hAnsi="宋体" w:cs="宋体"/>
          <w:szCs w:val="21"/>
        </w:rPr>
      </w:pPr>
      <w:r>
        <w:rPr>
          <w:rFonts w:hint="eastAsia" w:ascii="宋体" w:hAnsi="宋体" w:cs="宋体"/>
          <w:szCs w:val="21"/>
        </w:rPr>
        <w:t xml:space="preserve">    26.2接到评委会澄清要求的投标人应派人按评委会通知的时间和地点做出书面澄清，书面澄清的内容须由投标人法定代表人或授权代表签署，并作为投标文件的补充部分，但投标的价格和实质性的内容不得做任何更改。</w:t>
      </w:r>
    </w:p>
    <w:p w14:paraId="092B3AF3">
      <w:pPr>
        <w:spacing w:line="360" w:lineRule="auto"/>
        <w:rPr>
          <w:rFonts w:hint="eastAsia" w:ascii="宋体" w:hAnsi="宋体" w:cs="宋体"/>
          <w:szCs w:val="21"/>
        </w:rPr>
      </w:pPr>
      <w:r>
        <w:rPr>
          <w:rFonts w:hint="eastAsia" w:ascii="宋体" w:hAnsi="宋体" w:cs="宋体"/>
          <w:szCs w:val="21"/>
        </w:rPr>
        <w:t xml:space="preserve">    26.3 接到评委会澄清要求的投标人如未按规定作出澄清，其风险由投标人自行承担。</w:t>
      </w:r>
    </w:p>
    <w:p w14:paraId="5A812782">
      <w:pPr>
        <w:pStyle w:val="194"/>
        <w:spacing w:before="0" w:after="0" w:line="360" w:lineRule="auto"/>
        <w:ind w:firstLine="422"/>
        <w:rPr>
          <w:rFonts w:hint="eastAsia" w:ascii="宋体" w:hAnsi="宋体" w:eastAsia="宋体" w:cs="宋体"/>
          <w:b w:val="0"/>
          <w:bCs w:val="0"/>
          <w:sz w:val="21"/>
          <w:szCs w:val="21"/>
        </w:rPr>
      </w:pPr>
      <w:bookmarkStart w:id="74" w:name="_Toc513029233"/>
      <w:bookmarkStart w:id="75" w:name="_Toc16938549"/>
      <w:bookmarkStart w:id="76" w:name="_Toc20823305"/>
      <w:r>
        <w:rPr>
          <w:rFonts w:hint="eastAsia" w:ascii="宋体" w:hAnsi="宋体" w:eastAsia="宋体" w:cs="宋体"/>
          <w:bCs w:val="0"/>
          <w:sz w:val="21"/>
          <w:szCs w:val="21"/>
        </w:rPr>
        <w:t>27.对投标文件的初审</w:t>
      </w:r>
      <w:bookmarkEnd w:id="74"/>
      <w:bookmarkEnd w:id="75"/>
      <w:bookmarkEnd w:id="76"/>
    </w:p>
    <w:p w14:paraId="27D59F03">
      <w:pPr>
        <w:spacing w:line="360" w:lineRule="auto"/>
        <w:ind w:firstLine="420"/>
        <w:rPr>
          <w:rFonts w:hint="eastAsia" w:ascii="宋体" w:hAnsi="宋体" w:cs="宋体"/>
          <w:bCs/>
          <w:szCs w:val="21"/>
        </w:rPr>
      </w:pPr>
      <w:r>
        <w:rPr>
          <w:rFonts w:hint="eastAsia" w:ascii="宋体" w:hAnsi="宋体" w:cs="宋体"/>
          <w:szCs w:val="21"/>
        </w:rPr>
        <w:t>27.1</w:t>
      </w:r>
      <w:r>
        <w:rPr>
          <w:rFonts w:hint="eastAsia" w:ascii="宋体" w:hAnsi="宋体" w:cs="宋体"/>
          <w:bCs/>
          <w:szCs w:val="21"/>
        </w:rPr>
        <w:t>投标文件初审分为资格检查和符合性检查。</w:t>
      </w:r>
    </w:p>
    <w:p w14:paraId="49420870">
      <w:pPr>
        <w:spacing w:line="360" w:lineRule="auto"/>
        <w:ind w:firstLine="420"/>
        <w:jc w:val="left"/>
        <w:rPr>
          <w:rFonts w:hint="eastAsia" w:ascii="宋体" w:hAnsi="宋体" w:cs="宋体"/>
          <w:bCs/>
          <w:szCs w:val="21"/>
        </w:rPr>
      </w:pPr>
      <w:r>
        <w:rPr>
          <w:rFonts w:hint="eastAsia" w:ascii="宋体" w:hAnsi="宋体" w:cs="宋体"/>
          <w:szCs w:val="21"/>
        </w:rPr>
        <w:t>27.1.1</w:t>
      </w:r>
      <w:r>
        <w:rPr>
          <w:rFonts w:hint="eastAsia" w:ascii="宋体" w:hAnsi="宋体" w:cs="宋体"/>
          <w:bCs/>
          <w:szCs w:val="21"/>
        </w:rPr>
        <w:t>资格审查：依据法律法规和招标文件的规定，由采购人对投标文件中的资格证明文件进行审查。并将审查结论以书面形式向评委会反馈。</w:t>
      </w:r>
    </w:p>
    <w:p w14:paraId="054A7C12">
      <w:pPr>
        <w:spacing w:line="360" w:lineRule="auto"/>
        <w:ind w:firstLine="420"/>
        <w:jc w:val="left"/>
        <w:rPr>
          <w:rFonts w:hint="eastAsia" w:ascii="宋体" w:hAnsi="宋体" w:cs="宋体"/>
          <w:bCs/>
          <w:szCs w:val="21"/>
        </w:rPr>
      </w:pPr>
      <w:r>
        <w:rPr>
          <w:rFonts w:hint="eastAsia" w:ascii="宋体" w:hAnsi="宋体" w:cs="宋体"/>
          <w:bCs/>
          <w:szCs w:val="21"/>
        </w:rPr>
        <w:t>采购人在进行资格性审查的同时，应根据查询结果对供应商的不良信用记录逐项甄别确认。以确定供应商是否具备投标资格。查询结果将以网页打印的形式留存并归档。</w:t>
      </w:r>
    </w:p>
    <w:p w14:paraId="158667AD">
      <w:pPr>
        <w:spacing w:line="360" w:lineRule="auto"/>
        <w:ind w:firstLine="420"/>
        <w:jc w:val="left"/>
        <w:rPr>
          <w:rFonts w:hint="eastAsia" w:ascii="宋体" w:hAnsi="宋体" w:cs="宋体"/>
          <w:bCs/>
          <w:szCs w:val="21"/>
        </w:rPr>
      </w:pPr>
      <w:r>
        <w:rPr>
          <w:rFonts w:hint="eastAsia" w:ascii="宋体" w:hAnsi="宋体" w:cs="宋体"/>
          <w:bCs/>
          <w:szCs w:val="21"/>
        </w:rPr>
        <w:t>按照《中华人民共和国政府采购法》第二十二条规定，下列信用记录属于应依法拒绝供应商参加政府采购的失信信息：</w:t>
      </w:r>
      <w:r>
        <w:rPr>
          <w:rFonts w:hint="eastAsia" w:ascii="宋体" w:hAnsi="宋体" w:cs="宋体"/>
          <w:bCs/>
          <w:szCs w:val="21"/>
        </w:rPr>
        <w:br w:type="textWrapping" w:clear="all"/>
      </w:r>
      <w:r>
        <w:rPr>
          <w:rFonts w:hint="eastAsia" w:ascii="宋体" w:hAnsi="宋体" w:cs="宋体"/>
          <w:bCs/>
          <w:szCs w:val="21"/>
        </w:rPr>
        <w:t xml:space="preserve">  （1）政府采购严重违法记录，即供应商被全国各级财政部门列入“政府采购严重违法失信行为记录名单”，且在处罚有效期内的。</w:t>
      </w:r>
      <w:r>
        <w:rPr>
          <w:rFonts w:hint="eastAsia" w:ascii="宋体" w:hAnsi="宋体" w:cs="宋体"/>
          <w:bCs/>
          <w:szCs w:val="21"/>
        </w:rPr>
        <w:br w:type="textWrapping" w:clear="all"/>
      </w:r>
      <w:r>
        <w:rPr>
          <w:rFonts w:hint="eastAsia" w:ascii="宋体" w:hAnsi="宋体" w:cs="宋体"/>
          <w:bCs/>
          <w:szCs w:val="21"/>
        </w:rPr>
        <w:t xml:space="preserve">  （2）财政部门与法院、工商、税务等部门联合惩戒的失信信息，包括：</w:t>
      </w:r>
      <w:r>
        <w:rPr>
          <w:rFonts w:hint="eastAsia" w:ascii="宋体" w:hAnsi="宋体" w:cs="宋体"/>
          <w:bCs/>
          <w:szCs w:val="21"/>
        </w:rPr>
        <w:br w:type="textWrapping" w:clear="all"/>
      </w:r>
      <w:r>
        <w:rPr>
          <w:rFonts w:hint="eastAsia" w:ascii="宋体" w:hAnsi="宋体" w:cs="宋体"/>
          <w:bCs/>
          <w:szCs w:val="21"/>
        </w:rPr>
        <w:t xml:space="preserve">  1）被列入失信被执行人名单；</w:t>
      </w:r>
      <w:r>
        <w:rPr>
          <w:rFonts w:hint="eastAsia" w:ascii="宋体" w:hAnsi="宋体" w:cs="宋体"/>
          <w:bCs/>
          <w:szCs w:val="21"/>
        </w:rPr>
        <w:br w:type="textWrapping" w:clear="all"/>
      </w:r>
      <w:r>
        <w:rPr>
          <w:rFonts w:hint="eastAsia" w:ascii="宋体" w:hAnsi="宋体" w:cs="宋体"/>
          <w:bCs/>
          <w:szCs w:val="21"/>
        </w:rPr>
        <w:t xml:space="preserve">  2）被列入重大税收违法案件当事人名单；</w:t>
      </w:r>
      <w:r>
        <w:rPr>
          <w:rFonts w:hint="eastAsia" w:ascii="宋体" w:hAnsi="宋体" w:cs="宋体"/>
          <w:bCs/>
          <w:szCs w:val="21"/>
        </w:rPr>
        <w:br w:type="textWrapping" w:clear="all"/>
      </w:r>
      <w:r>
        <w:rPr>
          <w:rFonts w:hint="eastAsia" w:ascii="宋体" w:hAnsi="宋体" w:cs="宋体"/>
          <w:bCs/>
          <w:szCs w:val="21"/>
        </w:rPr>
        <w:t xml:space="preserve">  3）企业经营异常名录中被责令停产停业、暂扣或者吊销许可证或者执照，或者对经营活动中的违法行为处以200万元以上数额罚款的信用记录。处罚生效日至递交投标文件日未满三年的。</w:t>
      </w:r>
      <w:r>
        <w:rPr>
          <w:rFonts w:hint="eastAsia" w:ascii="宋体" w:hAnsi="宋体" w:cs="宋体"/>
          <w:bCs/>
          <w:szCs w:val="21"/>
        </w:rPr>
        <w:br w:type="textWrapping" w:clear="all"/>
      </w:r>
      <w:r>
        <w:rPr>
          <w:rFonts w:hint="eastAsia" w:ascii="宋体" w:hAnsi="宋体" w:cs="宋体"/>
          <w:bCs/>
          <w:szCs w:val="21"/>
        </w:rPr>
        <w:t xml:space="preserve">    对存在失信信息的供应商，评审小组应填写《扬州市级政府采购供应商失信信息确认函》，由失信供应商签名确认。同时，采购代理机构工作人员应根据采购人确认的失信信息，登录到相关来源网站页面进行复核并打印，作为证据留存。</w:t>
      </w:r>
    </w:p>
    <w:p w14:paraId="604426F8">
      <w:pPr>
        <w:spacing w:line="360" w:lineRule="auto"/>
        <w:ind w:firstLine="420"/>
        <w:jc w:val="left"/>
        <w:rPr>
          <w:rFonts w:hint="eastAsia" w:ascii="宋体" w:hAnsi="宋体" w:cs="宋体"/>
          <w:bCs/>
          <w:szCs w:val="21"/>
        </w:rPr>
      </w:pPr>
      <w:r>
        <w:rPr>
          <w:rFonts w:hint="eastAsia" w:ascii="宋体" w:hAnsi="宋体" w:cs="宋体"/>
          <w:bCs/>
          <w:szCs w:val="21"/>
        </w:rPr>
        <w:t>采购人在进行资格性审查的同时，将在“信用中国”网站（www.creditchina.gov.cn）、中国政府采购网”（www.ccgp.gov.cn）对投标人是否被列入失信被执行人、重大税收违法案件当事人名单、政府采购严重失信行为记录名单情况进行查询，以确定投标人是否具备投标资格。查询结果将以网页打印的形式留存并归档。</w:t>
      </w:r>
    </w:p>
    <w:p w14:paraId="3197F11B">
      <w:pPr>
        <w:spacing w:line="360" w:lineRule="auto"/>
        <w:ind w:firstLine="420"/>
        <w:jc w:val="left"/>
        <w:rPr>
          <w:rFonts w:hint="eastAsia" w:ascii="宋体" w:hAnsi="宋体" w:cs="宋体"/>
          <w:bCs/>
          <w:szCs w:val="21"/>
        </w:rPr>
      </w:pPr>
      <w:r>
        <w:rPr>
          <w:rFonts w:hint="eastAsia" w:ascii="宋体" w:hAnsi="宋体" w:cs="宋体"/>
          <w:bCs/>
          <w:szCs w:val="21"/>
        </w:rPr>
        <w:t>若接受联合体投标的项目，两个以上的自然人、法人或者其他组织组成一个联合体，以一个供应商的身份共同参加政府采购活动的，联合体成员存在不良信用记录的，视同联合体存在不良应用记录。</w:t>
      </w:r>
    </w:p>
    <w:p w14:paraId="2D0959B3">
      <w:pPr>
        <w:spacing w:line="360" w:lineRule="auto"/>
        <w:ind w:firstLine="420"/>
        <w:rPr>
          <w:rFonts w:hint="eastAsia" w:ascii="宋体" w:hAnsi="宋体" w:cs="宋体"/>
          <w:bCs/>
          <w:szCs w:val="21"/>
        </w:rPr>
      </w:pPr>
      <w:r>
        <w:rPr>
          <w:rFonts w:hint="eastAsia" w:ascii="宋体" w:hAnsi="宋体" w:cs="宋体"/>
          <w:szCs w:val="21"/>
        </w:rPr>
        <w:t>27.1.2</w:t>
      </w:r>
      <w:r>
        <w:rPr>
          <w:rFonts w:hint="eastAsia" w:ascii="宋体" w:hAnsi="宋体" w:cs="宋体"/>
          <w:bCs/>
          <w:szCs w:val="21"/>
        </w:rPr>
        <w:t>符合性检查：依据招标文件的规定，由评委会从投标文件的有效性、完整性和对招标文件的响应程度进行审查，以确定是否对招标文件的实质性要求作出响应。</w:t>
      </w:r>
    </w:p>
    <w:p w14:paraId="5AC2E70A">
      <w:pPr>
        <w:spacing w:line="360" w:lineRule="auto"/>
        <w:ind w:firstLine="420"/>
        <w:rPr>
          <w:rFonts w:hint="eastAsia" w:ascii="宋体" w:hAnsi="宋体" w:cs="宋体"/>
          <w:szCs w:val="21"/>
        </w:rPr>
      </w:pPr>
      <w:r>
        <w:rPr>
          <w:rFonts w:hint="eastAsia" w:ascii="宋体" w:hAnsi="宋体" w:cs="宋体"/>
          <w:szCs w:val="21"/>
        </w:rPr>
        <w:t>27.2在详细评标之前，评委会将首先审查每份投标文件是否实质性响应了招标文件的要求。实质性响应的投标应该是与招标文件要求的全部条款、条件和规格相符，没有重大偏离或保留的投标。</w:t>
      </w:r>
    </w:p>
    <w:p w14:paraId="0226619F">
      <w:pPr>
        <w:spacing w:line="360" w:lineRule="auto"/>
        <w:ind w:firstLine="420"/>
        <w:rPr>
          <w:rFonts w:hint="eastAsia" w:ascii="宋体" w:hAnsi="宋体" w:cs="宋体"/>
          <w:bCs/>
          <w:szCs w:val="21"/>
        </w:rPr>
      </w:pPr>
      <w:r>
        <w:rPr>
          <w:rFonts w:hint="eastAsia" w:ascii="宋体" w:hAnsi="宋体" w:cs="宋体"/>
          <w:szCs w:val="21"/>
        </w:rPr>
        <w:t>所谓重大偏离或保留是指与招标文件规定的实质性要求存在负偏离，或者在实质上与招标文件不一致，而且限制了合同中买方（采购人）和见证方（代理机构）的权利或投标人的义务，纠正这些偏离或保留将会对其他实质性响应要求的投标人的竞争地位产生不公正的影响。是否属于重大偏离由评委会按照少数服从多数的原则作出结论。</w:t>
      </w:r>
      <w:r>
        <w:rPr>
          <w:rFonts w:hint="eastAsia" w:ascii="宋体" w:hAnsi="宋体" w:cs="宋体"/>
          <w:bCs/>
          <w:szCs w:val="21"/>
        </w:rPr>
        <w:t>评委决定投标文件的响应性只根据投标文件本身的内容，而不寻求外部的证据。</w:t>
      </w:r>
    </w:p>
    <w:p w14:paraId="157BD553">
      <w:pPr>
        <w:spacing w:line="360" w:lineRule="auto"/>
        <w:ind w:firstLine="420"/>
        <w:rPr>
          <w:rFonts w:hint="eastAsia" w:ascii="宋体" w:hAnsi="宋体" w:cs="宋体"/>
          <w:bCs/>
          <w:szCs w:val="21"/>
        </w:rPr>
      </w:pPr>
      <w:r>
        <w:rPr>
          <w:rFonts w:hint="eastAsia" w:ascii="宋体" w:hAnsi="宋体" w:cs="宋体"/>
          <w:szCs w:val="21"/>
        </w:rPr>
        <w:t>27.3</w:t>
      </w:r>
      <w:r>
        <w:rPr>
          <w:rFonts w:hint="eastAsia" w:ascii="宋体" w:hAnsi="宋体" w:cs="宋体"/>
          <w:bCs/>
          <w:szCs w:val="21"/>
        </w:rPr>
        <w:t>如果投标文件实质上没有响应招标文件的要求，评委会将予以拒绝，投标人不得通过修改或撤销不符合要求的偏离或保留而使其投标成为实质性响应的投标。</w:t>
      </w:r>
    </w:p>
    <w:p w14:paraId="4AB38C59">
      <w:pPr>
        <w:spacing w:line="360" w:lineRule="auto"/>
        <w:ind w:firstLine="420"/>
        <w:jc w:val="left"/>
        <w:rPr>
          <w:rFonts w:hint="eastAsia" w:ascii="宋体" w:hAnsi="宋体" w:cs="宋体"/>
          <w:bCs/>
          <w:szCs w:val="21"/>
        </w:rPr>
      </w:pPr>
      <w:r>
        <w:rPr>
          <w:rFonts w:hint="eastAsia" w:ascii="宋体" w:hAnsi="宋体" w:cs="宋体"/>
          <w:szCs w:val="21"/>
        </w:rPr>
        <w:t>27.4</w:t>
      </w:r>
      <w:r>
        <w:rPr>
          <w:rFonts w:hint="eastAsia" w:ascii="宋体" w:hAnsi="宋体" w:cs="宋体"/>
          <w:bCs/>
          <w:szCs w:val="21"/>
        </w:rPr>
        <w:t>评委会将对确定为实质性响应的投标进行进一步审核，看其是否有计算上或累加上的算术错误，对开标一览表内容修正错误的原则如下：</w:t>
      </w:r>
    </w:p>
    <w:p w14:paraId="651C0FD7">
      <w:pPr>
        <w:spacing w:line="360" w:lineRule="auto"/>
        <w:ind w:firstLine="420"/>
        <w:jc w:val="left"/>
        <w:rPr>
          <w:rFonts w:hint="eastAsia" w:ascii="宋体" w:hAnsi="宋体" w:cs="宋体"/>
          <w:bCs/>
          <w:szCs w:val="21"/>
        </w:rPr>
      </w:pPr>
      <w:r>
        <w:rPr>
          <w:rFonts w:hint="eastAsia" w:ascii="宋体" w:hAnsi="宋体" w:cs="宋体"/>
          <w:bCs/>
          <w:szCs w:val="21"/>
        </w:rPr>
        <w:t>（1）投标文件中开标一览表内容与投标文件中相应内容不一致的，以开标一览表为准。</w:t>
      </w:r>
    </w:p>
    <w:p w14:paraId="00989F53">
      <w:pPr>
        <w:spacing w:line="360" w:lineRule="auto"/>
        <w:ind w:firstLine="420"/>
        <w:jc w:val="left"/>
        <w:rPr>
          <w:rFonts w:hint="eastAsia" w:ascii="宋体" w:hAnsi="宋体" w:cs="宋体"/>
          <w:bCs/>
          <w:szCs w:val="21"/>
        </w:rPr>
      </w:pPr>
      <w:r>
        <w:rPr>
          <w:rFonts w:hint="eastAsia" w:ascii="宋体" w:hAnsi="宋体" w:cs="宋体"/>
          <w:bCs/>
          <w:szCs w:val="21"/>
        </w:rPr>
        <w:t>（2）投标文件、“开标一览表”中报价的大写金额与小写金额不一致的，以大写金额为准。</w:t>
      </w:r>
    </w:p>
    <w:p w14:paraId="7A24DC0F">
      <w:pPr>
        <w:spacing w:line="360" w:lineRule="auto"/>
        <w:ind w:firstLine="420"/>
        <w:jc w:val="left"/>
        <w:rPr>
          <w:rFonts w:hint="eastAsia" w:ascii="宋体" w:hAnsi="宋体" w:cs="宋体"/>
          <w:bCs/>
          <w:szCs w:val="21"/>
        </w:rPr>
      </w:pPr>
      <w:r>
        <w:rPr>
          <w:rFonts w:hint="eastAsia" w:ascii="宋体" w:hAnsi="宋体" w:cs="宋体"/>
          <w:bCs/>
          <w:szCs w:val="21"/>
        </w:rPr>
        <w:t>（3）单价金额小数点或者百分比有明显错位的，以开标一览表的总价为准，并修改单价。</w:t>
      </w:r>
    </w:p>
    <w:p w14:paraId="731B3265">
      <w:pPr>
        <w:spacing w:line="360" w:lineRule="auto"/>
        <w:ind w:firstLine="420"/>
        <w:jc w:val="left"/>
        <w:rPr>
          <w:rFonts w:hint="eastAsia" w:ascii="宋体" w:hAnsi="宋体" w:cs="宋体"/>
          <w:bCs/>
          <w:szCs w:val="21"/>
        </w:rPr>
      </w:pPr>
      <w:r>
        <w:rPr>
          <w:rFonts w:hint="eastAsia" w:ascii="宋体" w:hAnsi="宋体" w:cs="宋体"/>
          <w:bCs/>
          <w:szCs w:val="21"/>
        </w:rPr>
        <w:t>（4）总价金额与按单价汇总金额不一致的，以单价金额计算结果为准。</w:t>
      </w:r>
    </w:p>
    <w:p w14:paraId="75693750">
      <w:pPr>
        <w:spacing w:line="360" w:lineRule="auto"/>
        <w:ind w:firstLine="420"/>
        <w:jc w:val="left"/>
        <w:rPr>
          <w:rFonts w:hint="eastAsia" w:ascii="宋体" w:hAnsi="宋体" w:cs="宋体"/>
          <w:bCs/>
          <w:szCs w:val="21"/>
        </w:rPr>
      </w:pPr>
      <w:r>
        <w:rPr>
          <w:rFonts w:hint="eastAsia" w:ascii="宋体" w:hAnsi="宋体" w:cs="宋体"/>
          <w:bCs/>
          <w:szCs w:val="21"/>
        </w:rPr>
        <w:t>同时出现两种以上错误的，按照前款规定的顺序修正。对不同文字文本投标文件的解释发生异议的，以中文文本为准。</w:t>
      </w:r>
    </w:p>
    <w:p w14:paraId="607BE42F">
      <w:pPr>
        <w:spacing w:line="360" w:lineRule="auto"/>
        <w:ind w:firstLine="420"/>
        <w:jc w:val="left"/>
        <w:rPr>
          <w:rFonts w:hint="eastAsia" w:ascii="宋体" w:hAnsi="宋体" w:cs="宋体"/>
          <w:bCs/>
          <w:szCs w:val="21"/>
        </w:rPr>
      </w:pPr>
      <w:r>
        <w:rPr>
          <w:rFonts w:hint="eastAsia" w:ascii="宋体" w:hAnsi="宋体" w:cs="宋体"/>
          <w:szCs w:val="21"/>
        </w:rPr>
        <w:t>27.5</w:t>
      </w:r>
      <w:r>
        <w:rPr>
          <w:rFonts w:hint="eastAsia" w:ascii="宋体" w:hAnsi="宋体" w:cs="宋体"/>
          <w:bCs/>
          <w:szCs w:val="21"/>
        </w:rPr>
        <w:t>评委会将按上述修正错误的方法调整投标文件中的投标报价，调整后的价格对投标人具有约束力。如果投标人不接受修正后的价格，则其投标将被拒绝。</w:t>
      </w:r>
    </w:p>
    <w:p w14:paraId="0BEDBD1D">
      <w:pPr>
        <w:spacing w:line="360" w:lineRule="auto"/>
        <w:ind w:firstLine="420"/>
        <w:jc w:val="left"/>
        <w:rPr>
          <w:rFonts w:hint="eastAsia" w:ascii="宋体" w:hAnsi="宋体" w:cs="宋体"/>
          <w:bCs/>
          <w:szCs w:val="21"/>
        </w:rPr>
      </w:pPr>
      <w:r>
        <w:rPr>
          <w:rFonts w:hint="eastAsia" w:ascii="宋体" w:hAnsi="宋体" w:cs="宋体"/>
          <w:szCs w:val="21"/>
        </w:rPr>
        <w:t>27.6</w:t>
      </w:r>
      <w:r>
        <w:rPr>
          <w:rFonts w:hint="eastAsia" w:ascii="宋体" w:hAnsi="宋体" w:cs="宋体"/>
          <w:bCs/>
          <w:szCs w:val="21"/>
        </w:rPr>
        <w:t>评委会将允许修正投标文件中不构成重大偏离的、微小的、非正规的、不一致的或不规则的地方，但这些修改不能影响任何投标人相应的名次排列，否则不允许修正。</w:t>
      </w:r>
    </w:p>
    <w:p w14:paraId="3A7CB370">
      <w:pPr>
        <w:spacing w:line="360" w:lineRule="auto"/>
        <w:ind w:firstLine="420"/>
        <w:jc w:val="left"/>
        <w:rPr>
          <w:rFonts w:hint="eastAsia" w:ascii="宋体" w:hAnsi="宋体" w:cs="宋体"/>
          <w:szCs w:val="21"/>
        </w:rPr>
      </w:pPr>
      <w:r>
        <w:rPr>
          <w:rFonts w:hint="eastAsia" w:ascii="宋体" w:hAnsi="宋体" w:cs="宋体"/>
          <w:szCs w:val="21"/>
        </w:rPr>
        <w:t>27.7采用最低评标价法的采购项目，提供相同品牌产品的不同投标人参加同一合同项下投标的，以其中通过资格审查、符合性审查且报价最低的参加评标；报价相同的，由评标委员会按照招标文件规定的方式确定招标文件未规定的通过随机抽取的方式确定一个参加评标的投标人，其他投标无效。</w:t>
      </w:r>
    </w:p>
    <w:p w14:paraId="5CFCA87A">
      <w:pPr>
        <w:spacing w:line="360" w:lineRule="auto"/>
        <w:ind w:firstLine="420"/>
        <w:jc w:val="left"/>
        <w:rPr>
          <w:rFonts w:hint="eastAsia" w:ascii="宋体" w:hAnsi="宋体" w:cs="宋体"/>
          <w:szCs w:val="21"/>
        </w:rPr>
      </w:pPr>
      <w:r>
        <w:rPr>
          <w:rFonts w:hint="eastAsia" w:ascii="宋体" w:hAnsi="宋体" w:cs="宋体"/>
          <w:szCs w:val="21"/>
        </w:rPr>
        <w:t>使用综合评分法的采购项目，提供相同品牌产品且通过资格审查、符合性审查的不同投标人参加同一合同项下投标的，按一家投标人计算，评审后得分最高的同品牌投标人获得中标人推荐资格；评审得分相同的，由评标委员会根据招标文件规定的方式确定招标文件未规定的采取随机抽取的方式确定一个中标候选人，其他同品牌投标人不作为中标候选人。</w:t>
      </w:r>
    </w:p>
    <w:p w14:paraId="63D83386">
      <w:pPr>
        <w:pStyle w:val="194"/>
        <w:spacing w:before="0" w:after="0" w:line="360" w:lineRule="auto"/>
        <w:ind w:firstLine="422"/>
        <w:rPr>
          <w:rFonts w:hint="eastAsia" w:ascii="宋体" w:hAnsi="宋体" w:eastAsia="宋体" w:cs="宋体"/>
          <w:b w:val="0"/>
          <w:bCs w:val="0"/>
          <w:sz w:val="21"/>
          <w:szCs w:val="21"/>
        </w:rPr>
      </w:pPr>
      <w:bookmarkStart w:id="77" w:name="_Toc16938550"/>
      <w:bookmarkStart w:id="78" w:name="_Toc513029234"/>
      <w:bookmarkStart w:id="79" w:name="_Toc20823306"/>
      <w:r>
        <w:rPr>
          <w:rFonts w:hint="eastAsia" w:ascii="宋体" w:hAnsi="宋体" w:eastAsia="宋体" w:cs="宋体"/>
          <w:bCs w:val="0"/>
          <w:sz w:val="21"/>
          <w:szCs w:val="21"/>
        </w:rPr>
        <w:t>28.</w:t>
      </w:r>
      <w:bookmarkEnd w:id="77"/>
      <w:bookmarkEnd w:id="78"/>
      <w:bookmarkEnd w:id="79"/>
      <w:r>
        <w:rPr>
          <w:rFonts w:hint="eastAsia" w:ascii="宋体" w:hAnsi="宋体" w:eastAsia="宋体" w:cs="宋体"/>
          <w:bCs w:val="0"/>
          <w:sz w:val="21"/>
          <w:szCs w:val="21"/>
        </w:rPr>
        <w:t>无效投标、废标及投标人数量不足三家的处理</w:t>
      </w:r>
    </w:p>
    <w:p w14:paraId="783D8866">
      <w:pPr>
        <w:spacing w:line="360" w:lineRule="auto"/>
        <w:ind w:firstLine="420"/>
        <w:jc w:val="left"/>
        <w:rPr>
          <w:rFonts w:hint="eastAsia" w:ascii="宋体" w:hAnsi="宋体" w:cs="宋体"/>
          <w:bCs/>
          <w:szCs w:val="21"/>
        </w:rPr>
      </w:pPr>
      <w:bookmarkStart w:id="80" w:name="_Toc16938551"/>
      <w:bookmarkStart w:id="81" w:name="_Toc20823307"/>
      <w:bookmarkStart w:id="82" w:name="_Toc513029235"/>
      <w:r>
        <w:rPr>
          <w:rFonts w:hint="eastAsia" w:ascii="宋体" w:hAnsi="宋体" w:cs="宋体"/>
          <w:bCs/>
          <w:szCs w:val="21"/>
        </w:rPr>
        <w:t>28.1无效投标条款</w:t>
      </w:r>
    </w:p>
    <w:p w14:paraId="6BA6A065">
      <w:pPr>
        <w:spacing w:line="360" w:lineRule="auto"/>
        <w:ind w:firstLine="420"/>
        <w:jc w:val="left"/>
        <w:rPr>
          <w:rFonts w:hint="eastAsia" w:ascii="宋体" w:hAnsi="宋体" w:cs="宋体"/>
          <w:bCs/>
          <w:szCs w:val="21"/>
        </w:rPr>
      </w:pPr>
      <w:r>
        <w:rPr>
          <w:rFonts w:hint="eastAsia" w:ascii="宋体" w:hAnsi="宋体" w:cs="宋体"/>
          <w:bCs/>
          <w:szCs w:val="21"/>
        </w:rPr>
        <w:t>28.1.1未按要求缴纳保证金的（如有）；</w:t>
      </w:r>
    </w:p>
    <w:p w14:paraId="72643FE5">
      <w:pPr>
        <w:spacing w:line="360" w:lineRule="auto"/>
        <w:ind w:firstLine="420"/>
        <w:jc w:val="left"/>
        <w:rPr>
          <w:rFonts w:hint="eastAsia" w:ascii="宋体" w:hAnsi="宋体" w:cs="宋体"/>
          <w:bCs/>
          <w:szCs w:val="21"/>
        </w:rPr>
      </w:pPr>
      <w:r>
        <w:rPr>
          <w:rFonts w:hint="eastAsia" w:ascii="宋体" w:hAnsi="宋体" w:cs="宋体"/>
          <w:bCs/>
          <w:szCs w:val="21"/>
        </w:rPr>
        <w:t>28.1.2未按照招标文件规定要求密封、签署、盖章的；</w:t>
      </w:r>
    </w:p>
    <w:p w14:paraId="0AF4221D">
      <w:pPr>
        <w:spacing w:line="360" w:lineRule="auto"/>
        <w:ind w:firstLine="420"/>
        <w:jc w:val="left"/>
        <w:rPr>
          <w:rFonts w:hint="eastAsia" w:ascii="宋体" w:hAnsi="宋体" w:cs="宋体"/>
          <w:bCs/>
          <w:szCs w:val="21"/>
        </w:rPr>
      </w:pPr>
      <w:r>
        <w:rPr>
          <w:rFonts w:hint="eastAsia" w:ascii="宋体" w:hAnsi="宋体" w:cs="宋体"/>
          <w:bCs/>
          <w:szCs w:val="21"/>
        </w:rPr>
        <w:t>28.1.3投标人在报价时采用选择性报价；</w:t>
      </w:r>
    </w:p>
    <w:p w14:paraId="52CD77FE">
      <w:pPr>
        <w:spacing w:line="360" w:lineRule="auto"/>
        <w:ind w:firstLine="420"/>
        <w:jc w:val="left"/>
        <w:rPr>
          <w:rFonts w:hint="eastAsia" w:ascii="宋体" w:hAnsi="宋体" w:cs="宋体"/>
          <w:bCs/>
          <w:szCs w:val="21"/>
        </w:rPr>
      </w:pPr>
      <w:r>
        <w:rPr>
          <w:rFonts w:hint="eastAsia" w:ascii="宋体" w:hAnsi="宋体" w:cs="宋体"/>
          <w:bCs/>
          <w:szCs w:val="21"/>
        </w:rPr>
        <w:t>28.1.4投标人不具备招标文件中规定资格要求的；</w:t>
      </w:r>
    </w:p>
    <w:p w14:paraId="2F8133BA">
      <w:pPr>
        <w:spacing w:line="360" w:lineRule="auto"/>
        <w:ind w:firstLine="420"/>
        <w:jc w:val="left"/>
        <w:rPr>
          <w:rFonts w:hint="eastAsia" w:ascii="宋体" w:hAnsi="宋体" w:cs="宋体"/>
          <w:bCs/>
          <w:szCs w:val="21"/>
        </w:rPr>
      </w:pPr>
      <w:r>
        <w:rPr>
          <w:rFonts w:hint="eastAsia" w:ascii="宋体" w:hAnsi="宋体" w:cs="宋体"/>
          <w:bCs/>
          <w:szCs w:val="21"/>
        </w:rPr>
        <w:t>28.1.5投标人的报价超过了采购预算或最高限价的；</w:t>
      </w:r>
    </w:p>
    <w:p w14:paraId="0AAA21FE">
      <w:pPr>
        <w:spacing w:line="360" w:lineRule="auto"/>
        <w:ind w:firstLine="420"/>
        <w:jc w:val="left"/>
        <w:rPr>
          <w:rFonts w:hint="eastAsia" w:ascii="宋体" w:hAnsi="宋体" w:cs="宋体"/>
          <w:bCs/>
          <w:szCs w:val="21"/>
        </w:rPr>
      </w:pPr>
      <w:r>
        <w:rPr>
          <w:rFonts w:hint="eastAsia" w:ascii="宋体" w:hAnsi="宋体" w:cs="宋体"/>
          <w:bCs/>
          <w:szCs w:val="21"/>
        </w:rPr>
        <w:t>28.1.6未通过符合性检查的；</w:t>
      </w:r>
    </w:p>
    <w:p w14:paraId="3BE6C253">
      <w:pPr>
        <w:spacing w:line="360" w:lineRule="auto"/>
        <w:ind w:firstLine="315"/>
        <w:jc w:val="left"/>
        <w:rPr>
          <w:rFonts w:hint="eastAsia" w:ascii="宋体" w:hAnsi="宋体" w:cs="宋体"/>
          <w:bCs/>
          <w:szCs w:val="21"/>
        </w:rPr>
      </w:pPr>
      <w:r>
        <w:rPr>
          <w:rFonts w:hint="eastAsia" w:ascii="宋体" w:hAnsi="宋体" w:cs="宋体"/>
          <w:bCs/>
          <w:szCs w:val="21"/>
        </w:rPr>
        <w:t xml:space="preserve"> 28.1.7不符合招标文件中规定的其他实质性要求和条件的（</w:t>
      </w:r>
      <w:r>
        <w:rPr>
          <w:rFonts w:hint="eastAsia" w:ascii="宋体" w:hAnsi="宋体" w:cs="宋体"/>
          <w:bCs/>
          <w:i/>
          <w:szCs w:val="21"/>
          <w:u w:val="single"/>
        </w:rPr>
        <w:t>本招标文件中斜体且有下划线部分为实质性要求和条件，包括但不限于该范围）；</w:t>
      </w:r>
    </w:p>
    <w:p w14:paraId="1EB9B4B5">
      <w:pPr>
        <w:spacing w:line="360" w:lineRule="auto"/>
        <w:ind w:firstLine="420"/>
        <w:jc w:val="left"/>
        <w:rPr>
          <w:rFonts w:hint="eastAsia" w:ascii="宋体" w:hAnsi="宋体" w:cs="宋体"/>
          <w:bCs/>
          <w:szCs w:val="21"/>
        </w:rPr>
      </w:pPr>
      <w:r>
        <w:rPr>
          <w:rFonts w:hint="eastAsia" w:ascii="宋体" w:hAnsi="宋体" w:cs="宋体"/>
          <w:bCs/>
          <w:szCs w:val="21"/>
        </w:rPr>
        <w:t>28.1.8 投标人被 “信用中国”网站（www.creditchina.gov.cn）、中国政府采购网”（www.ccgp.gov.cn）列入失信被执行人或重大税收违法案件当事人名单或政府采购严重失信行为记录名单。若接受联合体的项目，两个以上的自然人、法人或者其他组织组成一个联合体，以一个供应商的身份共同参加政府采购活动的，联合体成员存在不良信用记录的，视同联合体存在不良应用记录。</w:t>
      </w:r>
    </w:p>
    <w:p w14:paraId="55565354">
      <w:pPr>
        <w:spacing w:line="360" w:lineRule="auto"/>
        <w:ind w:firstLine="420"/>
        <w:jc w:val="left"/>
        <w:rPr>
          <w:rFonts w:hint="eastAsia" w:ascii="宋体" w:hAnsi="宋体" w:cs="宋体"/>
          <w:bCs/>
          <w:szCs w:val="21"/>
        </w:rPr>
      </w:pPr>
      <w:r>
        <w:rPr>
          <w:rFonts w:hint="eastAsia" w:ascii="宋体" w:hAnsi="宋体" w:cs="宋体"/>
          <w:bCs/>
          <w:szCs w:val="21"/>
        </w:rPr>
        <w:t>28.1.9  投标文件含有采购人不能接受的附加条件的。</w:t>
      </w:r>
    </w:p>
    <w:p w14:paraId="6BC7939B">
      <w:pPr>
        <w:spacing w:line="360" w:lineRule="auto"/>
        <w:ind w:firstLine="420"/>
        <w:jc w:val="left"/>
        <w:rPr>
          <w:rFonts w:hint="eastAsia" w:ascii="宋体" w:hAnsi="宋体" w:cs="宋体"/>
          <w:bCs/>
          <w:szCs w:val="21"/>
        </w:rPr>
      </w:pPr>
      <w:r>
        <w:rPr>
          <w:rFonts w:hint="eastAsia" w:ascii="宋体" w:hAnsi="宋体" w:cs="宋体"/>
          <w:bCs/>
          <w:szCs w:val="21"/>
        </w:rPr>
        <w:t>28.1.10 评标委员会认为投标人的报价明显低于其他通过符合性审查投标人的报价，有可能影响产品质量或者不能诚信履约的，要求其在评标现场合理的时间内提供书面说明，必要时提交相关证明材料；投标人不能证明其报价合理性的，评标委员会应当将其作为无效投标处理。</w:t>
      </w:r>
    </w:p>
    <w:p w14:paraId="62769632">
      <w:pPr>
        <w:spacing w:line="360" w:lineRule="auto"/>
        <w:ind w:left="479"/>
        <w:jc w:val="left"/>
        <w:rPr>
          <w:rFonts w:hint="eastAsia" w:ascii="宋体" w:hAnsi="宋体" w:cs="宋体"/>
          <w:bCs/>
          <w:szCs w:val="21"/>
        </w:rPr>
      </w:pPr>
      <w:r>
        <w:rPr>
          <w:rFonts w:hint="eastAsia" w:ascii="宋体" w:hAnsi="宋体" w:cs="宋体"/>
          <w:bCs/>
          <w:szCs w:val="21"/>
        </w:rPr>
        <w:t>28.1.11其他法律法规及本招标文件规定的属于无效投标的情形。</w:t>
      </w:r>
    </w:p>
    <w:p w14:paraId="7A6CE3C9">
      <w:pPr>
        <w:spacing w:line="360" w:lineRule="auto"/>
        <w:ind w:left="479"/>
        <w:rPr>
          <w:rFonts w:hint="eastAsia" w:ascii="宋体" w:hAnsi="宋体" w:cs="宋体"/>
          <w:bCs/>
          <w:szCs w:val="21"/>
        </w:rPr>
      </w:pPr>
      <w:r>
        <w:rPr>
          <w:rFonts w:hint="eastAsia" w:ascii="宋体" w:hAnsi="宋体" w:cs="宋体"/>
          <w:bCs/>
          <w:szCs w:val="21"/>
        </w:rPr>
        <w:t xml:space="preserve">28.2废标条款：                                                                                                                                                                                                                                                                                                                                                                                                                                                                                                                                                                                                                                                                                                                                                                                                                                                                                                                                                                                                                                                                                                                                                                                                                                                                                                                                                                                                                                                                         </w:t>
      </w:r>
    </w:p>
    <w:p w14:paraId="3E6B9E3D">
      <w:pPr>
        <w:spacing w:line="360" w:lineRule="auto"/>
        <w:ind w:left="479"/>
        <w:rPr>
          <w:rFonts w:hint="eastAsia" w:ascii="宋体" w:hAnsi="宋体" w:cs="宋体"/>
          <w:bCs/>
          <w:szCs w:val="21"/>
        </w:rPr>
      </w:pPr>
      <w:r>
        <w:rPr>
          <w:rFonts w:hint="eastAsia" w:ascii="宋体" w:hAnsi="宋体" w:cs="宋体"/>
          <w:bCs/>
          <w:szCs w:val="21"/>
        </w:rPr>
        <w:t>28.2.1符合专业条件的供应商或者对招标文件作实质响应的供应商不足三家的；</w:t>
      </w:r>
    </w:p>
    <w:p w14:paraId="41A26CB1">
      <w:pPr>
        <w:spacing w:line="360" w:lineRule="auto"/>
        <w:ind w:left="479"/>
        <w:rPr>
          <w:rFonts w:hint="eastAsia" w:ascii="宋体" w:hAnsi="宋体" w:cs="宋体"/>
          <w:bCs/>
          <w:szCs w:val="21"/>
        </w:rPr>
      </w:pPr>
      <w:r>
        <w:rPr>
          <w:rFonts w:hint="eastAsia" w:ascii="宋体" w:hAnsi="宋体" w:cs="宋体"/>
          <w:bCs/>
          <w:szCs w:val="21"/>
        </w:rPr>
        <w:t>28.2.2投标人的报价均超过采购预算或最高限价；</w:t>
      </w:r>
    </w:p>
    <w:p w14:paraId="0F3096AC">
      <w:pPr>
        <w:spacing w:line="360" w:lineRule="auto"/>
        <w:ind w:left="479"/>
        <w:rPr>
          <w:rFonts w:hint="eastAsia" w:ascii="宋体" w:hAnsi="宋体" w:cs="宋体"/>
          <w:bCs/>
          <w:szCs w:val="21"/>
        </w:rPr>
      </w:pPr>
      <w:r>
        <w:rPr>
          <w:rFonts w:hint="eastAsia" w:ascii="宋体" w:hAnsi="宋体" w:cs="宋体"/>
          <w:bCs/>
          <w:szCs w:val="21"/>
        </w:rPr>
        <w:t>28.2.3出现影响采购公正的违法、违规行为的；</w:t>
      </w:r>
    </w:p>
    <w:p w14:paraId="56110C31">
      <w:pPr>
        <w:spacing w:line="360" w:lineRule="auto"/>
        <w:ind w:left="479"/>
        <w:rPr>
          <w:rFonts w:hint="eastAsia" w:ascii="宋体" w:hAnsi="宋体" w:cs="宋体"/>
          <w:bCs/>
          <w:szCs w:val="21"/>
        </w:rPr>
      </w:pPr>
      <w:r>
        <w:rPr>
          <w:rFonts w:hint="eastAsia" w:ascii="宋体" w:hAnsi="宋体" w:cs="宋体"/>
          <w:bCs/>
          <w:szCs w:val="21"/>
        </w:rPr>
        <w:t>28.2.4因重大变故，采购任务取消的；</w:t>
      </w:r>
    </w:p>
    <w:p w14:paraId="670D871E">
      <w:pPr>
        <w:spacing w:line="360" w:lineRule="auto"/>
        <w:ind w:left="479"/>
        <w:rPr>
          <w:rFonts w:hint="eastAsia" w:ascii="宋体" w:hAnsi="宋体" w:cs="宋体"/>
          <w:bCs/>
          <w:szCs w:val="21"/>
        </w:rPr>
      </w:pPr>
      <w:r>
        <w:rPr>
          <w:rFonts w:hint="eastAsia" w:ascii="宋体" w:hAnsi="宋体" w:cs="宋体"/>
          <w:bCs/>
          <w:szCs w:val="21"/>
        </w:rPr>
        <w:t>28.2.5评标委员会认定招标文件存在歧义、 重大缺陷导致评审工作无法进行。</w:t>
      </w:r>
    </w:p>
    <w:p w14:paraId="0D058981">
      <w:pPr>
        <w:spacing w:line="360" w:lineRule="auto"/>
        <w:ind w:firstLine="420"/>
        <w:jc w:val="left"/>
        <w:rPr>
          <w:rFonts w:hint="eastAsia" w:ascii="宋体" w:hAnsi="宋体" w:cs="宋体"/>
          <w:bCs/>
          <w:szCs w:val="21"/>
        </w:rPr>
      </w:pPr>
      <w:r>
        <w:rPr>
          <w:rFonts w:hint="eastAsia" w:ascii="宋体" w:hAnsi="宋体" w:cs="宋体"/>
          <w:bCs/>
          <w:szCs w:val="21"/>
        </w:rPr>
        <w:t xml:space="preserve">28.3投标截止时间结束后参加投标的投标人不足三家或者通过资格审查或符合性审查的投标人不足三家的，除采购任务取消情形外，按照以下方式处理： </w:t>
      </w:r>
    </w:p>
    <w:p w14:paraId="2878DA27">
      <w:pPr>
        <w:spacing w:line="360" w:lineRule="auto"/>
        <w:ind w:firstLine="420"/>
        <w:jc w:val="left"/>
        <w:rPr>
          <w:rFonts w:hint="eastAsia" w:ascii="宋体" w:hAnsi="宋体" w:cs="宋体"/>
          <w:bCs/>
          <w:szCs w:val="21"/>
        </w:rPr>
      </w:pPr>
      <w:r>
        <w:rPr>
          <w:rFonts w:hint="eastAsia" w:ascii="宋体" w:hAnsi="宋体" w:cs="宋体"/>
          <w:bCs/>
          <w:szCs w:val="21"/>
        </w:rPr>
        <w:t>28.3.1招标文件存在不合理条款或者招标程序不符合规定的，由采购人、代理机构改正后依法重新招标；</w:t>
      </w:r>
    </w:p>
    <w:p w14:paraId="3F55DE2A">
      <w:pPr>
        <w:spacing w:line="360" w:lineRule="auto"/>
        <w:ind w:firstLine="420"/>
        <w:jc w:val="left"/>
        <w:rPr>
          <w:rFonts w:hint="eastAsia" w:ascii="宋体" w:hAnsi="宋体" w:cs="宋体"/>
          <w:bCs/>
          <w:szCs w:val="21"/>
        </w:rPr>
      </w:pPr>
      <w:r>
        <w:rPr>
          <w:rFonts w:hint="eastAsia" w:ascii="宋体" w:hAnsi="宋体" w:cs="宋体"/>
          <w:bCs/>
          <w:szCs w:val="21"/>
        </w:rPr>
        <w:t>28.3.2 招标文件没有不合理条款、招标程序符合规定，需要采用其他采购方式采购的，采购人应当依法报财政部门批准。</w:t>
      </w:r>
    </w:p>
    <w:bookmarkEnd w:id="80"/>
    <w:bookmarkEnd w:id="81"/>
    <w:bookmarkEnd w:id="82"/>
    <w:p w14:paraId="5C38BC7C">
      <w:pPr>
        <w:pStyle w:val="194"/>
        <w:spacing w:before="0" w:after="0" w:line="360" w:lineRule="auto"/>
        <w:ind w:firstLine="422"/>
        <w:rPr>
          <w:rFonts w:hint="eastAsia" w:ascii="宋体" w:hAnsi="宋体" w:eastAsia="宋体" w:cs="宋体"/>
          <w:b w:val="0"/>
          <w:sz w:val="21"/>
          <w:szCs w:val="21"/>
        </w:rPr>
      </w:pPr>
      <w:bookmarkStart w:id="83" w:name="_Toc513029238"/>
      <w:bookmarkStart w:id="84" w:name="_Toc16938554"/>
      <w:bookmarkStart w:id="85" w:name="_Toc20823310"/>
      <w:r>
        <w:rPr>
          <w:rFonts w:hint="eastAsia" w:ascii="宋体" w:hAnsi="宋体" w:eastAsia="宋体" w:cs="宋体"/>
          <w:sz w:val="21"/>
          <w:szCs w:val="21"/>
        </w:rPr>
        <w:t>29.</w:t>
      </w:r>
      <w:bookmarkEnd w:id="83"/>
      <w:r>
        <w:rPr>
          <w:rFonts w:hint="eastAsia" w:ascii="宋体" w:hAnsi="宋体" w:eastAsia="宋体" w:cs="宋体"/>
          <w:sz w:val="21"/>
          <w:szCs w:val="21"/>
        </w:rPr>
        <w:t>确定</w:t>
      </w:r>
      <w:bookmarkEnd w:id="84"/>
      <w:bookmarkEnd w:id="85"/>
      <w:r>
        <w:rPr>
          <w:rFonts w:hint="eastAsia" w:ascii="宋体" w:hAnsi="宋体" w:eastAsia="宋体" w:cs="宋体"/>
          <w:sz w:val="21"/>
          <w:szCs w:val="21"/>
        </w:rPr>
        <w:t>中标单位</w:t>
      </w:r>
    </w:p>
    <w:p w14:paraId="07A3C8FA">
      <w:pPr>
        <w:spacing w:line="360" w:lineRule="auto"/>
        <w:ind w:firstLine="420"/>
        <w:rPr>
          <w:rFonts w:hint="eastAsia" w:ascii="宋体" w:hAnsi="宋体" w:cs="宋体"/>
          <w:bCs/>
          <w:szCs w:val="21"/>
        </w:rPr>
      </w:pPr>
      <w:r>
        <w:rPr>
          <w:rFonts w:hint="eastAsia" w:ascii="宋体" w:hAnsi="宋体" w:cs="宋体"/>
          <w:bCs/>
          <w:szCs w:val="21"/>
        </w:rPr>
        <w:t>29.1评委会根据本招标文件规定评标方法与评标标准向采购人推荐出中标候选人。</w:t>
      </w:r>
    </w:p>
    <w:p w14:paraId="3161CFD3">
      <w:pPr>
        <w:spacing w:line="360" w:lineRule="auto"/>
        <w:ind w:firstLine="420"/>
        <w:rPr>
          <w:rFonts w:hint="eastAsia" w:ascii="宋体" w:hAnsi="宋体" w:cs="宋体"/>
          <w:bCs/>
          <w:szCs w:val="21"/>
        </w:rPr>
      </w:pPr>
      <w:r>
        <w:rPr>
          <w:rFonts w:hint="eastAsia" w:ascii="宋体" w:hAnsi="宋体" w:cs="宋体"/>
          <w:bCs/>
          <w:szCs w:val="21"/>
        </w:rPr>
        <w:t>29.2 采购人应根据评委会推荐的中标候选人确定中标人。</w:t>
      </w:r>
    </w:p>
    <w:p w14:paraId="106EA38D">
      <w:pPr>
        <w:spacing w:line="360" w:lineRule="auto"/>
        <w:ind w:firstLine="420"/>
        <w:rPr>
          <w:rFonts w:hint="eastAsia" w:ascii="宋体" w:hAnsi="宋体" w:cs="宋体"/>
          <w:szCs w:val="21"/>
        </w:rPr>
      </w:pPr>
      <w:r>
        <w:rPr>
          <w:rFonts w:hint="eastAsia" w:ascii="宋体" w:hAnsi="宋体" w:cs="宋体"/>
          <w:bCs/>
          <w:szCs w:val="21"/>
        </w:rPr>
        <w:t>29.3</w:t>
      </w:r>
      <w:r>
        <w:rPr>
          <w:rFonts w:hint="eastAsia" w:ascii="宋体" w:hAnsi="宋体" w:cs="宋体"/>
          <w:szCs w:val="21"/>
        </w:rPr>
        <w:t>代理机构将在“扬州大学附属医院”、“扬州大学网”和“江苏招标采购服务平台”发布中标公告，公告期限为1个工作日。</w:t>
      </w:r>
    </w:p>
    <w:p w14:paraId="7F852026">
      <w:pPr>
        <w:spacing w:line="360" w:lineRule="auto"/>
        <w:ind w:firstLine="420"/>
        <w:rPr>
          <w:rFonts w:hint="eastAsia" w:ascii="宋体" w:hAnsi="宋体" w:cs="宋体"/>
          <w:szCs w:val="21"/>
        </w:rPr>
      </w:pPr>
      <w:r>
        <w:rPr>
          <w:rFonts w:hint="eastAsia" w:ascii="宋体" w:hAnsi="宋体" w:cs="宋体"/>
          <w:szCs w:val="21"/>
        </w:rPr>
        <w:t>29.4若有充分证据证明，中标人出现下列情况之一的，一经查实，将被取消中标资格：</w:t>
      </w:r>
    </w:p>
    <w:p w14:paraId="312F6065">
      <w:pPr>
        <w:spacing w:line="360" w:lineRule="auto"/>
        <w:ind w:firstLine="420"/>
        <w:rPr>
          <w:rFonts w:hint="eastAsia" w:ascii="宋体" w:hAnsi="宋体" w:cs="宋体"/>
          <w:szCs w:val="21"/>
        </w:rPr>
      </w:pPr>
      <w:r>
        <w:rPr>
          <w:rFonts w:hint="eastAsia" w:ascii="宋体" w:hAnsi="宋体" w:cs="宋体"/>
          <w:szCs w:val="21"/>
        </w:rPr>
        <w:t>29.4.1提供虚假材料谋取中标的；</w:t>
      </w:r>
    </w:p>
    <w:p w14:paraId="0191CFA6">
      <w:pPr>
        <w:spacing w:line="360" w:lineRule="auto"/>
        <w:ind w:firstLine="420"/>
        <w:rPr>
          <w:rFonts w:hint="eastAsia" w:ascii="宋体" w:hAnsi="宋体" w:cs="宋体"/>
          <w:szCs w:val="21"/>
        </w:rPr>
      </w:pPr>
      <w:r>
        <w:rPr>
          <w:rFonts w:hint="eastAsia" w:ascii="宋体" w:hAnsi="宋体" w:cs="宋体"/>
          <w:szCs w:val="21"/>
        </w:rPr>
        <w:t>29.4.2向采购人、代理机构行贿或者提供其他不正当利益的；</w:t>
      </w:r>
    </w:p>
    <w:p w14:paraId="51D7B552">
      <w:pPr>
        <w:spacing w:line="360" w:lineRule="auto"/>
        <w:ind w:firstLine="420"/>
        <w:rPr>
          <w:rFonts w:hint="eastAsia" w:ascii="宋体" w:hAnsi="宋体" w:cs="宋体"/>
          <w:szCs w:val="21"/>
        </w:rPr>
      </w:pPr>
      <w:r>
        <w:rPr>
          <w:rFonts w:hint="eastAsia" w:ascii="宋体" w:hAnsi="宋体" w:cs="宋体"/>
          <w:szCs w:val="21"/>
        </w:rPr>
        <w:t>29.4.3恶意竞争，投标总报价明显低于其自身合理成本且又无法提供证明的；</w:t>
      </w:r>
    </w:p>
    <w:p w14:paraId="5B53F676">
      <w:pPr>
        <w:spacing w:line="360" w:lineRule="auto"/>
        <w:ind w:firstLine="420"/>
        <w:rPr>
          <w:rFonts w:hint="eastAsia" w:ascii="宋体" w:hAnsi="宋体" w:cs="宋体"/>
          <w:szCs w:val="21"/>
        </w:rPr>
      </w:pPr>
      <w:r>
        <w:rPr>
          <w:rFonts w:hint="eastAsia" w:ascii="宋体" w:hAnsi="宋体" w:cs="宋体"/>
          <w:szCs w:val="21"/>
        </w:rPr>
        <w:t>29.4.4属于本文件规定的无效条件，但在评标过程中又未被评委会发现的；</w:t>
      </w:r>
    </w:p>
    <w:p w14:paraId="3F22F2D8">
      <w:pPr>
        <w:spacing w:line="360" w:lineRule="auto"/>
        <w:ind w:firstLine="420"/>
        <w:rPr>
          <w:rFonts w:hint="eastAsia" w:ascii="宋体" w:hAnsi="宋体" w:cs="宋体"/>
          <w:szCs w:val="21"/>
        </w:rPr>
      </w:pPr>
      <w:r>
        <w:rPr>
          <w:rFonts w:hint="eastAsia" w:ascii="宋体" w:hAnsi="宋体" w:cs="宋体"/>
          <w:szCs w:val="21"/>
        </w:rPr>
        <w:t>29.4.5与采购人或者其他投标人串通投标的；</w:t>
      </w:r>
    </w:p>
    <w:p w14:paraId="3ACB2A7A">
      <w:pPr>
        <w:spacing w:line="360" w:lineRule="auto"/>
        <w:ind w:firstLine="420"/>
        <w:rPr>
          <w:rFonts w:hint="eastAsia" w:ascii="宋体" w:hAnsi="宋体" w:cs="宋体"/>
          <w:szCs w:val="21"/>
        </w:rPr>
      </w:pPr>
      <w:r>
        <w:rPr>
          <w:rFonts w:hint="eastAsia" w:ascii="宋体" w:hAnsi="宋体" w:cs="宋体"/>
          <w:szCs w:val="21"/>
        </w:rPr>
        <w:t>29.4.6采取不正当手段诋毁、排挤其他供应商的；</w:t>
      </w:r>
    </w:p>
    <w:p w14:paraId="1F295447">
      <w:pPr>
        <w:spacing w:line="360" w:lineRule="auto"/>
        <w:ind w:firstLine="420"/>
        <w:rPr>
          <w:rFonts w:hint="eastAsia" w:ascii="宋体" w:hAnsi="宋体" w:cs="宋体"/>
          <w:szCs w:val="21"/>
        </w:rPr>
      </w:pPr>
      <w:r>
        <w:rPr>
          <w:rFonts w:hint="eastAsia" w:ascii="宋体" w:hAnsi="宋体" w:cs="宋体"/>
          <w:szCs w:val="21"/>
        </w:rPr>
        <w:t>29.4.7不符合法律法规的规定的。</w:t>
      </w:r>
      <w:bookmarkStart w:id="86" w:name="_Toc200451960"/>
    </w:p>
    <w:p w14:paraId="0F92E5FD">
      <w:pPr>
        <w:spacing w:line="360" w:lineRule="auto"/>
        <w:ind w:firstLine="420"/>
        <w:rPr>
          <w:rFonts w:hint="eastAsia" w:ascii="宋体" w:hAnsi="宋体" w:cs="宋体"/>
          <w:szCs w:val="21"/>
        </w:rPr>
      </w:pPr>
      <w:r>
        <w:rPr>
          <w:rFonts w:hint="eastAsia" w:ascii="宋体" w:hAnsi="宋体" w:cs="宋体"/>
          <w:szCs w:val="21"/>
        </w:rPr>
        <w:t>29.5. 有下列情形之一的，视为投标人串通投标，投标无效：</w:t>
      </w:r>
    </w:p>
    <w:p w14:paraId="118DC53F">
      <w:pPr>
        <w:spacing w:line="360" w:lineRule="auto"/>
        <w:ind w:firstLine="420"/>
        <w:rPr>
          <w:rFonts w:hint="eastAsia" w:ascii="宋体" w:hAnsi="宋体" w:cs="宋体"/>
          <w:szCs w:val="21"/>
        </w:rPr>
      </w:pPr>
      <w:r>
        <w:rPr>
          <w:rFonts w:hint="eastAsia" w:ascii="宋体" w:hAnsi="宋体" w:cs="宋体"/>
          <w:szCs w:val="21"/>
        </w:rPr>
        <w:t>29.5.1不同投标人的投标文件由同一单位或者个人编制。</w:t>
      </w:r>
    </w:p>
    <w:p w14:paraId="06D4CD6B">
      <w:pPr>
        <w:spacing w:line="360" w:lineRule="auto"/>
        <w:ind w:firstLine="420"/>
        <w:rPr>
          <w:rFonts w:hint="eastAsia" w:ascii="宋体" w:hAnsi="宋体" w:cs="宋体"/>
          <w:szCs w:val="21"/>
        </w:rPr>
      </w:pPr>
      <w:r>
        <w:rPr>
          <w:rFonts w:hint="eastAsia" w:ascii="宋体" w:hAnsi="宋体" w:cs="宋体"/>
          <w:szCs w:val="21"/>
        </w:rPr>
        <w:t>29.5.2不同投标人委托同一单位或者个人办理投标事宜。</w:t>
      </w:r>
    </w:p>
    <w:p w14:paraId="2CD938F2">
      <w:pPr>
        <w:spacing w:line="360" w:lineRule="auto"/>
        <w:ind w:firstLine="420"/>
        <w:rPr>
          <w:rFonts w:hint="eastAsia" w:ascii="宋体" w:hAnsi="宋体" w:cs="宋体"/>
          <w:szCs w:val="21"/>
        </w:rPr>
      </w:pPr>
      <w:r>
        <w:rPr>
          <w:rFonts w:hint="eastAsia" w:ascii="宋体" w:hAnsi="宋体" w:cs="宋体"/>
          <w:szCs w:val="21"/>
        </w:rPr>
        <w:t>29.5.3 不同投标人的投标文件载明的项目管理成员或者联系人员为同一人。</w:t>
      </w:r>
    </w:p>
    <w:p w14:paraId="246A62CC">
      <w:pPr>
        <w:spacing w:line="360" w:lineRule="auto"/>
        <w:ind w:firstLine="420"/>
        <w:rPr>
          <w:rFonts w:hint="eastAsia" w:ascii="宋体" w:hAnsi="宋体" w:cs="宋体"/>
          <w:szCs w:val="21"/>
        </w:rPr>
      </w:pPr>
      <w:r>
        <w:rPr>
          <w:rFonts w:hint="eastAsia" w:ascii="宋体" w:hAnsi="宋体" w:cs="宋体"/>
          <w:szCs w:val="21"/>
        </w:rPr>
        <w:t>29.5.4不同投标人的投标文件异常一致或者投标报价呈规律性差异。</w:t>
      </w:r>
    </w:p>
    <w:p w14:paraId="205CFF82">
      <w:pPr>
        <w:spacing w:line="360" w:lineRule="auto"/>
        <w:ind w:firstLine="420"/>
        <w:rPr>
          <w:rFonts w:hint="eastAsia" w:ascii="宋体" w:hAnsi="宋体" w:cs="宋体"/>
          <w:szCs w:val="21"/>
        </w:rPr>
      </w:pPr>
      <w:r>
        <w:rPr>
          <w:rFonts w:hint="eastAsia" w:ascii="宋体" w:hAnsi="宋体" w:cs="宋体"/>
          <w:szCs w:val="21"/>
        </w:rPr>
        <w:t>29.5.5不同投标人的投标文件相互混装。</w:t>
      </w:r>
    </w:p>
    <w:p w14:paraId="2AC2D813">
      <w:pPr>
        <w:pStyle w:val="194"/>
        <w:spacing w:before="0" w:after="0" w:line="360" w:lineRule="auto"/>
        <w:ind w:firstLine="422"/>
        <w:rPr>
          <w:rFonts w:hint="eastAsia" w:ascii="宋体" w:hAnsi="宋体" w:eastAsia="宋体" w:cs="宋体"/>
          <w:sz w:val="21"/>
          <w:szCs w:val="21"/>
        </w:rPr>
      </w:pPr>
      <w:r>
        <w:rPr>
          <w:rFonts w:hint="eastAsia" w:ascii="宋体" w:hAnsi="宋体" w:eastAsia="宋体" w:cs="宋体"/>
          <w:sz w:val="21"/>
          <w:szCs w:val="21"/>
        </w:rPr>
        <w:t>30.质疑处理</w:t>
      </w:r>
      <w:bookmarkEnd w:id="86"/>
    </w:p>
    <w:p w14:paraId="0FE80D13">
      <w:pPr>
        <w:spacing w:line="360" w:lineRule="auto"/>
        <w:ind w:firstLine="420"/>
        <w:rPr>
          <w:rFonts w:hint="eastAsia" w:ascii="宋体" w:hAnsi="宋体" w:cs="宋体"/>
          <w:szCs w:val="21"/>
        </w:rPr>
      </w:pPr>
      <w:r>
        <w:rPr>
          <w:rFonts w:hint="eastAsia" w:ascii="宋体" w:hAnsi="宋体" w:cs="宋体"/>
          <w:szCs w:val="21"/>
        </w:rPr>
        <w:t>30.1提出质疑的供应商（以下简称质疑供应商）应当是参与所质疑项目采购活动的供应商。潜在供应商已依法获取其可质疑的采购文件的，可以对该文件提出质疑。</w:t>
      </w:r>
    </w:p>
    <w:p w14:paraId="544A3FE8">
      <w:pPr>
        <w:spacing w:line="360" w:lineRule="auto"/>
        <w:ind w:firstLine="420"/>
        <w:rPr>
          <w:rFonts w:hint="eastAsia" w:ascii="宋体" w:hAnsi="宋体" w:cs="宋体"/>
          <w:szCs w:val="21"/>
        </w:rPr>
      </w:pPr>
      <w:r>
        <w:rPr>
          <w:rFonts w:hint="eastAsia" w:ascii="宋体" w:hAnsi="宋体" w:cs="宋体"/>
          <w:szCs w:val="21"/>
        </w:rPr>
        <w:t>对项目需求部分的质疑，潜在供应商应向采购人提出，由采购人负责答复。</w:t>
      </w:r>
    </w:p>
    <w:p w14:paraId="3F82955A">
      <w:pPr>
        <w:spacing w:line="360" w:lineRule="auto"/>
        <w:ind w:firstLine="420"/>
        <w:rPr>
          <w:rFonts w:hint="eastAsia" w:ascii="宋体" w:hAnsi="宋体" w:cs="宋体"/>
          <w:szCs w:val="21"/>
        </w:rPr>
      </w:pPr>
      <w:r>
        <w:rPr>
          <w:rFonts w:hint="eastAsia" w:ascii="宋体" w:hAnsi="宋体" w:cs="宋体"/>
          <w:szCs w:val="21"/>
        </w:rPr>
        <w:t>30.2未参加投标活动的供应商或在投标活动中自身权益未受到损害的供应商所提出的质疑不予受理。</w:t>
      </w:r>
    </w:p>
    <w:p w14:paraId="0FA87105">
      <w:pPr>
        <w:spacing w:line="360" w:lineRule="auto"/>
        <w:ind w:firstLine="420"/>
        <w:rPr>
          <w:rFonts w:hint="eastAsia" w:ascii="宋体" w:hAnsi="宋体" w:cs="宋体"/>
          <w:szCs w:val="21"/>
        </w:rPr>
      </w:pPr>
      <w:r>
        <w:rPr>
          <w:rFonts w:hint="eastAsia" w:ascii="宋体" w:hAnsi="宋体" w:cs="宋体"/>
          <w:szCs w:val="21"/>
        </w:rPr>
        <w:t>30.3投标人认为采购文件、采购过程和中标或成交结果使自己的权益受到损害的，可以在知道或应知其权益受到损害之日起七个工作日内，以书面形式（原件送达）向采购人或代理机构提出质疑。上述应知其权益受到损害之日，是指：</w:t>
      </w:r>
    </w:p>
    <w:p w14:paraId="4C047FB1">
      <w:pPr>
        <w:spacing w:line="360" w:lineRule="auto"/>
        <w:ind w:firstLine="420"/>
        <w:rPr>
          <w:rFonts w:hint="eastAsia" w:ascii="宋体" w:hAnsi="宋体" w:cs="宋体"/>
          <w:szCs w:val="21"/>
        </w:rPr>
      </w:pPr>
      <w:r>
        <w:rPr>
          <w:rFonts w:hint="eastAsia" w:ascii="宋体" w:hAnsi="宋体" w:cs="宋体"/>
          <w:szCs w:val="21"/>
        </w:rPr>
        <w:t>30.3.1对采购文件提出质疑的，应当在获取采购文件之日或者采购文件公告期限届满之日起7个工作日内提出。</w:t>
      </w:r>
    </w:p>
    <w:p w14:paraId="63A38FF3">
      <w:pPr>
        <w:spacing w:line="360" w:lineRule="auto"/>
        <w:rPr>
          <w:rFonts w:hint="eastAsia" w:ascii="宋体" w:hAnsi="宋体" w:cs="宋体"/>
          <w:szCs w:val="21"/>
        </w:rPr>
      </w:pPr>
      <w:r>
        <w:rPr>
          <w:rFonts w:hint="eastAsia" w:ascii="宋体" w:hAnsi="宋体" w:cs="宋体"/>
          <w:szCs w:val="21"/>
        </w:rPr>
        <w:t>　　30.3.2对采购过程提出质疑的，为各采购程序环节结束之日起7个工作日内提出。</w:t>
      </w:r>
    </w:p>
    <w:p w14:paraId="14D657A3">
      <w:pPr>
        <w:spacing w:line="360" w:lineRule="auto"/>
        <w:ind w:firstLine="420"/>
        <w:rPr>
          <w:rFonts w:hint="eastAsia" w:ascii="宋体" w:hAnsi="宋体" w:cs="宋体"/>
          <w:szCs w:val="21"/>
        </w:rPr>
      </w:pPr>
      <w:r>
        <w:rPr>
          <w:rFonts w:hint="eastAsia" w:ascii="宋体" w:hAnsi="宋体" w:cs="宋体"/>
          <w:szCs w:val="21"/>
        </w:rPr>
        <w:t>30.3.3对中标结果提出质疑的，为中标结果公告期限届满之日起7个工作日内提出。</w:t>
      </w:r>
    </w:p>
    <w:p w14:paraId="7DECD370">
      <w:pPr>
        <w:spacing w:line="360" w:lineRule="auto"/>
        <w:ind w:firstLine="420"/>
        <w:rPr>
          <w:rFonts w:hint="eastAsia" w:ascii="宋体" w:hAnsi="宋体" w:cs="宋体"/>
          <w:szCs w:val="21"/>
        </w:rPr>
      </w:pPr>
      <w:r>
        <w:rPr>
          <w:rFonts w:hint="eastAsia" w:ascii="宋体" w:hAnsi="宋体" w:cs="宋体"/>
          <w:szCs w:val="21"/>
        </w:rPr>
        <w:t>30.4供应商应在法定质疑期内一次性提出针对同一采购程序环节的质疑。供应商如在法定期限内对同一采购程序环节提出多次质疑的，代理机构、采购人将只对供应商第一次质疑作出答复。</w:t>
      </w:r>
    </w:p>
    <w:p w14:paraId="01787DFB">
      <w:pPr>
        <w:spacing w:line="360" w:lineRule="auto"/>
        <w:ind w:firstLine="420"/>
        <w:rPr>
          <w:rFonts w:hint="eastAsia" w:ascii="宋体" w:hAnsi="宋体" w:cs="宋体"/>
          <w:szCs w:val="21"/>
        </w:rPr>
      </w:pPr>
      <w:r>
        <w:rPr>
          <w:rFonts w:hint="eastAsia" w:ascii="宋体" w:hAnsi="宋体" w:cs="宋体"/>
          <w:szCs w:val="21"/>
        </w:rPr>
        <w:t xml:space="preserve">30.5质疑参照《中华人民共和国政府采购法》《中华人民共和国政府采购法实施条例》及《政府采购质疑和投诉办法》等相关规定提交，未按上述要求提交的质疑函（含传真、电子邮件等） 代理机构有权不予受理。 </w:t>
      </w:r>
    </w:p>
    <w:p w14:paraId="0685B744">
      <w:pPr>
        <w:spacing w:line="360" w:lineRule="auto"/>
        <w:ind w:firstLine="420"/>
        <w:rPr>
          <w:rFonts w:hint="eastAsia" w:ascii="宋体" w:hAnsi="宋体" w:cs="宋体"/>
          <w:szCs w:val="21"/>
        </w:rPr>
      </w:pPr>
      <w:r>
        <w:rPr>
          <w:rFonts w:hint="eastAsia" w:ascii="宋体" w:hAnsi="宋体" w:cs="宋体"/>
          <w:szCs w:val="21"/>
        </w:rPr>
        <w:t>30.6质疑供应商提出质疑应当提交质疑函和必要的证明材料。质疑函应当包括下列内容：</w:t>
      </w:r>
    </w:p>
    <w:p w14:paraId="52D45E35">
      <w:pPr>
        <w:spacing w:line="360" w:lineRule="auto"/>
        <w:ind w:firstLine="420"/>
        <w:rPr>
          <w:rFonts w:hint="eastAsia" w:ascii="宋体" w:hAnsi="宋体" w:cs="宋体"/>
          <w:szCs w:val="21"/>
        </w:rPr>
      </w:pPr>
      <w:r>
        <w:rPr>
          <w:rFonts w:hint="eastAsia" w:ascii="宋体" w:hAnsi="宋体" w:cs="宋体"/>
          <w:szCs w:val="21"/>
        </w:rPr>
        <w:t>30.6.1质疑供应商的姓名或者名称、地址、邮编、联系人及联系电话；</w:t>
      </w:r>
    </w:p>
    <w:p w14:paraId="382EE690">
      <w:pPr>
        <w:spacing w:line="360" w:lineRule="auto"/>
        <w:rPr>
          <w:rFonts w:hint="eastAsia" w:ascii="宋体" w:hAnsi="宋体" w:cs="宋体"/>
          <w:szCs w:val="21"/>
        </w:rPr>
      </w:pPr>
      <w:r>
        <w:rPr>
          <w:rFonts w:hint="eastAsia" w:ascii="宋体" w:hAnsi="宋体" w:cs="宋体"/>
          <w:szCs w:val="21"/>
        </w:rPr>
        <w:t>　　30.6.2质疑项目的名称、编号；</w:t>
      </w:r>
    </w:p>
    <w:p w14:paraId="7A4FEB97">
      <w:pPr>
        <w:spacing w:line="360" w:lineRule="auto"/>
        <w:rPr>
          <w:rFonts w:hint="eastAsia" w:ascii="宋体" w:hAnsi="宋体" w:cs="宋体"/>
          <w:szCs w:val="21"/>
        </w:rPr>
      </w:pPr>
      <w:r>
        <w:rPr>
          <w:rFonts w:hint="eastAsia" w:ascii="宋体" w:hAnsi="宋体" w:cs="宋体"/>
          <w:szCs w:val="21"/>
        </w:rPr>
        <w:t>　　30.6.3具体、明确的质疑事项和与质疑事项相关的请求；</w:t>
      </w:r>
    </w:p>
    <w:p w14:paraId="670DF26B">
      <w:pPr>
        <w:spacing w:line="360" w:lineRule="auto"/>
        <w:ind w:firstLine="420"/>
        <w:rPr>
          <w:rFonts w:hint="eastAsia" w:ascii="宋体" w:hAnsi="宋体" w:cs="宋体"/>
          <w:szCs w:val="21"/>
        </w:rPr>
      </w:pPr>
      <w:r>
        <w:rPr>
          <w:rFonts w:hint="eastAsia" w:ascii="宋体" w:hAnsi="宋体" w:cs="宋体"/>
          <w:szCs w:val="21"/>
        </w:rPr>
        <w:t>30.6.4认为自己合法权益受到损害或可能受到损害的相关证据材料；</w:t>
      </w:r>
    </w:p>
    <w:p w14:paraId="1D19E8BC">
      <w:pPr>
        <w:spacing w:line="360" w:lineRule="auto"/>
        <w:ind w:firstLine="420"/>
        <w:rPr>
          <w:rFonts w:hint="eastAsia" w:ascii="宋体" w:hAnsi="宋体" w:cs="宋体"/>
          <w:szCs w:val="21"/>
        </w:rPr>
      </w:pPr>
      <w:r>
        <w:rPr>
          <w:rFonts w:hint="eastAsia" w:ascii="宋体" w:hAnsi="宋体" w:cs="宋体"/>
          <w:szCs w:val="21"/>
        </w:rPr>
        <w:t>30.6.5必要的法律依据；</w:t>
      </w:r>
    </w:p>
    <w:p w14:paraId="0602436D">
      <w:pPr>
        <w:spacing w:line="360" w:lineRule="auto"/>
        <w:rPr>
          <w:rFonts w:hint="eastAsia" w:ascii="宋体" w:hAnsi="宋体" w:cs="宋体"/>
          <w:szCs w:val="21"/>
        </w:rPr>
      </w:pPr>
      <w:r>
        <w:rPr>
          <w:rFonts w:hint="eastAsia" w:ascii="宋体" w:hAnsi="宋体" w:cs="宋体"/>
          <w:szCs w:val="21"/>
        </w:rPr>
        <w:t>　　30.6.6提出质疑的日期。</w:t>
      </w:r>
    </w:p>
    <w:p w14:paraId="1FE158E2">
      <w:pPr>
        <w:spacing w:line="360" w:lineRule="auto"/>
        <w:ind w:firstLine="396"/>
        <w:rPr>
          <w:rFonts w:hint="eastAsia" w:ascii="宋体" w:hAnsi="宋体" w:cs="宋体"/>
          <w:spacing w:val="-6"/>
          <w:szCs w:val="21"/>
        </w:rPr>
      </w:pPr>
      <w:r>
        <w:rPr>
          <w:rFonts w:hint="eastAsia" w:ascii="宋体" w:hAnsi="宋体" w:cs="宋体"/>
          <w:spacing w:val="-6"/>
          <w:szCs w:val="21"/>
        </w:rPr>
        <w:t xml:space="preserve"> 质疑申请应当署名：质疑人为自然人的，应当由本人签字并附有效身份证明；质疑人为法人或其他组织的，应当由法定代表人签字并加盖单位公章。质疑人委托代理质疑的，应当向代理机构提交授权委托书，并载明委托代理的具体权限和事项。质疑人应在法定质疑期内一次性提出针对同一采购程序环节的质疑。</w:t>
      </w:r>
    </w:p>
    <w:p w14:paraId="231B96FE">
      <w:pPr>
        <w:spacing w:line="360" w:lineRule="auto"/>
        <w:ind w:firstLine="420"/>
        <w:rPr>
          <w:rFonts w:hint="eastAsia" w:ascii="宋体" w:hAnsi="宋体" w:cs="宋体"/>
          <w:bCs/>
          <w:szCs w:val="21"/>
        </w:rPr>
      </w:pPr>
      <w:r>
        <w:rPr>
          <w:rFonts w:hint="eastAsia" w:ascii="宋体" w:hAnsi="宋体" w:cs="宋体"/>
          <w:szCs w:val="21"/>
        </w:rPr>
        <w:t>质疑函参照《质疑函范本》及《授权委托书》要求的格式和内容进行填写，格式见网址：</w:t>
      </w:r>
      <w:r>
        <w:fldChar w:fldCharType="begin"/>
      </w:r>
      <w:r>
        <w:instrText xml:space="preserve"> HYPERLINK "http://zfcg.yangzhou.gov.cn。供应商如组成联合体参加投标，则《质疑函范本》及《授权委托书》中要求签字、盖章、加盖公章之处，联合体各方均须按要求签字、盖章、加盖公章。" </w:instrText>
      </w:r>
      <w:r>
        <w:fldChar w:fldCharType="separate"/>
      </w:r>
      <w:r>
        <w:fldChar w:fldCharType="begin"/>
      </w:r>
      <w:r>
        <w:instrText xml:space="preserve"> HYPERLINK "http://pan.baidu.com/s/1c1G12Cg" </w:instrText>
      </w:r>
      <w:r>
        <w:fldChar w:fldCharType="separate"/>
      </w:r>
      <w:r>
        <w:rPr>
          <w:rFonts w:hint="eastAsia" w:ascii="宋体" w:hAnsi="宋体" w:cs="宋体"/>
          <w:szCs w:val="21"/>
        </w:rPr>
        <w:t>http://pan.baidu.com/s/1c1G12Cg</w:t>
      </w:r>
      <w:r>
        <w:rPr>
          <w:rFonts w:hint="eastAsia" w:ascii="宋体" w:hAnsi="宋体" w:cs="宋体"/>
          <w:szCs w:val="21"/>
        </w:rPr>
        <w:fldChar w:fldCharType="end"/>
      </w:r>
      <w:r>
        <w:rPr>
          <w:rFonts w:hint="eastAsia" w:ascii="宋体" w:hAnsi="宋体" w:cs="宋体"/>
          <w:szCs w:val="21"/>
        </w:rPr>
        <w:t>。供应商如组成联合体参加投标，则《质疑函范本》及《授权委托书》中要求签字、盖章、加盖公章之处，联合体各方均须按要求签字、盖章、加盖公章。</w:t>
      </w:r>
      <w:r>
        <w:rPr>
          <w:rFonts w:hint="eastAsia" w:ascii="宋体" w:hAnsi="宋体" w:cs="宋体"/>
          <w:szCs w:val="21"/>
        </w:rPr>
        <w:fldChar w:fldCharType="end"/>
      </w:r>
    </w:p>
    <w:p w14:paraId="747C4D49">
      <w:pPr>
        <w:spacing w:line="360" w:lineRule="auto"/>
        <w:ind w:firstLine="420"/>
        <w:rPr>
          <w:rFonts w:hint="eastAsia" w:ascii="宋体" w:hAnsi="宋体" w:cs="宋体"/>
          <w:bCs/>
          <w:szCs w:val="21"/>
        </w:rPr>
      </w:pPr>
      <w:r>
        <w:rPr>
          <w:rFonts w:hint="eastAsia" w:ascii="宋体" w:hAnsi="宋体" w:cs="宋体"/>
          <w:szCs w:val="21"/>
        </w:rPr>
        <w:t>30.7代理机构</w:t>
      </w:r>
      <w:r>
        <w:rPr>
          <w:rFonts w:hint="eastAsia" w:ascii="宋体" w:hAnsi="宋体" w:cs="宋体"/>
          <w:bCs/>
          <w:szCs w:val="21"/>
        </w:rPr>
        <w:t>及采购人只接收以纸质原件形式送达的质疑，</w:t>
      </w:r>
      <w:r>
        <w:rPr>
          <w:rFonts w:hint="eastAsia" w:ascii="宋体" w:hAnsi="宋体" w:cs="宋体"/>
          <w:b/>
          <w:bCs/>
          <w:szCs w:val="21"/>
        </w:rPr>
        <w:t>同时需与采购代理机构经办人确认是否收到《质疑函》，如供应商未按上述要求去做，将自行承担所产生的风险。</w:t>
      </w:r>
    </w:p>
    <w:p w14:paraId="5FADE081">
      <w:pPr>
        <w:spacing w:line="360" w:lineRule="auto"/>
        <w:ind w:firstLine="420"/>
        <w:rPr>
          <w:rFonts w:hint="eastAsia" w:ascii="宋体" w:hAnsi="宋体" w:cs="宋体"/>
          <w:bCs/>
          <w:szCs w:val="21"/>
        </w:rPr>
      </w:pPr>
      <w:r>
        <w:rPr>
          <w:rFonts w:hint="eastAsia" w:ascii="宋体" w:hAnsi="宋体" w:cs="宋体"/>
          <w:bCs/>
          <w:szCs w:val="21"/>
        </w:rPr>
        <w:t>采购人质疑接收人及联系方式见招标文件第一章。</w:t>
      </w:r>
    </w:p>
    <w:p w14:paraId="2C8A9FCA">
      <w:pPr>
        <w:spacing w:line="360" w:lineRule="auto"/>
        <w:ind w:firstLine="420"/>
        <w:rPr>
          <w:rFonts w:hint="eastAsia" w:ascii="宋体" w:hAnsi="宋体" w:cs="宋体"/>
          <w:szCs w:val="21"/>
        </w:rPr>
      </w:pPr>
      <w:r>
        <w:rPr>
          <w:rFonts w:hint="eastAsia" w:ascii="宋体" w:hAnsi="宋体" w:cs="宋体"/>
          <w:szCs w:val="21"/>
        </w:rPr>
        <w:t>30.8代理机构收到质疑申请后，将对质疑的形式和内容进行审查，如质疑内容、格式不符合规定，代理机构将告知质疑人进行补正。</w:t>
      </w:r>
    </w:p>
    <w:p w14:paraId="5D20C393">
      <w:pPr>
        <w:spacing w:line="360" w:lineRule="auto"/>
        <w:ind w:firstLine="420"/>
        <w:rPr>
          <w:rFonts w:hint="eastAsia" w:ascii="宋体" w:hAnsi="宋体" w:cs="宋体"/>
          <w:szCs w:val="21"/>
        </w:rPr>
      </w:pPr>
      <w:r>
        <w:rPr>
          <w:rFonts w:hint="eastAsia" w:ascii="宋体" w:hAnsi="宋体" w:cs="宋体"/>
          <w:szCs w:val="21"/>
        </w:rPr>
        <w:t>30.9质疑人应当在法定质疑期限内进行补正并重新提交质疑函，拒不补正或者在法定期限内未重新提交质疑函的，为无效质疑，代理机构有权不予受理。</w:t>
      </w:r>
    </w:p>
    <w:p w14:paraId="4CFBCB46">
      <w:pPr>
        <w:spacing w:line="360" w:lineRule="auto"/>
        <w:ind w:firstLine="420"/>
        <w:rPr>
          <w:rFonts w:hint="eastAsia" w:ascii="宋体" w:hAnsi="宋体" w:cs="宋体"/>
          <w:szCs w:val="21"/>
        </w:rPr>
      </w:pPr>
      <w:r>
        <w:rPr>
          <w:rFonts w:hint="eastAsia" w:ascii="宋体" w:hAnsi="宋体" w:cs="宋体"/>
          <w:szCs w:val="21"/>
        </w:rPr>
        <w:t>30.10对于内容、格式符合规定的质疑函，代理机构应当在收到供应商的书面质疑后七个工作日内作出答复，并以书面形式通知质疑供应商和其他有关供应商，但答复的内容不得涉及商业秘密。</w:t>
      </w:r>
    </w:p>
    <w:p w14:paraId="72B21358">
      <w:pPr>
        <w:spacing w:line="360" w:lineRule="auto"/>
        <w:ind w:firstLine="420"/>
        <w:rPr>
          <w:rFonts w:hint="eastAsia" w:ascii="宋体" w:hAnsi="宋体" w:cs="宋体"/>
          <w:szCs w:val="21"/>
        </w:rPr>
      </w:pPr>
      <w:r>
        <w:rPr>
          <w:rFonts w:hint="eastAsia" w:ascii="宋体" w:hAnsi="宋体" w:cs="宋体"/>
          <w:szCs w:val="21"/>
        </w:rPr>
        <w:t>30.11以下情形的质疑不予受理</w:t>
      </w:r>
    </w:p>
    <w:p w14:paraId="349D0BC8">
      <w:pPr>
        <w:spacing w:line="360" w:lineRule="auto"/>
        <w:ind w:firstLine="420"/>
        <w:rPr>
          <w:rFonts w:hint="eastAsia" w:ascii="宋体" w:hAnsi="宋体" w:cs="宋体"/>
          <w:szCs w:val="21"/>
        </w:rPr>
      </w:pPr>
      <w:r>
        <w:rPr>
          <w:rFonts w:hint="eastAsia" w:ascii="宋体" w:hAnsi="宋体" w:cs="宋体"/>
          <w:szCs w:val="21"/>
        </w:rPr>
        <w:t>30.11.1 内容不符合《政府采购质疑和投诉办法》第十二条规定的质疑。</w:t>
      </w:r>
    </w:p>
    <w:p w14:paraId="07D9D864">
      <w:pPr>
        <w:spacing w:line="360" w:lineRule="auto"/>
        <w:ind w:firstLine="420"/>
        <w:rPr>
          <w:rFonts w:hint="eastAsia" w:ascii="宋体" w:hAnsi="宋体" w:cs="宋体"/>
          <w:szCs w:val="21"/>
        </w:rPr>
      </w:pPr>
      <w:r>
        <w:rPr>
          <w:rFonts w:hint="eastAsia" w:ascii="宋体" w:hAnsi="宋体" w:cs="宋体"/>
          <w:szCs w:val="21"/>
        </w:rPr>
        <w:t>30.11.2 超出政府采购法定期限的质疑。</w:t>
      </w:r>
    </w:p>
    <w:p w14:paraId="4B4F3AE9">
      <w:pPr>
        <w:spacing w:line="360" w:lineRule="auto"/>
        <w:ind w:firstLine="420"/>
        <w:rPr>
          <w:rFonts w:hint="eastAsia" w:ascii="宋体" w:hAnsi="宋体" w:cs="宋体"/>
          <w:bCs/>
          <w:szCs w:val="21"/>
        </w:rPr>
      </w:pPr>
      <w:r>
        <w:rPr>
          <w:rFonts w:hint="eastAsia" w:ascii="宋体" w:hAnsi="宋体" w:cs="宋体"/>
          <w:szCs w:val="21"/>
        </w:rPr>
        <w:t>30.11.3 以传真、电子邮件等方式递交的非原</w:t>
      </w:r>
      <w:r>
        <w:rPr>
          <w:rFonts w:hint="eastAsia" w:ascii="宋体" w:hAnsi="宋体" w:cs="宋体"/>
          <w:bCs/>
          <w:szCs w:val="21"/>
        </w:rPr>
        <w:t>件形式的质疑。</w:t>
      </w:r>
    </w:p>
    <w:p w14:paraId="3993DA88">
      <w:pPr>
        <w:spacing w:line="360" w:lineRule="auto"/>
        <w:ind w:firstLine="420"/>
        <w:rPr>
          <w:rFonts w:hint="eastAsia" w:ascii="宋体" w:hAnsi="宋体" w:cs="宋体"/>
          <w:bCs/>
          <w:szCs w:val="21"/>
        </w:rPr>
      </w:pPr>
      <w:r>
        <w:rPr>
          <w:rFonts w:hint="eastAsia" w:ascii="宋体" w:hAnsi="宋体" w:cs="宋体"/>
          <w:bCs/>
          <w:szCs w:val="21"/>
        </w:rPr>
        <w:t>30.11.4 未参加投标活动的供应商或在投标活动中自身权益未受到损害的供应商所提出的质疑。</w:t>
      </w:r>
    </w:p>
    <w:p w14:paraId="78335DBB">
      <w:pPr>
        <w:spacing w:line="360" w:lineRule="auto"/>
        <w:ind w:firstLine="396"/>
        <w:rPr>
          <w:rFonts w:hint="eastAsia" w:ascii="宋体" w:hAnsi="宋体" w:cs="宋体"/>
          <w:bCs/>
          <w:spacing w:val="-6"/>
          <w:szCs w:val="21"/>
        </w:rPr>
      </w:pPr>
      <w:r>
        <w:rPr>
          <w:rFonts w:hint="eastAsia" w:ascii="宋体" w:hAnsi="宋体" w:cs="宋体"/>
          <w:bCs/>
          <w:spacing w:val="-6"/>
          <w:szCs w:val="21"/>
        </w:rPr>
        <w:t>30.11.5供应商组成联合体参加投标，联合体中任何一方或多方未按要求签字、盖章、加盖公章的质疑。</w:t>
      </w:r>
    </w:p>
    <w:p w14:paraId="659FD654">
      <w:pPr>
        <w:spacing w:line="360" w:lineRule="auto"/>
        <w:ind w:firstLine="420"/>
        <w:rPr>
          <w:rFonts w:hint="eastAsia" w:ascii="宋体" w:hAnsi="宋体" w:cs="宋体"/>
          <w:szCs w:val="21"/>
        </w:rPr>
      </w:pPr>
      <w:r>
        <w:rPr>
          <w:rFonts w:hint="eastAsia" w:ascii="宋体" w:hAnsi="宋体" w:cs="宋体"/>
          <w:szCs w:val="21"/>
        </w:rPr>
        <w:t>30.12</w:t>
      </w:r>
      <w:r>
        <w:rPr>
          <w:rFonts w:hint="eastAsia" w:ascii="宋体" w:hAnsi="宋体" w:cs="宋体"/>
          <w:bCs/>
          <w:szCs w:val="21"/>
        </w:rPr>
        <w:t>供应商提出书面质疑必须有理、有据，不得捏造事实、提供虚假材料进行恶意质疑。否则，一经查实，代理机构有权依据政府采购的有关规定，报请采购监管部门对该供应商进行相应的行政处罚和记录该供应商的失信信息。</w:t>
      </w:r>
      <w:r>
        <w:rPr>
          <w:rFonts w:hint="eastAsia" w:ascii="宋体" w:hAnsi="宋体" w:cs="宋体"/>
          <w:szCs w:val="21"/>
        </w:rPr>
        <w:t>　</w:t>
      </w:r>
    </w:p>
    <w:p w14:paraId="3FEE370C">
      <w:pPr>
        <w:spacing w:line="360" w:lineRule="auto"/>
        <w:ind w:firstLine="420"/>
        <w:rPr>
          <w:rFonts w:hint="eastAsia" w:ascii="宋体" w:hAnsi="宋体" w:cs="宋体"/>
          <w:szCs w:val="21"/>
        </w:rPr>
      </w:pPr>
      <w:r>
        <w:rPr>
          <w:rFonts w:hint="eastAsia" w:ascii="宋体" w:hAnsi="宋体" w:cs="宋体"/>
          <w:szCs w:val="21"/>
        </w:rPr>
        <w:t>30.13 诚实信用</w:t>
      </w:r>
    </w:p>
    <w:p w14:paraId="30C29BBB">
      <w:pPr>
        <w:spacing w:line="360" w:lineRule="auto"/>
        <w:ind w:firstLine="420"/>
        <w:rPr>
          <w:rFonts w:hint="eastAsia" w:ascii="宋体" w:hAnsi="宋体" w:cs="宋体"/>
          <w:szCs w:val="21"/>
        </w:rPr>
      </w:pPr>
      <w:r>
        <w:rPr>
          <w:rFonts w:hint="eastAsia" w:ascii="宋体" w:hAnsi="宋体" w:cs="宋体"/>
          <w:szCs w:val="21"/>
        </w:rPr>
        <w:t>30.13.1 投标人之间不得相互串通投标报价，不得妨碍其他投标人的公平竞争，不得损害采购人和其他投标人的合法权益。</w:t>
      </w:r>
    </w:p>
    <w:p w14:paraId="34DD1CA4">
      <w:pPr>
        <w:spacing w:line="360" w:lineRule="auto"/>
        <w:ind w:firstLine="420"/>
        <w:rPr>
          <w:rFonts w:hint="eastAsia" w:ascii="宋体" w:hAnsi="宋体" w:cs="宋体"/>
          <w:szCs w:val="21"/>
        </w:rPr>
      </w:pPr>
      <w:r>
        <w:rPr>
          <w:rFonts w:hint="eastAsia" w:ascii="宋体" w:hAnsi="宋体" w:cs="宋体"/>
          <w:szCs w:val="21"/>
        </w:rPr>
        <w:t>30.13.2 投标人不得向代理机构工作人员、评标委员会成员行贿或者采取其他不正当手段谋取中标。经查实投标人有此行为的，采购管理部门将投标人列入不良行为记录名单，按照《中华人民共和国政府采购法》有关规定处理。</w:t>
      </w:r>
    </w:p>
    <w:p w14:paraId="21A092E7">
      <w:pPr>
        <w:spacing w:line="360" w:lineRule="auto"/>
        <w:ind w:firstLine="420"/>
        <w:rPr>
          <w:rFonts w:hint="eastAsia" w:ascii="宋体" w:hAnsi="宋体" w:cs="宋体"/>
          <w:szCs w:val="21"/>
        </w:rPr>
      </w:pPr>
      <w:r>
        <w:rPr>
          <w:rFonts w:hint="eastAsia" w:ascii="宋体" w:hAnsi="宋体" w:cs="宋体"/>
          <w:szCs w:val="21"/>
        </w:rPr>
        <w:t>30.13.3 投标人提出书面质疑必须有理、有据，不得虚假质疑和恶意质疑，并对质疑内容的真实性承担责任。一经查实，代理机构有权依据采购的有关规定，报请采购监管部门对该投标人进行相应的行政处罚并在网站上予以公示。如果投标人或者其他利害关系人通过捏造事实、伪造证明材料等方式质疑，干扰采购活动正常进行的，属于严重不良行为，代理机构将提请采购监管部门将其列入不良行为记录名单，并依法予以处罚。</w:t>
      </w:r>
    </w:p>
    <w:p w14:paraId="28305ACC">
      <w:pPr>
        <w:spacing w:line="360" w:lineRule="auto"/>
        <w:ind w:firstLine="420"/>
        <w:rPr>
          <w:rFonts w:hint="eastAsia" w:ascii="宋体" w:hAnsi="宋体" w:cs="宋体"/>
          <w:szCs w:val="21"/>
        </w:rPr>
      </w:pPr>
      <w:r>
        <w:rPr>
          <w:rFonts w:hint="eastAsia" w:ascii="宋体" w:hAnsi="宋体" w:cs="宋体"/>
          <w:szCs w:val="21"/>
        </w:rPr>
        <w:t>30.13.4 投标人不得虚假承诺，否则，按照提供虚假材料谋取中标成交处理。</w:t>
      </w:r>
    </w:p>
    <w:p w14:paraId="62180465">
      <w:pPr>
        <w:spacing w:line="360" w:lineRule="auto"/>
        <w:ind w:firstLine="420"/>
        <w:rPr>
          <w:rFonts w:hint="eastAsia" w:ascii="宋体" w:hAnsi="宋体" w:cs="宋体"/>
          <w:szCs w:val="21"/>
        </w:rPr>
      </w:pPr>
      <w:r>
        <w:rPr>
          <w:rFonts w:hint="eastAsia" w:ascii="宋体" w:hAnsi="宋体" w:cs="宋体"/>
          <w:szCs w:val="21"/>
        </w:rPr>
        <w:t xml:space="preserve">30.13.5 投标人应自觉遵守开标、评标纪律，扰乱开标评标现场秩序的，属于失信行为，根据《江苏省政府采购供应商监督管理暂行办法》，失信行为将被记入投标人诚信档案。    </w:t>
      </w:r>
    </w:p>
    <w:p w14:paraId="4E6D910C">
      <w:pPr>
        <w:pStyle w:val="194"/>
        <w:spacing w:before="0" w:after="0" w:line="360" w:lineRule="auto"/>
        <w:ind w:firstLine="527"/>
        <w:rPr>
          <w:rFonts w:hint="eastAsia" w:ascii="宋体" w:hAnsi="宋体" w:eastAsia="宋体" w:cs="宋体"/>
          <w:b w:val="0"/>
          <w:sz w:val="21"/>
          <w:szCs w:val="21"/>
        </w:rPr>
      </w:pPr>
      <w:r>
        <w:rPr>
          <w:rFonts w:hint="eastAsia" w:ascii="宋体" w:hAnsi="宋体" w:eastAsia="宋体" w:cs="宋体"/>
          <w:sz w:val="21"/>
          <w:szCs w:val="21"/>
        </w:rPr>
        <w:t>31.中标通知书</w:t>
      </w:r>
    </w:p>
    <w:p w14:paraId="5C626AF3">
      <w:pPr>
        <w:spacing w:line="360" w:lineRule="auto"/>
        <w:ind w:firstLine="525"/>
        <w:rPr>
          <w:rFonts w:hint="eastAsia" w:ascii="宋体" w:hAnsi="宋体" w:cs="宋体"/>
          <w:szCs w:val="21"/>
        </w:rPr>
      </w:pPr>
      <w:r>
        <w:rPr>
          <w:rFonts w:hint="eastAsia" w:ascii="宋体" w:hAnsi="宋体" w:cs="宋体"/>
          <w:szCs w:val="21"/>
        </w:rPr>
        <w:t>31.l</w:t>
      </w:r>
      <w:r>
        <w:rPr>
          <w:rFonts w:hint="eastAsia" w:ascii="宋体" w:hAnsi="宋体" w:cs="宋体"/>
          <w:b/>
          <w:szCs w:val="21"/>
        </w:rPr>
        <w:t xml:space="preserve"> </w:t>
      </w:r>
      <w:r>
        <w:rPr>
          <w:rFonts w:hint="eastAsia" w:ascii="宋体" w:hAnsi="宋体" w:cs="宋体"/>
          <w:szCs w:val="21"/>
        </w:rPr>
        <w:t>中标结果确定后，代理机构将向中标供应商发出中标通知书。</w:t>
      </w:r>
    </w:p>
    <w:p w14:paraId="46ADD434">
      <w:pPr>
        <w:spacing w:line="360" w:lineRule="auto"/>
        <w:ind w:firstLine="525"/>
        <w:rPr>
          <w:rFonts w:hint="eastAsia" w:ascii="宋体" w:hAnsi="宋体" w:cs="宋体"/>
          <w:szCs w:val="21"/>
        </w:rPr>
      </w:pPr>
      <w:r>
        <w:rPr>
          <w:rFonts w:hint="eastAsia" w:ascii="宋体" w:hAnsi="宋体" w:cs="宋体"/>
          <w:szCs w:val="21"/>
        </w:rPr>
        <w:t>31.2 中标供应商收到中标通知书后，应签字确认中标通知书已收到。若无回复，则公告后视同中标供应商已经知悉并同意接受。</w:t>
      </w:r>
    </w:p>
    <w:p w14:paraId="15B2A643">
      <w:pPr>
        <w:spacing w:line="360" w:lineRule="auto"/>
        <w:ind w:firstLine="525"/>
        <w:rPr>
          <w:rFonts w:hint="eastAsia" w:ascii="宋体" w:hAnsi="宋体" w:cs="宋体"/>
          <w:szCs w:val="21"/>
        </w:rPr>
      </w:pPr>
      <w:r>
        <w:rPr>
          <w:rFonts w:hint="eastAsia" w:ascii="宋体" w:hAnsi="宋体" w:cs="宋体"/>
          <w:szCs w:val="21"/>
        </w:rPr>
        <w:t>31.3中标通知书将是合同的一个组成部分。对采购人和中标供应商均具有法律效力。中标通知书发出后，采购人改变中标结果的，或者中标供应商放弃中标项目的，应当依法承担法律责任。</w:t>
      </w:r>
    </w:p>
    <w:p w14:paraId="01A103E1">
      <w:pPr>
        <w:spacing w:line="360" w:lineRule="auto"/>
        <w:ind w:firstLine="525"/>
        <w:rPr>
          <w:rFonts w:hint="eastAsia" w:ascii="宋体" w:hAnsi="宋体" w:cs="宋体"/>
          <w:szCs w:val="21"/>
        </w:rPr>
      </w:pPr>
      <w:r>
        <w:rPr>
          <w:rFonts w:hint="eastAsia" w:ascii="宋体" w:hAnsi="宋体" w:cs="宋体"/>
          <w:szCs w:val="21"/>
        </w:rPr>
        <w:t>31.4所有投标文件都将作为档案保存，不论中标与否，代理机构均不退回。</w:t>
      </w:r>
    </w:p>
    <w:p w14:paraId="191E704F">
      <w:pPr>
        <w:pStyle w:val="194"/>
        <w:spacing w:before="0" w:after="0" w:line="360" w:lineRule="auto"/>
        <w:ind w:firstLine="527"/>
        <w:rPr>
          <w:rFonts w:hint="eastAsia" w:ascii="宋体" w:hAnsi="宋体" w:eastAsia="宋体" w:cs="宋体"/>
          <w:sz w:val="21"/>
          <w:szCs w:val="21"/>
        </w:rPr>
      </w:pPr>
      <w:bookmarkStart w:id="87" w:name="_Toc20823309"/>
      <w:bookmarkStart w:id="88" w:name="_Toc16938553"/>
      <w:bookmarkStart w:id="89" w:name="_Toc513029237"/>
      <w:r>
        <w:rPr>
          <w:rFonts w:hint="eastAsia" w:ascii="宋体" w:hAnsi="宋体" w:eastAsia="宋体" w:cs="宋体"/>
          <w:sz w:val="21"/>
          <w:szCs w:val="21"/>
        </w:rPr>
        <w:t>32.</w:t>
      </w:r>
      <w:r>
        <w:rPr>
          <w:rFonts w:hint="eastAsia" w:ascii="宋体" w:hAnsi="宋体" w:eastAsia="宋体" w:cs="宋体"/>
          <w:b w:val="0"/>
          <w:sz w:val="21"/>
          <w:szCs w:val="21"/>
        </w:rPr>
        <w:t xml:space="preserve"> </w:t>
      </w:r>
      <w:r>
        <w:rPr>
          <w:rFonts w:hint="eastAsia" w:ascii="宋体" w:hAnsi="宋体" w:eastAsia="宋体" w:cs="宋体"/>
          <w:sz w:val="21"/>
          <w:szCs w:val="21"/>
        </w:rPr>
        <w:t>签订合同</w:t>
      </w:r>
    </w:p>
    <w:p w14:paraId="3FC74890">
      <w:pPr>
        <w:spacing w:line="360" w:lineRule="auto"/>
        <w:ind w:firstLine="525"/>
        <w:rPr>
          <w:rFonts w:hint="eastAsia" w:ascii="宋体" w:hAnsi="宋体" w:cs="宋体"/>
          <w:szCs w:val="21"/>
        </w:rPr>
      </w:pPr>
      <w:r>
        <w:rPr>
          <w:rFonts w:hint="eastAsia" w:ascii="宋体" w:hAnsi="宋体" w:cs="宋体"/>
          <w:bCs/>
          <w:szCs w:val="21"/>
        </w:rPr>
        <w:t>32</w:t>
      </w:r>
      <w:r>
        <w:rPr>
          <w:rFonts w:hint="eastAsia" w:ascii="宋体" w:hAnsi="宋体" w:cs="宋体"/>
          <w:szCs w:val="21"/>
        </w:rPr>
        <w:t>.l中标供应商应按中标通知书规定的时间、地点，按照招标文件确定的事项与采购人签订政府采购合同，且不得迟于中标通知书发出之日起三十日，由此给采购人造成损失的，中标供应商还应承担赔偿责任。</w:t>
      </w:r>
    </w:p>
    <w:p w14:paraId="5B3794B0">
      <w:pPr>
        <w:spacing w:line="360" w:lineRule="auto"/>
        <w:ind w:firstLine="525"/>
        <w:rPr>
          <w:rFonts w:hint="eastAsia" w:ascii="宋体" w:hAnsi="宋体" w:cs="宋体"/>
          <w:szCs w:val="21"/>
        </w:rPr>
      </w:pPr>
      <w:r>
        <w:rPr>
          <w:rFonts w:hint="eastAsia" w:ascii="宋体" w:hAnsi="宋体" w:cs="宋体"/>
          <w:szCs w:val="21"/>
        </w:rPr>
        <w:t>32.2</w:t>
      </w:r>
      <w:r>
        <w:rPr>
          <w:rFonts w:hint="eastAsia" w:ascii="宋体" w:hAnsi="宋体" w:cs="宋体"/>
          <w:b/>
          <w:szCs w:val="21"/>
        </w:rPr>
        <w:t xml:space="preserve"> </w:t>
      </w:r>
      <w:r>
        <w:rPr>
          <w:rFonts w:hint="eastAsia" w:ascii="宋体" w:hAnsi="宋体" w:cs="宋体"/>
          <w:szCs w:val="21"/>
        </w:rPr>
        <w:t>招标文件、中标供应商的投标文件及招标过程中有关澄清、承诺文件均应作为合同附件。</w:t>
      </w:r>
    </w:p>
    <w:p w14:paraId="7E501A52">
      <w:pPr>
        <w:spacing w:line="360" w:lineRule="auto"/>
        <w:ind w:firstLine="525"/>
        <w:rPr>
          <w:rFonts w:hint="eastAsia" w:ascii="宋体" w:hAnsi="宋体" w:cs="宋体"/>
          <w:szCs w:val="21"/>
        </w:rPr>
      </w:pPr>
      <w:r>
        <w:rPr>
          <w:rFonts w:hint="eastAsia" w:ascii="宋体" w:hAnsi="宋体" w:cs="宋体"/>
          <w:szCs w:val="21"/>
        </w:rPr>
        <w:t>32.3 签订合同后，</w:t>
      </w:r>
      <w:r>
        <w:rPr>
          <w:rFonts w:hint="eastAsia" w:ascii="宋体" w:hAnsi="宋体" w:cs="宋体"/>
          <w:i/>
          <w:szCs w:val="21"/>
          <w:u w:val="single"/>
        </w:rPr>
        <w:t>中标供应商不得将货物及其他相关服务进行转包</w:t>
      </w:r>
      <w:r>
        <w:rPr>
          <w:rFonts w:hint="eastAsia" w:ascii="宋体" w:hAnsi="宋体" w:cs="宋体"/>
          <w:szCs w:val="21"/>
        </w:rPr>
        <w:t>。未经采购人同意，中标供应商也不得采用分包的形式履行合同，否则采购人有权终止合同。转包或分包造成采购人损失或致使合同履行中发生违约现象的，中标供应商应承担赔偿责任。</w:t>
      </w:r>
    </w:p>
    <w:p w14:paraId="620EBBB1">
      <w:pPr>
        <w:spacing w:line="360" w:lineRule="auto"/>
        <w:ind w:firstLine="420"/>
        <w:rPr>
          <w:rFonts w:hint="eastAsia" w:ascii="宋体" w:hAnsi="宋体" w:cs="宋体"/>
          <w:szCs w:val="21"/>
        </w:rPr>
      </w:pPr>
      <w:r>
        <w:rPr>
          <w:rFonts w:hint="eastAsia" w:ascii="宋体" w:hAnsi="宋体" w:cs="宋体"/>
          <w:szCs w:val="21"/>
        </w:rPr>
        <w:t>32.4采购人不得向中标人提出任何不合理的要求作为签订合同的条件，不得与中标人私下订立背离合同实质性内容的协议。所签订的合同不得对招标文件确定事项和中标人投标文件作实质性修改。</w:t>
      </w:r>
    </w:p>
    <w:p w14:paraId="6A435189">
      <w:pPr>
        <w:pStyle w:val="194"/>
        <w:spacing w:before="0" w:after="0" w:line="360" w:lineRule="auto"/>
        <w:ind w:firstLine="422"/>
        <w:rPr>
          <w:rFonts w:hint="eastAsia" w:ascii="宋体" w:hAnsi="宋体" w:eastAsia="宋体" w:cs="宋体"/>
          <w:b w:val="0"/>
          <w:sz w:val="21"/>
          <w:szCs w:val="21"/>
        </w:rPr>
      </w:pPr>
      <w:r>
        <w:rPr>
          <w:rFonts w:hint="eastAsia" w:ascii="宋体" w:hAnsi="宋体" w:eastAsia="宋体" w:cs="宋体"/>
          <w:sz w:val="21"/>
          <w:szCs w:val="21"/>
        </w:rPr>
        <w:t>33.货物和服务的追加、减少和添购</w:t>
      </w:r>
    </w:p>
    <w:p w14:paraId="339BE59D">
      <w:pPr>
        <w:spacing w:line="360" w:lineRule="auto"/>
        <w:ind w:firstLine="420"/>
        <w:rPr>
          <w:rFonts w:hint="eastAsia" w:ascii="宋体" w:hAnsi="宋体" w:cs="宋体"/>
          <w:szCs w:val="21"/>
        </w:rPr>
      </w:pPr>
      <w:r>
        <w:rPr>
          <w:rFonts w:hint="eastAsia" w:ascii="宋体" w:hAnsi="宋体" w:cs="宋体"/>
          <w:szCs w:val="21"/>
        </w:rPr>
        <w:t>33.1政府采购合同履行中，采购人需追加与合同标的相同的货物和服务的，在不改变合同其他条款的前提下，可以与中标供应商协商签订补充合同，但所有补充合同的采购金额不超过原合同金额10%。</w:t>
      </w:r>
    </w:p>
    <w:p w14:paraId="7EC480A3">
      <w:pPr>
        <w:spacing w:line="360" w:lineRule="auto"/>
        <w:ind w:firstLine="420"/>
        <w:rPr>
          <w:rFonts w:hint="eastAsia" w:ascii="宋体" w:hAnsi="宋体" w:cs="宋体"/>
          <w:b/>
          <w:szCs w:val="21"/>
        </w:rPr>
      </w:pPr>
      <w:r>
        <w:rPr>
          <w:rFonts w:hint="eastAsia" w:ascii="宋体" w:hAnsi="宋体" w:cs="宋体"/>
          <w:szCs w:val="21"/>
        </w:rPr>
        <w:t>33.2采购结束后，采购人若由于各种客观原因，必须对采购项目所牵涉的货物和服务进行适当的减少时，在双方协商一致的前提下，可以按照招标采购时的价格水平做相应的调减，并据此签订补充合同。</w:t>
      </w:r>
    </w:p>
    <w:p w14:paraId="5387EDCA">
      <w:pPr>
        <w:pStyle w:val="194"/>
        <w:numPr>
          <w:ilvl w:val="0"/>
          <w:numId w:val="7"/>
        </w:numPr>
        <w:spacing w:before="0" w:after="0" w:line="360" w:lineRule="auto"/>
        <w:ind w:firstLine="422"/>
        <w:rPr>
          <w:rFonts w:hint="eastAsia" w:ascii="宋体" w:hAnsi="宋体" w:eastAsia="宋体" w:cs="宋体"/>
          <w:sz w:val="21"/>
          <w:szCs w:val="21"/>
        </w:rPr>
      </w:pPr>
      <w:r>
        <w:rPr>
          <w:rFonts w:hint="eastAsia" w:ascii="宋体" w:hAnsi="宋体" w:eastAsia="宋体" w:cs="宋体"/>
          <w:sz w:val="21"/>
          <w:szCs w:val="21"/>
        </w:rPr>
        <w:t>履约保证金</w:t>
      </w:r>
    </w:p>
    <w:p w14:paraId="20BA52E6">
      <w:pPr>
        <w:pStyle w:val="223"/>
        <w:spacing w:line="360" w:lineRule="auto"/>
        <w:ind w:firstLine="400"/>
        <w:rPr>
          <w:rFonts w:hint="eastAsia" w:hAnsi="宋体" w:cs="宋体"/>
          <w:sz w:val="21"/>
        </w:rPr>
      </w:pPr>
      <w:r>
        <w:rPr>
          <w:rFonts w:hint="eastAsia" w:hAnsi="宋体" w:cs="宋体"/>
          <w:sz w:val="21"/>
        </w:rPr>
        <w:t>34.1 收取履约保证金的，允许中标人自主选择支票、汇票、本票、保函等非现金形式缴纳或提交，应当在采购合同中约定履约保证金退还的方式、时间、条件和不予退还的情形，明确逾期退还履约保证金的违约责任。</w:t>
      </w:r>
    </w:p>
    <w:p w14:paraId="270B0657">
      <w:pPr>
        <w:pStyle w:val="223"/>
        <w:spacing w:line="360" w:lineRule="auto"/>
        <w:ind w:firstLine="400"/>
        <w:rPr>
          <w:rFonts w:hint="eastAsia" w:hAnsi="宋体" w:cs="宋体"/>
          <w:sz w:val="21"/>
        </w:rPr>
      </w:pPr>
      <w:r>
        <w:rPr>
          <w:rFonts w:hint="eastAsia" w:hAnsi="宋体" w:cs="宋体"/>
          <w:sz w:val="21"/>
        </w:rPr>
        <w:t>34.2履约保证金用以约束中标人在合同履行中的行为，以及弥补合同履行中由于中标人自身行为可能给采购人带来的各种损失；若履约保证金额不足以弥补中标人违约造成采购人损失的，采购人可继续向中标人主张索赔。</w:t>
      </w:r>
    </w:p>
    <w:p w14:paraId="6CFF07B4">
      <w:pPr>
        <w:pStyle w:val="223"/>
        <w:spacing w:line="360" w:lineRule="auto"/>
        <w:ind w:firstLine="400"/>
        <w:rPr>
          <w:rFonts w:hint="eastAsia" w:hAnsi="宋体" w:cs="宋体"/>
          <w:sz w:val="21"/>
        </w:rPr>
      </w:pPr>
      <w:r>
        <w:rPr>
          <w:rFonts w:hint="eastAsia" w:hAnsi="宋体" w:cs="宋体"/>
          <w:sz w:val="21"/>
        </w:rPr>
        <w:t>34.3 履约保证金扣除采购人应得的补偿后的余额，在本合同履行结束后由采购人无息退还。逾期退还的，按中国人民银行同期贷款基准利率上浮20%后的利率支付超期资金占用费，但因中标人自身原因导致无法及时退还的除外。 </w:t>
      </w:r>
    </w:p>
    <w:p w14:paraId="0ED764E7">
      <w:pPr>
        <w:pStyle w:val="223"/>
        <w:spacing w:line="360" w:lineRule="auto"/>
        <w:ind w:firstLine="420" w:firstLineChars="200"/>
        <w:rPr>
          <w:rFonts w:hint="eastAsia" w:hAnsi="宋体" w:cs="宋体"/>
          <w:sz w:val="21"/>
        </w:rPr>
      </w:pPr>
      <w:r>
        <w:rPr>
          <w:rFonts w:hint="eastAsia" w:hAnsi="宋体" w:cs="宋体"/>
          <w:sz w:val="21"/>
        </w:rPr>
        <w:t>34.4 履约保证金收取：中标人在签订合同前须向采购人缴纳合同金额10%作为履约保证金。</w:t>
      </w:r>
    </w:p>
    <w:p w14:paraId="7846A398">
      <w:pPr>
        <w:pStyle w:val="223"/>
        <w:spacing w:line="360" w:lineRule="auto"/>
        <w:ind w:firstLine="420" w:firstLineChars="200"/>
        <w:rPr>
          <w:rFonts w:hint="eastAsia" w:hAnsi="宋体" w:cs="宋体"/>
          <w:sz w:val="21"/>
        </w:rPr>
      </w:pPr>
    </w:p>
    <w:bookmarkEnd w:id="87"/>
    <w:bookmarkEnd w:id="88"/>
    <w:bookmarkEnd w:id="89"/>
    <w:p w14:paraId="48FEE878">
      <w:pPr>
        <w:spacing w:line="360" w:lineRule="auto"/>
        <w:ind w:firstLine="422"/>
        <w:jc w:val="left"/>
        <w:rPr>
          <w:rFonts w:hint="eastAsia" w:ascii="宋体" w:hAnsi="宋体" w:cs="宋体"/>
          <w:b/>
          <w:bCs/>
          <w:szCs w:val="21"/>
        </w:rPr>
      </w:pPr>
      <w:r>
        <w:rPr>
          <w:rFonts w:hint="eastAsia" w:ascii="宋体" w:hAnsi="宋体" w:cs="宋体"/>
          <w:b/>
          <w:bCs/>
          <w:szCs w:val="21"/>
        </w:rPr>
        <w:t>35.样品</w:t>
      </w:r>
    </w:p>
    <w:p w14:paraId="76290CF2">
      <w:pPr>
        <w:spacing w:line="360" w:lineRule="auto"/>
        <w:ind w:firstLine="420"/>
        <w:jc w:val="left"/>
        <w:rPr>
          <w:rFonts w:hint="eastAsia" w:ascii="宋体" w:hAnsi="宋体" w:cs="宋体"/>
          <w:szCs w:val="21"/>
        </w:rPr>
      </w:pPr>
      <w:r>
        <w:rPr>
          <w:rFonts w:hint="eastAsia" w:ascii="宋体" w:hAnsi="宋体" w:cs="宋体"/>
          <w:szCs w:val="21"/>
        </w:rPr>
        <w:t>若项目要求提供样品的，中标人的样品由采购人负责保管、封存，并作为履约验收的参考。未中标人的样品将及时退还，请在开标结束后2小时运离代理机构。</w:t>
      </w:r>
    </w:p>
    <w:p w14:paraId="1FE29973">
      <w:pPr>
        <w:rPr>
          <w:rFonts w:cs="宋体"/>
          <w:sz w:val="36"/>
        </w:rPr>
      </w:pPr>
      <w:bookmarkStart w:id="90" w:name="_Toc30592"/>
      <w:bookmarkStart w:id="91" w:name="_Toc498003955"/>
      <w:r>
        <w:rPr>
          <w:rFonts w:hint="eastAsia" w:cs="宋体"/>
          <w:sz w:val="36"/>
        </w:rPr>
        <w:br w:type="page"/>
      </w:r>
    </w:p>
    <w:p w14:paraId="53259C3B">
      <w:pPr>
        <w:pStyle w:val="191"/>
        <w:spacing w:before="0" w:after="0" w:line="360" w:lineRule="auto"/>
        <w:jc w:val="center"/>
        <w:rPr>
          <w:rFonts w:cs="宋体"/>
          <w:sz w:val="36"/>
        </w:rPr>
      </w:pPr>
      <w:r>
        <w:rPr>
          <w:rFonts w:hint="eastAsia" w:cs="宋体"/>
          <w:sz w:val="36"/>
        </w:rPr>
        <w:t>第三章 合同条款及格式</w:t>
      </w:r>
      <w:bookmarkEnd w:id="90"/>
      <w:bookmarkEnd w:id="91"/>
    </w:p>
    <w:p w14:paraId="64E759E6">
      <w:pPr>
        <w:pStyle w:val="223"/>
        <w:spacing w:line="360" w:lineRule="auto"/>
        <w:ind w:firstLine="420"/>
        <w:rPr>
          <w:rFonts w:ascii="Times New Roman" w:hAnsi="Times New Roman" w:cs="宋体"/>
          <w:b/>
          <w:bCs/>
        </w:rPr>
      </w:pPr>
      <w:bookmarkStart w:id="92" w:name="_Hlt16619369"/>
      <w:bookmarkEnd w:id="92"/>
      <w:r>
        <w:rPr>
          <w:rFonts w:hint="eastAsia" w:ascii="Times New Roman" w:hAnsi="Times New Roman" w:cs="宋体"/>
          <w:sz w:val="21"/>
        </w:rPr>
        <w:t>以下为中标后签订本项目合同的通用条款，中标单位不得提出实质性的修改。关于专用条款将由采购人与中标单位结合本项目具体情况协商后补充，但补充内容对招标文件和投标文件以及通用条款，不得作实质性修改。</w:t>
      </w:r>
    </w:p>
    <w:p w14:paraId="1A70BDEC">
      <w:pPr>
        <w:spacing w:before="156" w:after="156"/>
        <w:jc w:val="center"/>
        <w:outlineLvl w:val="0"/>
        <w:rPr>
          <w:rFonts w:hint="eastAsia" w:ascii="宋体" w:hAnsi="宋体"/>
          <w:b/>
          <w:szCs w:val="21"/>
        </w:rPr>
      </w:pPr>
      <w:bookmarkStart w:id="93" w:name="_Toc497133093"/>
      <w:bookmarkStart w:id="94" w:name="_Toc23819"/>
      <w:r>
        <w:rPr>
          <w:rFonts w:hint="eastAsia" w:ascii="宋体" w:hAnsi="宋体"/>
          <w:b/>
          <w:szCs w:val="21"/>
        </w:rPr>
        <w:t>采购合同（货物）</w:t>
      </w:r>
    </w:p>
    <w:p w14:paraId="7232D9C1">
      <w:pPr>
        <w:pStyle w:val="337"/>
        <w:spacing w:line="360" w:lineRule="auto"/>
        <w:ind w:firstLine="420" w:firstLineChars="200"/>
        <w:rPr>
          <w:rFonts w:hint="eastAsia" w:hAnsi="宋体"/>
          <w:sz w:val="21"/>
        </w:rPr>
      </w:pPr>
      <w:r>
        <w:rPr>
          <w:rFonts w:hint="eastAsia" w:hAnsi="宋体"/>
          <w:sz w:val="21"/>
        </w:rPr>
        <w:t xml:space="preserve">项目名称：                       </w:t>
      </w:r>
    </w:p>
    <w:p w14:paraId="23D8A4D8">
      <w:pPr>
        <w:pStyle w:val="337"/>
        <w:spacing w:line="360" w:lineRule="auto"/>
        <w:ind w:firstLine="420" w:firstLineChars="200"/>
        <w:rPr>
          <w:rFonts w:hint="eastAsia" w:hAnsi="宋体"/>
          <w:sz w:val="21"/>
        </w:rPr>
      </w:pPr>
      <w:r>
        <w:rPr>
          <w:rFonts w:hint="eastAsia" w:hAnsi="宋体"/>
          <w:sz w:val="21"/>
        </w:rPr>
        <w:t>编号：</w:t>
      </w:r>
    </w:p>
    <w:p w14:paraId="4938C351">
      <w:pPr>
        <w:pStyle w:val="337"/>
        <w:spacing w:line="360" w:lineRule="auto"/>
        <w:ind w:firstLine="420" w:firstLineChars="200"/>
        <w:rPr>
          <w:rFonts w:hint="eastAsia" w:hAnsi="宋体"/>
          <w:sz w:val="21"/>
        </w:rPr>
      </w:pPr>
      <w:r>
        <w:rPr>
          <w:rFonts w:hint="eastAsia" w:hAnsi="宋体"/>
          <w:sz w:val="21"/>
        </w:rPr>
        <w:t xml:space="preserve">甲方（采购人/买方）：        </w:t>
      </w:r>
    </w:p>
    <w:p w14:paraId="21A9D3E4">
      <w:pPr>
        <w:pStyle w:val="337"/>
        <w:spacing w:line="360" w:lineRule="auto"/>
        <w:ind w:firstLine="420" w:firstLineChars="200"/>
        <w:rPr>
          <w:rFonts w:hint="eastAsia" w:hAnsi="宋体"/>
          <w:sz w:val="21"/>
        </w:rPr>
      </w:pPr>
      <w:r>
        <w:rPr>
          <w:rFonts w:hint="eastAsia" w:hAnsi="宋体"/>
          <w:sz w:val="21"/>
        </w:rPr>
        <w:t>乙方（供应商/卖方）：</w:t>
      </w:r>
      <w:r>
        <w:rPr>
          <w:rFonts w:hint="eastAsia" w:hAnsi="宋体"/>
          <w:sz w:val="21"/>
          <w:u w:val="single"/>
        </w:rPr>
        <w:t xml:space="preserve">              </w:t>
      </w:r>
    </w:p>
    <w:p w14:paraId="0B32A706">
      <w:pPr>
        <w:pStyle w:val="337"/>
        <w:spacing w:line="360" w:lineRule="auto"/>
        <w:ind w:firstLine="420" w:firstLineChars="200"/>
        <w:rPr>
          <w:rFonts w:hint="eastAsia" w:hAnsi="宋体"/>
          <w:sz w:val="21"/>
        </w:rPr>
      </w:pPr>
      <w:r>
        <w:rPr>
          <w:rFonts w:hint="eastAsia" w:hAnsi="宋体"/>
          <w:sz w:val="21"/>
        </w:rPr>
        <w:t>根据《中华人民共和国民法典》等法律法规的规定，甲乙双方按照江苏苏维工程管理有限公司关于本项目</w:t>
      </w:r>
      <w:r>
        <w:rPr>
          <w:rFonts w:hint="eastAsia" w:hAnsi="宋体"/>
          <w:sz w:val="21"/>
          <w:u w:val="single"/>
        </w:rPr>
        <w:t xml:space="preserve">                          </w:t>
      </w:r>
      <w:r>
        <w:rPr>
          <w:rFonts w:hint="eastAsia" w:hAnsi="宋体"/>
          <w:sz w:val="21"/>
        </w:rPr>
        <w:t>招标结果签订本合同。</w:t>
      </w:r>
    </w:p>
    <w:p w14:paraId="313E58D0">
      <w:pPr>
        <w:pStyle w:val="337"/>
        <w:spacing w:line="360" w:lineRule="auto"/>
        <w:ind w:firstLine="422" w:firstLineChars="200"/>
        <w:rPr>
          <w:rFonts w:hint="eastAsia" w:hAnsi="宋体"/>
          <w:b/>
          <w:bCs/>
          <w:sz w:val="21"/>
        </w:rPr>
      </w:pPr>
      <w:r>
        <w:rPr>
          <w:rFonts w:hint="eastAsia" w:hAnsi="宋体"/>
          <w:b/>
          <w:bCs/>
          <w:sz w:val="21"/>
        </w:rPr>
        <w:t>1.合同标的</w:t>
      </w:r>
    </w:p>
    <w:p w14:paraId="3FE1EFEA">
      <w:pPr>
        <w:pStyle w:val="337"/>
        <w:spacing w:line="360" w:lineRule="auto"/>
        <w:ind w:firstLine="420" w:firstLineChars="200"/>
        <w:rPr>
          <w:rFonts w:hint="eastAsia" w:hAnsi="宋体"/>
          <w:sz w:val="21"/>
        </w:rPr>
      </w:pPr>
      <w:r>
        <w:rPr>
          <w:rFonts w:hint="eastAsia" w:hAnsi="宋体"/>
          <w:sz w:val="21"/>
        </w:rPr>
        <w:t>乙方根据甲方需求，提供下列货物：</w:t>
      </w:r>
      <w:r>
        <w:rPr>
          <w:rFonts w:hint="eastAsia" w:hAnsi="宋体"/>
          <w:sz w:val="21"/>
          <w:u w:val="single"/>
        </w:rPr>
        <w:t xml:space="preserve">               </w:t>
      </w:r>
      <w:r>
        <w:rPr>
          <w:rFonts w:hint="eastAsia" w:hAnsi="宋体"/>
          <w:sz w:val="21"/>
        </w:rPr>
        <w:t>。</w:t>
      </w:r>
    </w:p>
    <w:p w14:paraId="59BDC15E">
      <w:pPr>
        <w:pStyle w:val="337"/>
        <w:spacing w:line="360" w:lineRule="auto"/>
        <w:ind w:firstLine="420" w:firstLineChars="200"/>
        <w:rPr>
          <w:rFonts w:hint="eastAsia" w:hAnsi="宋体"/>
          <w:sz w:val="21"/>
        </w:rPr>
      </w:pPr>
      <w:r>
        <w:rPr>
          <w:rFonts w:hint="eastAsia" w:hAnsi="宋体"/>
          <w:sz w:val="21"/>
        </w:rPr>
        <w:t>货物名称、规格及数量等要求详见招投标文件。</w:t>
      </w:r>
    </w:p>
    <w:p w14:paraId="5FB0196D">
      <w:pPr>
        <w:pStyle w:val="337"/>
        <w:spacing w:line="360" w:lineRule="auto"/>
        <w:ind w:firstLine="422" w:firstLineChars="200"/>
        <w:rPr>
          <w:rFonts w:hint="eastAsia" w:hAnsi="宋体"/>
          <w:b/>
          <w:bCs/>
          <w:sz w:val="21"/>
        </w:rPr>
      </w:pPr>
      <w:r>
        <w:rPr>
          <w:rFonts w:hint="eastAsia" w:hAnsi="宋体"/>
          <w:b/>
          <w:bCs/>
          <w:sz w:val="21"/>
        </w:rPr>
        <w:t>2.合同总金额</w:t>
      </w:r>
    </w:p>
    <w:p w14:paraId="01CC421E">
      <w:pPr>
        <w:pStyle w:val="337"/>
        <w:spacing w:line="360" w:lineRule="auto"/>
        <w:ind w:firstLine="420" w:firstLineChars="200"/>
        <w:rPr>
          <w:rFonts w:hint="eastAsia" w:hAnsi="宋体"/>
          <w:sz w:val="21"/>
        </w:rPr>
      </w:pPr>
      <w:r>
        <w:rPr>
          <w:rFonts w:hint="eastAsia" w:hAnsi="宋体"/>
          <w:sz w:val="21"/>
        </w:rPr>
        <w:t>2.1 本合同金额为（大写）：_______________________________元人民币（¥_____元）。</w:t>
      </w:r>
    </w:p>
    <w:p w14:paraId="1411325F">
      <w:pPr>
        <w:pStyle w:val="337"/>
        <w:spacing w:line="360" w:lineRule="auto"/>
        <w:ind w:firstLine="420" w:firstLineChars="200"/>
        <w:rPr>
          <w:rFonts w:hint="eastAsia" w:hAnsi="宋体"/>
          <w:sz w:val="21"/>
        </w:rPr>
      </w:pPr>
      <w:r>
        <w:rPr>
          <w:rFonts w:hint="eastAsia" w:hAnsi="宋体"/>
          <w:sz w:val="21"/>
        </w:rPr>
        <w:t>2.2 本合同总金额包括由乙方提供的投标产品配置及分项报价表内所包含的设备费、辅材费、安装费、运费、调试费、管理费和税费等为完成本项目所发生的所有费用，招标文件中另有规定的除外。</w:t>
      </w:r>
    </w:p>
    <w:p w14:paraId="72C62633">
      <w:pPr>
        <w:pStyle w:val="337"/>
        <w:spacing w:line="360" w:lineRule="auto"/>
        <w:ind w:firstLine="420" w:firstLineChars="200"/>
        <w:rPr>
          <w:rFonts w:hint="eastAsia" w:hAnsi="宋体"/>
          <w:sz w:val="21"/>
        </w:rPr>
      </w:pPr>
      <w:r>
        <w:rPr>
          <w:rFonts w:hint="eastAsia" w:hAnsi="宋体"/>
          <w:sz w:val="21"/>
        </w:rPr>
        <w:t>2.3 在招标文件未列明，而乙方认为履行本合同必需的费用也包含在合同总金额中。</w:t>
      </w:r>
    </w:p>
    <w:p w14:paraId="36B47281">
      <w:pPr>
        <w:pStyle w:val="337"/>
        <w:spacing w:line="360" w:lineRule="auto"/>
        <w:ind w:firstLine="420" w:firstLineChars="200"/>
        <w:rPr>
          <w:rFonts w:hint="eastAsia" w:hAnsi="宋体"/>
          <w:sz w:val="21"/>
        </w:rPr>
      </w:pPr>
      <w:r>
        <w:rPr>
          <w:rFonts w:hint="eastAsia" w:hAnsi="宋体"/>
          <w:sz w:val="21"/>
        </w:rPr>
        <w:t>2.4 本合同总金额还包含乙方提供的伴随服务/售后服务费用。</w:t>
      </w:r>
    </w:p>
    <w:p w14:paraId="4399A1FE">
      <w:pPr>
        <w:pStyle w:val="337"/>
        <w:spacing w:line="360" w:lineRule="auto"/>
        <w:ind w:firstLine="420" w:firstLineChars="200"/>
        <w:rPr>
          <w:rFonts w:hint="eastAsia" w:hAnsi="宋体"/>
          <w:sz w:val="21"/>
        </w:rPr>
      </w:pPr>
      <w:r>
        <w:rPr>
          <w:rFonts w:hint="eastAsia" w:hAnsi="宋体"/>
          <w:sz w:val="21"/>
        </w:rPr>
        <w:t>2.5 本合同签订后：甲方需追加与合同标的相同的货物和服务的，在不改变合同其他条款的前提下，可以与乙方协商签订补充合同，但所有补充合同的增加的金额不超过原合同金额的10%；甲方若由于各种客观原因，必须对采购项目所牵涉的货物和服务进行适当的减少时，在与乙方协商一致后，可以按照招标采购时的价格水平做相应的调减，并据此签订补充合同；除上述情况外，本合同执行期间合同总金额不变。</w:t>
      </w:r>
    </w:p>
    <w:p w14:paraId="77E87306">
      <w:pPr>
        <w:pStyle w:val="337"/>
        <w:spacing w:line="360" w:lineRule="auto"/>
        <w:ind w:firstLine="422" w:firstLineChars="200"/>
        <w:rPr>
          <w:rFonts w:hint="eastAsia" w:hAnsi="宋体"/>
          <w:b/>
          <w:bCs/>
          <w:sz w:val="21"/>
        </w:rPr>
      </w:pPr>
      <w:r>
        <w:rPr>
          <w:rFonts w:hint="eastAsia" w:hAnsi="宋体"/>
          <w:b/>
          <w:bCs/>
          <w:sz w:val="21"/>
        </w:rPr>
        <w:t>3.组成本合同的有关文件</w:t>
      </w:r>
    </w:p>
    <w:p w14:paraId="2B91A0A5">
      <w:pPr>
        <w:pStyle w:val="337"/>
        <w:spacing w:line="360" w:lineRule="auto"/>
        <w:ind w:firstLine="420" w:firstLineChars="200"/>
        <w:rPr>
          <w:rFonts w:hint="eastAsia" w:hAnsi="宋体"/>
          <w:sz w:val="21"/>
        </w:rPr>
      </w:pPr>
      <w:r>
        <w:rPr>
          <w:rFonts w:hint="eastAsia" w:hAnsi="宋体"/>
          <w:sz w:val="21"/>
        </w:rPr>
        <w:t>3.1乙方应按招标文件规定的时间向甲方提供使用货物的有关技术资料。</w:t>
      </w:r>
    </w:p>
    <w:p w14:paraId="0CCCB056">
      <w:pPr>
        <w:pStyle w:val="337"/>
        <w:spacing w:line="360" w:lineRule="auto"/>
        <w:ind w:firstLine="420" w:firstLineChars="200"/>
        <w:rPr>
          <w:rFonts w:hint="eastAsia" w:hAnsi="宋体"/>
          <w:sz w:val="21"/>
        </w:rPr>
      </w:pPr>
      <w:r>
        <w:rPr>
          <w:rFonts w:hint="eastAsia" w:hAnsi="宋体"/>
          <w:sz w:val="21"/>
        </w:rPr>
        <w:t>3.2 没有甲方事先书面同意，乙方不得将由甲方提供的有关合同或任何合同条文、规格、计划、图纸、样品或资料提供给任何其他人。即使向履行本合同有关的人员提供，也应注意保密并限于履行合同的必需范围。</w:t>
      </w:r>
    </w:p>
    <w:p w14:paraId="23959747">
      <w:pPr>
        <w:pStyle w:val="337"/>
        <w:spacing w:line="360" w:lineRule="auto"/>
        <w:ind w:firstLine="420" w:firstLineChars="200"/>
        <w:rPr>
          <w:rFonts w:hint="eastAsia" w:hAnsi="宋体"/>
          <w:sz w:val="21"/>
        </w:rPr>
      </w:pPr>
      <w:r>
        <w:rPr>
          <w:rFonts w:hint="eastAsia" w:hAnsi="宋体"/>
          <w:sz w:val="21"/>
        </w:rPr>
        <w:t>3.3 关于本项目采购的招投标文件或与本次采购活动方式相适应的文件及有关附件是本合同不可分割的组成部分，这些文件包括但不限于：</w:t>
      </w:r>
    </w:p>
    <w:p w14:paraId="3CD955EF">
      <w:pPr>
        <w:pStyle w:val="337"/>
        <w:spacing w:line="360" w:lineRule="auto"/>
        <w:ind w:firstLine="420" w:firstLineChars="200"/>
        <w:rPr>
          <w:rFonts w:hint="eastAsia" w:hAnsi="宋体"/>
          <w:sz w:val="21"/>
        </w:rPr>
      </w:pPr>
      <w:r>
        <w:rPr>
          <w:rFonts w:hint="eastAsia" w:hAnsi="宋体"/>
          <w:sz w:val="21"/>
        </w:rPr>
        <w:t xml:space="preserve">   （1）招标文件；                   （2）投标产品配置与报价文件；</w:t>
      </w:r>
    </w:p>
    <w:p w14:paraId="78C2952D">
      <w:pPr>
        <w:pStyle w:val="337"/>
        <w:spacing w:line="360" w:lineRule="auto"/>
        <w:ind w:firstLine="420" w:firstLineChars="200"/>
        <w:rPr>
          <w:rFonts w:hint="eastAsia" w:hAnsi="宋体"/>
          <w:sz w:val="21"/>
        </w:rPr>
      </w:pPr>
      <w:r>
        <w:rPr>
          <w:rFonts w:hint="eastAsia" w:hAnsi="宋体"/>
          <w:sz w:val="21"/>
        </w:rPr>
        <w:t xml:space="preserve">   （3）供货一览表；                 （4）技术参数响应表；</w:t>
      </w:r>
    </w:p>
    <w:p w14:paraId="5BE1DA01">
      <w:pPr>
        <w:pStyle w:val="337"/>
        <w:spacing w:line="360" w:lineRule="auto"/>
        <w:ind w:firstLine="420" w:firstLineChars="200"/>
        <w:rPr>
          <w:rFonts w:hint="eastAsia" w:hAnsi="宋体"/>
          <w:sz w:val="21"/>
        </w:rPr>
      </w:pPr>
      <w:r>
        <w:rPr>
          <w:rFonts w:hint="eastAsia" w:hAnsi="宋体"/>
          <w:sz w:val="21"/>
        </w:rPr>
        <w:t xml:space="preserve">   （5）服务承诺；                   （6）中标通知书；</w:t>
      </w:r>
    </w:p>
    <w:p w14:paraId="02753F8B">
      <w:pPr>
        <w:pStyle w:val="337"/>
        <w:spacing w:line="360" w:lineRule="auto"/>
        <w:ind w:firstLine="420" w:firstLineChars="200"/>
        <w:rPr>
          <w:rFonts w:hint="eastAsia" w:hAnsi="宋体"/>
          <w:sz w:val="21"/>
        </w:rPr>
      </w:pPr>
      <w:r>
        <w:rPr>
          <w:rFonts w:hint="eastAsia" w:hAnsi="宋体"/>
          <w:sz w:val="21"/>
        </w:rPr>
        <w:t xml:space="preserve">   （7）甲乙双方补充协议；           （8）乙方投标时提供的投标文件。</w:t>
      </w:r>
    </w:p>
    <w:p w14:paraId="67136F8A">
      <w:pPr>
        <w:pStyle w:val="337"/>
        <w:spacing w:line="360" w:lineRule="auto"/>
        <w:ind w:firstLine="422" w:firstLineChars="200"/>
        <w:rPr>
          <w:rFonts w:hint="eastAsia" w:hAnsi="宋体"/>
          <w:b/>
          <w:bCs/>
          <w:sz w:val="21"/>
        </w:rPr>
      </w:pPr>
      <w:r>
        <w:rPr>
          <w:rFonts w:hint="eastAsia" w:hAnsi="宋体"/>
          <w:b/>
          <w:bCs/>
          <w:sz w:val="21"/>
        </w:rPr>
        <w:t>4.知识产权保证</w:t>
      </w:r>
    </w:p>
    <w:p w14:paraId="6FAAFC3D">
      <w:pPr>
        <w:autoSpaceDE w:val="0"/>
        <w:autoSpaceDN w:val="0"/>
        <w:spacing w:line="360" w:lineRule="auto"/>
        <w:ind w:firstLine="420" w:firstLineChars="200"/>
        <w:rPr>
          <w:rFonts w:hint="eastAsia" w:ascii="宋体" w:hAnsi="宋体"/>
          <w:szCs w:val="21"/>
        </w:rPr>
      </w:pPr>
      <w:r>
        <w:rPr>
          <w:rFonts w:hint="eastAsia" w:ascii="宋体" w:hAnsi="宋体"/>
          <w:szCs w:val="21"/>
        </w:rPr>
        <w:t>乙方保证甲方在使用、接受本合同货物和服务或其任何一部分时，不受第三方提出侵犯其专利权、版权、商标权和工业设计权等知识产权的起诉。一旦出现侵权，由乙方负全部责任。</w:t>
      </w:r>
    </w:p>
    <w:p w14:paraId="0D9BB1B7">
      <w:pPr>
        <w:pStyle w:val="337"/>
        <w:spacing w:line="360" w:lineRule="auto"/>
        <w:ind w:firstLine="422" w:firstLineChars="200"/>
        <w:rPr>
          <w:rFonts w:hint="eastAsia" w:hAnsi="宋体"/>
          <w:b/>
          <w:bCs/>
          <w:sz w:val="21"/>
        </w:rPr>
      </w:pPr>
      <w:r>
        <w:rPr>
          <w:rFonts w:hint="eastAsia" w:hAnsi="宋体"/>
          <w:b/>
          <w:bCs/>
          <w:sz w:val="21"/>
        </w:rPr>
        <w:t>5.产权保证</w:t>
      </w:r>
    </w:p>
    <w:p w14:paraId="28FD6F35">
      <w:pPr>
        <w:autoSpaceDE w:val="0"/>
        <w:autoSpaceDN w:val="0"/>
        <w:spacing w:line="360" w:lineRule="auto"/>
        <w:ind w:firstLine="420" w:firstLineChars="200"/>
        <w:rPr>
          <w:rFonts w:hint="eastAsia" w:ascii="宋体" w:hAnsi="宋体"/>
          <w:szCs w:val="21"/>
        </w:rPr>
      </w:pPr>
      <w:r>
        <w:rPr>
          <w:rFonts w:hint="eastAsia" w:ascii="宋体" w:hAnsi="宋体"/>
          <w:szCs w:val="21"/>
        </w:rPr>
        <w:t>乙方保证所交付的货物的所有权无任何抵押、查封等权利瑕疵。</w:t>
      </w:r>
    </w:p>
    <w:p w14:paraId="1DA000CC">
      <w:pPr>
        <w:pStyle w:val="337"/>
        <w:spacing w:line="360" w:lineRule="auto"/>
        <w:ind w:firstLine="422" w:firstLineChars="200"/>
        <w:rPr>
          <w:rFonts w:hint="eastAsia" w:hAnsi="宋体"/>
          <w:b/>
          <w:bCs/>
          <w:sz w:val="21"/>
        </w:rPr>
      </w:pPr>
      <w:r>
        <w:rPr>
          <w:rFonts w:hint="eastAsia" w:hAnsi="宋体"/>
          <w:b/>
          <w:bCs/>
          <w:sz w:val="21"/>
        </w:rPr>
        <w:t>6.履约保证金</w:t>
      </w:r>
    </w:p>
    <w:p w14:paraId="1E4B62F6">
      <w:pPr>
        <w:autoSpaceDE w:val="0"/>
        <w:autoSpaceDN w:val="0"/>
        <w:spacing w:line="360" w:lineRule="auto"/>
        <w:ind w:firstLine="420" w:firstLineChars="200"/>
        <w:rPr>
          <w:rFonts w:hint="eastAsia" w:ascii="宋体" w:hAnsi="宋体"/>
          <w:szCs w:val="21"/>
        </w:rPr>
      </w:pPr>
      <w:r>
        <w:rPr>
          <w:rFonts w:hint="eastAsia" w:ascii="宋体" w:hAnsi="宋体"/>
          <w:szCs w:val="21"/>
        </w:rPr>
        <w:t>6.1收到中标通知书后合同签订前，乙方须向甲方提交合同总价</w:t>
      </w:r>
      <w:r>
        <w:rPr>
          <w:rFonts w:hint="eastAsia" w:ascii="宋体" w:hAnsi="宋体"/>
          <w:szCs w:val="21"/>
          <w:u w:val="single"/>
        </w:rPr>
        <w:t>10%</w:t>
      </w:r>
      <w:r>
        <w:rPr>
          <w:rFonts w:hint="eastAsia" w:ascii="宋体" w:hAnsi="宋体"/>
          <w:szCs w:val="21"/>
        </w:rPr>
        <w:t>的履约保证金，允许乙方自主选择支票、汇票、本票、保函等非现金形式缴纳或提交，应当在采购合同中约定履约保证金退还的方式、时间、条件和不予退还的情形，明确逾期退还履约保证金的违约责任。</w:t>
      </w:r>
    </w:p>
    <w:p w14:paraId="4D202A78">
      <w:pPr>
        <w:autoSpaceDE w:val="0"/>
        <w:autoSpaceDN w:val="0"/>
        <w:spacing w:line="360" w:lineRule="auto"/>
        <w:ind w:firstLine="420" w:firstLineChars="200"/>
        <w:rPr>
          <w:rFonts w:hint="eastAsia" w:ascii="宋体" w:hAnsi="宋体"/>
          <w:szCs w:val="21"/>
        </w:rPr>
      </w:pPr>
      <w:r>
        <w:rPr>
          <w:rFonts w:hint="eastAsia" w:ascii="宋体" w:hAnsi="宋体"/>
          <w:szCs w:val="21"/>
        </w:rPr>
        <w:t>6.2履约保证金用以约束乙方在合同履行中的行为，以及弥补合同履行中由于乙方自身行为可能给甲方带来的各种损失；若履约保证金额不足以弥补乙方违约造成甲方损失的，甲方可继续向乙方主张索赔。</w:t>
      </w:r>
    </w:p>
    <w:p w14:paraId="660A12C9">
      <w:pPr>
        <w:autoSpaceDE w:val="0"/>
        <w:autoSpaceDN w:val="0"/>
        <w:spacing w:line="360" w:lineRule="auto"/>
        <w:ind w:firstLine="420" w:firstLineChars="200"/>
        <w:rPr>
          <w:rFonts w:hint="eastAsia" w:ascii="宋体" w:hAnsi="宋体"/>
          <w:szCs w:val="21"/>
        </w:rPr>
      </w:pPr>
      <w:r>
        <w:rPr>
          <w:rFonts w:hint="eastAsia" w:ascii="宋体" w:hAnsi="宋体"/>
          <w:szCs w:val="21"/>
        </w:rPr>
        <w:t>6.3 履约保证金扣除甲方应得的补偿后的余额，在本合同履行结束后由甲方按无息退还。逾期退还的，按中国人民银行同期贷款基准利率上浮20%后的利率支付超期资金占用费，但因乙方自身原因导致无法及时退还的除外。</w:t>
      </w:r>
    </w:p>
    <w:p w14:paraId="2B7F9704">
      <w:pPr>
        <w:pStyle w:val="337"/>
        <w:spacing w:line="360" w:lineRule="auto"/>
        <w:ind w:firstLine="422" w:firstLineChars="200"/>
        <w:rPr>
          <w:rFonts w:hint="eastAsia" w:hAnsi="宋体"/>
          <w:b/>
          <w:bCs/>
          <w:sz w:val="21"/>
        </w:rPr>
      </w:pPr>
      <w:r>
        <w:rPr>
          <w:rFonts w:hint="eastAsia" w:hAnsi="宋体"/>
          <w:b/>
          <w:bCs/>
          <w:sz w:val="21"/>
        </w:rPr>
        <w:t>7.转包或分包</w:t>
      </w:r>
    </w:p>
    <w:p w14:paraId="58D140CE">
      <w:pPr>
        <w:pStyle w:val="337"/>
        <w:spacing w:line="360" w:lineRule="auto"/>
        <w:ind w:firstLine="420" w:firstLineChars="200"/>
        <w:rPr>
          <w:rFonts w:hint="eastAsia" w:hAnsi="宋体"/>
          <w:sz w:val="21"/>
        </w:rPr>
      </w:pPr>
      <w:r>
        <w:rPr>
          <w:rFonts w:hint="eastAsia" w:hAnsi="宋体"/>
          <w:sz w:val="21"/>
        </w:rPr>
        <w:t>7.1 本合同禁止转包，本合同范围的货物，应由乙方直接供应的，不得转让他人供应。</w:t>
      </w:r>
    </w:p>
    <w:p w14:paraId="6EAFFC32">
      <w:pPr>
        <w:pStyle w:val="337"/>
        <w:spacing w:line="360" w:lineRule="auto"/>
        <w:ind w:firstLine="420" w:firstLineChars="200"/>
        <w:rPr>
          <w:rFonts w:hint="eastAsia" w:hAnsi="宋体"/>
          <w:sz w:val="21"/>
        </w:rPr>
      </w:pPr>
      <w:r>
        <w:rPr>
          <w:rFonts w:hint="eastAsia" w:hAnsi="宋体"/>
          <w:sz w:val="21"/>
        </w:rPr>
        <w:t>7.2 经甲方同意，乙方可以依法采取分包方式履行合同，但是分包方式履行的，乙方应就采购项目向甲方负全责。</w:t>
      </w:r>
    </w:p>
    <w:p w14:paraId="706AF070">
      <w:pPr>
        <w:pStyle w:val="337"/>
        <w:spacing w:line="360" w:lineRule="auto"/>
        <w:ind w:firstLine="422" w:firstLineChars="200"/>
        <w:rPr>
          <w:rFonts w:hint="eastAsia" w:hAnsi="宋体"/>
          <w:b/>
          <w:bCs/>
          <w:sz w:val="21"/>
        </w:rPr>
      </w:pPr>
      <w:r>
        <w:rPr>
          <w:rFonts w:hint="eastAsia" w:hAnsi="宋体"/>
          <w:b/>
          <w:bCs/>
          <w:sz w:val="21"/>
        </w:rPr>
        <w:t>8.质保期</w:t>
      </w:r>
    </w:p>
    <w:p w14:paraId="5196F6A4">
      <w:pPr>
        <w:pStyle w:val="337"/>
        <w:spacing w:line="360" w:lineRule="auto"/>
        <w:ind w:firstLine="420" w:firstLineChars="200"/>
        <w:rPr>
          <w:rFonts w:hint="eastAsia" w:hAnsi="宋体"/>
          <w:sz w:val="21"/>
        </w:rPr>
      </w:pPr>
      <w:r>
        <w:rPr>
          <w:rFonts w:hint="eastAsia" w:hAnsi="宋体"/>
          <w:sz w:val="21"/>
        </w:rPr>
        <w:t>8.1 质保期</w:t>
      </w:r>
      <w:r>
        <w:rPr>
          <w:rFonts w:hint="eastAsia" w:hAnsi="宋体"/>
          <w:sz w:val="21"/>
          <w:u w:val="single"/>
        </w:rPr>
        <w:t xml:space="preserve">   2   </w:t>
      </w:r>
      <w:r>
        <w:rPr>
          <w:rFonts w:hint="eastAsia" w:hAnsi="宋体"/>
          <w:sz w:val="21"/>
        </w:rPr>
        <w:t>年。（自项目验收合格之日起计）</w:t>
      </w:r>
    </w:p>
    <w:p w14:paraId="2780D875">
      <w:pPr>
        <w:pStyle w:val="337"/>
        <w:spacing w:line="360" w:lineRule="auto"/>
        <w:ind w:firstLine="422" w:firstLineChars="200"/>
        <w:rPr>
          <w:rFonts w:hint="eastAsia" w:hAnsi="宋体"/>
          <w:b/>
          <w:bCs/>
          <w:sz w:val="21"/>
        </w:rPr>
      </w:pPr>
      <w:r>
        <w:rPr>
          <w:rFonts w:hint="eastAsia" w:hAnsi="宋体"/>
          <w:b/>
          <w:bCs/>
          <w:sz w:val="21"/>
        </w:rPr>
        <w:t>9.交货期、交货方式及交货地点</w:t>
      </w:r>
    </w:p>
    <w:p w14:paraId="14FCC30B">
      <w:pPr>
        <w:pStyle w:val="337"/>
        <w:spacing w:line="360" w:lineRule="auto"/>
        <w:ind w:firstLine="420" w:firstLineChars="200"/>
        <w:rPr>
          <w:rFonts w:hint="eastAsia" w:hAnsi="宋体"/>
          <w:sz w:val="21"/>
        </w:rPr>
      </w:pPr>
      <w:r>
        <w:rPr>
          <w:rFonts w:hint="eastAsia" w:hAnsi="宋体"/>
          <w:bCs/>
          <w:sz w:val="21"/>
        </w:rPr>
        <w:t>9.1 交货期：</w:t>
      </w:r>
      <w:r>
        <w:rPr>
          <w:rFonts w:hint="eastAsia" w:hAnsi="宋体"/>
          <w:sz w:val="21"/>
          <w:u w:val="single"/>
        </w:rPr>
        <w:t>合同签订、医院进场许可下发之日起75个日历天内完成全部供货、安装、调试、第三方检测、整改、竣工验收、资料移交等工作。</w:t>
      </w:r>
    </w:p>
    <w:p w14:paraId="3FD33BDC">
      <w:pPr>
        <w:pStyle w:val="337"/>
        <w:spacing w:line="360" w:lineRule="auto"/>
        <w:ind w:firstLine="420" w:firstLineChars="200"/>
        <w:rPr>
          <w:rFonts w:hint="eastAsia" w:hAnsi="宋体"/>
          <w:bCs/>
          <w:sz w:val="21"/>
        </w:rPr>
      </w:pPr>
      <w:r>
        <w:rPr>
          <w:rFonts w:hint="eastAsia" w:hAnsi="宋体"/>
          <w:bCs/>
          <w:sz w:val="21"/>
        </w:rPr>
        <w:t>9.2 交货方式：</w:t>
      </w:r>
      <w:r>
        <w:rPr>
          <w:rFonts w:hint="eastAsia" w:hAnsi="宋体"/>
          <w:sz w:val="21"/>
          <w:u w:val="single"/>
        </w:rPr>
        <w:t>院方指定方式</w:t>
      </w:r>
    </w:p>
    <w:p w14:paraId="25AC4FF9">
      <w:pPr>
        <w:pStyle w:val="337"/>
        <w:spacing w:line="360" w:lineRule="auto"/>
        <w:ind w:firstLine="420" w:firstLineChars="200"/>
        <w:rPr>
          <w:rFonts w:hint="eastAsia" w:hAnsi="宋体"/>
          <w:bCs/>
          <w:sz w:val="21"/>
        </w:rPr>
      </w:pPr>
      <w:r>
        <w:rPr>
          <w:rFonts w:hint="eastAsia" w:hAnsi="宋体"/>
          <w:bCs/>
          <w:sz w:val="21"/>
        </w:rPr>
        <w:t>9.3 交货地点：</w:t>
      </w:r>
      <w:r>
        <w:rPr>
          <w:rFonts w:hint="eastAsia" w:hAnsi="宋体"/>
          <w:sz w:val="21"/>
          <w:u w:val="single"/>
        </w:rPr>
        <w:t>院方指定地点</w:t>
      </w:r>
    </w:p>
    <w:p w14:paraId="5E84D042">
      <w:pPr>
        <w:pStyle w:val="337"/>
        <w:spacing w:line="360" w:lineRule="auto"/>
        <w:ind w:firstLine="422" w:firstLineChars="200"/>
        <w:rPr>
          <w:rFonts w:hint="eastAsia" w:hAnsi="宋体"/>
          <w:b/>
          <w:bCs/>
          <w:sz w:val="21"/>
        </w:rPr>
      </w:pPr>
      <w:r>
        <w:rPr>
          <w:rFonts w:hint="eastAsia" w:hAnsi="宋体"/>
          <w:b/>
          <w:bCs/>
          <w:sz w:val="21"/>
        </w:rPr>
        <w:t>10.货款支付</w:t>
      </w:r>
    </w:p>
    <w:p w14:paraId="283654C9">
      <w:pPr>
        <w:autoSpaceDE w:val="0"/>
        <w:autoSpaceDN w:val="0"/>
        <w:spacing w:line="360" w:lineRule="auto"/>
        <w:ind w:firstLine="420" w:firstLineChars="200"/>
        <w:rPr>
          <w:rFonts w:hint="eastAsia" w:ascii="宋体" w:hAnsi="宋体"/>
          <w:szCs w:val="21"/>
        </w:rPr>
      </w:pPr>
      <w:r>
        <w:rPr>
          <w:rFonts w:hint="eastAsia" w:ascii="宋体" w:hAnsi="宋体"/>
          <w:szCs w:val="21"/>
        </w:rPr>
        <w:t xml:space="preserve">10.1 本合同项下所有款项均以人民币支付。 </w:t>
      </w:r>
    </w:p>
    <w:p w14:paraId="475F7092">
      <w:pPr>
        <w:autoSpaceDE w:val="0"/>
        <w:autoSpaceDN w:val="0"/>
        <w:spacing w:line="360" w:lineRule="auto"/>
        <w:ind w:firstLine="420" w:firstLineChars="200"/>
        <w:rPr>
          <w:rFonts w:hint="eastAsia" w:ascii="宋体" w:hAnsi="宋体"/>
          <w:szCs w:val="21"/>
        </w:rPr>
      </w:pPr>
      <w:r>
        <w:rPr>
          <w:rFonts w:hint="eastAsia" w:ascii="宋体" w:hAnsi="宋体"/>
          <w:szCs w:val="21"/>
        </w:rPr>
        <w:t>10.2 本合同项下的采购资金由甲方支付，付款前乙方向甲方开具发票。</w:t>
      </w:r>
    </w:p>
    <w:p w14:paraId="336E6ACE">
      <w:pPr>
        <w:spacing w:line="360" w:lineRule="auto"/>
        <w:ind w:firstLine="420" w:firstLineChars="200"/>
        <w:jc w:val="left"/>
        <w:rPr>
          <w:rFonts w:hint="eastAsia" w:ascii="宋体" w:hAnsi="宋体"/>
          <w:szCs w:val="21"/>
        </w:rPr>
      </w:pPr>
      <w:r>
        <w:rPr>
          <w:rFonts w:hint="eastAsia" w:ascii="宋体" w:hAnsi="宋体"/>
          <w:szCs w:val="21"/>
        </w:rPr>
        <w:t>10.3 付款方式：</w:t>
      </w:r>
      <w:r>
        <w:rPr>
          <w:rFonts w:hint="eastAsia" w:ascii="宋体" w:hAnsi="宋体"/>
          <w:kern w:val="2"/>
          <w:szCs w:val="21"/>
          <w:u w:val="single"/>
        </w:rPr>
        <w:t>项目验收合格后乙方提供验收报告及发票，甲方三个月内支付</w:t>
      </w:r>
      <w:r>
        <w:rPr>
          <w:rFonts w:hint="eastAsia" w:cs="宋体"/>
          <w:bCs/>
        </w:rPr>
        <w:t>合同总价的90%，同时退还履约保证金；合同期满两年无质量问题付清余款。</w:t>
      </w:r>
    </w:p>
    <w:p w14:paraId="2E042B8A">
      <w:pPr>
        <w:pStyle w:val="337"/>
        <w:spacing w:line="360" w:lineRule="auto"/>
        <w:ind w:firstLine="422" w:firstLineChars="200"/>
        <w:rPr>
          <w:rFonts w:hint="eastAsia" w:hAnsi="宋体"/>
          <w:b/>
          <w:bCs/>
          <w:sz w:val="21"/>
        </w:rPr>
      </w:pPr>
      <w:r>
        <w:rPr>
          <w:rFonts w:hint="eastAsia" w:hAnsi="宋体"/>
          <w:b/>
          <w:bCs/>
          <w:sz w:val="21"/>
        </w:rPr>
        <w:t>11.税费</w:t>
      </w:r>
    </w:p>
    <w:p w14:paraId="71072AA4">
      <w:pPr>
        <w:pStyle w:val="337"/>
        <w:spacing w:line="360" w:lineRule="auto"/>
        <w:ind w:firstLine="420" w:firstLineChars="200"/>
        <w:rPr>
          <w:rFonts w:hint="eastAsia" w:hAnsi="宋体"/>
          <w:sz w:val="21"/>
        </w:rPr>
      </w:pPr>
      <w:r>
        <w:rPr>
          <w:rFonts w:hint="eastAsia" w:hAnsi="宋体"/>
          <w:sz w:val="21"/>
        </w:rPr>
        <w:t>本合同执行中相关的一切税费均由乙方负担。</w:t>
      </w:r>
    </w:p>
    <w:p w14:paraId="3AFBC9CB">
      <w:pPr>
        <w:pStyle w:val="337"/>
        <w:spacing w:line="360" w:lineRule="auto"/>
        <w:ind w:firstLine="422" w:firstLineChars="200"/>
        <w:rPr>
          <w:rFonts w:hint="eastAsia" w:hAnsi="宋体"/>
          <w:b/>
          <w:bCs/>
          <w:sz w:val="21"/>
        </w:rPr>
      </w:pPr>
      <w:r>
        <w:rPr>
          <w:rFonts w:hint="eastAsia" w:hAnsi="宋体"/>
          <w:b/>
          <w:bCs/>
          <w:sz w:val="21"/>
        </w:rPr>
        <w:t>12.质量保证及售后服务</w:t>
      </w:r>
    </w:p>
    <w:p w14:paraId="68794018">
      <w:pPr>
        <w:spacing w:line="360" w:lineRule="auto"/>
        <w:ind w:firstLine="420" w:firstLineChars="200"/>
        <w:rPr>
          <w:rFonts w:hint="eastAsia" w:ascii="宋体" w:hAnsi="宋体"/>
          <w:szCs w:val="21"/>
        </w:rPr>
      </w:pPr>
      <w:r>
        <w:rPr>
          <w:rFonts w:hint="eastAsia" w:ascii="宋体" w:hAnsi="宋体"/>
          <w:szCs w:val="21"/>
        </w:rPr>
        <w:t>12.1 乙方应按招标文件规定及响应文件承诺的货物性能、技术要求、质量标准向甲方提供未经使用的全新产品；若技术性能无特殊说明，则按国家有关部门最新颁布的标准及规范为准。</w:t>
      </w:r>
    </w:p>
    <w:p w14:paraId="0E9CC046">
      <w:pPr>
        <w:spacing w:line="360" w:lineRule="auto"/>
        <w:ind w:firstLine="420" w:firstLineChars="200"/>
        <w:rPr>
          <w:rFonts w:hint="eastAsia" w:ascii="宋体" w:hAnsi="宋体"/>
          <w:szCs w:val="21"/>
        </w:rPr>
      </w:pPr>
      <w:r>
        <w:rPr>
          <w:rFonts w:hint="eastAsia" w:ascii="宋体" w:hAnsi="宋体"/>
          <w:szCs w:val="21"/>
        </w:rPr>
        <w:t>12.2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14:paraId="2E88F1F5">
      <w:pPr>
        <w:spacing w:line="360" w:lineRule="auto"/>
        <w:ind w:firstLine="420" w:firstLineChars="200"/>
        <w:rPr>
          <w:rFonts w:hint="eastAsia" w:ascii="宋体" w:hAnsi="宋体"/>
          <w:szCs w:val="21"/>
        </w:rPr>
      </w:pPr>
      <w:r>
        <w:rPr>
          <w:rFonts w:hint="eastAsia" w:ascii="宋体" w:hAnsi="宋体"/>
          <w:szCs w:val="21"/>
        </w:rPr>
        <w:t>12.3 乙方提供的货物在质保期内因货物本身的质量问题发生故障，乙方应负责免费更换。对达不到技术要求者，根据实际情况，经双方协商，可按以下办法处理：</w:t>
      </w:r>
    </w:p>
    <w:p w14:paraId="56B70424">
      <w:pPr>
        <w:spacing w:line="360" w:lineRule="auto"/>
        <w:ind w:firstLine="420" w:firstLineChars="200"/>
        <w:rPr>
          <w:rFonts w:hint="eastAsia" w:ascii="宋体" w:hAnsi="宋体"/>
          <w:szCs w:val="21"/>
        </w:rPr>
      </w:pPr>
      <w:r>
        <w:rPr>
          <w:rFonts w:hint="eastAsia" w:ascii="宋体" w:hAnsi="宋体"/>
          <w:szCs w:val="21"/>
        </w:rPr>
        <w:t>⑴更换：由乙方承担所发生的全部费用。</w:t>
      </w:r>
    </w:p>
    <w:p w14:paraId="4626C580">
      <w:pPr>
        <w:spacing w:line="360" w:lineRule="auto"/>
        <w:ind w:firstLine="420" w:firstLineChars="200"/>
        <w:rPr>
          <w:rFonts w:hint="eastAsia" w:ascii="宋体" w:hAnsi="宋体"/>
          <w:szCs w:val="21"/>
        </w:rPr>
      </w:pPr>
      <w:r>
        <w:rPr>
          <w:rFonts w:hint="eastAsia" w:ascii="宋体" w:hAnsi="宋体"/>
          <w:szCs w:val="21"/>
        </w:rPr>
        <w:t>⑵贬值处理：由甲乙双方合议定价。</w:t>
      </w:r>
    </w:p>
    <w:p w14:paraId="587392F8">
      <w:pPr>
        <w:spacing w:line="360" w:lineRule="auto"/>
        <w:ind w:firstLine="420" w:firstLineChars="200"/>
        <w:rPr>
          <w:rFonts w:hint="eastAsia" w:ascii="宋体" w:hAnsi="宋体"/>
          <w:szCs w:val="21"/>
        </w:rPr>
      </w:pPr>
      <w:r>
        <w:rPr>
          <w:rFonts w:hint="eastAsia" w:ascii="宋体" w:hAnsi="宋体"/>
          <w:szCs w:val="21"/>
        </w:rPr>
        <w:t>⑶退货处理：乙方应退还甲方支付的合同款，同时应承担该货物的直接费用（运输、保险、检验、货款利息及银行手续费等）。</w:t>
      </w:r>
    </w:p>
    <w:p w14:paraId="64DA1B45">
      <w:pPr>
        <w:spacing w:line="360" w:lineRule="auto"/>
        <w:ind w:firstLine="420" w:firstLineChars="200"/>
        <w:rPr>
          <w:rFonts w:hint="eastAsia" w:ascii="宋体" w:hAnsi="宋体"/>
          <w:szCs w:val="21"/>
        </w:rPr>
      </w:pPr>
      <w:r>
        <w:rPr>
          <w:rFonts w:hint="eastAsia" w:ascii="宋体" w:hAnsi="宋体"/>
          <w:szCs w:val="21"/>
        </w:rPr>
        <w:t>12.4 如在使用过程中发生质量问题，乙方在接到甲方通知后在_________小时内到达甲方现场。</w:t>
      </w:r>
    </w:p>
    <w:p w14:paraId="1E55047A">
      <w:pPr>
        <w:spacing w:line="360" w:lineRule="auto"/>
        <w:ind w:firstLine="420" w:firstLineChars="200"/>
        <w:rPr>
          <w:rFonts w:hint="eastAsia" w:ascii="宋体" w:hAnsi="宋体"/>
          <w:szCs w:val="21"/>
        </w:rPr>
      </w:pPr>
      <w:r>
        <w:rPr>
          <w:rFonts w:hint="eastAsia" w:ascii="宋体" w:hAnsi="宋体"/>
          <w:szCs w:val="21"/>
        </w:rPr>
        <w:t>12.5 在质保期内，乙方应对货物出现的质量及安全问题负责处理解决并承担一切费用。</w:t>
      </w:r>
    </w:p>
    <w:p w14:paraId="3E999111">
      <w:pPr>
        <w:spacing w:line="360" w:lineRule="auto"/>
        <w:ind w:firstLine="420" w:firstLineChars="200"/>
        <w:rPr>
          <w:rFonts w:hint="eastAsia" w:ascii="宋体" w:hAnsi="宋体"/>
          <w:szCs w:val="21"/>
        </w:rPr>
      </w:pPr>
      <w:r>
        <w:rPr>
          <w:rFonts w:hint="eastAsia" w:ascii="宋体" w:hAnsi="宋体"/>
          <w:szCs w:val="21"/>
        </w:rPr>
        <w:t>12.6上述的货物免费保修期为______年，因人为因素出现的故障不在免费保修范围内。超过保修期的机器设备，终身维修，维修时只收部件成本费。</w:t>
      </w:r>
    </w:p>
    <w:p w14:paraId="245EFD5D">
      <w:pPr>
        <w:pStyle w:val="337"/>
        <w:spacing w:line="360" w:lineRule="auto"/>
        <w:ind w:firstLine="422" w:firstLineChars="200"/>
        <w:rPr>
          <w:rFonts w:hint="eastAsia" w:hAnsi="宋体"/>
          <w:b/>
          <w:bCs/>
          <w:sz w:val="21"/>
        </w:rPr>
      </w:pPr>
      <w:r>
        <w:rPr>
          <w:rFonts w:hint="eastAsia" w:hAnsi="宋体"/>
          <w:b/>
          <w:bCs/>
          <w:sz w:val="21"/>
        </w:rPr>
        <w:t>13.交货、调试和验收</w:t>
      </w:r>
    </w:p>
    <w:p w14:paraId="6B2A977F">
      <w:pPr>
        <w:spacing w:line="360" w:lineRule="auto"/>
        <w:ind w:firstLine="420" w:firstLineChars="200"/>
        <w:rPr>
          <w:rFonts w:hint="eastAsia" w:ascii="宋体" w:hAnsi="宋体"/>
          <w:szCs w:val="21"/>
        </w:rPr>
      </w:pPr>
      <w:r>
        <w:rPr>
          <w:rFonts w:hint="eastAsia" w:ascii="宋体" w:hAnsi="宋体"/>
          <w:szCs w:val="21"/>
        </w:rPr>
        <w:t>13.1乙方应当在合同生效后</w:t>
      </w:r>
      <w:r>
        <w:rPr>
          <w:rFonts w:hint="eastAsia" w:ascii="宋体" w:hAnsi="宋体"/>
          <w:szCs w:val="21"/>
          <w:u w:val="single"/>
        </w:rPr>
        <w:t xml:space="preserve">   </w:t>
      </w:r>
      <w:r>
        <w:rPr>
          <w:rFonts w:hint="eastAsia" w:ascii="宋体" w:hAnsi="宋体"/>
          <w:szCs w:val="21"/>
        </w:rPr>
        <w:t>天内将货物交付甲方，地点由甲方指定，招标文件有约定的，从其约定。在发货前，乙方应对产品作出全面检查和对验收文件进行整理，并列出清单，作为甲方收货初验收和使用的技术条件依据，检验的结果应随货物交甲方。</w:t>
      </w:r>
    </w:p>
    <w:p w14:paraId="5C02E49D">
      <w:pPr>
        <w:spacing w:line="360" w:lineRule="auto"/>
        <w:ind w:firstLine="420" w:firstLineChars="200"/>
        <w:rPr>
          <w:rFonts w:hint="eastAsia" w:ascii="宋体" w:hAnsi="宋体"/>
          <w:szCs w:val="21"/>
        </w:rPr>
      </w:pPr>
      <w:r>
        <w:rPr>
          <w:rFonts w:hint="eastAsia" w:ascii="宋体" w:hAnsi="宋体"/>
          <w:szCs w:val="21"/>
        </w:rPr>
        <w:t>13.2 货到甲方后，甲乙双方须在</w:t>
      </w:r>
      <w:r>
        <w:rPr>
          <w:rFonts w:hint="eastAsia" w:ascii="宋体" w:hAnsi="宋体"/>
          <w:szCs w:val="21"/>
          <w:u w:val="single"/>
        </w:rPr>
        <w:t xml:space="preserve">    </w:t>
      </w:r>
      <w:r>
        <w:rPr>
          <w:rFonts w:hint="eastAsia" w:ascii="宋体" w:hAnsi="宋体"/>
          <w:szCs w:val="21"/>
        </w:rPr>
        <w:t>工作日内初验收，甲方对乙方提交的货物依据招标文件上的技术规格要求和国家有关质量标准进行现场初步验收，外观、说明书、包装符合招标文件技术要求的，给予签收，初步验收不合格的不予签收。</w:t>
      </w:r>
    </w:p>
    <w:p w14:paraId="76093013">
      <w:pPr>
        <w:pStyle w:val="337"/>
        <w:spacing w:line="360" w:lineRule="auto"/>
        <w:ind w:firstLine="420" w:firstLineChars="200"/>
        <w:rPr>
          <w:rFonts w:hint="eastAsia" w:hAnsi="宋体"/>
          <w:sz w:val="21"/>
        </w:rPr>
      </w:pPr>
      <w:r>
        <w:rPr>
          <w:rFonts w:hint="eastAsia" w:hAnsi="宋体"/>
          <w:sz w:val="21"/>
        </w:rPr>
        <w:t>13.3 乙方按照招标文件要求负责产品安装并培训甲方的使用操作人员，乙方在甲方使用前进行调试，调试直到符合技术要求的甲方才做最终验收。</w:t>
      </w:r>
    </w:p>
    <w:p w14:paraId="59864F53">
      <w:pPr>
        <w:spacing w:line="360" w:lineRule="auto"/>
        <w:ind w:firstLine="420" w:firstLineChars="200"/>
        <w:rPr>
          <w:rFonts w:hint="eastAsia" w:ascii="宋体" w:hAnsi="宋体"/>
          <w:szCs w:val="21"/>
        </w:rPr>
      </w:pPr>
      <w:r>
        <w:rPr>
          <w:rFonts w:hint="eastAsia" w:ascii="宋体" w:hAnsi="宋体"/>
          <w:szCs w:val="21"/>
        </w:rPr>
        <w:t>13.4 对技术复杂的货物，甲方可请国家认可的专业检测机构参与初步验收及最终验收，并由其出具质量检测报告。验收时乙方必须在现场，验收完毕后作出验收结果报告；若聘请第三方中立机构验收，验收费用由甲乙双方协商解决。</w:t>
      </w:r>
    </w:p>
    <w:p w14:paraId="109DF7E6">
      <w:pPr>
        <w:spacing w:line="360" w:lineRule="auto"/>
        <w:ind w:firstLine="420" w:firstLineChars="200"/>
        <w:rPr>
          <w:rFonts w:hint="eastAsia" w:ascii="宋体" w:hAnsi="宋体"/>
          <w:szCs w:val="21"/>
        </w:rPr>
      </w:pPr>
      <w:r>
        <w:rPr>
          <w:rFonts w:hint="eastAsia" w:ascii="宋体" w:hAnsi="宋体"/>
          <w:szCs w:val="21"/>
        </w:rPr>
        <w:t>13.5 甲乙双方关于调试和验收的其他约定：</w:t>
      </w:r>
      <w:r>
        <w:rPr>
          <w:rFonts w:hint="eastAsia" w:ascii="宋体" w:hAnsi="宋体"/>
          <w:szCs w:val="21"/>
          <w:u w:val="single"/>
        </w:rPr>
        <w:t xml:space="preserve">                           </w:t>
      </w:r>
      <w:r>
        <w:rPr>
          <w:rFonts w:hint="eastAsia" w:ascii="宋体" w:hAnsi="宋体"/>
          <w:szCs w:val="21"/>
        </w:rPr>
        <w:t>。</w:t>
      </w:r>
    </w:p>
    <w:p w14:paraId="173BF6BE">
      <w:pPr>
        <w:pStyle w:val="337"/>
        <w:spacing w:line="360" w:lineRule="auto"/>
        <w:ind w:firstLine="422" w:firstLineChars="200"/>
        <w:rPr>
          <w:rFonts w:hint="eastAsia" w:hAnsi="宋体"/>
          <w:b/>
          <w:bCs/>
          <w:sz w:val="21"/>
        </w:rPr>
      </w:pPr>
      <w:r>
        <w:rPr>
          <w:rFonts w:hint="eastAsia" w:hAnsi="宋体"/>
          <w:b/>
          <w:bCs/>
          <w:sz w:val="21"/>
        </w:rPr>
        <w:t>14.货物包装、发运及运输</w:t>
      </w:r>
    </w:p>
    <w:p w14:paraId="727595BC">
      <w:pPr>
        <w:pStyle w:val="337"/>
        <w:spacing w:line="360" w:lineRule="auto"/>
        <w:ind w:firstLine="420" w:firstLineChars="200"/>
        <w:rPr>
          <w:rFonts w:hint="eastAsia" w:hAnsi="宋体"/>
          <w:sz w:val="21"/>
        </w:rPr>
      </w:pPr>
      <w:r>
        <w:rPr>
          <w:rFonts w:hint="eastAsia" w:hAnsi="宋体"/>
          <w:sz w:val="21"/>
        </w:rPr>
        <w:t>14.1 乙方应在货物发运前对其进行满足运输距离、防潮、防震、防锈和防破损装卸等要求包装，以保证货物安全运达甲方指定地点。</w:t>
      </w:r>
    </w:p>
    <w:p w14:paraId="23FE4EC6">
      <w:pPr>
        <w:spacing w:line="360" w:lineRule="auto"/>
        <w:ind w:firstLine="420" w:firstLineChars="200"/>
        <w:rPr>
          <w:rFonts w:hint="eastAsia" w:ascii="宋体" w:hAnsi="宋体"/>
          <w:szCs w:val="21"/>
        </w:rPr>
      </w:pPr>
      <w:r>
        <w:rPr>
          <w:rFonts w:hint="eastAsia" w:ascii="宋体" w:hAnsi="宋体"/>
          <w:szCs w:val="21"/>
        </w:rPr>
        <w:t>14.2 乙方发货时，产品使用说明书、检验证明书、随配附件和工具以及清单一并附于货物内。</w:t>
      </w:r>
    </w:p>
    <w:p w14:paraId="6E20D6F9">
      <w:pPr>
        <w:spacing w:line="360" w:lineRule="auto"/>
        <w:ind w:firstLine="420" w:firstLineChars="200"/>
        <w:rPr>
          <w:rFonts w:hint="eastAsia" w:ascii="宋体" w:hAnsi="宋体"/>
          <w:szCs w:val="21"/>
        </w:rPr>
      </w:pPr>
      <w:r>
        <w:rPr>
          <w:rFonts w:hint="eastAsia" w:ascii="宋体" w:hAnsi="宋体"/>
          <w:szCs w:val="21"/>
        </w:rPr>
        <w:t>14.3 乙方在货物发运手续办理完毕后24小时内或货到甲方48小时前通知甲方，以准备甲方接货。根据甲方通知的时间和指定的地点，乙方负责安排送货、装卸、清点、堆放，设备初验收合格前的保管工作由乙方负责，费用乙方承担。</w:t>
      </w:r>
    </w:p>
    <w:p w14:paraId="7CE3EE83">
      <w:pPr>
        <w:spacing w:line="360" w:lineRule="auto"/>
        <w:ind w:firstLine="420" w:firstLineChars="200"/>
        <w:rPr>
          <w:rFonts w:hint="eastAsia" w:ascii="宋体" w:hAnsi="宋体"/>
          <w:szCs w:val="21"/>
        </w:rPr>
      </w:pPr>
      <w:r>
        <w:rPr>
          <w:rFonts w:hint="eastAsia" w:ascii="宋体" w:hAnsi="宋体"/>
          <w:szCs w:val="21"/>
        </w:rPr>
        <w:t>14.4 货物在交付甲方前发生的风险均由乙方负责。</w:t>
      </w:r>
    </w:p>
    <w:p w14:paraId="4F4212B2">
      <w:pPr>
        <w:pStyle w:val="337"/>
        <w:spacing w:line="360" w:lineRule="auto"/>
        <w:ind w:firstLine="420" w:firstLineChars="200"/>
        <w:rPr>
          <w:rFonts w:hint="eastAsia" w:hAnsi="宋体"/>
          <w:sz w:val="21"/>
        </w:rPr>
      </w:pPr>
      <w:r>
        <w:rPr>
          <w:rFonts w:hint="eastAsia" w:hAnsi="宋体"/>
          <w:sz w:val="21"/>
        </w:rPr>
        <w:t>14.5 货物在规定的交付期限内由乙方送达甲方指定的地点，经初步验收即视为货物交付。</w:t>
      </w:r>
    </w:p>
    <w:p w14:paraId="34D4214A">
      <w:pPr>
        <w:pStyle w:val="337"/>
        <w:spacing w:line="360" w:lineRule="auto"/>
        <w:ind w:firstLine="422" w:firstLineChars="200"/>
        <w:rPr>
          <w:rFonts w:hint="eastAsia" w:hAnsi="宋体"/>
          <w:b/>
          <w:bCs/>
          <w:sz w:val="21"/>
        </w:rPr>
      </w:pPr>
      <w:r>
        <w:rPr>
          <w:rFonts w:hint="eastAsia" w:hAnsi="宋体"/>
          <w:b/>
          <w:bCs/>
          <w:sz w:val="21"/>
        </w:rPr>
        <w:t>15.违约责任</w:t>
      </w:r>
    </w:p>
    <w:p w14:paraId="490DD991">
      <w:pPr>
        <w:spacing w:line="360" w:lineRule="auto"/>
        <w:ind w:firstLine="420" w:firstLineChars="200"/>
        <w:rPr>
          <w:rFonts w:hint="eastAsia" w:ascii="宋体" w:hAnsi="宋体"/>
          <w:szCs w:val="21"/>
        </w:rPr>
      </w:pPr>
      <w:r>
        <w:rPr>
          <w:rFonts w:hint="eastAsia" w:ascii="宋体" w:hAnsi="宋体"/>
          <w:szCs w:val="21"/>
        </w:rPr>
        <w:t>15.1 甲方无正当理由拒绝初验收和终验收货物的，甲方应按未付货款金额每日万分之五向乙方支付违约金。</w:t>
      </w:r>
    </w:p>
    <w:p w14:paraId="336066AB">
      <w:pPr>
        <w:spacing w:line="360" w:lineRule="auto"/>
        <w:ind w:firstLine="420" w:firstLineChars="200"/>
        <w:rPr>
          <w:rFonts w:hint="eastAsia" w:ascii="宋体" w:hAnsi="宋体"/>
          <w:szCs w:val="21"/>
        </w:rPr>
      </w:pPr>
      <w:r>
        <w:rPr>
          <w:rFonts w:hint="eastAsia" w:ascii="宋体" w:hAnsi="宋体"/>
          <w:szCs w:val="21"/>
        </w:rPr>
        <w:t>15.2 甲方无故逾期验收和无故逾期办理货款支付手续的，甲方应按逾期付款金额每日万分之五向乙方支付违约金。</w:t>
      </w:r>
    </w:p>
    <w:p w14:paraId="144F838B">
      <w:pPr>
        <w:spacing w:line="360" w:lineRule="auto"/>
        <w:ind w:firstLine="420" w:firstLineChars="200"/>
        <w:rPr>
          <w:rFonts w:hint="eastAsia" w:ascii="宋体" w:hAnsi="宋体"/>
          <w:szCs w:val="21"/>
        </w:rPr>
      </w:pPr>
      <w:r>
        <w:rPr>
          <w:rFonts w:hint="eastAsia" w:ascii="宋体" w:hAnsi="宋体"/>
          <w:szCs w:val="21"/>
        </w:rPr>
        <w:t>15.3乙方违约，在消除违约情形前，应按货款总额每日万分之五向甲方支付违约金，甲方可以从待付货款中扣除。如工期违约，按照以下执行：</w:t>
      </w:r>
    </w:p>
    <w:p w14:paraId="497621AB">
      <w:pPr>
        <w:spacing w:line="360" w:lineRule="auto"/>
        <w:ind w:left="720" w:hanging="360"/>
        <w:rPr>
          <w:rFonts w:hint="eastAsia" w:ascii="宋体" w:hAnsi="宋体" w:cs="宋体"/>
          <w:szCs w:val="21"/>
        </w:rPr>
      </w:pPr>
      <w:r>
        <w:rPr>
          <w:rFonts w:hint="eastAsia" w:ascii="宋体" w:hAnsi="宋体"/>
          <w:szCs w:val="21"/>
        </w:rPr>
        <w:t>15.3.</w:t>
      </w:r>
      <w:r>
        <w:rPr>
          <w:rFonts w:hint="eastAsia" w:ascii="宋体" w:hAnsi="宋体" w:cs="宋体"/>
          <w:szCs w:val="21"/>
        </w:rPr>
        <w:t>1. 7 天宽限期：前 7 天逾期不计违约金；</w:t>
      </w:r>
    </w:p>
    <w:p w14:paraId="53F68379">
      <w:pPr>
        <w:spacing w:line="360" w:lineRule="auto"/>
        <w:ind w:left="720" w:hanging="360"/>
        <w:rPr>
          <w:rFonts w:hint="eastAsia" w:ascii="宋体" w:hAnsi="宋体" w:cs="宋体"/>
          <w:szCs w:val="21"/>
        </w:rPr>
      </w:pPr>
      <w:r>
        <w:rPr>
          <w:rFonts w:hint="eastAsia" w:ascii="宋体" w:hAnsi="宋体"/>
          <w:szCs w:val="21"/>
        </w:rPr>
        <w:t>15.3.</w:t>
      </w:r>
      <w:r>
        <w:rPr>
          <w:rFonts w:hint="eastAsia" w:ascii="宋体" w:hAnsi="宋体" w:cs="宋体"/>
          <w:szCs w:val="21"/>
        </w:rPr>
        <w:t>2.逾期 8~15 日历天：1000 元 / 天累计罚款；</w:t>
      </w:r>
    </w:p>
    <w:p w14:paraId="331E9771">
      <w:pPr>
        <w:spacing w:line="360" w:lineRule="auto"/>
        <w:ind w:left="720" w:hanging="360"/>
        <w:rPr>
          <w:rFonts w:hint="eastAsia" w:ascii="宋体" w:hAnsi="宋体" w:cs="宋体"/>
          <w:szCs w:val="21"/>
        </w:rPr>
      </w:pPr>
      <w:r>
        <w:rPr>
          <w:rFonts w:hint="eastAsia" w:ascii="宋体" w:hAnsi="宋体"/>
          <w:szCs w:val="21"/>
        </w:rPr>
        <w:t>15.3.</w:t>
      </w:r>
      <w:r>
        <w:rPr>
          <w:rFonts w:hint="eastAsia" w:ascii="宋体" w:hAnsi="宋体" w:cs="宋体"/>
          <w:szCs w:val="21"/>
        </w:rPr>
        <w:t>3.逾期 16~30 日历天：1500 元 / 天累计罚款；</w:t>
      </w:r>
    </w:p>
    <w:p w14:paraId="37A4A5C4">
      <w:pPr>
        <w:spacing w:line="360" w:lineRule="auto"/>
        <w:ind w:left="720" w:hanging="360"/>
        <w:rPr>
          <w:rFonts w:hint="eastAsia" w:ascii="宋体" w:hAnsi="宋体" w:cs="宋体"/>
          <w:szCs w:val="21"/>
        </w:rPr>
      </w:pPr>
      <w:r>
        <w:rPr>
          <w:rFonts w:hint="eastAsia" w:ascii="宋体" w:hAnsi="宋体"/>
          <w:szCs w:val="21"/>
        </w:rPr>
        <w:t>15.3.</w:t>
      </w:r>
      <w:r>
        <w:rPr>
          <w:rFonts w:hint="eastAsia" w:ascii="宋体" w:hAnsi="宋体" w:cs="宋体"/>
          <w:szCs w:val="21"/>
        </w:rPr>
        <w:t>4.逾期超过 30 日历天：2000 元 / 天累计罚款；</w:t>
      </w:r>
    </w:p>
    <w:p w14:paraId="42781044">
      <w:pPr>
        <w:spacing w:line="360" w:lineRule="auto"/>
        <w:ind w:left="720" w:hanging="360"/>
      </w:pPr>
      <w:r>
        <w:rPr>
          <w:rFonts w:hint="eastAsia" w:ascii="宋体" w:hAnsi="宋体"/>
          <w:szCs w:val="21"/>
        </w:rPr>
        <w:t>15.3.</w:t>
      </w:r>
      <w:r>
        <w:rPr>
          <w:rFonts w:hint="eastAsia"/>
        </w:rPr>
        <w:t>5.</w:t>
      </w:r>
      <w:r>
        <w:rPr>
          <w:rFonts w:hint="eastAsia" w:ascii="宋体" w:hAnsi="宋体" w:cs="宋体"/>
          <w:szCs w:val="21"/>
        </w:rPr>
        <w:t>工期罚款累计总额上限为合同总价款 10%；</w:t>
      </w:r>
    </w:p>
    <w:p w14:paraId="1314E629">
      <w:pPr>
        <w:spacing w:line="360" w:lineRule="auto"/>
        <w:ind w:firstLine="420" w:firstLineChars="200"/>
        <w:rPr>
          <w:rFonts w:hint="eastAsia" w:ascii="宋体" w:hAnsi="宋体"/>
          <w:szCs w:val="21"/>
        </w:rPr>
      </w:pPr>
      <w:r>
        <w:rPr>
          <w:rFonts w:hint="eastAsia" w:ascii="宋体" w:hAnsi="宋体"/>
          <w:szCs w:val="21"/>
        </w:rPr>
        <w:t>15.4乙方因逾期交货或其他违约行为，导致甲方解除合同的，乙方应向甲方支付合同总值5%的违约金，如造成甲方损失超过违约金的，超出部分由乙方继续承担赔偿责任。</w:t>
      </w:r>
    </w:p>
    <w:p w14:paraId="23CE6420">
      <w:pPr>
        <w:spacing w:line="360" w:lineRule="auto"/>
        <w:ind w:firstLine="420" w:firstLineChars="200"/>
        <w:rPr>
          <w:rFonts w:hint="eastAsia" w:ascii="宋体" w:hAnsi="宋体"/>
          <w:szCs w:val="21"/>
        </w:rPr>
      </w:pPr>
      <w:r>
        <w:rPr>
          <w:rFonts w:hint="eastAsia" w:ascii="宋体" w:hAnsi="宋体"/>
          <w:szCs w:val="21"/>
        </w:rPr>
        <w:t>15.5 乙方所交的货物全部或部分品种、型号、规格、技术参数、质量不符合合同规定及招标文件规定标准的，乙方更换货物但逾期交货的（甲方拒绝接受的除外），按乙方逾期交货处理；乙方拒绝更换货物的，甲方可选择解除本合同或本合同的一部分，并可追究乙方的其他违约责任。</w:t>
      </w:r>
    </w:p>
    <w:p w14:paraId="3FE3E010">
      <w:pPr>
        <w:spacing w:line="360" w:lineRule="auto"/>
        <w:ind w:firstLine="420" w:firstLineChars="200"/>
        <w:rPr>
          <w:rFonts w:hint="eastAsia" w:ascii="宋体" w:hAnsi="宋体"/>
          <w:szCs w:val="21"/>
        </w:rPr>
      </w:pPr>
      <w:r>
        <w:rPr>
          <w:rFonts w:hint="eastAsia" w:ascii="宋体" w:hAnsi="宋体"/>
          <w:szCs w:val="21"/>
        </w:rPr>
        <w:t>15.6合同生效后，发现乙方投标属虚假承诺，或经权威部门监测提供的货物不能满足招标文件要求，造成合同无法继续履行的，还应向甲方支付不少于合同总价</w:t>
      </w:r>
      <w:r>
        <w:rPr>
          <w:rFonts w:hint="eastAsia" w:ascii="宋体" w:hAnsi="宋体"/>
          <w:szCs w:val="21"/>
          <w:u w:val="single"/>
        </w:rPr>
        <w:t>10%</w:t>
      </w:r>
      <w:r>
        <w:rPr>
          <w:rFonts w:hint="eastAsia" w:ascii="宋体" w:hAnsi="宋体"/>
          <w:szCs w:val="21"/>
        </w:rPr>
        <w:t>赔偿金。</w:t>
      </w:r>
    </w:p>
    <w:p w14:paraId="2417A7BF">
      <w:pPr>
        <w:pStyle w:val="337"/>
        <w:spacing w:line="360" w:lineRule="auto"/>
        <w:ind w:firstLine="422" w:firstLineChars="200"/>
        <w:rPr>
          <w:rFonts w:hint="eastAsia" w:hAnsi="宋体"/>
          <w:b/>
          <w:bCs/>
          <w:sz w:val="21"/>
        </w:rPr>
      </w:pPr>
      <w:r>
        <w:rPr>
          <w:rFonts w:hint="eastAsia" w:hAnsi="宋体"/>
          <w:b/>
          <w:bCs/>
          <w:sz w:val="21"/>
        </w:rPr>
        <w:t>16.不可抗力事件处理</w:t>
      </w:r>
    </w:p>
    <w:p w14:paraId="3A8B0D60">
      <w:pPr>
        <w:pStyle w:val="337"/>
        <w:spacing w:line="360" w:lineRule="auto"/>
        <w:ind w:firstLine="420" w:firstLineChars="200"/>
        <w:rPr>
          <w:rFonts w:hint="eastAsia" w:hAnsi="宋体"/>
          <w:sz w:val="21"/>
        </w:rPr>
      </w:pPr>
      <w:r>
        <w:rPr>
          <w:rFonts w:hint="eastAsia" w:hAnsi="宋体"/>
          <w:sz w:val="21"/>
        </w:rPr>
        <w:t>16.1 在合同有效期内，甲乙双方因不可抗力事件导致不能履行合同，则合同履行期可延长，其延长期与不可抗力影响期相同。不可抗力，是指不能预见、不能避免且不能克服的客观情况，例如战争、严重的地震、洪水等，但一方违约或疏忽导致合同不能履行的不属于不可抗力因素。</w:t>
      </w:r>
    </w:p>
    <w:p w14:paraId="038CDE31">
      <w:pPr>
        <w:pStyle w:val="337"/>
        <w:spacing w:line="360" w:lineRule="auto"/>
        <w:ind w:firstLine="420" w:firstLineChars="200"/>
        <w:rPr>
          <w:rFonts w:hint="eastAsia" w:hAnsi="宋体"/>
          <w:sz w:val="21"/>
        </w:rPr>
      </w:pPr>
      <w:r>
        <w:rPr>
          <w:rFonts w:hint="eastAsia" w:hAnsi="宋体"/>
          <w:sz w:val="21"/>
        </w:rPr>
        <w:t>16.2不可抗力事件发生后，应立即通知对方，并寄送有关权威机构出具的证明。除甲方书面另行要求外，乙方应尽实际可能继续履行合同义务，以及寻求采取合理的方案履行不受不可抗力影响的其他事项。若不可抗力事件延续120天以上，双方应通过友好协商，确定是否继续履行合同。</w:t>
      </w:r>
    </w:p>
    <w:p w14:paraId="4E34A7C3">
      <w:pPr>
        <w:pStyle w:val="337"/>
        <w:spacing w:line="360" w:lineRule="auto"/>
        <w:ind w:firstLine="422" w:firstLineChars="200"/>
        <w:rPr>
          <w:rFonts w:hint="eastAsia" w:hAnsi="宋体"/>
          <w:b/>
          <w:bCs/>
          <w:sz w:val="21"/>
        </w:rPr>
      </w:pPr>
      <w:r>
        <w:rPr>
          <w:rFonts w:hint="eastAsia" w:hAnsi="宋体"/>
          <w:b/>
          <w:bCs/>
          <w:sz w:val="21"/>
        </w:rPr>
        <w:t>17.争议解决</w:t>
      </w:r>
    </w:p>
    <w:p w14:paraId="5514B2E3">
      <w:pPr>
        <w:pStyle w:val="337"/>
        <w:spacing w:line="360" w:lineRule="auto"/>
        <w:ind w:firstLine="420" w:firstLineChars="200"/>
        <w:rPr>
          <w:rFonts w:hint="eastAsia" w:hAnsi="宋体"/>
          <w:sz w:val="21"/>
        </w:rPr>
      </w:pPr>
      <w:r>
        <w:rPr>
          <w:rFonts w:hint="eastAsia" w:hAnsi="宋体"/>
          <w:sz w:val="21"/>
        </w:rPr>
        <w:t>17.1 因货物的质量问题发生争议的，可在国家认可的质量检测机构对货物质量进行鉴定。货物符合标准的，鉴定费由甲方承担；货物不符合质量标准的，鉴定费由乙方承担。</w:t>
      </w:r>
    </w:p>
    <w:p w14:paraId="161FA082">
      <w:pPr>
        <w:pStyle w:val="337"/>
        <w:spacing w:line="360" w:lineRule="auto"/>
        <w:ind w:firstLine="420" w:firstLineChars="200"/>
        <w:rPr>
          <w:rFonts w:hint="eastAsia" w:hAnsi="宋体"/>
          <w:sz w:val="21"/>
        </w:rPr>
      </w:pPr>
      <w:r>
        <w:rPr>
          <w:rFonts w:hint="eastAsia" w:hAnsi="宋体"/>
          <w:sz w:val="21"/>
        </w:rPr>
        <w:t>17.2 因履行本合同引起的或与本合同有关的争议，甲、乙双方应首先通过友好协商解决；如果协商不能解决争议，甲乙双方同意采取下列两种方式的第</w:t>
      </w:r>
      <w:r>
        <w:rPr>
          <w:rFonts w:hint="eastAsia" w:hAnsi="宋体"/>
          <w:sz w:val="21"/>
          <w:u w:val="single"/>
        </w:rPr>
        <w:t>（1）</w:t>
      </w:r>
      <w:r>
        <w:rPr>
          <w:rFonts w:hint="eastAsia" w:hAnsi="宋体"/>
          <w:sz w:val="21"/>
        </w:rPr>
        <w:t>种方式解决争议：</w:t>
      </w:r>
    </w:p>
    <w:p w14:paraId="565D603C">
      <w:pPr>
        <w:pStyle w:val="337"/>
        <w:spacing w:line="360" w:lineRule="auto"/>
        <w:ind w:firstLine="420" w:firstLineChars="200"/>
        <w:rPr>
          <w:rFonts w:hint="eastAsia" w:hAnsi="宋体"/>
          <w:sz w:val="21"/>
        </w:rPr>
      </w:pPr>
      <w:r>
        <w:rPr>
          <w:rFonts w:hint="eastAsia" w:hAnsi="宋体"/>
          <w:sz w:val="21"/>
        </w:rPr>
        <w:t>（1）向甲方所在地有管辖权的人民法院提起诉讼，适用中华人民共和国法律；</w:t>
      </w:r>
    </w:p>
    <w:p w14:paraId="5741C2CD">
      <w:pPr>
        <w:pStyle w:val="337"/>
        <w:spacing w:line="360" w:lineRule="auto"/>
        <w:ind w:firstLine="420" w:firstLineChars="200"/>
        <w:rPr>
          <w:rFonts w:hint="eastAsia" w:hAnsi="宋体"/>
          <w:sz w:val="21"/>
        </w:rPr>
      </w:pPr>
      <w:r>
        <w:rPr>
          <w:rFonts w:hint="eastAsia" w:hAnsi="宋体"/>
          <w:sz w:val="21"/>
        </w:rPr>
        <w:t>（2）向扬州仲裁委员会按其仲裁规则申请仲裁。</w:t>
      </w:r>
    </w:p>
    <w:p w14:paraId="10DB069F">
      <w:pPr>
        <w:pStyle w:val="337"/>
        <w:spacing w:line="360" w:lineRule="auto"/>
        <w:ind w:firstLine="420" w:firstLineChars="200"/>
        <w:rPr>
          <w:rFonts w:hint="eastAsia" w:hAnsi="宋体"/>
          <w:sz w:val="21"/>
        </w:rPr>
      </w:pPr>
      <w:r>
        <w:rPr>
          <w:rFonts w:hint="eastAsia" w:hAnsi="宋体"/>
          <w:sz w:val="21"/>
        </w:rPr>
        <w:t>17.3 若甲乙双方任何一方都没有选择解除合同的，为避免扩大损失，在诉讼或仲裁期间，双方应继续履行。</w:t>
      </w:r>
    </w:p>
    <w:p w14:paraId="3D99B490">
      <w:pPr>
        <w:pStyle w:val="337"/>
        <w:spacing w:line="360" w:lineRule="auto"/>
        <w:ind w:firstLine="422" w:firstLineChars="200"/>
        <w:rPr>
          <w:rFonts w:hint="eastAsia" w:hAnsi="宋体"/>
          <w:b/>
          <w:bCs/>
          <w:sz w:val="21"/>
        </w:rPr>
      </w:pPr>
      <w:r>
        <w:rPr>
          <w:rFonts w:hint="eastAsia" w:hAnsi="宋体"/>
          <w:b/>
          <w:bCs/>
          <w:sz w:val="21"/>
        </w:rPr>
        <w:t>18.合同其他</w:t>
      </w:r>
    </w:p>
    <w:p w14:paraId="4CB0D7FF">
      <w:pPr>
        <w:pStyle w:val="337"/>
        <w:spacing w:line="360" w:lineRule="auto"/>
        <w:ind w:firstLine="420" w:firstLineChars="200"/>
        <w:rPr>
          <w:rFonts w:hint="eastAsia" w:hAnsi="宋体"/>
          <w:sz w:val="21"/>
        </w:rPr>
      </w:pPr>
      <w:r>
        <w:rPr>
          <w:rFonts w:hint="eastAsia" w:hAnsi="宋体"/>
          <w:sz w:val="21"/>
        </w:rPr>
        <w:t>18.1 乙方应诚实信用，严格按照招标文件要求和投标承诺履行合同，不向甲方进行商业贿赂或者提供不正当利益。</w:t>
      </w:r>
    </w:p>
    <w:p w14:paraId="375B29C1">
      <w:pPr>
        <w:pStyle w:val="337"/>
        <w:spacing w:line="360" w:lineRule="auto"/>
        <w:ind w:firstLine="420" w:firstLineChars="200"/>
        <w:rPr>
          <w:rFonts w:hint="eastAsia" w:hAnsi="宋体"/>
          <w:sz w:val="21"/>
        </w:rPr>
      </w:pPr>
      <w:r>
        <w:rPr>
          <w:rFonts w:hint="eastAsia" w:hAnsi="宋体"/>
          <w:sz w:val="21"/>
        </w:rPr>
        <w:t>18.2 合同经双方法定代表人或授权代表签字并加盖单位公章后生效。</w:t>
      </w:r>
    </w:p>
    <w:p w14:paraId="3F5D9BF8">
      <w:pPr>
        <w:pStyle w:val="337"/>
        <w:spacing w:line="360" w:lineRule="auto"/>
        <w:ind w:firstLine="420" w:firstLineChars="200"/>
        <w:rPr>
          <w:rFonts w:hint="eastAsia" w:hAnsi="宋体"/>
          <w:sz w:val="21"/>
        </w:rPr>
      </w:pPr>
      <w:r>
        <w:rPr>
          <w:rFonts w:hint="eastAsia" w:hAnsi="宋体"/>
          <w:sz w:val="21"/>
        </w:rPr>
        <w:t>18.3本合同未尽事宜，遵照《中华人民共和国民法典》有关条文执行。</w:t>
      </w:r>
    </w:p>
    <w:p w14:paraId="05353E2E">
      <w:pPr>
        <w:spacing w:line="360" w:lineRule="auto"/>
        <w:ind w:firstLine="420" w:firstLineChars="200"/>
        <w:rPr>
          <w:rFonts w:hint="eastAsia" w:ascii="宋体" w:hAnsi="宋体"/>
          <w:szCs w:val="21"/>
        </w:rPr>
      </w:pPr>
      <w:r>
        <w:rPr>
          <w:rFonts w:hint="eastAsia" w:ascii="宋体" w:hAnsi="宋体"/>
          <w:szCs w:val="21"/>
        </w:rPr>
        <w:t>18.4 本合同正本一式四份，具有同等法律效力，甲方、乙方各执两份。</w:t>
      </w:r>
    </w:p>
    <w:p w14:paraId="669F3051">
      <w:pPr>
        <w:spacing w:line="360" w:lineRule="auto"/>
        <w:ind w:firstLine="420" w:firstLineChars="200"/>
        <w:rPr>
          <w:rFonts w:hint="eastAsia" w:ascii="宋体" w:hAnsi="宋体"/>
          <w:szCs w:val="21"/>
        </w:rPr>
      </w:pPr>
    </w:p>
    <w:p w14:paraId="040D89D1">
      <w:pPr>
        <w:spacing w:line="360" w:lineRule="auto"/>
        <w:ind w:firstLine="420" w:firstLineChars="200"/>
      </w:pPr>
      <w:r>
        <w:rPr>
          <w:rFonts w:hint="eastAsia"/>
        </w:rPr>
        <w:t>甲方（公章）：                                乙方（公章）：</w:t>
      </w:r>
    </w:p>
    <w:p w14:paraId="166CCA1B">
      <w:pPr>
        <w:spacing w:line="360" w:lineRule="auto"/>
        <w:ind w:firstLine="420" w:firstLineChars="200"/>
      </w:pPr>
      <w:r>
        <w:rPr>
          <w:rFonts w:hint="eastAsia"/>
        </w:rPr>
        <w:t>法定代表人                                    法定代表人</w:t>
      </w:r>
    </w:p>
    <w:p w14:paraId="6692239B">
      <w:pPr>
        <w:spacing w:line="360" w:lineRule="auto"/>
        <w:ind w:firstLine="420" w:firstLineChars="200"/>
      </w:pPr>
      <w:r>
        <w:rPr>
          <w:rFonts w:hint="eastAsia"/>
        </w:rPr>
        <w:t>（或授权代理人）                             （或授权代理人）</w:t>
      </w:r>
    </w:p>
    <w:p w14:paraId="0F6CDB30">
      <w:pPr>
        <w:spacing w:line="360" w:lineRule="auto"/>
        <w:ind w:firstLine="420" w:firstLineChars="200"/>
      </w:pPr>
      <w:r>
        <w:rPr>
          <w:rFonts w:hint="eastAsia"/>
        </w:rPr>
        <w:t>签字：                                        签字：</w:t>
      </w:r>
    </w:p>
    <w:p w14:paraId="5E2166CD">
      <w:pPr>
        <w:spacing w:line="360" w:lineRule="auto"/>
        <w:ind w:firstLine="420" w:firstLineChars="200"/>
      </w:pPr>
      <w:r>
        <w:rPr>
          <w:rFonts w:hint="eastAsia"/>
        </w:rPr>
        <w:t>联系电话：                                    联系电话：</w:t>
      </w:r>
    </w:p>
    <w:p w14:paraId="4271A050">
      <w:pPr>
        <w:spacing w:line="360" w:lineRule="auto"/>
        <w:ind w:firstLine="420" w:firstLineChars="200"/>
      </w:pPr>
      <w:r>
        <w:rPr>
          <w:rFonts w:hint="eastAsia"/>
        </w:rPr>
        <w:t>开户银行：                                   开户银行：</w:t>
      </w:r>
    </w:p>
    <w:p w14:paraId="1C1FEEBD">
      <w:pPr>
        <w:spacing w:line="360" w:lineRule="auto"/>
        <w:ind w:firstLine="420" w:firstLineChars="200"/>
      </w:pPr>
      <w:r>
        <w:rPr>
          <w:rFonts w:hint="eastAsia"/>
        </w:rPr>
        <w:t>银行账号：                                   银行账号：</w:t>
      </w:r>
    </w:p>
    <w:p w14:paraId="10167BB1">
      <w:pPr>
        <w:spacing w:line="360" w:lineRule="auto"/>
        <w:ind w:firstLine="420" w:firstLineChars="200"/>
        <w:rPr>
          <w:rFonts w:hint="eastAsia" w:ascii="宋体" w:hAnsi="宋体"/>
          <w:szCs w:val="21"/>
        </w:rPr>
      </w:pPr>
      <w:r>
        <w:rPr>
          <w:rFonts w:hint="eastAsia"/>
        </w:rPr>
        <w:t>日   期：                                     日   期：</w:t>
      </w:r>
    </w:p>
    <w:p w14:paraId="4993DD2A">
      <w:pPr>
        <w:spacing w:line="360" w:lineRule="auto"/>
        <w:ind w:left="-141" w:leftChars="-67"/>
        <w:rPr>
          <w:rFonts w:hint="eastAsia" w:ascii="宋体" w:hAnsi="宋体" w:cs="宋体"/>
          <w:szCs w:val="21"/>
        </w:rPr>
      </w:pPr>
    </w:p>
    <w:p w14:paraId="48986003">
      <w:pPr>
        <w:pStyle w:val="220"/>
        <w:numPr>
          <w:ilvl w:val="0"/>
          <w:numId w:val="0"/>
        </w:numPr>
        <w:ind w:left="-420" w:right="-313" w:firstLine="723"/>
        <w:jc w:val="center"/>
        <w:rPr>
          <w:rFonts w:hint="eastAsia" w:ascii="宋体" w:hAnsi="宋体" w:cs="宋体"/>
          <w:b/>
          <w:bCs/>
          <w:sz w:val="36"/>
          <w:szCs w:val="36"/>
        </w:rPr>
      </w:pPr>
      <w:r>
        <w:rPr>
          <w:rFonts w:hint="eastAsia" w:ascii="宋体" w:hAnsi="宋体" w:cs="宋体"/>
          <w:b/>
          <w:bCs/>
          <w:sz w:val="36"/>
          <w:szCs w:val="36"/>
        </w:rPr>
        <w:br w:type="page" w:clear="all"/>
      </w:r>
      <w:r>
        <w:rPr>
          <w:rFonts w:hint="eastAsia" w:ascii="宋体" w:hAnsi="宋体" w:cs="宋体"/>
          <w:b/>
          <w:bCs/>
          <w:sz w:val="36"/>
          <w:szCs w:val="36"/>
        </w:rPr>
        <w:t>廉洁合作协议</w:t>
      </w:r>
    </w:p>
    <w:p w14:paraId="18A81F12">
      <w:pPr>
        <w:spacing w:line="460" w:lineRule="exact"/>
        <w:rPr>
          <w:rFonts w:cs="宋体"/>
          <w:b/>
        </w:rPr>
      </w:pPr>
      <w:r>
        <w:rPr>
          <w:rFonts w:hint="eastAsia" w:cs="宋体"/>
        </w:rPr>
        <w:t>甲方：</w:t>
      </w:r>
      <w:r>
        <w:rPr>
          <w:rFonts w:hint="eastAsia" w:ascii="宋体" w:hAnsi="宋体" w:cs="宋体"/>
          <w:bCs/>
          <w:szCs w:val="21"/>
        </w:rPr>
        <w:t>扬州大学附属医院</w:t>
      </w:r>
    </w:p>
    <w:p w14:paraId="04BCB010">
      <w:pPr>
        <w:spacing w:line="460" w:lineRule="exact"/>
      </w:pPr>
      <w:r>
        <w:rPr>
          <w:rFonts w:hint="eastAsia"/>
        </w:rPr>
        <w:t>乙方：</w:t>
      </w:r>
    </w:p>
    <w:p w14:paraId="55BB03F8">
      <w:pPr>
        <w:spacing w:line="340" w:lineRule="exact"/>
        <w:ind w:firstLine="420"/>
      </w:pPr>
      <w:r>
        <w:rPr>
          <w:rFonts w:hint="eastAsia"/>
        </w:rPr>
        <w:t>在甲乙双方订立、履行合同过程中，为保持廉洁自律的工作作风，防止各种不正当行为的发生，甲乙双方订立协议如下：</w:t>
      </w:r>
    </w:p>
    <w:p w14:paraId="029416BE">
      <w:pPr>
        <w:spacing w:line="340" w:lineRule="exact"/>
        <w:ind w:firstLine="420"/>
      </w:pPr>
      <w:r>
        <w:rPr>
          <w:rFonts w:hint="eastAsia"/>
        </w:rPr>
        <w:t>一、甲乙双方应当自觉遵守国家、地方法律法规以及本协议的约定，在合同的订立、履行过程中廉洁自律。</w:t>
      </w:r>
    </w:p>
    <w:p w14:paraId="06391BBE">
      <w:pPr>
        <w:spacing w:line="340" w:lineRule="exact"/>
        <w:ind w:firstLine="420"/>
      </w:pPr>
      <w:r>
        <w:rPr>
          <w:rFonts w:hint="eastAsia"/>
        </w:rPr>
        <w:t>二、甲方工作人员严禁进行商业目的的统方，不得以任何形式向乙方索要和收受个人回扣等好处费。</w:t>
      </w:r>
    </w:p>
    <w:p w14:paraId="57E9FBA6">
      <w:pPr>
        <w:spacing w:line="340" w:lineRule="exact"/>
        <w:ind w:firstLine="420"/>
      </w:pPr>
      <w:r>
        <w:rPr>
          <w:rFonts w:hint="eastAsia"/>
        </w:rPr>
        <w:t>三、甲方工作人员应当保持与乙方的正常业务交往，不得接受乙方的礼金、有价证券和贵重物品，不得在乙方报销任何应由其个人承担的费用。</w:t>
      </w:r>
    </w:p>
    <w:p w14:paraId="466805E8">
      <w:pPr>
        <w:spacing w:line="340" w:lineRule="exact"/>
        <w:ind w:firstLine="420"/>
      </w:pPr>
      <w:r>
        <w:rPr>
          <w:rFonts w:hint="eastAsia"/>
        </w:rPr>
        <w:t>四、甲方工作人员不得参加可能对公正开展业务有影响的宴请和娱乐活动。如甲方工作人员确因实际情况须参加宴请、进行娱乐活动的，须事先报上一级批准。</w:t>
      </w:r>
    </w:p>
    <w:p w14:paraId="1FB77471">
      <w:pPr>
        <w:spacing w:line="340" w:lineRule="exact"/>
        <w:ind w:firstLine="420"/>
      </w:pPr>
      <w:r>
        <w:rPr>
          <w:rFonts w:hint="eastAsia"/>
        </w:rPr>
        <w:t>五、甲方工作人员不得要求或者接受乙方为其住房装修、婚丧嫁娶、家属和子女的工作安排以及出国等提供方便。</w:t>
      </w:r>
    </w:p>
    <w:p w14:paraId="5BFAE0C0">
      <w:pPr>
        <w:spacing w:line="340" w:lineRule="exact"/>
        <w:ind w:firstLine="420"/>
      </w:pPr>
      <w:r>
        <w:rPr>
          <w:rFonts w:hint="eastAsia"/>
        </w:rPr>
        <w:t>六、乙方不得接受甲方工作人员介绍的家属或者亲友从事与合同相关的业务。</w:t>
      </w:r>
    </w:p>
    <w:p w14:paraId="428D0D73">
      <w:pPr>
        <w:spacing w:line="340" w:lineRule="exact"/>
        <w:ind w:firstLine="420"/>
      </w:pPr>
      <w:r>
        <w:rPr>
          <w:rFonts w:hint="eastAsia"/>
        </w:rPr>
        <w:t>七、乙方应当通过正常途径开展相关业务，不得为获取某些不正当利益而向甲方工作人员赠送礼金、有价证券和贵重物品等，或给甲方工作人员报销其个人费用，或邀请甲方工作人员外出旅游和进入营业性娱乐场所，或为甲方工作人员住房装修、婚丧嫁娶、家属和子女的工作安排以及出国等提供方便。</w:t>
      </w:r>
    </w:p>
    <w:p w14:paraId="3849DD9A">
      <w:pPr>
        <w:spacing w:line="340" w:lineRule="exact"/>
        <w:ind w:firstLine="420"/>
      </w:pPr>
      <w:r>
        <w:rPr>
          <w:rFonts w:hint="eastAsia"/>
        </w:rPr>
        <w:t>八、乙方如发现甲方工作人员有违反上述协议者，应向甲方举报（甲方举报接待部门：纪委办公室；举报电话：87907263）。甲方不得找任何借口对乙方进行报复。甲方对举报属实和严格遵守廉洁协议的乙方，在同等条件下优先考虑与乙方继续合作。</w:t>
      </w:r>
    </w:p>
    <w:p w14:paraId="04C73B36">
      <w:pPr>
        <w:spacing w:line="340" w:lineRule="exact"/>
        <w:ind w:firstLine="420"/>
      </w:pPr>
      <w:r>
        <w:rPr>
          <w:rFonts w:hint="eastAsia"/>
        </w:rPr>
        <w:t>九、甲方发现乙方有违反本协议或者采用不正当的手段行贿甲方工作人员等不正当竞争行为的，甲方有权解除合同。</w:t>
      </w:r>
    </w:p>
    <w:p w14:paraId="6A37270F">
      <w:pPr>
        <w:spacing w:line="340" w:lineRule="exact"/>
        <w:ind w:firstLine="420"/>
      </w:pPr>
      <w:r>
        <w:rPr>
          <w:rFonts w:hint="eastAsia"/>
        </w:rPr>
        <w:t>十、本廉洁协议作为合同的附件，与合同具有同等法律效力。经协议双方签署后立即生效。</w:t>
      </w:r>
    </w:p>
    <w:p w14:paraId="60E25D3D">
      <w:pPr>
        <w:spacing w:line="340" w:lineRule="exact"/>
        <w:ind w:firstLine="420"/>
        <w:rPr>
          <w:bCs/>
        </w:rPr>
      </w:pPr>
      <w:r>
        <w:rPr>
          <w:rFonts w:hint="eastAsia"/>
        </w:rPr>
        <w:t>十一、</w:t>
      </w:r>
      <w:r>
        <w:rPr>
          <w:rFonts w:hint="eastAsia"/>
          <w:bCs/>
        </w:rPr>
        <w:t>本合同正本一式</w:t>
      </w:r>
      <w:r>
        <w:rPr>
          <w:rFonts w:hint="eastAsia"/>
          <w:b/>
          <w:bCs/>
          <w:u w:val="single"/>
        </w:rPr>
        <w:t>肆</w:t>
      </w:r>
      <w:r>
        <w:rPr>
          <w:rFonts w:hint="eastAsia"/>
          <w:bCs/>
        </w:rPr>
        <w:t>份，</w:t>
      </w:r>
      <w:r>
        <w:rPr>
          <w:rFonts w:hint="eastAsia"/>
          <w:lang w:val="zh-CN"/>
        </w:rPr>
        <w:t>甲方执</w:t>
      </w:r>
      <w:r>
        <w:rPr>
          <w:rFonts w:hint="eastAsia"/>
          <w:b/>
          <w:u w:val="single"/>
        </w:rPr>
        <w:t>贰</w:t>
      </w:r>
      <w:r>
        <w:rPr>
          <w:rFonts w:hint="eastAsia"/>
          <w:lang w:val="zh-CN"/>
        </w:rPr>
        <w:t>份，乙方执</w:t>
      </w:r>
      <w:r>
        <w:rPr>
          <w:rFonts w:hint="eastAsia"/>
          <w:b/>
          <w:u w:val="single"/>
          <w:lang w:val="zh-CN"/>
        </w:rPr>
        <w:t>贰</w:t>
      </w:r>
      <w:r>
        <w:rPr>
          <w:rFonts w:hint="eastAsia"/>
          <w:lang w:val="zh-CN"/>
        </w:rPr>
        <w:t>份，</w:t>
      </w:r>
      <w:r>
        <w:rPr>
          <w:rFonts w:hint="eastAsia"/>
        </w:rPr>
        <w:t>从签订之日起生效。</w:t>
      </w:r>
    </w:p>
    <w:p w14:paraId="671FD17D">
      <w:pPr>
        <w:spacing w:line="340" w:lineRule="exact"/>
      </w:pPr>
    </w:p>
    <w:p w14:paraId="4AB48A91">
      <w:pPr>
        <w:spacing w:line="340" w:lineRule="exact"/>
        <w:ind w:left="5460" w:right="-512" w:hanging="5460"/>
        <w:contextualSpacing/>
        <w:rPr>
          <w:rFonts w:cs="宋体"/>
          <w:b/>
        </w:rPr>
      </w:pPr>
      <w:r>
        <w:rPr>
          <w:rFonts w:hint="eastAsia" w:cs="宋体"/>
        </w:rPr>
        <w:t>甲方：（盖章）</w:t>
      </w:r>
      <w:r>
        <w:rPr>
          <w:rFonts w:hint="eastAsia" w:hAnsi="宋体" w:cs="宋体"/>
          <w:b/>
          <w:bCs/>
        </w:rPr>
        <w:t xml:space="preserve">                           </w:t>
      </w:r>
      <w:r>
        <w:rPr>
          <w:rFonts w:hint="eastAsia" w:cs="宋体"/>
        </w:rPr>
        <w:t>乙方：（盖章）</w:t>
      </w:r>
    </w:p>
    <w:p w14:paraId="0B34B492">
      <w:pPr>
        <w:spacing w:line="340" w:lineRule="exact"/>
        <w:ind w:left="5460" w:right="-512" w:hanging="5460"/>
        <w:contextualSpacing/>
        <w:rPr>
          <w:rFonts w:cs="宋体"/>
        </w:rPr>
      </w:pPr>
      <w:r>
        <w:rPr>
          <w:rFonts w:hint="eastAsia" w:cs="宋体"/>
        </w:rPr>
        <w:t>法定代表人：                            法定代表人：</w:t>
      </w:r>
    </w:p>
    <w:p w14:paraId="7FFFFAFC">
      <w:pPr>
        <w:spacing w:line="340" w:lineRule="exact"/>
        <w:ind w:left="5460" w:right="-512" w:hanging="5460"/>
        <w:contextualSpacing/>
        <w:rPr>
          <w:rFonts w:cs="宋体"/>
        </w:rPr>
      </w:pPr>
      <w:r>
        <w:rPr>
          <w:rFonts w:hint="eastAsia" w:cs="宋体"/>
        </w:rPr>
        <w:t>（或授权签约人）：                    （或授权签约人）：</w:t>
      </w:r>
    </w:p>
    <w:p w14:paraId="1A4C8D5C">
      <w:pPr>
        <w:spacing w:line="340" w:lineRule="exact"/>
        <w:ind w:left="5460" w:right="-512" w:hanging="5460"/>
        <w:contextualSpacing/>
        <w:rPr>
          <w:rFonts w:cs="宋体"/>
        </w:rPr>
      </w:pPr>
    </w:p>
    <w:p w14:paraId="05D7C6FC">
      <w:pPr>
        <w:spacing w:line="340" w:lineRule="exact"/>
        <w:ind w:left="5460" w:right="-512" w:hanging="5460"/>
        <w:contextualSpacing/>
        <w:rPr>
          <w:rFonts w:cs="宋体"/>
        </w:rPr>
      </w:pPr>
    </w:p>
    <w:p w14:paraId="41F96CBE">
      <w:pPr>
        <w:spacing w:line="340" w:lineRule="exact"/>
        <w:ind w:left="5460" w:right="-512" w:hanging="5460"/>
        <w:contextualSpacing/>
        <w:rPr>
          <w:rFonts w:cs="宋体"/>
        </w:rPr>
      </w:pPr>
      <w:r>
        <w:rPr>
          <w:rFonts w:hint="eastAsia" w:cs="宋体"/>
        </w:rPr>
        <w:t>日  期：2026年  月   日                日  期：2026年 月   日</w:t>
      </w:r>
    </w:p>
    <w:p w14:paraId="18CD7B89">
      <w:pPr>
        <w:pStyle w:val="243"/>
        <w:rPr>
          <w:rFonts w:cs="宋体"/>
        </w:rPr>
      </w:pPr>
    </w:p>
    <w:p w14:paraId="1E08E753">
      <w:pPr>
        <w:pStyle w:val="243"/>
        <w:ind w:left="0" w:firstLine="0"/>
        <w:rPr>
          <w:rFonts w:cs="宋体"/>
        </w:rPr>
      </w:pPr>
    </w:p>
    <w:p w14:paraId="569F299A">
      <w:pPr>
        <w:pStyle w:val="243"/>
        <w:ind w:left="0" w:firstLine="0"/>
        <w:rPr>
          <w:rFonts w:cs="宋体"/>
        </w:rPr>
      </w:pPr>
    </w:p>
    <w:p w14:paraId="330BD99B">
      <w:pPr>
        <w:pStyle w:val="191"/>
        <w:spacing w:before="0" w:after="0" w:line="360" w:lineRule="auto"/>
        <w:jc w:val="center"/>
        <w:rPr>
          <w:sz w:val="24"/>
          <w:szCs w:val="24"/>
        </w:rPr>
      </w:pPr>
      <w:r>
        <w:rPr>
          <w:rFonts w:hint="eastAsia"/>
          <w:sz w:val="36"/>
        </w:rPr>
        <w:t>第四章 项目需求</w:t>
      </w:r>
      <w:bookmarkEnd w:id="93"/>
      <w:bookmarkEnd w:id="94"/>
      <w:bookmarkStart w:id="95" w:name="_Toc497133122"/>
    </w:p>
    <w:p w14:paraId="68A7CEEC">
      <w:pPr>
        <w:spacing w:line="360" w:lineRule="auto"/>
        <w:rPr>
          <w:rFonts w:hint="eastAsia" w:ascii="宋体" w:hAnsi="宋体" w:cs="宋体"/>
          <w:b/>
          <w:bCs/>
          <w:szCs w:val="21"/>
        </w:rPr>
      </w:pPr>
      <w:r>
        <w:rPr>
          <w:rFonts w:hint="eastAsia" w:ascii="宋体" w:hAnsi="宋体" w:cs="宋体"/>
          <w:b/>
          <w:bCs/>
          <w:szCs w:val="21"/>
        </w:rPr>
        <w:t>一、项目说明</w:t>
      </w:r>
    </w:p>
    <w:p w14:paraId="08BA15BF">
      <w:pPr>
        <w:spacing w:line="360" w:lineRule="auto"/>
        <w:rPr>
          <w:rFonts w:hint="eastAsia" w:ascii="宋体" w:hAnsi="宋体" w:cs="宋体"/>
          <w:b/>
          <w:bCs/>
          <w:szCs w:val="21"/>
        </w:rPr>
      </w:pPr>
      <w:r>
        <w:rPr>
          <w:rFonts w:hint="eastAsia" w:ascii="宋体" w:hAnsi="宋体" w:cs="宋体"/>
          <w:b/>
          <w:bCs/>
          <w:szCs w:val="21"/>
        </w:rPr>
        <w:t xml:space="preserve"> 项目概况</w:t>
      </w:r>
    </w:p>
    <w:p w14:paraId="65E0E3FA">
      <w:pPr>
        <w:spacing w:line="360" w:lineRule="auto"/>
        <w:ind w:left="11" w:firstLine="420" w:firstLineChars="200"/>
        <w:rPr>
          <w:rFonts w:hint="eastAsia" w:ascii="宋体" w:hAnsi="宋体" w:eastAsia="宋体" w:cs="宋体"/>
          <w:szCs w:val="21"/>
          <w:lang w:eastAsia="zh-CN"/>
        </w:rPr>
      </w:pPr>
      <w:r>
        <w:rPr>
          <w:rFonts w:hint="eastAsia" w:ascii="宋体" w:hAnsi="宋体" w:cs="宋体"/>
          <w:szCs w:val="21"/>
        </w:rPr>
        <w:t>1.项目全称：</w:t>
      </w:r>
      <w:r>
        <w:rPr>
          <w:rFonts w:hint="eastAsia"/>
          <w:szCs w:val="21"/>
          <w:lang w:eastAsia="zh-CN"/>
        </w:rPr>
        <w:t>扬州大学附属医院西区医院医气系统采购及改造项目（二次）</w:t>
      </w:r>
    </w:p>
    <w:p w14:paraId="7F96D25F">
      <w:pPr>
        <w:spacing w:line="360" w:lineRule="auto"/>
        <w:ind w:left="11" w:firstLine="420" w:firstLineChars="200"/>
        <w:rPr>
          <w:rFonts w:hint="eastAsia" w:ascii="宋体" w:hAnsi="宋体" w:cs="宋体"/>
          <w:szCs w:val="21"/>
        </w:rPr>
      </w:pPr>
      <w:r>
        <w:rPr>
          <w:rFonts w:hint="eastAsia" w:ascii="宋体" w:hAnsi="宋体" w:cs="宋体"/>
          <w:szCs w:val="21"/>
        </w:rPr>
        <w:t>2.实施地点：西区病房无油空压站、西区特种气体站房、西区供应室、西区一楼供氧站。</w:t>
      </w:r>
    </w:p>
    <w:p w14:paraId="58117D92">
      <w:pPr>
        <w:spacing w:line="360" w:lineRule="auto"/>
        <w:ind w:left="11" w:firstLine="420" w:firstLineChars="200"/>
        <w:rPr>
          <w:rFonts w:hint="eastAsia" w:ascii="宋体" w:hAnsi="宋体" w:cs="宋体"/>
          <w:szCs w:val="21"/>
        </w:rPr>
      </w:pPr>
      <w:r>
        <w:rPr>
          <w:rFonts w:hint="eastAsia" w:ascii="宋体" w:hAnsi="宋体" w:cs="宋体"/>
          <w:szCs w:val="21"/>
        </w:rPr>
        <w:t>3.改造背景：西区现有医用空气与器械用气混接、压力/浓度监测报警缺失、空压机组无备用等安全隐患，不符合现行国家医用气体强制规范。</w:t>
      </w:r>
    </w:p>
    <w:p w14:paraId="320B3C02">
      <w:pPr>
        <w:spacing w:line="360" w:lineRule="auto"/>
        <w:ind w:left="11" w:firstLine="420" w:firstLineChars="200"/>
        <w:rPr>
          <w:rFonts w:hint="eastAsia" w:ascii="宋体" w:hAnsi="宋体" w:cs="宋体"/>
          <w:szCs w:val="21"/>
        </w:rPr>
      </w:pPr>
      <w:r>
        <w:rPr>
          <w:rFonts w:hint="eastAsia" w:ascii="宋体" w:hAnsi="宋体" w:cs="宋体"/>
          <w:szCs w:val="21"/>
        </w:rPr>
        <w:t>4.项目性质：全包干交钥匙工程，中标人负责方案深化设计、全部设备原厂供货、旧设备拆除清运、管材辅材采购、脱脂、焊接、保温、接地、电气施工、系统吹扫试压、联动调试、第三方检测、竣工图纸编制、人员培训、二年全包质保、终身售后等，全过程所有人工、材料、机械、运输、检测、税费、措施费均包含在投标总价内，采购人无任何增量付费义务。</w:t>
      </w:r>
    </w:p>
    <w:p w14:paraId="7409D6C4">
      <w:pPr>
        <w:spacing w:line="360" w:lineRule="auto"/>
        <w:ind w:left="11" w:firstLine="420" w:firstLineChars="200"/>
        <w:rPr>
          <w:rFonts w:hint="eastAsia" w:ascii="宋体" w:hAnsi="宋体" w:cs="宋体"/>
          <w:szCs w:val="21"/>
        </w:rPr>
      </w:pPr>
      <w:r>
        <w:rPr>
          <w:rFonts w:hint="eastAsia" w:ascii="宋体" w:hAnsi="宋体" w:cs="宋体"/>
          <w:szCs w:val="21"/>
        </w:rPr>
        <w:t>5.改造核心目标（1）西区新建独立无油医用压缩空气系统，专供病房临床，达到医用无油洁净空气标准；（2）供应室、洗衣房彻底切断医用空气主管，新建独立微油器械用气系统，杜绝医气混用违规；（3）完善全站房等电位接地、绝缘隔离、CO₂/CO在线监测报警、压缩空气流量计；（4）西区液氧站加装流量、罐压、氧浓度实时监测；（5）全部管道、阀门、压力容器、电控系统达标，通过院内及第三方竣工验收。</w:t>
      </w:r>
    </w:p>
    <w:p w14:paraId="38810654">
      <w:pPr>
        <w:spacing w:line="360" w:lineRule="auto"/>
        <w:rPr>
          <w:rFonts w:hint="eastAsia" w:ascii="宋体" w:hAnsi="宋体" w:cs="宋体"/>
          <w:szCs w:val="21"/>
        </w:rPr>
      </w:pPr>
      <w:r>
        <w:rPr>
          <w:rFonts w:hint="eastAsia" w:ascii="宋体" w:hAnsi="宋体" w:cs="宋体"/>
          <w:b/>
          <w:bCs/>
          <w:szCs w:val="21"/>
        </w:rPr>
        <w:t>完整招标范围</w:t>
      </w:r>
    </w:p>
    <w:p w14:paraId="48DC985C">
      <w:pPr>
        <w:spacing w:line="360" w:lineRule="auto"/>
        <w:ind w:firstLine="420" w:firstLineChars="200"/>
        <w:rPr>
          <w:rFonts w:hint="eastAsia" w:ascii="宋体" w:hAnsi="宋体" w:cs="宋体"/>
          <w:szCs w:val="21"/>
        </w:rPr>
      </w:pPr>
      <w:r>
        <w:rPr>
          <w:rFonts w:hint="eastAsia" w:ascii="宋体" w:hAnsi="宋体" w:cs="宋体"/>
          <w:szCs w:val="21"/>
        </w:rPr>
        <w:t>1.西区病房无油医用压缩空气成套系统</w:t>
      </w:r>
    </w:p>
    <w:p w14:paraId="51CDE513">
      <w:pPr>
        <w:spacing w:line="360" w:lineRule="auto"/>
        <w:ind w:firstLine="420" w:firstLineChars="200"/>
        <w:rPr>
          <w:rFonts w:hint="eastAsia" w:ascii="宋体" w:hAnsi="宋体" w:cs="宋体"/>
          <w:szCs w:val="21"/>
        </w:rPr>
      </w:pPr>
      <w:r>
        <w:rPr>
          <w:rFonts w:hint="eastAsia" w:ascii="宋体" w:hAnsi="宋体" w:cs="宋体"/>
          <w:szCs w:val="21"/>
        </w:rPr>
        <w:t>22kW 无油涡旋医用空压机、冷冻干燥机、微热再生吸干机、2m³ 储气罐 + 0.6m³ 缓冲罐、四级精密过滤（除尘 / 主路 / 高效 / 除菌）、不低于7寸显示屏机组联动电控柜、一氧化碳在线报警器、站房管路、电气布线、减压装置、原有老旧空压机整套拆除。</w:t>
      </w:r>
    </w:p>
    <w:p w14:paraId="62D9FA11">
      <w:pPr>
        <w:spacing w:line="360" w:lineRule="auto"/>
        <w:ind w:firstLine="420" w:firstLineChars="200"/>
        <w:rPr>
          <w:rFonts w:hint="eastAsia" w:ascii="宋体" w:hAnsi="宋体" w:cs="宋体"/>
          <w:szCs w:val="21"/>
        </w:rPr>
      </w:pPr>
      <w:r>
        <w:rPr>
          <w:rFonts w:hint="eastAsia" w:ascii="宋体" w:hAnsi="宋体" w:cs="宋体"/>
          <w:szCs w:val="21"/>
        </w:rPr>
        <w:t>2.西区特种气体站房安全专项改造</w:t>
      </w:r>
    </w:p>
    <w:p w14:paraId="5F5B5B28">
      <w:pPr>
        <w:spacing w:line="360" w:lineRule="auto"/>
        <w:ind w:firstLine="420" w:firstLineChars="200"/>
        <w:rPr>
          <w:rFonts w:hint="eastAsia" w:ascii="宋体" w:hAnsi="宋体" w:cs="宋体"/>
          <w:szCs w:val="21"/>
        </w:rPr>
      </w:pPr>
      <w:r>
        <w:rPr>
          <w:rFonts w:hint="eastAsia" w:ascii="宋体" w:hAnsi="宋体" w:cs="宋体"/>
          <w:szCs w:val="21"/>
        </w:rPr>
        <w:t>全站等电位接地干线敷设、金属支架 / 管道绝缘垫片加装、接地电阻检测、CO₂浓度报警系统（报警信号接入氧气班班组）、负压吸引分汽缸从空压站迁移至负压专用机房、负压管路重新敷设封堵、站房管线色标标识全套施工。</w:t>
      </w:r>
    </w:p>
    <w:p w14:paraId="4EC4E678">
      <w:pPr>
        <w:spacing w:line="360" w:lineRule="auto"/>
        <w:ind w:firstLine="420" w:firstLineChars="200"/>
        <w:rPr>
          <w:rFonts w:hint="eastAsia" w:ascii="宋体" w:hAnsi="宋体" w:cs="宋体"/>
          <w:szCs w:val="21"/>
        </w:rPr>
      </w:pPr>
      <w:r>
        <w:rPr>
          <w:rFonts w:hint="eastAsia" w:ascii="宋体" w:hAnsi="宋体" w:cs="宋体"/>
          <w:szCs w:val="21"/>
        </w:rPr>
        <w:t>3.西区供应室、洗衣房独立器械压缩空气系统</w:t>
      </w:r>
    </w:p>
    <w:p w14:paraId="72CA7ABC">
      <w:pPr>
        <w:spacing w:line="360" w:lineRule="auto"/>
        <w:ind w:firstLine="420" w:firstLineChars="200"/>
        <w:rPr>
          <w:rFonts w:hint="eastAsia" w:ascii="宋体" w:hAnsi="宋体" w:cs="宋体"/>
          <w:szCs w:val="21"/>
        </w:rPr>
      </w:pPr>
      <w:r>
        <w:rPr>
          <w:rFonts w:hint="eastAsia" w:ascii="宋体" w:hAnsi="宋体" w:cs="宋体"/>
          <w:szCs w:val="21"/>
        </w:rPr>
        <w:t>新增微油空气机组及成套过滤、2m³ 碳钢储气罐、露点在线监测仪、更换全新分汽缸、独立无缝铜管、完全切断原有医用空气接口并永久封堵、管路物理隔离标识施工。</w:t>
      </w:r>
    </w:p>
    <w:p w14:paraId="5CD362C6">
      <w:pPr>
        <w:spacing w:line="360" w:lineRule="auto"/>
        <w:ind w:firstLine="420" w:firstLineChars="200"/>
        <w:rPr>
          <w:rFonts w:hint="eastAsia" w:ascii="宋体" w:hAnsi="宋体" w:cs="宋体"/>
          <w:szCs w:val="21"/>
        </w:rPr>
      </w:pPr>
      <w:r>
        <w:rPr>
          <w:rFonts w:hint="eastAsia" w:ascii="宋体" w:hAnsi="宋体" w:cs="宋体"/>
          <w:szCs w:val="21"/>
        </w:rPr>
        <w:t>4.西区一楼液氧站监测完善</w:t>
      </w:r>
    </w:p>
    <w:p w14:paraId="34813619">
      <w:pPr>
        <w:spacing w:line="360" w:lineRule="auto"/>
        <w:ind w:firstLine="420" w:firstLineChars="200"/>
        <w:rPr>
          <w:rFonts w:hint="eastAsia" w:ascii="宋体" w:hAnsi="宋体" w:cs="宋体"/>
          <w:szCs w:val="21"/>
        </w:rPr>
      </w:pPr>
      <w:r>
        <w:rPr>
          <w:rFonts w:hint="eastAsia" w:ascii="宋体" w:hAnsi="宋体" w:cs="宋体"/>
          <w:szCs w:val="21"/>
        </w:rPr>
        <w:t>大流量医用氧气主管流量计、4台独立液氧罐压力报警装置、氧气纯度浓度报警器、全部监测设备通讯布线、</w:t>
      </w:r>
      <w:r>
        <w:rPr>
          <w:rFonts w:hint="eastAsia" w:ascii="宋体" w:hAnsi="宋体" w:cs="宋体"/>
          <w:color w:val="000000"/>
          <w:szCs w:val="21"/>
        </w:rPr>
        <w:t>报警信号接入氧气班班组</w:t>
      </w:r>
      <w:r>
        <w:rPr>
          <w:rFonts w:hint="eastAsia" w:ascii="宋体" w:hAnsi="宋体" w:cs="宋体"/>
          <w:szCs w:val="21"/>
        </w:rPr>
        <w:t>。</w:t>
      </w:r>
    </w:p>
    <w:p w14:paraId="5C0533B3">
      <w:pPr>
        <w:spacing w:line="360" w:lineRule="auto"/>
        <w:ind w:firstLine="420" w:firstLineChars="200"/>
        <w:rPr>
          <w:rFonts w:hint="eastAsia" w:ascii="宋体" w:hAnsi="宋体" w:cs="宋体"/>
          <w:szCs w:val="21"/>
        </w:rPr>
      </w:pPr>
      <w:r>
        <w:rPr>
          <w:rFonts w:hint="eastAsia" w:ascii="宋体" w:hAnsi="宋体" w:cs="宋体"/>
          <w:szCs w:val="21"/>
        </w:rPr>
        <w:t>5. 配套全部辅助工作（全部含在总价）</w:t>
      </w:r>
    </w:p>
    <w:p w14:paraId="4E9D32F7">
      <w:pPr>
        <w:spacing w:line="360" w:lineRule="auto"/>
        <w:ind w:firstLine="420" w:firstLineChars="200"/>
        <w:rPr>
          <w:rFonts w:hint="eastAsia" w:ascii="宋体" w:hAnsi="宋体" w:cs="宋体"/>
          <w:szCs w:val="21"/>
        </w:rPr>
      </w:pPr>
      <w:r>
        <w:rPr>
          <w:rFonts w:hint="eastAsia" w:ascii="宋体" w:hAnsi="宋体" w:cs="宋体"/>
          <w:szCs w:val="21"/>
        </w:rPr>
        <w:t>5.1.原有报废空压机、旧储罐、老旧阀门、破损保温拆除、场内清运、合规处置；旧站房翻新改造；拆除后所有旧设备、旧罐体、旧阀门等物资产权归属采购人（院方）所有，中标人仅负责拆卸、场内搬运至院方指定存放区域，无权自行外运、变卖、处置旧设备；并负责原有报废压力容器注销申报、资料提交，相关规费、人工包含在总价內；</w:t>
      </w:r>
    </w:p>
    <w:p w14:paraId="7FB91EDE">
      <w:pPr>
        <w:spacing w:line="360" w:lineRule="auto"/>
        <w:ind w:firstLine="420" w:firstLineChars="200"/>
        <w:rPr>
          <w:rFonts w:hint="eastAsia" w:ascii="宋体" w:hAnsi="宋体" w:cs="宋体"/>
          <w:szCs w:val="21"/>
        </w:rPr>
      </w:pPr>
      <w:r>
        <w:rPr>
          <w:rFonts w:hint="eastAsia" w:ascii="宋体" w:hAnsi="宋体" w:cs="宋体"/>
          <w:szCs w:val="21"/>
        </w:rPr>
        <w:t>5.2.施工围挡、安全警示、夜间降噪、错峰施工人工降效；</w:t>
      </w:r>
    </w:p>
    <w:p w14:paraId="7BE2357D">
      <w:pPr>
        <w:spacing w:line="360" w:lineRule="auto"/>
        <w:ind w:firstLine="420" w:firstLineChars="200"/>
        <w:rPr>
          <w:rFonts w:hint="eastAsia" w:ascii="宋体" w:hAnsi="宋体" w:cs="宋体"/>
          <w:szCs w:val="21"/>
        </w:rPr>
      </w:pPr>
      <w:r>
        <w:rPr>
          <w:rFonts w:hint="eastAsia" w:ascii="宋体" w:hAnsi="宋体" w:cs="宋体"/>
          <w:szCs w:val="21"/>
        </w:rPr>
        <w:t>5.3.原有临床供气不间断保障专项方案、临时备用接驳措施；</w:t>
      </w:r>
    </w:p>
    <w:p w14:paraId="302AEC94">
      <w:pPr>
        <w:spacing w:line="360" w:lineRule="auto"/>
        <w:ind w:firstLine="420" w:firstLineChars="200"/>
        <w:rPr>
          <w:rFonts w:hint="eastAsia" w:ascii="宋体" w:hAnsi="宋体" w:cs="宋体"/>
          <w:szCs w:val="21"/>
        </w:rPr>
      </w:pPr>
      <w:r>
        <w:rPr>
          <w:rFonts w:hint="eastAsia" w:ascii="宋体" w:hAnsi="宋体" w:cs="宋体"/>
          <w:szCs w:val="21"/>
        </w:rPr>
        <w:t>5.4.所有管材、阀门、设备脱脂、氮气吹扫、分段压力试验、24h 气密性泄漏试验；</w:t>
      </w:r>
    </w:p>
    <w:p w14:paraId="79C2C074">
      <w:pPr>
        <w:spacing w:line="360" w:lineRule="auto"/>
        <w:ind w:firstLine="420" w:firstLineChars="200"/>
        <w:rPr>
          <w:rFonts w:hint="eastAsia" w:ascii="宋体" w:hAnsi="宋体" w:cs="宋体"/>
          <w:szCs w:val="21"/>
        </w:rPr>
      </w:pPr>
      <w:r>
        <w:rPr>
          <w:rFonts w:hint="eastAsia" w:ascii="宋体" w:hAnsi="宋体" w:cs="宋体"/>
          <w:szCs w:val="21"/>
        </w:rPr>
        <w:t>5.5.管道介质色标、流向箭头、设备铭牌、安全警示标识制作安装；</w:t>
      </w:r>
    </w:p>
    <w:p w14:paraId="3F5E286A">
      <w:pPr>
        <w:spacing w:line="360" w:lineRule="auto"/>
        <w:ind w:firstLine="420" w:firstLineChars="200"/>
        <w:rPr>
          <w:rFonts w:hint="eastAsia" w:ascii="宋体" w:hAnsi="宋体" w:cs="宋体"/>
          <w:szCs w:val="21"/>
        </w:rPr>
      </w:pPr>
      <w:r>
        <w:rPr>
          <w:rFonts w:hint="eastAsia" w:ascii="宋体" w:hAnsi="宋体" w:cs="宋体"/>
          <w:szCs w:val="21"/>
        </w:rPr>
        <w:t>5.6.投标人在投标文件中提供能够证明其空压机组所产气体完全满足GB50751-2012《医用气体工程技术规范》中对医用空气的品质要求的第三方检测报告；</w:t>
      </w:r>
    </w:p>
    <w:p w14:paraId="1A41312B">
      <w:pPr>
        <w:spacing w:line="360" w:lineRule="auto"/>
        <w:ind w:firstLine="420" w:firstLineChars="200"/>
        <w:rPr>
          <w:rFonts w:hint="eastAsia" w:ascii="宋体" w:hAnsi="宋体" w:cs="宋体"/>
          <w:szCs w:val="21"/>
        </w:rPr>
      </w:pPr>
      <w:r>
        <w:rPr>
          <w:rFonts w:hint="eastAsia" w:ascii="宋体" w:hAnsi="宋体" w:cs="宋体"/>
          <w:szCs w:val="21"/>
        </w:rPr>
        <w:t>5.7.竣工图（CAD 电子版 + 蓝图）、设备说明书、合格证、检测报告全套归档；</w:t>
      </w:r>
    </w:p>
    <w:p w14:paraId="5207FD1C">
      <w:pPr>
        <w:spacing w:line="360" w:lineRule="auto"/>
        <w:ind w:firstLine="420" w:firstLineChars="200"/>
        <w:rPr>
          <w:rFonts w:hint="eastAsia" w:ascii="宋体" w:hAnsi="宋体" w:cs="宋体"/>
          <w:szCs w:val="21"/>
        </w:rPr>
      </w:pPr>
      <w:r>
        <w:rPr>
          <w:rFonts w:hint="eastAsia" w:ascii="宋体" w:hAnsi="宋体" w:cs="宋体"/>
          <w:szCs w:val="21"/>
        </w:rPr>
        <w:t>5.8.院内操作、运维、安全专项培训；</w:t>
      </w:r>
    </w:p>
    <w:p w14:paraId="178607BF">
      <w:pPr>
        <w:spacing w:line="360" w:lineRule="auto"/>
        <w:ind w:firstLine="420" w:firstLineChars="200"/>
        <w:rPr>
          <w:rFonts w:hint="eastAsia" w:ascii="宋体" w:hAnsi="宋体" w:cs="宋体"/>
          <w:szCs w:val="21"/>
        </w:rPr>
      </w:pPr>
      <w:r>
        <w:rPr>
          <w:rFonts w:hint="eastAsia" w:ascii="宋体" w:hAnsi="宋体" w:cs="宋体"/>
          <w:szCs w:val="21"/>
        </w:rPr>
        <w:t>5.9.二年质保期内所有巡检、维修、耗材免费更换、年度系统校准。</w:t>
      </w:r>
    </w:p>
    <w:p w14:paraId="0BE3E56F">
      <w:pPr>
        <w:spacing w:line="360" w:lineRule="auto"/>
        <w:ind w:firstLine="420" w:firstLineChars="200"/>
        <w:rPr>
          <w:rFonts w:hint="eastAsia" w:ascii="宋体" w:hAnsi="宋体" w:cs="宋体"/>
          <w:szCs w:val="21"/>
        </w:rPr>
      </w:pPr>
      <w:bookmarkStart w:id="96" w:name="OLE_LINK9"/>
      <w:r>
        <w:rPr>
          <w:rFonts w:hint="eastAsia" w:ascii="宋体" w:hAnsi="宋体" w:cs="宋体"/>
          <w:szCs w:val="21"/>
        </w:rPr>
        <w:t>5.10.特种设备：中标人负责全程代办本项目所有新增压力容器（储气罐、缓冲罐、分汽缸）使用前首次检验、特种设备使用登记全套手续办理，承担全部报检、检测、行政登记费用；在系统竣工验收前完成市场监管部门使用</w:t>
      </w:r>
      <w:bookmarkStart w:id="97" w:name="OLE_LINK10"/>
      <w:r>
        <w:rPr>
          <w:rFonts w:hint="eastAsia" w:ascii="宋体" w:hAnsi="宋体" w:cs="宋体"/>
          <w:szCs w:val="21"/>
        </w:rPr>
        <w:t>登</w:t>
      </w:r>
      <w:bookmarkEnd w:id="97"/>
      <w:r>
        <w:rPr>
          <w:rFonts w:hint="eastAsia" w:ascii="宋体" w:hAnsi="宋体" w:cs="宋体"/>
          <w:szCs w:val="21"/>
        </w:rPr>
        <w:t>记取证，将《特种设备使用登记证》、首次检验报告、产品合格证、产品数据表、制造监督检验证明、竣工图纸等资料完整移交采购人，采购人无需另行付费</w:t>
      </w:r>
      <w:bookmarkEnd w:id="96"/>
      <w:r>
        <w:rPr>
          <w:rFonts w:hint="eastAsia" w:ascii="宋体" w:hAnsi="宋体" w:cs="宋体"/>
          <w:szCs w:val="21"/>
        </w:rPr>
        <w:t>。</w:t>
      </w:r>
    </w:p>
    <w:p w14:paraId="40E58BE5">
      <w:pPr>
        <w:spacing w:line="360" w:lineRule="auto"/>
        <w:rPr>
          <w:rFonts w:hint="eastAsia" w:ascii="宋体" w:hAnsi="宋体" w:cs="宋体"/>
          <w:b/>
          <w:bCs/>
          <w:szCs w:val="21"/>
        </w:rPr>
      </w:pPr>
      <w:r>
        <w:rPr>
          <w:rFonts w:hint="eastAsia" w:ascii="宋体" w:hAnsi="宋体" w:cs="宋体"/>
          <w:b/>
          <w:bCs/>
          <w:szCs w:val="21"/>
        </w:rPr>
        <w:t>必须执行国家、行业标准（强制逐条满足）</w:t>
      </w:r>
    </w:p>
    <w:p w14:paraId="4134AF5A">
      <w:pPr>
        <w:spacing w:line="360" w:lineRule="auto"/>
        <w:ind w:firstLine="420" w:firstLineChars="200"/>
        <w:rPr>
          <w:rFonts w:hint="eastAsia" w:ascii="宋体" w:hAnsi="宋体" w:cs="宋体"/>
          <w:szCs w:val="21"/>
        </w:rPr>
      </w:pPr>
      <w:r>
        <w:rPr>
          <w:rFonts w:hint="eastAsia" w:ascii="宋体" w:hAnsi="宋体" w:cs="宋体"/>
          <w:szCs w:val="21"/>
        </w:rPr>
        <w:t>1.GB 50751-2012《医用气体工程技术规范》</w:t>
      </w:r>
    </w:p>
    <w:p w14:paraId="1D37DD66">
      <w:pPr>
        <w:spacing w:line="360" w:lineRule="auto"/>
        <w:ind w:firstLine="420" w:firstLineChars="200"/>
        <w:rPr>
          <w:rFonts w:hint="eastAsia" w:ascii="宋体" w:hAnsi="宋体" w:cs="宋体"/>
          <w:szCs w:val="21"/>
        </w:rPr>
      </w:pPr>
      <w:r>
        <w:rPr>
          <w:rFonts w:hint="eastAsia" w:ascii="宋体" w:hAnsi="宋体" w:cs="宋体"/>
          <w:szCs w:val="21"/>
        </w:rPr>
        <w:t>2.GB/T 44059.1-2024《医用气体管道系统 第 1 部分：压缩医用气体和真空用管道系统》</w:t>
      </w:r>
    </w:p>
    <w:p w14:paraId="03355365">
      <w:pPr>
        <w:spacing w:line="360" w:lineRule="auto"/>
        <w:ind w:firstLine="420" w:firstLineChars="200"/>
        <w:rPr>
          <w:rFonts w:hint="eastAsia" w:ascii="宋体" w:hAnsi="宋体" w:cs="宋体"/>
          <w:szCs w:val="21"/>
        </w:rPr>
      </w:pPr>
      <w:r>
        <w:rPr>
          <w:rFonts w:hint="eastAsia" w:ascii="宋体" w:hAnsi="宋体" w:cs="宋体"/>
          <w:szCs w:val="21"/>
        </w:rPr>
        <w:t>3.GB 50236-2011《现场设备、工业管道焊接工程施工规范》</w:t>
      </w:r>
    </w:p>
    <w:p w14:paraId="2FCD0C27">
      <w:pPr>
        <w:spacing w:line="360" w:lineRule="auto"/>
        <w:ind w:firstLine="420" w:firstLineChars="200"/>
        <w:rPr>
          <w:rFonts w:hint="eastAsia" w:ascii="宋体" w:hAnsi="宋体" w:cs="宋体"/>
          <w:szCs w:val="21"/>
        </w:rPr>
      </w:pPr>
      <w:r>
        <w:rPr>
          <w:rFonts w:hint="eastAsia" w:ascii="宋体" w:hAnsi="宋体" w:cs="宋体"/>
          <w:szCs w:val="21"/>
        </w:rPr>
        <w:t>4.TSG 21-2016《固定式压力容器安全技术监察规程》</w:t>
      </w:r>
    </w:p>
    <w:p w14:paraId="6858126E">
      <w:pPr>
        <w:spacing w:line="360" w:lineRule="auto"/>
        <w:ind w:firstLine="420" w:firstLineChars="200"/>
        <w:rPr>
          <w:rFonts w:hint="eastAsia" w:ascii="宋体" w:hAnsi="宋体" w:cs="宋体"/>
          <w:szCs w:val="21"/>
        </w:rPr>
      </w:pPr>
      <w:r>
        <w:rPr>
          <w:rFonts w:hint="eastAsia" w:ascii="宋体" w:hAnsi="宋体" w:cs="宋体"/>
          <w:szCs w:val="21"/>
        </w:rPr>
        <w:t>5.TSG D0001-2021《压力管道安全技术监察规程 - 工业管道》</w:t>
      </w:r>
    </w:p>
    <w:p w14:paraId="15C7E3C6">
      <w:pPr>
        <w:spacing w:line="360" w:lineRule="auto"/>
        <w:ind w:firstLine="420" w:firstLineChars="200"/>
        <w:rPr>
          <w:rFonts w:hint="eastAsia" w:ascii="宋体" w:hAnsi="宋体" w:cs="宋体"/>
          <w:szCs w:val="21"/>
        </w:rPr>
      </w:pPr>
      <w:r>
        <w:rPr>
          <w:rFonts w:hint="eastAsia" w:ascii="宋体" w:hAnsi="宋体" w:cs="宋体"/>
          <w:szCs w:val="21"/>
        </w:rPr>
        <w:t>6.GB 50054《低压配电设计规范》（站房电气接地、漏电保护）</w:t>
      </w:r>
    </w:p>
    <w:p w14:paraId="3079E64B">
      <w:pPr>
        <w:spacing w:line="360" w:lineRule="auto"/>
        <w:ind w:firstLine="420" w:firstLineChars="200"/>
        <w:rPr>
          <w:rFonts w:hint="eastAsia" w:ascii="宋体" w:hAnsi="宋体" w:cs="宋体"/>
          <w:szCs w:val="21"/>
        </w:rPr>
      </w:pPr>
      <w:r>
        <w:rPr>
          <w:rFonts w:hint="eastAsia" w:ascii="宋体" w:hAnsi="宋体" w:cs="宋体"/>
          <w:szCs w:val="21"/>
        </w:rPr>
        <w:t>7.GB 50016《建筑设计防火规范》（液氧站、空压机站防火、通风要求）</w:t>
      </w:r>
    </w:p>
    <w:p w14:paraId="4F848A09">
      <w:pPr>
        <w:spacing w:line="360" w:lineRule="auto"/>
        <w:ind w:firstLine="420" w:firstLineChars="200"/>
        <w:rPr>
          <w:rFonts w:hint="eastAsia" w:ascii="宋体" w:hAnsi="宋体" w:cs="宋体"/>
          <w:szCs w:val="21"/>
        </w:rPr>
      </w:pPr>
      <w:r>
        <w:rPr>
          <w:rFonts w:hint="eastAsia" w:ascii="宋体" w:hAnsi="宋体" w:cs="宋体"/>
          <w:szCs w:val="21"/>
        </w:rPr>
        <w:t>8.YY/T 0298《医用中心供氧系统通用技术条件》</w:t>
      </w:r>
    </w:p>
    <w:p w14:paraId="4AFA169E">
      <w:pPr>
        <w:spacing w:line="360" w:lineRule="auto"/>
        <w:ind w:firstLine="420" w:firstLineChars="200"/>
        <w:rPr>
          <w:rFonts w:hint="eastAsia" w:ascii="宋体" w:hAnsi="宋体" w:cs="宋体"/>
          <w:szCs w:val="21"/>
        </w:rPr>
      </w:pPr>
      <w:r>
        <w:rPr>
          <w:rFonts w:hint="eastAsia" w:ascii="宋体" w:hAnsi="宋体" w:cs="宋体"/>
          <w:szCs w:val="21"/>
        </w:rPr>
        <w:t>9.《医疗器械监督管理条例》、《医疗器械生产 / 经营质量管理规范》</w:t>
      </w:r>
    </w:p>
    <w:p w14:paraId="77428BD4">
      <w:pPr>
        <w:spacing w:line="360" w:lineRule="auto"/>
        <w:ind w:firstLine="420" w:firstLineChars="200"/>
        <w:rPr>
          <w:rFonts w:hint="eastAsia" w:ascii="宋体" w:hAnsi="宋体" w:cs="宋体"/>
          <w:szCs w:val="21"/>
        </w:rPr>
      </w:pPr>
      <w:r>
        <w:rPr>
          <w:rFonts w:hint="eastAsia" w:ascii="宋体" w:hAnsi="宋体" w:cs="宋体"/>
          <w:szCs w:val="21"/>
        </w:rPr>
        <w:t>10.江苏省安全生产、消防、环保、特种设备地方现行管理规定</w:t>
      </w:r>
    </w:p>
    <w:p w14:paraId="4EFB3B73">
      <w:pPr>
        <w:spacing w:line="360" w:lineRule="auto"/>
        <w:rPr>
          <w:rFonts w:hint="eastAsia" w:ascii="宋体" w:hAnsi="宋体" w:cs="宋体"/>
          <w:b/>
          <w:bCs/>
          <w:szCs w:val="21"/>
        </w:rPr>
      </w:pPr>
      <w:r>
        <w:rPr>
          <w:rFonts w:hint="eastAsia" w:ascii="宋体" w:hAnsi="宋体" w:cs="宋体"/>
          <w:b/>
          <w:bCs/>
          <w:szCs w:val="21"/>
        </w:rPr>
        <w:t>项目通用硬性基础要求</w:t>
      </w:r>
    </w:p>
    <w:p w14:paraId="1724994D">
      <w:pPr>
        <w:spacing w:line="360" w:lineRule="auto"/>
        <w:ind w:firstLine="420" w:firstLineChars="200"/>
        <w:rPr>
          <w:rFonts w:hint="eastAsia" w:ascii="宋体" w:hAnsi="宋体" w:cs="宋体"/>
          <w:szCs w:val="21"/>
        </w:rPr>
      </w:pPr>
      <w:r>
        <w:rPr>
          <w:rFonts w:hint="eastAsia" w:ascii="宋体" w:hAnsi="宋体" w:cs="宋体"/>
          <w:szCs w:val="21"/>
        </w:rPr>
        <w:t>1.所有投标设备原厂全新正品，无翻新、无样机、无库存积压旧货，整机出厂合格证、原厂质保承诺、全套资质文件随货交付；</w:t>
      </w:r>
    </w:p>
    <w:p w14:paraId="7219CF60">
      <w:pPr>
        <w:spacing w:line="360" w:lineRule="auto"/>
        <w:ind w:firstLine="420" w:firstLineChars="200"/>
        <w:rPr>
          <w:rFonts w:hint="eastAsia" w:ascii="宋体" w:hAnsi="宋体" w:cs="宋体"/>
          <w:szCs w:val="21"/>
        </w:rPr>
      </w:pPr>
      <w:r>
        <w:rPr>
          <w:rFonts w:hint="eastAsia" w:ascii="宋体" w:hAnsi="宋体" w:cs="宋体"/>
          <w:szCs w:val="21"/>
        </w:rPr>
        <w:t>2.投标所有设备参数、性能不得低于本文件技术指标，低于参数视为无效投标；优于参数需在投标文件逐项标注偏离说明；</w:t>
      </w:r>
    </w:p>
    <w:p w14:paraId="63357CC0">
      <w:pPr>
        <w:spacing w:line="360" w:lineRule="auto"/>
        <w:ind w:firstLine="420" w:firstLineChars="200"/>
        <w:rPr>
          <w:rFonts w:hint="eastAsia" w:ascii="宋体" w:hAnsi="宋体" w:cs="宋体"/>
          <w:szCs w:val="21"/>
        </w:rPr>
      </w:pPr>
      <w:r>
        <w:rPr>
          <w:rFonts w:hint="eastAsia" w:ascii="宋体" w:hAnsi="宋体" w:cs="宋体"/>
          <w:szCs w:val="21"/>
        </w:rPr>
        <w:t>3.本文件仅列明主要设备清单，辅材、管件、线缆、密封件、保温、支架、焊材、脱脂剂、氮气吹扫介质等所有系统必需物料均由投标人自行配齐，采购人不另行增补费用；</w:t>
      </w:r>
    </w:p>
    <w:p w14:paraId="15FFBABA">
      <w:pPr>
        <w:spacing w:line="360" w:lineRule="auto"/>
        <w:ind w:firstLine="420" w:firstLineChars="200"/>
        <w:rPr>
          <w:rFonts w:hint="eastAsia" w:ascii="宋体" w:hAnsi="宋体" w:cs="宋体"/>
          <w:szCs w:val="21"/>
        </w:rPr>
      </w:pPr>
      <w:r>
        <w:rPr>
          <w:rFonts w:hint="eastAsia" w:ascii="宋体" w:hAnsi="宋体" w:cs="宋体"/>
          <w:szCs w:val="21"/>
        </w:rPr>
        <w:t>4.投标人须自行现场踏勘，核对站房尺寸、原有管路接口、用电负荷、场地荷载、消防条件，踏勘漏项、工程量预估不足全部由中标人自行承担；</w:t>
      </w:r>
    </w:p>
    <w:p w14:paraId="0EAB3768">
      <w:pPr>
        <w:spacing w:line="360" w:lineRule="auto"/>
        <w:ind w:firstLine="420" w:firstLineChars="200"/>
        <w:rPr>
          <w:rFonts w:hint="eastAsia" w:ascii="宋体" w:hAnsi="宋体" w:cs="宋体"/>
          <w:szCs w:val="21"/>
        </w:rPr>
      </w:pPr>
      <w:r>
        <w:rPr>
          <w:rFonts w:hint="eastAsia" w:ascii="宋体" w:hAnsi="宋体" w:cs="宋体"/>
          <w:szCs w:val="21"/>
        </w:rPr>
        <w:t>5.所有接触医用氧气、医用空气的设备、管材、阀门、密封件全程禁油，出厂脱脂 + 现场二次脱脂，每段管道、每台设备提供第三方脱脂检测合格报告；</w:t>
      </w:r>
    </w:p>
    <w:p w14:paraId="59794F58">
      <w:pPr>
        <w:spacing w:line="360" w:lineRule="auto"/>
        <w:ind w:firstLine="420" w:firstLineChars="200"/>
        <w:rPr>
          <w:rFonts w:hint="eastAsia" w:ascii="宋体" w:hAnsi="宋体" w:cs="宋体"/>
          <w:szCs w:val="21"/>
        </w:rPr>
      </w:pPr>
      <w:r>
        <w:rPr>
          <w:rFonts w:hint="eastAsia" w:ascii="宋体" w:hAnsi="宋体" w:cs="宋体"/>
          <w:szCs w:val="21"/>
        </w:rPr>
        <w:t>6.压力容器、压力管道施工人员、焊工、特种设备管理员必须持证上岗；</w:t>
      </w:r>
    </w:p>
    <w:p w14:paraId="1DE5D683">
      <w:pPr>
        <w:spacing w:line="360" w:lineRule="auto"/>
        <w:ind w:firstLine="420" w:firstLineChars="200"/>
        <w:rPr>
          <w:rFonts w:hint="eastAsia" w:ascii="宋体" w:hAnsi="宋体" w:cs="宋体"/>
          <w:szCs w:val="21"/>
        </w:rPr>
      </w:pPr>
      <w:r>
        <w:rPr>
          <w:rFonts w:hint="eastAsia" w:ascii="宋体" w:hAnsi="宋体" w:cs="宋体"/>
          <w:szCs w:val="21"/>
        </w:rPr>
        <w:t>7.施工全过程不得中断临床诊疗用气，改造切换方案须提前7天书面报送医院能动科备案，仅允许夜间低负荷时段接驳施工。</w:t>
      </w:r>
    </w:p>
    <w:p w14:paraId="15631684">
      <w:pPr>
        <w:spacing w:line="360" w:lineRule="auto"/>
        <w:rPr>
          <w:rFonts w:hint="eastAsia" w:ascii="宋体" w:hAnsi="宋体" w:cs="宋体"/>
          <w:b/>
          <w:bCs/>
          <w:szCs w:val="21"/>
        </w:rPr>
      </w:pPr>
      <w:r>
        <w:rPr>
          <w:rFonts w:hint="eastAsia" w:ascii="宋体" w:hAnsi="宋体" w:cs="宋体"/>
          <w:b/>
          <w:bCs/>
          <w:szCs w:val="21"/>
        </w:rPr>
        <w:t>二、 设备及工程量明细</w:t>
      </w: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557"/>
        <w:gridCol w:w="1655"/>
        <w:gridCol w:w="587"/>
        <w:gridCol w:w="827"/>
        <w:gridCol w:w="4664"/>
      </w:tblGrid>
      <w:tr w14:paraId="538D3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20" w:hRule="atLeast"/>
        </w:trPr>
        <w:tc>
          <w:tcPr>
            <w:tcW w:w="336" w:type="pct"/>
            <w:shd w:val="clear" w:color="auto" w:fill="FFFFFF" w:themeFill="background1"/>
            <w:noWrap/>
            <w:vAlign w:val="center"/>
          </w:tcPr>
          <w:p w14:paraId="15637EE7">
            <w:pPr>
              <w:widowControl/>
              <w:spacing w:line="360" w:lineRule="auto"/>
              <w:jc w:val="center"/>
              <w:rPr>
                <w:rFonts w:hint="eastAsia" w:ascii="宋体" w:hAnsi="宋体" w:cs="宋体"/>
                <w:b/>
                <w:bCs/>
                <w:color w:val="000000"/>
                <w:szCs w:val="21"/>
              </w:rPr>
            </w:pPr>
            <w:bookmarkStart w:id="98" w:name="OLE_LINK2"/>
            <w:r>
              <w:rPr>
                <w:rFonts w:hint="eastAsia" w:ascii="宋体" w:hAnsi="宋体" w:cs="宋体"/>
                <w:b/>
                <w:bCs/>
                <w:color w:val="000000"/>
                <w:szCs w:val="21"/>
              </w:rPr>
              <w:t>序号</w:t>
            </w:r>
          </w:p>
        </w:tc>
        <w:tc>
          <w:tcPr>
            <w:tcW w:w="998" w:type="pct"/>
            <w:shd w:val="clear" w:color="auto" w:fill="FFFFFF" w:themeFill="background1"/>
            <w:noWrap/>
            <w:vAlign w:val="center"/>
          </w:tcPr>
          <w:p w14:paraId="25081932">
            <w:pPr>
              <w:widowControl/>
              <w:spacing w:line="360" w:lineRule="auto"/>
              <w:jc w:val="center"/>
              <w:rPr>
                <w:rFonts w:hint="eastAsia" w:ascii="宋体" w:hAnsi="宋体" w:cs="宋体"/>
                <w:b/>
                <w:bCs/>
                <w:color w:val="000000"/>
                <w:szCs w:val="21"/>
              </w:rPr>
            </w:pPr>
            <w:r>
              <w:rPr>
                <w:rFonts w:hint="eastAsia" w:ascii="宋体" w:hAnsi="宋体" w:cs="宋体"/>
                <w:b/>
                <w:bCs/>
                <w:color w:val="000000"/>
                <w:szCs w:val="21"/>
              </w:rPr>
              <w:t>项目名称</w:t>
            </w:r>
          </w:p>
        </w:tc>
        <w:tc>
          <w:tcPr>
            <w:tcW w:w="354" w:type="pct"/>
            <w:shd w:val="clear" w:color="auto" w:fill="FFFFFF" w:themeFill="background1"/>
            <w:noWrap/>
            <w:vAlign w:val="center"/>
          </w:tcPr>
          <w:p w14:paraId="42BB4C42">
            <w:pPr>
              <w:widowControl/>
              <w:spacing w:line="360" w:lineRule="auto"/>
              <w:jc w:val="center"/>
              <w:rPr>
                <w:rFonts w:hint="eastAsia" w:ascii="宋体" w:hAnsi="宋体" w:cs="宋体"/>
                <w:b/>
                <w:bCs/>
                <w:color w:val="000000"/>
                <w:szCs w:val="21"/>
              </w:rPr>
            </w:pPr>
            <w:r>
              <w:rPr>
                <w:rFonts w:hint="eastAsia" w:ascii="宋体" w:hAnsi="宋体" w:cs="宋体"/>
                <w:b/>
                <w:bCs/>
                <w:color w:val="000000"/>
                <w:szCs w:val="21"/>
              </w:rPr>
              <w:t>单位</w:t>
            </w:r>
          </w:p>
        </w:tc>
        <w:tc>
          <w:tcPr>
            <w:tcW w:w="499" w:type="pct"/>
            <w:shd w:val="clear" w:color="auto" w:fill="FFFFFF" w:themeFill="background1"/>
            <w:noWrap/>
            <w:vAlign w:val="center"/>
          </w:tcPr>
          <w:p w14:paraId="2669698D">
            <w:pPr>
              <w:widowControl/>
              <w:spacing w:line="360" w:lineRule="auto"/>
              <w:jc w:val="center"/>
              <w:rPr>
                <w:rFonts w:hint="eastAsia" w:ascii="宋体" w:hAnsi="宋体" w:cs="宋体"/>
                <w:b/>
                <w:bCs/>
                <w:color w:val="000000"/>
                <w:szCs w:val="21"/>
              </w:rPr>
            </w:pPr>
            <w:r>
              <w:rPr>
                <w:rFonts w:hint="eastAsia" w:ascii="宋体" w:hAnsi="宋体" w:cs="宋体"/>
                <w:b/>
                <w:bCs/>
                <w:color w:val="000000"/>
                <w:szCs w:val="21"/>
              </w:rPr>
              <w:t>工程量</w:t>
            </w:r>
          </w:p>
        </w:tc>
        <w:tc>
          <w:tcPr>
            <w:tcW w:w="2813" w:type="pct"/>
            <w:shd w:val="clear" w:color="auto" w:fill="FFFFFF" w:themeFill="background1"/>
            <w:vAlign w:val="center"/>
          </w:tcPr>
          <w:p w14:paraId="35031D71">
            <w:pPr>
              <w:widowControl/>
              <w:spacing w:line="360" w:lineRule="auto"/>
              <w:jc w:val="center"/>
              <w:rPr>
                <w:rFonts w:hint="eastAsia" w:ascii="宋体" w:hAnsi="宋体" w:cs="宋体"/>
                <w:b/>
                <w:bCs/>
                <w:color w:val="000000"/>
                <w:szCs w:val="21"/>
              </w:rPr>
            </w:pPr>
            <w:r>
              <w:rPr>
                <w:rFonts w:hint="eastAsia" w:ascii="宋体" w:hAnsi="宋体" w:cs="宋体"/>
                <w:b/>
                <w:bCs/>
                <w:color w:val="000000"/>
                <w:szCs w:val="21"/>
              </w:rPr>
              <w:t>项目描述</w:t>
            </w:r>
          </w:p>
        </w:tc>
      </w:tr>
      <w:tr w14:paraId="0A0A6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000" w:type="pct"/>
            <w:gridSpan w:val="5"/>
            <w:shd w:val="clear" w:color="auto" w:fill="FFFFFF" w:themeFill="background1"/>
            <w:noWrap/>
            <w:vAlign w:val="center"/>
          </w:tcPr>
          <w:p w14:paraId="6C440F43">
            <w:pPr>
              <w:widowControl/>
              <w:spacing w:line="360" w:lineRule="auto"/>
              <w:rPr>
                <w:rFonts w:hint="eastAsia" w:ascii="宋体" w:hAnsi="宋体" w:cs="宋体"/>
                <w:color w:val="FF0000"/>
                <w:szCs w:val="21"/>
              </w:rPr>
            </w:pPr>
            <w:r>
              <w:rPr>
                <w:rFonts w:hint="eastAsia" w:ascii="宋体" w:hAnsi="宋体" w:cs="宋体"/>
                <w:b/>
                <w:bCs/>
                <w:color w:val="000000"/>
                <w:szCs w:val="21"/>
              </w:rPr>
              <w:t>一、病房空压机组（无油系统）</w:t>
            </w:r>
          </w:p>
        </w:tc>
      </w:tr>
      <w:tr w14:paraId="26A42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4BCA79EC">
            <w:pPr>
              <w:widowControl/>
              <w:spacing w:line="360" w:lineRule="auto"/>
              <w:rPr>
                <w:rFonts w:hint="eastAsia" w:ascii="宋体" w:hAnsi="宋体" w:cs="宋体"/>
                <w:color w:val="000000"/>
                <w:szCs w:val="21"/>
              </w:rPr>
            </w:pPr>
            <w:r>
              <w:rPr>
                <w:rFonts w:hint="eastAsia" w:ascii="宋体" w:hAnsi="宋体" w:cs="宋体"/>
                <w:color w:val="000000"/>
                <w:szCs w:val="21"/>
              </w:rPr>
              <w:t>1</w:t>
            </w:r>
          </w:p>
        </w:tc>
        <w:tc>
          <w:tcPr>
            <w:tcW w:w="998" w:type="pct"/>
            <w:shd w:val="clear" w:color="auto" w:fill="FFFFFF" w:themeFill="background1"/>
            <w:vAlign w:val="center"/>
          </w:tcPr>
          <w:p w14:paraId="31B41DF7">
            <w:pPr>
              <w:widowControl/>
              <w:spacing w:line="360" w:lineRule="auto"/>
              <w:rPr>
                <w:rFonts w:hint="eastAsia" w:ascii="宋体" w:hAnsi="宋体" w:cs="宋体"/>
                <w:color w:val="000000"/>
                <w:szCs w:val="21"/>
              </w:rPr>
            </w:pPr>
            <w:r>
              <w:rPr>
                <w:rFonts w:hint="eastAsia" w:ascii="宋体" w:hAnsi="宋体" w:cs="宋体"/>
                <w:color w:val="000000"/>
                <w:szCs w:val="21"/>
              </w:rPr>
              <w:t>无油空气压缩机</w:t>
            </w:r>
          </w:p>
        </w:tc>
        <w:tc>
          <w:tcPr>
            <w:tcW w:w="354" w:type="pct"/>
            <w:shd w:val="clear" w:color="auto" w:fill="FFFFFF" w:themeFill="background1"/>
            <w:noWrap/>
            <w:vAlign w:val="center"/>
          </w:tcPr>
          <w:p w14:paraId="65EE4E4A">
            <w:pPr>
              <w:widowControl/>
              <w:spacing w:line="360" w:lineRule="auto"/>
              <w:jc w:val="center"/>
              <w:rPr>
                <w:rFonts w:hint="eastAsia" w:ascii="宋体" w:hAnsi="宋体" w:cs="宋体"/>
                <w:color w:val="000000"/>
                <w:szCs w:val="21"/>
              </w:rPr>
            </w:pPr>
            <w:r>
              <w:rPr>
                <w:rFonts w:hint="eastAsia" w:ascii="宋体" w:hAnsi="宋体" w:cs="宋体"/>
                <w:color w:val="000000"/>
                <w:szCs w:val="21"/>
              </w:rPr>
              <w:t>台</w:t>
            </w:r>
          </w:p>
        </w:tc>
        <w:tc>
          <w:tcPr>
            <w:tcW w:w="499" w:type="pct"/>
            <w:shd w:val="clear" w:color="auto" w:fill="FFFFFF" w:themeFill="background1"/>
            <w:noWrap/>
            <w:vAlign w:val="center"/>
          </w:tcPr>
          <w:p w14:paraId="023E6A9E">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vAlign w:val="center"/>
          </w:tcPr>
          <w:p w14:paraId="2F8CDAEF">
            <w:pPr>
              <w:spacing w:line="360" w:lineRule="auto"/>
              <w:rPr>
                <w:rFonts w:hint="eastAsia" w:ascii="宋体" w:hAnsi="宋体" w:cs="宋体"/>
                <w:color w:val="FF0000"/>
                <w:szCs w:val="21"/>
              </w:rPr>
            </w:pPr>
            <w:bookmarkStart w:id="99" w:name="OLE_LINK19"/>
            <w:r>
              <w:rPr>
                <w:rFonts w:hint="eastAsia" w:ascii="宋体" w:hAnsi="宋体" w:cs="宋体"/>
                <w:szCs w:val="21"/>
              </w:rPr>
              <w:t>1.采用无油涡旋式压缩原理，</w:t>
            </w:r>
            <w:r>
              <w:rPr>
                <w:rFonts w:hint="eastAsia"/>
              </w:rPr>
              <w:t>单台额定压力≥0.8MPa，额定流量≥2.48m³/min，单套空压机额定电机功率≥22kw。内置 4 套独立涡旋压缩模块，一体化整机</w:t>
            </w:r>
            <w:r>
              <w:rPr>
                <w:rFonts w:hint="eastAsia" w:ascii="宋体" w:hAnsi="宋体" w:cs="宋体"/>
                <w:szCs w:val="21"/>
              </w:rPr>
              <w:t>；</w:t>
            </w:r>
          </w:p>
          <w:p w14:paraId="49B7CAC2">
            <w:pPr>
              <w:spacing w:line="360" w:lineRule="auto"/>
              <w:rPr>
                <w:rFonts w:hint="eastAsia" w:ascii="宋体" w:hAnsi="宋体" w:cs="宋体"/>
                <w:szCs w:val="21"/>
              </w:rPr>
            </w:pPr>
            <w:r>
              <w:rPr>
                <w:rFonts w:hint="eastAsia" w:ascii="宋体" w:hAnsi="宋体" w:cs="宋体"/>
                <w:szCs w:val="21"/>
              </w:rPr>
              <w:t>2.具备启停控制功能；</w:t>
            </w:r>
          </w:p>
          <w:p w14:paraId="2AEA4D58">
            <w:pPr>
              <w:spacing w:line="360" w:lineRule="auto"/>
              <w:rPr>
                <w:rFonts w:hint="eastAsia" w:ascii="宋体" w:hAnsi="宋体" w:cs="宋体"/>
                <w:szCs w:val="21"/>
              </w:rPr>
            </w:pPr>
            <w:r>
              <w:rPr>
                <w:rFonts w:hint="eastAsia" w:ascii="宋体" w:hAnsi="宋体" w:cs="宋体"/>
                <w:szCs w:val="21"/>
              </w:rPr>
              <w:t>3.具备稳定高效压缩输出能力；</w:t>
            </w:r>
          </w:p>
          <w:p w14:paraId="79A5ECC7">
            <w:pPr>
              <w:spacing w:line="360" w:lineRule="auto"/>
              <w:rPr>
                <w:rFonts w:hint="eastAsia" w:ascii="宋体" w:hAnsi="宋体" w:cs="宋体"/>
                <w:szCs w:val="21"/>
              </w:rPr>
            </w:pPr>
            <w:r>
              <w:rPr>
                <w:rFonts w:hint="eastAsia" w:ascii="宋体" w:hAnsi="宋体" w:cs="宋体"/>
                <w:szCs w:val="21"/>
              </w:rPr>
              <w:t>4.具备多机组适配能力，可保障低负荷工况运行效率；</w:t>
            </w:r>
          </w:p>
          <w:p w14:paraId="6D7976E4">
            <w:pPr>
              <w:spacing w:line="360" w:lineRule="auto"/>
              <w:rPr>
                <w:rFonts w:hint="eastAsia" w:ascii="宋体" w:hAnsi="宋体" w:cs="宋体"/>
                <w:szCs w:val="21"/>
              </w:rPr>
            </w:pPr>
            <w:r>
              <w:rPr>
                <w:rFonts w:hint="eastAsia" w:ascii="宋体" w:hAnsi="宋体" w:cs="宋体"/>
                <w:szCs w:val="21"/>
              </w:rPr>
              <w:t>5.配置散热风扇，保障设备低温运行；</w:t>
            </w:r>
          </w:p>
          <w:p w14:paraId="67D2F88B">
            <w:pPr>
              <w:spacing w:line="360" w:lineRule="auto"/>
              <w:rPr>
                <w:rFonts w:hint="eastAsia" w:ascii="宋体" w:hAnsi="宋体" w:cs="宋体"/>
                <w:szCs w:val="21"/>
              </w:rPr>
            </w:pPr>
            <w:r>
              <w:rPr>
                <w:rFonts w:hint="eastAsia" w:ascii="宋体" w:hAnsi="宋体" w:cs="宋体"/>
                <w:szCs w:val="21"/>
              </w:rPr>
              <w:t>6.可与既有旧机组并列运行，具备手动/自动运行切换功能；</w:t>
            </w:r>
          </w:p>
          <w:p w14:paraId="2395E61B">
            <w:pPr>
              <w:spacing w:line="360" w:lineRule="auto"/>
              <w:rPr>
                <w:rFonts w:hint="eastAsia" w:ascii="宋体" w:hAnsi="宋体" w:cs="宋体"/>
                <w:szCs w:val="21"/>
              </w:rPr>
            </w:pPr>
            <w:bookmarkStart w:id="100" w:name="OLE_LINK7"/>
            <w:r>
              <w:rPr>
                <w:rFonts w:hint="eastAsia"/>
              </w:rPr>
              <w:t>7.整机配置完整自冷却系统，可同时对机组本体及压缩排气进行冷却 ；设备基础减振隔振</w:t>
            </w:r>
            <w:r>
              <w:rPr>
                <w:rFonts w:hint="eastAsia" w:ascii="宋体" w:hAnsi="宋体" w:cs="宋体"/>
                <w:szCs w:val="21"/>
              </w:rPr>
              <w:t>；</w:t>
            </w:r>
          </w:p>
          <w:bookmarkEnd w:id="100"/>
          <w:p w14:paraId="2C84AABB">
            <w:pPr>
              <w:spacing w:line="360" w:lineRule="auto"/>
              <w:rPr>
                <w:rFonts w:hint="eastAsia" w:ascii="宋体" w:hAnsi="宋体" w:cs="宋体"/>
                <w:szCs w:val="21"/>
              </w:rPr>
            </w:pPr>
            <w:r>
              <w:rPr>
                <w:rFonts w:hint="eastAsia" w:ascii="宋体" w:hAnsi="宋体" w:cs="宋体"/>
                <w:szCs w:val="21"/>
              </w:rPr>
              <w:t>8.机组本体集成单向止回功能；</w:t>
            </w:r>
          </w:p>
          <w:p w14:paraId="48A96C14">
            <w:pPr>
              <w:spacing w:line="360" w:lineRule="auto"/>
              <w:rPr>
                <w:rFonts w:hint="eastAsia" w:ascii="宋体" w:hAnsi="宋体" w:cs="宋体"/>
                <w:color w:val="FF0000"/>
                <w:szCs w:val="21"/>
              </w:rPr>
            </w:pPr>
            <w:r>
              <w:rPr>
                <w:rFonts w:hint="eastAsia" w:ascii="宋体" w:hAnsi="宋体" w:cs="宋体"/>
                <w:szCs w:val="21"/>
              </w:rPr>
              <w:t>9.整机具备class 0无油零等级认证</w:t>
            </w:r>
            <w:bookmarkEnd w:id="99"/>
            <w:r>
              <w:rPr>
                <w:rFonts w:hint="eastAsia" w:ascii="宋体" w:hAnsi="宋体" w:cs="宋体"/>
                <w:szCs w:val="21"/>
              </w:rPr>
              <w:t>。</w:t>
            </w:r>
          </w:p>
        </w:tc>
      </w:tr>
      <w:tr w14:paraId="43F3C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02542142">
            <w:pPr>
              <w:widowControl/>
              <w:spacing w:line="360" w:lineRule="auto"/>
              <w:rPr>
                <w:rFonts w:hint="eastAsia" w:ascii="宋体" w:hAnsi="宋体" w:cs="宋体"/>
                <w:color w:val="000000"/>
                <w:szCs w:val="21"/>
              </w:rPr>
            </w:pPr>
            <w:r>
              <w:rPr>
                <w:rFonts w:hint="eastAsia" w:ascii="宋体" w:hAnsi="宋体" w:cs="宋体"/>
                <w:color w:val="000000"/>
                <w:szCs w:val="21"/>
              </w:rPr>
              <w:t>2</w:t>
            </w:r>
          </w:p>
        </w:tc>
        <w:tc>
          <w:tcPr>
            <w:tcW w:w="998" w:type="pct"/>
            <w:shd w:val="clear" w:color="auto" w:fill="FFFFFF" w:themeFill="background1"/>
            <w:vAlign w:val="center"/>
          </w:tcPr>
          <w:p w14:paraId="708C895C">
            <w:pPr>
              <w:widowControl/>
              <w:spacing w:line="360" w:lineRule="auto"/>
              <w:rPr>
                <w:rFonts w:hint="eastAsia" w:ascii="宋体" w:hAnsi="宋体" w:cs="宋体"/>
                <w:color w:val="000000"/>
                <w:szCs w:val="21"/>
              </w:rPr>
            </w:pPr>
            <w:r>
              <w:rPr>
                <w:rFonts w:hint="eastAsia" w:ascii="宋体" w:hAnsi="宋体" w:cs="宋体"/>
                <w:color w:val="000000"/>
                <w:szCs w:val="21"/>
              </w:rPr>
              <w:t>冷冻式干燥机</w:t>
            </w:r>
          </w:p>
        </w:tc>
        <w:tc>
          <w:tcPr>
            <w:tcW w:w="354" w:type="pct"/>
            <w:shd w:val="clear" w:color="auto" w:fill="FFFFFF" w:themeFill="background1"/>
            <w:noWrap/>
            <w:vAlign w:val="center"/>
          </w:tcPr>
          <w:p w14:paraId="5A7E8AF4">
            <w:pPr>
              <w:widowControl/>
              <w:spacing w:line="360" w:lineRule="auto"/>
              <w:jc w:val="center"/>
              <w:rPr>
                <w:rFonts w:hint="eastAsia" w:ascii="宋体" w:hAnsi="宋体" w:cs="宋体"/>
                <w:color w:val="000000"/>
                <w:szCs w:val="21"/>
              </w:rPr>
            </w:pPr>
            <w:r>
              <w:rPr>
                <w:rFonts w:hint="eastAsia" w:ascii="宋体" w:hAnsi="宋体" w:cs="宋体"/>
                <w:color w:val="000000"/>
                <w:szCs w:val="21"/>
              </w:rPr>
              <w:t>台</w:t>
            </w:r>
          </w:p>
        </w:tc>
        <w:tc>
          <w:tcPr>
            <w:tcW w:w="499" w:type="pct"/>
            <w:shd w:val="clear" w:color="auto" w:fill="FFFFFF" w:themeFill="background1"/>
            <w:noWrap/>
            <w:vAlign w:val="center"/>
          </w:tcPr>
          <w:p w14:paraId="43A59F36">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vAlign w:val="center"/>
          </w:tcPr>
          <w:p w14:paraId="43D9BC06">
            <w:pPr>
              <w:widowControl/>
              <w:spacing w:line="360" w:lineRule="auto"/>
              <w:rPr>
                <w:rFonts w:hint="eastAsia" w:ascii="宋体" w:hAnsi="宋体" w:cs="宋体"/>
                <w:szCs w:val="21"/>
              </w:rPr>
            </w:pPr>
            <w:r>
              <w:rPr>
                <w:rFonts w:hint="eastAsia" w:ascii="宋体" w:hAnsi="宋体" w:cs="宋体"/>
                <w:szCs w:val="21"/>
              </w:rPr>
              <w:t>1.单台排气量≥3.5m³/min；</w:t>
            </w:r>
          </w:p>
          <w:p w14:paraId="130F111E">
            <w:pPr>
              <w:widowControl/>
              <w:spacing w:line="360" w:lineRule="auto"/>
              <w:rPr>
                <w:rFonts w:hint="eastAsia" w:ascii="宋体" w:hAnsi="宋体" w:cs="宋体"/>
                <w:szCs w:val="21"/>
              </w:rPr>
            </w:pPr>
            <w:r>
              <w:rPr>
                <w:rFonts w:hint="eastAsia" w:ascii="宋体" w:hAnsi="宋体" w:cs="宋体"/>
                <w:szCs w:val="21"/>
              </w:rPr>
              <w:t>2.仓体结构可实现冷热空气有效隔离，降低运行冷量损耗；</w:t>
            </w:r>
          </w:p>
          <w:p w14:paraId="441064B2">
            <w:pPr>
              <w:widowControl/>
              <w:spacing w:line="360" w:lineRule="auto"/>
              <w:rPr>
                <w:rFonts w:hint="eastAsia" w:ascii="宋体" w:hAnsi="宋体" w:cs="宋体"/>
                <w:szCs w:val="21"/>
              </w:rPr>
            </w:pPr>
            <w:r>
              <w:rPr>
                <w:rFonts w:hint="eastAsia" w:ascii="宋体" w:hAnsi="宋体" w:cs="宋体"/>
                <w:szCs w:val="21"/>
              </w:rPr>
              <w:t>3.蒸发器支持拆卸维护。</w:t>
            </w:r>
          </w:p>
        </w:tc>
      </w:tr>
      <w:tr w14:paraId="64DAB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7B40AD7C">
            <w:pPr>
              <w:widowControl/>
              <w:spacing w:line="360" w:lineRule="auto"/>
              <w:rPr>
                <w:rFonts w:hint="eastAsia" w:ascii="宋体" w:hAnsi="宋体" w:cs="宋体"/>
                <w:color w:val="000000"/>
                <w:szCs w:val="21"/>
              </w:rPr>
            </w:pPr>
            <w:r>
              <w:rPr>
                <w:rFonts w:hint="eastAsia" w:ascii="宋体" w:hAnsi="宋体" w:cs="宋体"/>
                <w:color w:val="000000"/>
                <w:szCs w:val="21"/>
              </w:rPr>
              <w:t>3</w:t>
            </w:r>
          </w:p>
        </w:tc>
        <w:tc>
          <w:tcPr>
            <w:tcW w:w="998" w:type="pct"/>
            <w:shd w:val="clear" w:color="auto" w:fill="FFFFFF" w:themeFill="background1"/>
            <w:vAlign w:val="center"/>
          </w:tcPr>
          <w:p w14:paraId="7B4C56DE">
            <w:pPr>
              <w:widowControl/>
              <w:spacing w:line="360" w:lineRule="auto"/>
              <w:rPr>
                <w:rFonts w:hint="eastAsia" w:ascii="宋体" w:hAnsi="宋体" w:cs="宋体"/>
                <w:color w:val="000000"/>
                <w:szCs w:val="21"/>
              </w:rPr>
            </w:pPr>
            <w:r>
              <w:rPr>
                <w:rFonts w:hint="eastAsia" w:ascii="宋体" w:hAnsi="宋体" w:cs="宋体"/>
                <w:color w:val="000000"/>
                <w:szCs w:val="21"/>
              </w:rPr>
              <w:t>微热再生吸干机</w:t>
            </w:r>
          </w:p>
        </w:tc>
        <w:tc>
          <w:tcPr>
            <w:tcW w:w="354" w:type="pct"/>
            <w:shd w:val="clear" w:color="auto" w:fill="FFFFFF" w:themeFill="background1"/>
            <w:noWrap/>
            <w:vAlign w:val="center"/>
          </w:tcPr>
          <w:p w14:paraId="3AAD8759">
            <w:pPr>
              <w:widowControl/>
              <w:spacing w:line="360" w:lineRule="auto"/>
              <w:jc w:val="center"/>
              <w:rPr>
                <w:rFonts w:hint="eastAsia" w:ascii="宋体" w:hAnsi="宋体" w:cs="宋体"/>
                <w:color w:val="000000"/>
                <w:szCs w:val="21"/>
              </w:rPr>
            </w:pPr>
            <w:r>
              <w:rPr>
                <w:rFonts w:hint="eastAsia" w:ascii="宋体" w:hAnsi="宋体" w:cs="宋体"/>
                <w:color w:val="000000"/>
                <w:szCs w:val="21"/>
              </w:rPr>
              <w:t>台</w:t>
            </w:r>
          </w:p>
        </w:tc>
        <w:tc>
          <w:tcPr>
            <w:tcW w:w="499" w:type="pct"/>
            <w:shd w:val="clear" w:color="auto" w:fill="FFFFFF" w:themeFill="background1"/>
            <w:noWrap/>
            <w:vAlign w:val="center"/>
          </w:tcPr>
          <w:p w14:paraId="2E2E2F2F">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3CD4ED59">
            <w:pPr>
              <w:widowControl/>
              <w:spacing w:line="360" w:lineRule="auto"/>
              <w:rPr>
                <w:rFonts w:hint="eastAsia" w:ascii="宋体" w:hAnsi="宋体" w:cs="宋体"/>
                <w:color w:val="000000"/>
                <w:szCs w:val="21"/>
              </w:rPr>
            </w:pPr>
            <w:r>
              <w:rPr>
                <w:rFonts w:hint="eastAsia" w:ascii="宋体" w:hAnsi="宋体" w:cs="宋体"/>
                <w:color w:val="000000"/>
                <w:szCs w:val="21"/>
              </w:rPr>
              <w:t>1.单台排气量≥3.5m³/min；</w:t>
            </w:r>
          </w:p>
          <w:p w14:paraId="4FA24FEA">
            <w:pPr>
              <w:widowControl/>
              <w:spacing w:line="360" w:lineRule="auto"/>
              <w:rPr>
                <w:rFonts w:hint="eastAsia" w:ascii="宋体" w:hAnsi="宋体" w:cs="宋体"/>
                <w:color w:val="000000"/>
                <w:szCs w:val="21"/>
              </w:rPr>
            </w:pPr>
            <w:r>
              <w:rPr>
                <w:rFonts w:hint="eastAsia" w:ascii="宋体" w:hAnsi="宋体" w:cs="宋体"/>
                <w:color w:val="000000"/>
                <w:szCs w:val="21"/>
              </w:rPr>
              <w:t>2.压力露点-40℃，再生耗气量≤8%；</w:t>
            </w:r>
          </w:p>
          <w:p w14:paraId="20E0A305">
            <w:pPr>
              <w:widowControl/>
              <w:spacing w:line="360" w:lineRule="auto"/>
              <w:rPr>
                <w:rFonts w:hint="eastAsia" w:ascii="宋体" w:hAnsi="宋体" w:cs="宋体"/>
                <w:color w:val="000000"/>
                <w:szCs w:val="21"/>
              </w:rPr>
            </w:pPr>
            <w:r>
              <w:rPr>
                <w:rFonts w:hint="eastAsia" w:ascii="宋体" w:hAnsi="宋体" w:cs="宋体"/>
                <w:color w:val="000000"/>
                <w:szCs w:val="21"/>
              </w:rPr>
              <w:t>3.整体结构，安装简便。</w:t>
            </w:r>
          </w:p>
        </w:tc>
      </w:tr>
      <w:tr w14:paraId="658E6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359B3BB6">
            <w:pPr>
              <w:widowControl/>
              <w:spacing w:line="360" w:lineRule="auto"/>
              <w:rPr>
                <w:rFonts w:hint="eastAsia" w:ascii="宋体" w:hAnsi="宋体" w:cs="宋体"/>
                <w:color w:val="000000"/>
                <w:szCs w:val="21"/>
              </w:rPr>
            </w:pPr>
            <w:r>
              <w:rPr>
                <w:rFonts w:hint="eastAsia" w:ascii="宋体" w:hAnsi="宋体" w:cs="宋体"/>
                <w:color w:val="000000"/>
                <w:szCs w:val="21"/>
              </w:rPr>
              <w:t>4</w:t>
            </w:r>
          </w:p>
        </w:tc>
        <w:tc>
          <w:tcPr>
            <w:tcW w:w="998" w:type="pct"/>
            <w:shd w:val="clear" w:color="auto" w:fill="FFFFFF" w:themeFill="background1"/>
            <w:vAlign w:val="center"/>
          </w:tcPr>
          <w:p w14:paraId="1F4E76D5">
            <w:pPr>
              <w:widowControl/>
              <w:spacing w:line="360" w:lineRule="auto"/>
              <w:rPr>
                <w:rFonts w:hint="eastAsia" w:ascii="宋体" w:hAnsi="宋体" w:cs="宋体"/>
                <w:color w:val="000000"/>
                <w:szCs w:val="21"/>
              </w:rPr>
            </w:pPr>
            <w:r>
              <w:rPr>
                <w:rFonts w:hint="eastAsia" w:ascii="宋体" w:hAnsi="宋体" w:cs="宋体"/>
                <w:color w:val="000000"/>
                <w:szCs w:val="21"/>
              </w:rPr>
              <w:t>空气储罐</w:t>
            </w:r>
          </w:p>
        </w:tc>
        <w:tc>
          <w:tcPr>
            <w:tcW w:w="354" w:type="pct"/>
            <w:shd w:val="clear" w:color="auto" w:fill="FFFFFF" w:themeFill="background1"/>
            <w:noWrap/>
            <w:vAlign w:val="center"/>
          </w:tcPr>
          <w:p w14:paraId="20318852">
            <w:pPr>
              <w:widowControl/>
              <w:spacing w:line="360" w:lineRule="auto"/>
              <w:jc w:val="center"/>
              <w:rPr>
                <w:rFonts w:hint="eastAsia" w:ascii="宋体" w:hAnsi="宋体" w:cs="宋体"/>
                <w:color w:val="000000"/>
                <w:szCs w:val="21"/>
              </w:rPr>
            </w:pPr>
            <w:r>
              <w:rPr>
                <w:rFonts w:hint="eastAsia" w:ascii="宋体" w:hAnsi="宋体" w:cs="宋体"/>
                <w:color w:val="000000"/>
                <w:szCs w:val="21"/>
              </w:rPr>
              <w:t>台</w:t>
            </w:r>
          </w:p>
        </w:tc>
        <w:tc>
          <w:tcPr>
            <w:tcW w:w="499" w:type="pct"/>
            <w:shd w:val="clear" w:color="auto" w:fill="FFFFFF" w:themeFill="background1"/>
            <w:noWrap/>
            <w:vAlign w:val="center"/>
          </w:tcPr>
          <w:p w14:paraId="27477B72">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7C578D17">
            <w:pPr>
              <w:widowControl/>
              <w:spacing w:line="360" w:lineRule="auto"/>
              <w:rPr>
                <w:rFonts w:hint="eastAsia" w:ascii="宋体" w:hAnsi="宋体" w:cs="宋体"/>
                <w:color w:val="000000"/>
                <w:szCs w:val="21"/>
              </w:rPr>
            </w:pPr>
            <w:r>
              <w:rPr>
                <w:rFonts w:hint="eastAsia" w:ascii="宋体" w:hAnsi="宋体" w:cs="宋体"/>
                <w:color w:val="000000"/>
                <w:szCs w:val="21"/>
              </w:rPr>
              <w:t>1.材质为碳钢；</w:t>
            </w:r>
          </w:p>
          <w:p w14:paraId="45CCB2E7">
            <w:pPr>
              <w:widowControl/>
              <w:spacing w:line="360" w:lineRule="auto"/>
              <w:rPr>
                <w:rFonts w:hint="eastAsia" w:ascii="宋体" w:hAnsi="宋体" w:cs="宋体"/>
                <w:color w:val="000000"/>
                <w:szCs w:val="21"/>
              </w:rPr>
            </w:pPr>
            <w:r>
              <w:rPr>
                <w:rFonts w:hint="eastAsia" w:ascii="宋体" w:hAnsi="宋体" w:cs="宋体"/>
                <w:color w:val="000000"/>
                <w:szCs w:val="21"/>
              </w:rPr>
              <w:t>2.单个有效容积=2m</w:t>
            </w:r>
            <w:r>
              <w:rPr>
                <w:rFonts w:hint="eastAsia" w:ascii="宋体" w:hAnsi="宋体" w:cs="宋体"/>
                <w:color w:val="000000"/>
                <w:szCs w:val="21"/>
                <w:vertAlign w:val="superscript"/>
              </w:rPr>
              <w:t>3</w:t>
            </w:r>
            <w:r>
              <w:rPr>
                <w:rFonts w:hint="eastAsia" w:ascii="宋体" w:hAnsi="宋体" w:cs="宋体"/>
                <w:color w:val="000000"/>
                <w:szCs w:val="21"/>
              </w:rPr>
              <w:t>；</w:t>
            </w:r>
          </w:p>
          <w:p w14:paraId="58F81205">
            <w:pPr>
              <w:widowControl/>
              <w:spacing w:line="360" w:lineRule="auto"/>
              <w:rPr>
                <w:rFonts w:hint="eastAsia" w:ascii="宋体" w:hAnsi="宋体" w:cs="宋体"/>
                <w:color w:val="000000"/>
                <w:szCs w:val="21"/>
              </w:rPr>
            </w:pPr>
            <w:r>
              <w:rPr>
                <w:rFonts w:hint="eastAsia" w:ascii="宋体" w:hAnsi="宋体" w:cs="宋体"/>
                <w:color w:val="000000"/>
                <w:szCs w:val="21"/>
              </w:rPr>
              <w:t>3.最大工作压力≥0.8MPa；</w:t>
            </w:r>
          </w:p>
          <w:p w14:paraId="3FD83C4F">
            <w:pPr>
              <w:widowControl/>
              <w:spacing w:line="360" w:lineRule="auto"/>
              <w:rPr>
                <w:rFonts w:hint="eastAsia" w:ascii="宋体" w:hAnsi="宋体" w:cs="宋体"/>
                <w:color w:val="000000"/>
                <w:szCs w:val="21"/>
              </w:rPr>
            </w:pPr>
            <w:r>
              <w:rPr>
                <w:rFonts w:hint="eastAsia" w:ascii="宋体" w:hAnsi="宋体" w:cs="宋体"/>
                <w:color w:val="000000"/>
                <w:szCs w:val="21"/>
              </w:rPr>
              <w:t>4.符合国家压力容器安全技术监察规程。</w:t>
            </w:r>
          </w:p>
        </w:tc>
      </w:tr>
      <w:tr w14:paraId="5ADFC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23B1A9CF">
            <w:pPr>
              <w:widowControl/>
              <w:spacing w:line="360" w:lineRule="auto"/>
              <w:rPr>
                <w:rFonts w:hint="eastAsia" w:ascii="宋体" w:hAnsi="宋体" w:cs="宋体"/>
                <w:color w:val="000000"/>
                <w:szCs w:val="21"/>
              </w:rPr>
            </w:pPr>
            <w:r>
              <w:rPr>
                <w:rFonts w:hint="eastAsia" w:ascii="宋体" w:hAnsi="宋体" w:cs="宋体"/>
                <w:color w:val="000000"/>
                <w:szCs w:val="21"/>
              </w:rPr>
              <w:t>5</w:t>
            </w:r>
          </w:p>
        </w:tc>
        <w:tc>
          <w:tcPr>
            <w:tcW w:w="998" w:type="pct"/>
            <w:shd w:val="clear" w:color="auto" w:fill="FFFFFF" w:themeFill="background1"/>
            <w:vAlign w:val="center"/>
          </w:tcPr>
          <w:p w14:paraId="71CC4097">
            <w:pPr>
              <w:widowControl/>
              <w:spacing w:line="360" w:lineRule="auto"/>
              <w:rPr>
                <w:rFonts w:hint="eastAsia" w:ascii="宋体" w:hAnsi="宋体" w:cs="宋体"/>
                <w:color w:val="000000"/>
                <w:szCs w:val="21"/>
              </w:rPr>
            </w:pPr>
            <w:r>
              <w:rPr>
                <w:rFonts w:hint="eastAsia" w:ascii="宋体" w:hAnsi="宋体" w:cs="宋体"/>
                <w:szCs w:val="21"/>
              </w:rPr>
              <w:t>空气缓冲罐</w:t>
            </w:r>
          </w:p>
        </w:tc>
        <w:tc>
          <w:tcPr>
            <w:tcW w:w="354" w:type="pct"/>
            <w:shd w:val="clear" w:color="auto" w:fill="FFFFFF" w:themeFill="background1"/>
            <w:noWrap/>
            <w:vAlign w:val="center"/>
          </w:tcPr>
          <w:p w14:paraId="43D6CB41">
            <w:pPr>
              <w:widowControl/>
              <w:spacing w:line="360" w:lineRule="auto"/>
              <w:jc w:val="center"/>
              <w:rPr>
                <w:rFonts w:hint="eastAsia" w:ascii="宋体" w:hAnsi="宋体" w:cs="宋体"/>
                <w:color w:val="000000"/>
                <w:szCs w:val="21"/>
              </w:rPr>
            </w:pPr>
            <w:r>
              <w:rPr>
                <w:rFonts w:hint="eastAsia" w:ascii="宋体" w:hAnsi="宋体" w:cs="宋体"/>
                <w:szCs w:val="21"/>
              </w:rPr>
              <w:t>台</w:t>
            </w:r>
          </w:p>
        </w:tc>
        <w:tc>
          <w:tcPr>
            <w:tcW w:w="499" w:type="pct"/>
            <w:shd w:val="clear" w:color="auto" w:fill="FFFFFF" w:themeFill="background1"/>
            <w:noWrap/>
            <w:vAlign w:val="center"/>
          </w:tcPr>
          <w:p w14:paraId="224053C2">
            <w:pPr>
              <w:widowControl/>
              <w:spacing w:line="360" w:lineRule="auto"/>
              <w:jc w:val="center"/>
              <w:rPr>
                <w:rFonts w:hint="eastAsia" w:ascii="宋体" w:hAnsi="宋体" w:cs="宋体"/>
                <w:color w:val="000000"/>
                <w:szCs w:val="21"/>
              </w:rPr>
            </w:pPr>
            <w:r>
              <w:rPr>
                <w:rFonts w:hint="eastAsia" w:ascii="宋体" w:hAnsi="宋体" w:cs="宋体"/>
                <w:szCs w:val="21"/>
              </w:rPr>
              <w:t>1</w:t>
            </w:r>
          </w:p>
        </w:tc>
        <w:tc>
          <w:tcPr>
            <w:tcW w:w="2813" w:type="pct"/>
            <w:shd w:val="clear" w:color="auto" w:fill="FFFFFF" w:themeFill="background1"/>
          </w:tcPr>
          <w:p w14:paraId="18D9F679">
            <w:pPr>
              <w:widowControl/>
              <w:spacing w:line="360" w:lineRule="auto"/>
              <w:rPr>
                <w:rFonts w:hint="eastAsia" w:ascii="宋体" w:hAnsi="宋体" w:cs="宋体"/>
                <w:szCs w:val="21"/>
              </w:rPr>
            </w:pPr>
            <w:r>
              <w:rPr>
                <w:rFonts w:hint="eastAsia" w:ascii="宋体" w:hAnsi="宋体" w:cs="宋体"/>
                <w:szCs w:val="21"/>
              </w:rPr>
              <w:t>1.材质为碳钢；</w:t>
            </w:r>
          </w:p>
          <w:p w14:paraId="7CD12DE2">
            <w:pPr>
              <w:widowControl/>
              <w:spacing w:line="360" w:lineRule="auto"/>
              <w:rPr>
                <w:rFonts w:hint="eastAsia" w:ascii="宋体" w:hAnsi="宋体" w:cs="宋体"/>
                <w:szCs w:val="21"/>
              </w:rPr>
            </w:pPr>
            <w:r>
              <w:rPr>
                <w:rFonts w:hint="eastAsia" w:ascii="宋体" w:hAnsi="宋体" w:cs="宋体"/>
                <w:szCs w:val="21"/>
              </w:rPr>
              <w:t>2.单个有效容积≥</w:t>
            </w:r>
            <w:bookmarkStart w:id="101" w:name="OLE_LINK5"/>
            <w:r>
              <w:rPr>
                <w:rFonts w:hint="eastAsia" w:ascii="宋体" w:hAnsi="宋体" w:cs="宋体"/>
                <w:szCs w:val="21"/>
              </w:rPr>
              <w:t>0.6m</w:t>
            </w:r>
            <w:r>
              <w:rPr>
                <w:rFonts w:hint="eastAsia" w:ascii="宋体" w:hAnsi="宋体" w:cs="宋体"/>
                <w:szCs w:val="21"/>
                <w:vertAlign w:val="superscript"/>
              </w:rPr>
              <w:t>3</w:t>
            </w:r>
            <w:bookmarkEnd w:id="101"/>
            <w:r>
              <w:rPr>
                <w:rFonts w:hint="eastAsia" w:ascii="宋体" w:hAnsi="宋体" w:cs="宋体"/>
                <w:szCs w:val="21"/>
              </w:rPr>
              <w:t>；</w:t>
            </w:r>
          </w:p>
          <w:p w14:paraId="7FDA4490">
            <w:pPr>
              <w:widowControl/>
              <w:spacing w:line="360" w:lineRule="auto"/>
              <w:rPr>
                <w:rFonts w:hint="eastAsia" w:ascii="宋体" w:hAnsi="宋体" w:cs="宋体"/>
                <w:szCs w:val="21"/>
              </w:rPr>
            </w:pPr>
            <w:r>
              <w:rPr>
                <w:rFonts w:hint="eastAsia" w:ascii="宋体" w:hAnsi="宋体" w:cs="宋体"/>
                <w:szCs w:val="21"/>
              </w:rPr>
              <w:t>3.最大工作压力≥0.8MPa；</w:t>
            </w:r>
          </w:p>
          <w:p w14:paraId="7385461D">
            <w:pPr>
              <w:widowControl/>
              <w:spacing w:line="360" w:lineRule="auto"/>
              <w:rPr>
                <w:rFonts w:hint="eastAsia" w:ascii="宋体" w:hAnsi="宋体" w:cs="宋体"/>
                <w:color w:val="000000"/>
                <w:szCs w:val="21"/>
              </w:rPr>
            </w:pPr>
            <w:r>
              <w:rPr>
                <w:rFonts w:hint="eastAsia" w:ascii="宋体" w:hAnsi="宋体" w:cs="宋体"/>
                <w:szCs w:val="21"/>
              </w:rPr>
              <w:t>4.符合国家压力容器安全技术监察规程。</w:t>
            </w:r>
          </w:p>
        </w:tc>
      </w:tr>
      <w:tr w14:paraId="7426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55B593F5">
            <w:pPr>
              <w:widowControl/>
              <w:spacing w:line="360" w:lineRule="auto"/>
              <w:rPr>
                <w:rFonts w:hint="eastAsia" w:ascii="宋体" w:hAnsi="宋体" w:cs="宋体"/>
                <w:color w:val="000000"/>
                <w:szCs w:val="21"/>
              </w:rPr>
            </w:pPr>
            <w:r>
              <w:rPr>
                <w:rFonts w:hint="eastAsia" w:ascii="宋体" w:hAnsi="宋体" w:cs="宋体"/>
                <w:color w:val="000000"/>
                <w:szCs w:val="21"/>
              </w:rPr>
              <w:t>6</w:t>
            </w:r>
          </w:p>
        </w:tc>
        <w:tc>
          <w:tcPr>
            <w:tcW w:w="998" w:type="pct"/>
            <w:shd w:val="clear" w:color="auto" w:fill="FFFFFF" w:themeFill="background1"/>
            <w:vAlign w:val="center"/>
          </w:tcPr>
          <w:p w14:paraId="31FA0974">
            <w:pPr>
              <w:widowControl/>
              <w:spacing w:line="360" w:lineRule="auto"/>
              <w:rPr>
                <w:rFonts w:hint="eastAsia" w:ascii="宋体" w:hAnsi="宋体" w:cs="宋体"/>
                <w:color w:val="000000"/>
                <w:szCs w:val="21"/>
              </w:rPr>
            </w:pPr>
            <w:r>
              <w:rPr>
                <w:rFonts w:hint="eastAsia" w:ascii="宋体" w:hAnsi="宋体" w:cs="宋体"/>
                <w:color w:val="000000"/>
                <w:szCs w:val="21"/>
              </w:rPr>
              <w:t>主路过滤器</w:t>
            </w:r>
          </w:p>
        </w:tc>
        <w:tc>
          <w:tcPr>
            <w:tcW w:w="354" w:type="pct"/>
            <w:shd w:val="clear" w:color="auto" w:fill="FFFFFF" w:themeFill="background1"/>
            <w:noWrap/>
            <w:vAlign w:val="center"/>
          </w:tcPr>
          <w:p w14:paraId="60496CBF">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7BDDD1C5">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07C57279">
            <w:pPr>
              <w:widowControl/>
              <w:spacing w:line="360" w:lineRule="auto"/>
              <w:rPr>
                <w:rFonts w:hint="eastAsia" w:ascii="宋体" w:hAnsi="宋体" w:cs="宋体"/>
                <w:szCs w:val="21"/>
              </w:rPr>
            </w:pPr>
            <w:r>
              <w:rPr>
                <w:rFonts w:hint="eastAsia" w:ascii="宋体" w:hAnsi="宋体" w:cs="宋体"/>
                <w:szCs w:val="21"/>
              </w:rPr>
              <w:t>1.单台空气处理量符合单台空压机要求；</w:t>
            </w:r>
          </w:p>
          <w:p w14:paraId="3CC541D5">
            <w:pPr>
              <w:widowControl/>
              <w:spacing w:line="360" w:lineRule="auto"/>
              <w:rPr>
                <w:rFonts w:hint="eastAsia" w:ascii="宋体" w:hAnsi="宋体" w:cs="宋体"/>
                <w:szCs w:val="21"/>
              </w:rPr>
            </w:pPr>
            <w:r>
              <w:rPr>
                <w:rFonts w:hint="eastAsia" w:ascii="宋体" w:hAnsi="宋体" w:cs="宋体"/>
                <w:szCs w:val="21"/>
              </w:rPr>
              <w:t>2.固体颗粒去除精度≤1µm，最大含油量≤0.05ppm；</w:t>
            </w:r>
          </w:p>
          <w:p w14:paraId="767B52DB">
            <w:pPr>
              <w:widowControl/>
              <w:spacing w:line="360" w:lineRule="auto"/>
              <w:rPr>
                <w:rFonts w:hint="eastAsia" w:ascii="宋体" w:hAnsi="宋体" w:cs="宋体"/>
                <w:color w:val="000000"/>
                <w:szCs w:val="21"/>
              </w:rPr>
            </w:pPr>
            <w:r>
              <w:rPr>
                <w:rFonts w:hint="eastAsia" w:ascii="宋体" w:hAnsi="宋体" w:cs="宋体"/>
                <w:szCs w:val="21"/>
              </w:rPr>
              <w:t>3.接自动排水器。</w:t>
            </w:r>
          </w:p>
        </w:tc>
      </w:tr>
      <w:tr w14:paraId="3B11C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059D3756">
            <w:pPr>
              <w:widowControl/>
              <w:spacing w:line="360" w:lineRule="auto"/>
              <w:rPr>
                <w:rFonts w:hint="eastAsia" w:ascii="宋体" w:hAnsi="宋体" w:cs="宋体"/>
                <w:color w:val="000000"/>
                <w:szCs w:val="21"/>
              </w:rPr>
            </w:pPr>
            <w:r>
              <w:rPr>
                <w:rFonts w:hint="eastAsia" w:ascii="宋体" w:hAnsi="宋体" w:cs="宋体"/>
                <w:color w:val="000000"/>
                <w:szCs w:val="21"/>
              </w:rPr>
              <w:t>7</w:t>
            </w:r>
          </w:p>
        </w:tc>
        <w:tc>
          <w:tcPr>
            <w:tcW w:w="998" w:type="pct"/>
            <w:shd w:val="clear" w:color="auto" w:fill="FFFFFF" w:themeFill="background1"/>
            <w:vAlign w:val="center"/>
          </w:tcPr>
          <w:p w14:paraId="7B608D12">
            <w:pPr>
              <w:widowControl/>
              <w:spacing w:line="360" w:lineRule="auto"/>
              <w:rPr>
                <w:rFonts w:hint="eastAsia" w:ascii="宋体" w:hAnsi="宋体" w:cs="宋体"/>
                <w:color w:val="000000"/>
                <w:szCs w:val="21"/>
              </w:rPr>
            </w:pPr>
            <w:r>
              <w:rPr>
                <w:rFonts w:hint="eastAsia" w:ascii="宋体" w:hAnsi="宋体" w:cs="宋体"/>
                <w:color w:val="000000"/>
                <w:szCs w:val="21"/>
              </w:rPr>
              <w:t>高效精密过滤器</w:t>
            </w:r>
          </w:p>
        </w:tc>
        <w:tc>
          <w:tcPr>
            <w:tcW w:w="354" w:type="pct"/>
            <w:shd w:val="clear" w:color="auto" w:fill="FFFFFF" w:themeFill="background1"/>
            <w:noWrap/>
            <w:vAlign w:val="center"/>
          </w:tcPr>
          <w:p w14:paraId="4210D989">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1B762920">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1F1467A0">
            <w:pPr>
              <w:widowControl/>
              <w:spacing w:line="360" w:lineRule="auto"/>
              <w:rPr>
                <w:rFonts w:hint="eastAsia" w:ascii="宋体" w:hAnsi="宋体" w:cs="宋体"/>
                <w:color w:val="000000"/>
                <w:szCs w:val="21"/>
              </w:rPr>
            </w:pPr>
            <w:r>
              <w:rPr>
                <w:rFonts w:hint="eastAsia" w:ascii="宋体" w:hAnsi="宋体" w:cs="宋体"/>
                <w:color w:val="000000"/>
                <w:szCs w:val="21"/>
              </w:rPr>
              <w:t>1.单台空气处理量符合单台空压机要求；</w:t>
            </w:r>
          </w:p>
          <w:p w14:paraId="6CD82509">
            <w:pPr>
              <w:widowControl/>
              <w:spacing w:line="360" w:lineRule="auto"/>
              <w:rPr>
                <w:rFonts w:hint="eastAsia" w:ascii="宋体" w:hAnsi="宋体" w:cs="宋体"/>
                <w:color w:val="000000"/>
                <w:szCs w:val="21"/>
              </w:rPr>
            </w:pPr>
            <w:r>
              <w:rPr>
                <w:rFonts w:hint="eastAsia" w:ascii="宋体" w:hAnsi="宋体" w:cs="宋体"/>
                <w:color w:val="000000"/>
                <w:szCs w:val="21"/>
              </w:rPr>
              <w:t>2.固体颗粒去除精度≤0.1µm，最大含油量≤0.03ppm。</w:t>
            </w:r>
          </w:p>
        </w:tc>
      </w:tr>
      <w:tr w14:paraId="39C77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343839A4">
            <w:pPr>
              <w:widowControl/>
              <w:spacing w:line="360" w:lineRule="auto"/>
              <w:rPr>
                <w:rFonts w:hint="eastAsia" w:ascii="宋体" w:hAnsi="宋体" w:cs="宋体"/>
                <w:color w:val="000000"/>
                <w:szCs w:val="21"/>
              </w:rPr>
            </w:pPr>
            <w:r>
              <w:rPr>
                <w:rFonts w:hint="eastAsia" w:ascii="宋体" w:hAnsi="宋体" w:cs="宋体"/>
                <w:color w:val="000000"/>
                <w:szCs w:val="21"/>
              </w:rPr>
              <w:t>8</w:t>
            </w:r>
          </w:p>
        </w:tc>
        <w:tc>
          <w:tcPr>
            <w:tcW w:w="998" w:type="pct"/>
            <w:shd w:val="clear" w:color="auto" w:fill="FFFFFF" w:themeFill="background1"/>
            <w:vAlign w:val="center"/>
          </w:tcPr>
          <w:p w14:paraId="6C080844">
            <w:pPr>
              <w:widowControl/>
              <w:spacing w:line="360" w:lineRule="auto"/>
              <w:rPr>
                <w:rFonts w:hint="eastAsia" w:ascii="宋体" w:hAnsi="宋体" w:cs="宋体"/>
                <w:color w:val="000000"/>
                <w:szCs w:val="21"/>
              </w:rPr>
            </w:pPr>
            <w:r>
              <w:rPr>
                <w:rFonts w:hint="eastAsia" w:ascii="宋体" w:hAnsi="宋体" w:cs="宋体"/>
                <w:color w:val="000000"/>
                <w:szCs w:val="21"/>
              </w:rPr>
              <w:t>普通除尘过滤器</w:t>
            </w:r>
          </w:p>
        </w:tc>
        <w:tc>
          <w:tcPr>
            <w:tcW w:w="354" w:type="pct"/>
            <w:shd w:val="clear" w:color="auto" w:fill="FFFFFF" w:themeFill="background1"/>
            <w:noWrap/>
            <w:vAlign w:val="center"/>
          </w:tcPr>
          <w:p w14:paraId="0B3201AE">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1877361F">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306408CC">
            <w:pPr>
              <w:widowControl/>
              <w:spacing w:line="360" w:lineRule="auto"/>
              <w:rPr>
                <w:rFonts w:hint="eastAsia" w:ascii="宋体" w:hAnsi="宋体" w:cs="宋体"/>
                <w:color w:val="000000"/>
                <w:szCs w:val="21"/>
              </w:rPr>
            </w:pPr>
            <w:r>
              <w:rPr>
                <w:rFonts w:hint="eastAsia" w:ascii="宋体" w:hAnsi="宋体" w:cs="宋体"/>
                <w:color w:val="000000"/>
                <w:szCs w:val="21"/>
              </w:rPr>
              <w:t>1.单台空气处理量符合单台空压机要求；</w:t>
            </w:r>
          </w:p>
          <w:p w14:paraId="08B2432B">
            <w:pPr>
              <w:widowControl/>
              <w:spacing w:line="360" w:lineRule="auto"/>
              <w:rPr>
                <w:rFonts w:hint="eastAsia" w:ascii="宋体" w:hAnsi="宋体" w:cs="宋体"/>
                <w:color w:val="000000"/>
                <w:szCs w:val="21"/>
              </w:rPr>
            </w:pPr>
            <w:r>
              <w:rPr>
                <w:rFonts w:hint="eastAsia" w:ascii="宋体" w:hAnsi="宋体" w:cs="宋体"/>
                <w:color w:val="000000"/>
                <w:szCs w:val="21"/>
              </w:rPr>
              <w:t>2.固体颗粒去除精度≤1µm。</w:t>
            </w:r>
          </w:p>
        </w:tc>
      </w:tr>
      <w:tr w14:paraId="22060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35833629">
            <w:pPr>
              <w:widowControl/>
              <w:spacing w:line="360" w:lineRule="auto"/>
              <w:rPr>
                <w:rFonts w:hint="eastAsia" w:ascii="宋体" w:hAnsi="宋体" w:cs="宋体"/>
                <w:color w:val="000000"/>
                <w:szCs w:val="21"/>
              </w:rPr>
            </w:pPr>
            <w:r>
              <w:rPr>
                <w:rFonts w:hint="eastAsia" w:ascii="宋体" w:hAnsi="宋体" w:cs="宋体"/>
                <w:color w:val="000000"/>
                <w:szCs w:val="21"/>
              </w:rPr>
              <w:t>9</w:t>
            </w:r>
          </w:p>
        </w:tc>
        <w:tc>
          <w:tcPr>
            <w:tcW w:w="998" w:type="pct"/>
            <w:shd w:val="clear" w:color="auto" w:fill="FFFFFF" w:themeFill="background1"/>
            <w:vAlign w:val="center"/>
          </w:tcPr>
          <w:p w14:paraId="05C189EE">
            <w:pPr>
              <w:widowControl/>
              <w:spacing w:line="360" w:lineRule="auto"/>
              <w:rPr>
                <w:rFonts w:hint="eastAsia" w:ascii="宋体" w:hAnsi="宋体" w:cs="宋体"/>
                <w:color w:val="000000"/>
                <w:szCs w:val="21"/>
              </w:rPr>
            </w:pPr>
            <w:r>
              <w:rPr>
                <w:rFonts w:hint="eastAsia" w:ascii="宋体" w:hAnsi="宋体" w:cs="宋体"/>
                <w:color w:val="000000"/>
                <w:szCs w:val="21"/>
              </w:rPr>
              <w:t>除菌过滤器</w:t>
            </w:r>
          </w:p>
        </w:tc>
        <w:tc>
          <w:tcPr>
            <w:tcW w:w="354" w:type="pct"/>
            <w:shd w:val="clear" w:color="auto" w:fill="FFFFFF" w:themeFill="background1"/>
            <w:noWrap/>
            <w:vAlign w:val="center"/>
          </w:tcPr>
          <w:p w14:paraId="6CD52A6D">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48C995ED">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78898886">
            <w:pPr>
              <w:widowControl/>
              <w:spacing w:line="360" w:lineRule="auto"/>
              <w:rPr>
                <w:rFonts w:hint="eastAsia" w:ascii="宋体" w:hAnsi="宋体" w:cs="宋体"/>
                <w:color w:val="000000"/>
                <w:szCs w:val="21"/>
              </w:rPr>
            </w:pPr>
            <w:r>
              <w:rPr>
                <w:rFonts w:hint="eastAsia" w:ascii="宋体" w:hAnsi="宋体" w:cs="宋体"/>
                <w:color w:val="000000"/>
                <w:szCs w:val="21"/>
              </w:rPr>
              <w:t>1.空气处理量符合整个压缩空气系统要求；</w:t>
            </w:r>
          </w:p>
          <w:p w14:paraId="4F477E4E">
            <w:pPr>
              <w:widowControl/>
              <w:spacing w:line="360" w:lineRule="auto"/>
              <w:rPr>
                <w:rFonts w:hint="eastAsia" w:ascii="宋体" w:hAnsi="宋体" w:cs="宋体"/>
                <w:color w:val="000000"/>
                <w:szCs w:val="21"/>
              </w:rPr>
            </w:pPr>
            <w:r>
              <w:rPr>
                <w:rFonts w:hint="eastAsia" w:ascii="宋体" w:hAnsi="宋体" w:cs="宋体"/>
                <w:color w:val="000000"/>
                <w:szCs w:val="21"/>
              </w:rPr>
              <w:t>2.过滤精度≤0.01µm；</w:t>
            </w:r>
          </w:p>
          <w:p w14:paraId="04C55978">
            <w:pPr>
              <w:widowControl/>
              <w:spacing w:line="360" w:lineRule="auto"/>
              <w:rPr>
                <w:rFonts w:hint="eastAsia" w:ascii="宋体" w:hAnsi="宋体" w:cs="宋体"/>
                <w:color w:val="000000"/>
                <w:szCs w:val="21"/>
              </w:rPr>
            </w:pPr>
            <w:r>
              <w:rPr>
                <w:rFonts w:hint="eastAsia" w:ascii="宋体" w:hAnsi="宋体" w:cs="宋体"/>
                <w:color w:val="000000"/>
                <w:szCs w:val="21"/>
              </w:rPr>
              <w:t>3.能有效去除气体中的细菌、尘粒及微生物，螺纹式滤芯，维护保养方便。</w:t>
            </w:r>
          </w:p>
        </w:tc>
      </w:tr>
      <w:tr w14:paraId="6C84A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36" w:type="pct"/>
            <w:shd w:val="clear" w:color="auto" w:fill="FFFFFF" w:themeFill="background1"/>
            <w:noWrap/>
            <w:vAlign w:val="center"/>
          </w:tcPr>
          <w:p w14:paraId="5DA003A6">
            <w:pPr>
              <w:widowControl/>
              <w:spacing w:line="360" w:lineRule="auto"/>
              <w:rPr>
                <w:rFonts w:hint="eastAsia" w:ascii="宋体" w:hAnsi="宋体" w:cs="宋体"/>
                <w:color w:val="000000"/>
                <w:szCs w:val="21"/>
              </w:rPr>
            </w:pPr>
            <w:r>
              <w:rPr>
                <w:rFonts w:hint="eastAsia" w:ascii="宋体" w:hAnsi="宋体" w:cs="宋体"/>
                <w:color w:val="000000"/>
                <w:szCs w:val="21"/>
              </w:rPr>
              <w:t>10</w:t>
            </w:r>
          </w:p>
        </w:tc>
        <w:tc>
          <w:tcPr>
            <w:tcW w:w="998" w:type="pct"/>
            <w:shd w:val="clear" w:color="auto" w:fill="FFFFFF" w:themeFill="background1"/>
            <w:vAlign w:val="center"/>
          </w:tcPr>
          <w:p w14:paraId="5EB8CD9F">
            <w:pPr>
              <w:widowControl/>
              <w:spacing w:line="360" w:lineRule="auto"/>
              <w:rPr>
                <w:rFonts w:hint="eastAsia" w:ascii="宋体" w:hAnsi="宋体" w:cs="宋体"/>
                <w:color w:val="000000"/>
                <w:szCs w:val="21"/>
              </w:rPr>
            </w:pPr>
            <w:r>
              <w:rPr>
                <w:rFonts w:hint="eastAsia" w:ascii="宋体" w:hAnsi="宋体" w:cs="宋体"/>
                <w:color w:val="000000"/>
                <w:szCs w:val="21"/>
              </w:rPr>
              <w:t>系统电控柜</w:t>
            </w:r>
          </w:p>
        </w:tc>
        <w:tc>
          <w:tcPr>
            <w:tcW w:w="354" w:type="pct"/>
            <w:shd w:val="clear" w:color="auto" w:fill="FFFFFF" w:themeFill="background1"/>
            <w:noWrap/>
            <w:vAlign w:val="center"/>
          </w:tcPr>
          <w:p w14:paraId="72B53030">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2C06A311">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13105B83">
            <w:pPr>
              <w:pStyle w:val="16"/>
              <w:spacing w:line="360" w:lineRule="auto"/>
              <w:rPr>
                <w:rFonts w:hint="eastAsia" w:ascii="宋体" w:hAnsi="宋体" w:cs="宋体"/>
                <w:color w:val="000000"/>
                <w:sz w:val="21"/>
                <w:szCs w:val="21"/>
              </w:rPr>
            </w:pPr>
            <w:r>
              <w:rPr>
                <w:rFonts w:hint="eastAsia" w:ascii="宋体" w:hAnsi="宋体" w:cs="宋体"/>
                <w:color w:val="000000"/>
                <w:sz w:val="21"/>
                <w:szCs w:val="21"/>
              </w:rPr>
              <w:t>1.实现2台空压机主用/备用的自动/手动切换、交替运行，故障自动切换（原控制柜接口免费开放，且中标单位可对软件进行更改；如不能满足使用需求，中标单位可自行提供能实现该功能的系统控制柜）；采用不低于7寸彩色触摸屏（显示分辨率不低于800×480），操作界面可显示设备流程的即时工况，可调整运行参数，可调出运行记录及故障记录；</w:t>
            </w:r>
          </w:p>
          <w:p w14:paraId="48FB264E">
            <w:pPr>
              <w:widowControl/>
              <w:spacing w:line="360" w:lineRule="auto"/>
              <w:rPr>
                <w:rFonts w:hint="eastAsia" w:ascii="宋体" w:hAnsi="宋体" w:cs="宋体"/>
                <w:color w:val="000000"/>
                <w:szCs w:val="21"/>
              </w:rPr>
            </w:pPr>
            <w:r>
              <w:rPr>
                <w:rFonts w:hint="eastAsia" w:ascii="宋体" w:hAnsi="宋体" w:cs="宋体"/>
                <w:color w:val="000000"/>
                <w:szCs w:val="21"/>
              </w:rPr>
              <w:t>▲2.触摸屏显示每台压缩机运行时间、报警信息、停机原因，支持电机过载跳机报警、备用运行报警、保养提示等；</w:t>
            </w:r>
          </w:p>
          <w:p w14:paraId="65F94B6F">
            <w:pPr>
              <w:widowControl/>
              <w:spacing w:line="360" w:lineRule="auto"/>
              <w:rPr>
                <w:rFonts w:hint="eastAsia" w:ascii="宋体" w:hAnsi="宋体" w:cs="宋体"/>
                <w:color w:val="000000"/>
                <w:szCs w:val="21"/>
              </w:rPr>
            </w:pPr>
            <w:r>
              <w:rPr>
                <w:rFonts w:hint="eastAsia" w:ascii="宋体" w:hAnsi="宋体" w:cs="宋体"/>
                <w:color w:val="000000"/>
                <w:szCs w:val="21"/>
              </w:rPr>
              <w:t>3.可保存不少于1个月的运行记录。</w:t>
            </w:r>
          </w:p>
          <w:p w14:paraId="27CFDE02">
            <w:pPr>
              <w:widowControl/>
              <w:spacing w:line="360" w:lineRule="auto"/>
              <w:rPr>
                <w:rFonts w:hint="eastAsia" w:ascii="宋体" w:hAnsi="宋体" w:cs="宋体"/>
                <w:color w:val="000000"/>
                <w:szCs w:val="21"/>
              </w:rPr>
            </w:pPr>
            <w:r>
              <w:rPr>
                <w:rFonts w:hint="eastAsia" w:ascii="宋体" w:hAnsi="宋体" w:cs="宋体"/>
                <w:color w:val="000000"/>
                <w:szCs w:val="21"/>
              </w:rPr>
              <w:t>4.提供开放数据通讯接口，便于设备的远程管理。</w:t>
            </w:r>
          </w:p>
        </w:tc>
      </w:tr>
      <w:tr w14:paraId="36BED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36" w:type="pct"/>
            <w:shd w:val="clear" w:color="auto" w:fill="FFFFFF" w:themeFill="background1"/>
            <w:noWrap/>
            <w:vAlign w:val="center"/>
          </w:tcPr>
          <w:p w14:paraId="3958DA02">
            <w:pPr>
              <w:widowControl/>
              <w:spacing w:line="360" w:lineRule="auto"/>
              <w:rPr>
                <w:rFonts w:hint="eastAsia" w:ascii="宋体" w:hAnsi="宋体" w:cs="宋体"/>
                <w:color w:val="000000"/>
                <w:szCs w:val="21"/>
              </w:rPr>
            </w:pPr>
            <w:r>
              <w:rPr>
                <w:rFonts w:hint="eastAsia" w:ascii="宋体" w:hAnsi="宋体" w:cs="宋体"/>
                <w:color w:val="000000"/>
                <w:szCs w:val="21"/>
              </w:rPr>
              <w:t>11</w:t>
            </w:r>
          </w:p>
        </w:tc>
        <w:tc>
          <w:tcPr>
            <w:tcW w:w="998" w:type="pct"/>
            <w:shd w:val="clear" w:color="auto" w:fill="FFFFFF" w:themeFill="background1"/>
            <w:vAlign w:val="center"/>
          </w:tcPr>
          <w:p w14:paraId="20B061DC">
            <w:pPr>
              <w:widowControl/>
              <w:spacing w:line="360" w:lineRule="auto"/>
              <w:rPr>
                <w:rFonts w:hint="eastAsia" w:ascii="宋体" w:hAnsi="宋体" w:cs="宋体"/>
                <w:color w:val="000000"/>
                <w:szCs w:val="21"/>
              </w:rPr>
            </w:pPr>
            <w:r>
              <w:rPr>
                <w:rFonts w:hint="eastAsia" w:ascii="宋体" w:hAnsi="宋体" w:cs="宋体"/>
                <w:color w:val="000000"/>
                <w:szCs w:val="21"/>
              </w:rPr>
              <w:t>一氧化碳浓度报警装置</w:t>
            </w:r>
          </w:p>
        </w:tc>
        <w:tc>
          <w:tcPr>
            <w:tcW w:w="354" w:type="pct"/>
            <w:shd w:val="clear" w:color="auto" w:fill="FFFFFF" w:themeFill="background1"/>
            <w:noWrap/>
            <w:vAlign w:val="center"/>
          </w:tcPr>
          <w:p w14:paraId="29A6F450">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04F76E2B">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234A1794">
            <w:pPr>
              <w:widowControl/>
              <w:spacing w:line="360" w:lineRule="auto"/>
              <w:rPr>
                <w:rFonts w:hint="eastAsia" w:ascii="宋体" w:hAnsi="宋体" w:cs="宋体"/>
                <w:color w:val="000000"/>
                <w:szCs w:val="21"/>
              </w:rPr>
            </w:pPr>
            <w:r>
              <w:rPr>
                <w:rFonts w:hint="eastAsia" w:ascii="宋体" w:hAnsi="宋体" w:cs="宋体"/>
                <w:color w:val="000000"/>
                <w:szCs w:val="21"/>
              </w:rPr>
              <w:t>1.监测范围 0~100ppm，精度 ±5% FS；</w:t>
            </w:r>
          </w:p>
          <w:p w14:paraId="6C7745D4">
            <w:pPr>
              <w:widowControl/>
              <w:spacing w:line="360" w:lineRule="auto"/>
              <w:rPr>
                <w:rFonts w:hint="eastAsia" w:ascii="宋体" w:hAnsi="宋体" w:cs="宋体"/>
                <w:szCs w:val="21"/>
              </w:rPr>
            </w:pPr>
            <w:r>
              <w:rPr>
                <w:rFonts w:hint="eastAsia" w:ascii="宋体" w:hAnsi="宋体" w:cs="宋体"/>
                <w:color w:val="000000"/>
                <w:szCs w:val="21"/>
              </w:rPr>
              <w:t>2.提供开放数据通讯接口，便于设备的远程管理，报警信号接入氧气班班组。</w:t>
            </w:r>
          </w:p>
        </w:tc>
      </w:tr>
      <w:tr w14:paraId="0750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526391B5">
            <w:pPr>
              <w:widowControl/>
              <w:spacing w:line="360" w:lineRule="auto"/>
              <w:rPr>
                <w:rFonts w:hint="eastAsia" w:ascii="宋体" w:hAnsi="宋体" w:cs="宋体"/>
                <w:color w:val="000000"/>
                <w:szCs w:val="21"/>
              </w:rPr>
            </w:pPr>
            <w:r>
              <w:rPr>
                <w:rFonts w:hint="eastAsia" w:ascii="宋体" w:hAnsi="宋体" w:cs="宋体"/>
                <w:color w:val="000000"/>
                <w:szCs w:val="21"/>
              </w:rPr>
              <w:t>12</w:t>
            </w:r>
          </w:p>
        </w:tc>
        <w:tc>
          <w:tcPr>
            <w:tcW w:w="998" w:type="pct"/>
            <w:shd w:val="clear" w:color="auto" w:fill="FFFFFF" w:themeFill="background1"/>
            <w:vAlign w:val="center"/>
          </w:tcPr>
          <w:p w14:paraId="50D9B281">
            <w:pPr>
              <w:widowControl/>
              <w:spacing w:line="360" w:lineRule="auto"/>
              <w:rPr>
                <w:rFonts w:hint="eastAsia" w:ascii="宋体" w:hAnsi="宋体" w:cs="宋体"/>
                <w:color w:val="000000"/>
                <w:szCs w:val="21"/>
              </w:rPr>
            </w:pPr>
            <w:r>
              <w:rPr>
                <w:rFonts w:hint="eastAsia" w:ascii="宋体" w:hAnsi="宋体" w:cs="宋体"/>
                <w:color w:val="000000"/>
                <w:szCs w:val="21"/>
              </w:rPr>
              <w:t>压缩空气站房管路及阀门</w:t>
            </w:r>
          </w:p>
        </w:tc>
        <w:tc>
          <w:tcPr>
            <w:tcW w:w="354" w:type="pct"/>
            <w:shd w:val="clear" w:color="auto" w:fill="FFFFFF" w:themeFill="background1"/>
            <w:noWrap/>
            <w:vAlign w:val="center"/>
          </w:tcPr>
          <w:p w14:paraId="4AA1F254">
            <w:pPr>
              <w:widowControl/>
              <w:spacing w:line="360" w:lineRule="auto"/>
              <w:jc w:val="center"/>
              <w:rPr>
                <w:rFonts w:hint="eastAsia" w:ascii="宋体" w:hAnsi="宋体" w:cs="宋体"/>
                <w:color w:val="000000"/>
                <w:szCs w:val="21"/>
              </w:rPr>
            </w:pPr>
            <w:r>
              <w:rPr>
                <w:rFonts w:hint="eastAsia" w:ascii="宋体" w:hAnsi="宋体" w:cs="宋体"/>
                <w:color w:val="000000"/>
                <w:szCs w:val="21"/>
              </w:rPr>
              <w:t>项</w:t>
            </w:r>
          </w:p>
        </w:tc>
        <w:tc>
          <w:tcPr>
            <w:tcW w:w="499" w:type="pct"/>
            <w:shd w:val="clear" w:color="auto" w:fill="FFFFFF" w:themeFill="background1"/>
            <w:noWrap/>
            <w:vAlign w:val="center"/>
          </w:tcPr>
          <w:p w14:paraId="41DA56D5">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70420CCE">
            <w:pPr>
              <w:widowControl/>
              <w:spacing w:line="360" w:lineRule="auto"/>
              <w:rPr>
                <w:rFonts w:hint="eastAsia" w:ascii="宋体" w:hAnsi="宋体" w:cs="宋体"/>
                <w:szCs w:val="21"/>
              </w:rPr>
            </w:pPr>
            <w:r>
              <w:rPr>
                <w:rFonts w:hint="eastAsia" w:ascii="宋体" w:hAnsi="宋体" w:cs="宋体"/>
                <w:szCs w:val="21"/>
              </w:rPr>
              <w:t>1.站房内主管路采用无缝铜管，银钎焊；</w:t>
            </w:r>
          </w:p>
          <w:p w14:paraId="30F23C77">
            <w:pPr>
              <w:widowControl/>
              <w:spacing w:line="360" w:lineRule="auto"/>
              <w:rPr>
                <w:rFonts w:hint="eastAsia" w:ascii="宋体" w:hAnsi="宋体" w:cs="宋体"/>
                <w:szCs w:val="21"/>
              </w:rPr>
            </w:pPr>
            <w:r>
              <w:rPr>
                <w:rFonts w:hint="eastAsia" w:ascii="宋体" w:hAnsi="宋体" w:cs="宋体"/>
                <w:szCs w:val="21"/>
              </w:rPr>
              <w:br w:type="page"/>
            </w:r>
            <w:r>
              <w:rPr>
                <w:rFonts w:hint="eastAsia" w:ascii="宋体" w:hAnsi="宋体" w:cs="宋体"/>
                <w:szCs w:val="21"/>
              </w:rPr>
              <w:t>2.配套球阀、减压阀、压力表，阀门压力等级≥1.6Mpa；</w:t>
            </w:r>
          </w:p>
          <w:p w14:paraId="58065DFF">
            <w:pPr>
              <w:widowControl/>
              <w:spacing w:line="360" w:lineRule="auto"/>
              <w:rPr>
                <w:rFonts w:hint="eastAsia" w:ascii="宋体" w:hAnsi="宋体" w:cs="宋体"/>
                <w:szCs w:val="21"/>
              </w:rPr>
            </w:pPr>
            <w:r>
              <w:rPr>
                <w:rFonts w:hint="eastAsia" w:ascii="宋体" w:hAnsi="宋体" w:cs="宋体"/>
                <w:szCs w:val="21"/>
              </w:rPr>
              <w:br w:type="page"/>
            </w:r>
            <w:r>
              <w:rPr>
                <w:rFonts w:hint="eastAsia" w:ascii="宋体" w:hAnsi="宋体" w:cs="宋体"/>
                <w:szCs w:val="21"/>
              </w:rPr>
              <w:t>3.管路按规范做色标与流向标识，支架做绝缘处理。</w:t>
            </w:r>
          </w:p>
        </w:tc>
      </w:tr>
      <w:tr w14:paraId="427F3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457CFA6E">
            <w:pPr>
              <w:widowControl/>
              <w:spacing w:line="360" w:lineRule="auto"/>
              <w:rPr>
                <w:rFonts w:hint="eastAsia" w:ascii="宋体" w:hAnsi="宋体" w:cs="宋体"/>
                <w:color w:val="000000"/>
                <w:szCs w:val="21"/>
              </w:rPr>
            </w:pPr>
            <w:r>
              <w:rPr>
                <w:rFonts w:hint="eastAsia" w:ascii="宋体" w:hAnsi="宋体" w:cs="宋体"/>
                <w:color w:val="000000"/>
                <w:szCs w:val="21"/>
              </w:rPr>
              <w:t>13</w:t>
            </w:r>
          </w:p>
        </w:tc>
        <w:tc>
          <w:tcPr>
            <w:tcW w:w="998" w:type="pct"/>
            <w:shd w:val="clear" w:color="auto" w:fill="FFFFFF" w:themeFill="background1"/>
            <w:vAlign w:val="center"/>
          </w:tcPr>
          <w:p w14:paraId="66A02447">
            <w:pPr>
              <w:widowControl/>
              <w:spacing w:line="360" w:lineRule="auto"/>
              <w:rPr>
                <w:rFonts w:hint="eastAsia" w:ascii="宋体" w:hAnsi="宋体" w:cs="宋体"/>
                <w:color w:val="000000"/>
                <w:szCs w:val="21"/>
              </w:rPr>
            </w:pPr>
            <w:r>
              <w:rPr>
                <w:rFonts w:hint="eastAsia" w:ascii="宋体" w:hAnsi="宋体" w:cs="宋体"/>
                <w:color w:val="000000"/>
                <w:szCs w:val="21"/>
              </w:rPr>
              <w:t>压缩空气站房电气线路</w:t>
            </w:r>
          </w:p>
        </w:tc>
        <w:tc>
          <w:tcPr>
            <w:tcW w:w="354" w:type="pct"/>
            <w:shd w:val="clear" w:color="auto" w:fill="FFFFFF" w:themeFill="background1"/>
            <w:noWrap/>
            <w:vAlign w:val="center"/>
          </w:tcPr>
          <w:p w14:paraId="289C9B39">
            <w:pPr>
              <w:widowControl/>
              <w:spacing w:line="360" w:lineRule="auto"/>
              <w:jc w:val="center"/>
              <w:rPr>
                <w:rFonts w:hint="eastAsia" w:ascii="宋体" w:hAnsi="宋体" w:cs="宋体"/>
                <w:color w:val="000000"/>
                <w:szCs w:val="21"/>
              </w:rPr>
            </w:pPr>
            <w:r>
              <w:rPr>
                <w:rFonts w:hint="eastAsia" w:ascii="宋体" w:hAnsi="宋体" w:cs="宋体"/>
                <w:color w:val="000000"/>
                <w:szCs w:val="21"/>
              </w:rPr>
              <w:t>项</w:t>
            </w:r>
          </w:p>
        </w:tc>
        <w:tc>
          <w:tcPr>
            <w:tcW w:w="499" w:type="pct"/>
            <w:shd w:val="clear" w:color="auto" w:fill="FFFFFF" w:themeFill="background1"/>
            <w:noWrap/>
            <w:vAlign w:val="center"/>
          </w:tcPr>
          <w:p w14:paraId="1AFBB4F9">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455A7113">
            <w:pPr>
              <w:widowControl/>
              <w:spacing w:line="360" w:lineRule="auto"/>
              <w:rPr>
                <w:rFonts w:hint="eastAsia" w:ascii="宋体" w:hAnsi="宋体" w:cs="宋体"/>
                <w:szCs w:val="21"/>
              </w:rPr>
            </w:pPr>
            <w:r>
              <w:rPr>
                <w:rFonts w:hint="eastAsia" w:ascii="宋体" w:hAnsi="宋体" w:cs="宋体"/>
                <w:szCs w:val="21"/>
              </w:rPr>
              <w:t>1.将系统主电缆接驳至原空压机总电柜总开关，线缆规格匹配设备总功率；</w:t>
            </w:r>
          </w:p>
          <w:p w14:paraId="39B0BDB8">
            <w:pPr>
              <w:widowControl/>
              <w:spacing w:line="360" w:lineRule="auto"/>
              <w:rPr>
                <w:rFonts w:hint="eastAsia" w:ascii="宋体" w:hAnsi="宋体" w:cs="宋体"/>
                <w:szCs w:val="21"/>
              </w:rPr>
            </w:pPr>
            <w:r>
              <w:rPr>
                <w:rFonts w:hint="eastAsia" w:ascii="宋体" w:hAnsi="宋体" w:cs="宋体"/>
                <w:szCs w:val="21"/>
              </w:rPr>
              <w:t>2.线路穿管敷设，布线规整，标识清晰；</w:t>
            </w:r>
          </w:p>
          <w:p w14:paraId="4C6B1130">
            <w:pPr>
              <w:widowControl/>
              <w:spacing w:line="360" w:lineRule="auto"/>
              <w:rPr>
                <w:rFonts w:hint="eastAsia" w:ascii="宋体" w:hAnsi="宋体" w:cs="宋体"/>
                <w:szCs w:val="21"/>
              </w:rPr>
            </w:pPr>
            <w:r>
              <w:rPr>
                <w:rFonts w:hint="eastAsia" w:ascii="宋体" w:hAnsi="宋体" w:cs="宋体"/>
                <w:szCs w:val="21"/>
              </w:rPr>
              <w:t>3.完善接地保护。</w:t>
            </w:r>
          </w:p>
        </w:tc>
      </w:tr>
      <w:tr w14:paraId="713D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24FAF4D7">
            <w:pPr>
              <w:widowControl/>
              <w:spacing w:line="360" w:lineRule="auto"/>
              <w:rPr>
                <w:rFonts w:hint="eastAsia" w:ascii="宋体" w:hAnsi="宋体" w:cs="宋体"/>
                <w:color w:val="000000"/>
                <w:szCs w:val="21"/>
              </w:rPr>
            </w:pPr>
            <w:r>
              <w:rPr>
                <w:rFonts w:hint="eastAsia" w:ascii="宋体" w:hAnsi="宋体" w:cs="宋体"/>
                <w:color w:val="000000"/>
                <w:szCs w:val="21"/>
              </w:rPr>
              <w:t>14</w:t>
            </w:r>
          </w:p>
        </w:tc>
        <w:tc>
          <w:tcPr>
            <w:tcW w:w="998" w:type="pct"/>
            <w:shd w:val="clear" w:color="auto" w:fill="FFFFFF" w:themeFill="background1"/>
            <w:noWrap/>
            <w:vAlign w:val="center"/>
          </w:tcPr>
          <w:p w14:paraId="4A8F93DA">
            <w:pPr>
              <w:widowControl/>
              <w:spacing w:line="360" w:lineRule="auto"/>
              <w:rPr>
                <w:rFonts w:hint="eastAsia" w:ascii="宋体" w:hAnsi="宋体" w:cs="宋体"/>
                <w:color w:val="000000"/>
                <w:szCs w:val="21"/>
              </w:rPr>
            </w:pPr>
            <w:r>
              <w:rPr>
                <w:rFonts w:hint="eastAsia" w:ascii="宋体" w:hAnsi="宋体" w:cs="宋体"/>
                <w:color w:val="000000"/>
                <w:szCs w:val="21"/>
              </w:rPr>
              <w:t>减压装置</w:t>
            </w:r>
          </w:p>
        </w:tc>
        <w:tc>
          <w:tcPr>
            <w:tcW w:w="354" w:type="pct"/>
            <w:shd w:val="clear" w:color="auto" w:fill="FFFFFF" w:themeFill="background1"/>
            <w:noWrap/>
            <w:vAlign w:val="center"/>
          </w:tcPr>
          <w:p w14:paraId="0127F16F">
            <w:pPr>
              <w:widowControl/>
              <w:spacing w:line="360" w:lineRule="auto"/>
              <w:jc w:val="center"/>
              <w:rPr>
                <w:rFonts w:hint="eastAsia" w:ascii="宋体" w:hAnsi="宋体" w:cs="宋体"/>
                <w:color w:val="000000"/>
                <w:szCs w:val="21"/>
              </w:rPr>
            </w:pPr>
            <w:r>
              <w:rPr>
                <w:rFonts w:hint="eastAsia" w:ascii="宋体" w:hAnsi="宋体" w:cs="宋体"/>
                <w:color w:val="000000"/>
                <w:szCs w:val="21"/>
              </w:rPr>
              <w:t>项</w:t>
            </w:r>
          </w:p>
        </w:tc>
        <w:tc>
          <w:tcPr>
            <w:tcW w:w="499" w:type="pct"/>
            <w:shd w:val="clear" w:color="auto" w:fill="FFFFFF" w:themeFill="background1"/>
            <w:noWrap/>
            <w:vAlign w:val="center"/>
          </w:tcPr>
          <w:p w14:paraId="7465DDA1">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02F44D13">
            <w:pPr>
              <w:widowControl/>
              <w:spacing w:line="360" w:lineRule="auto"/>
              <w:rPr>
                <w:rFonts w:hint="eastAsia" w:ascii="宋体" w:hAnsi="宋体" w:cs="宋体"/>
                <w:szCs w:val="21"/>
              </w:rPr>
            </w:pPr>
            <w:r>
              <w:rPr>
                <w:rFonts w:hint="eastAsia" w:ascii="宋体" w:hAnsi="宋体" w:cs="宋体"/>
                <w:szCs w:val="21"/>
              </w:rPr>
              <w:t>对站房出来的压缩空气进行减压(压力可调)，双回路设置，自带压力表，实时显示出气压力。</w:t>
            </w:r>
          </w:p>
        </w:tc>
      </w:tr>
      <w:tr w14:paraId="192B1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5000" w:type="pct"/>
            <w:gridSpan w:val="5"/>
            <w:shd w:val="clear" w:color="auto" w:fill="FFFFFF" w:themeFill="background1"/>
            <w:noWrap/>
            <w:vAlign w:val="center"/>
          </w:tcPr>
          <w:p w14:paraId="5E7DBF92">
            <w:pPr>
              <w:widowControl/>
              <w:spacing w:line="360" w:lineRule="auto"/>
              <w:rPr>
                <w:rFonts w:hint="eastAsia" w:ascii="宋体" w:hAnsi="宋体" w:cs="宋体"/>
                <w:color w:val="000000"/>
                <w:szCs w:val="21"/>
              </w:rPr>
            </w:pPr>
            <w:r>
              <w:rPr>
                <w:rFonts w:hint="eastAsia" w:ascii="宋体" w:hAnsi="宋体" w:cs="宋体"/>
                <w:b/>
                <w:bCs/>
                <w:color w:val="000000"/>
                <w:szCs w:val="21"/>
              </w:rPr>
              <w:t>备注：露点监测用现有监测器</w:t>
            </w:r>
          </w:p>
        </w:tc>
      </w:tr>
      <w:tr w14:paraId="060FC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5000" w:type="pct"/>
            <w:gridSpan w:val="5"/>
            <w:shd w:val="clear" w:color="auto" w:fill="FFFFFF" w:themeFill="background1"/>
            <w:noWrap/>
            <w:vAlign w:val="center"/>
          </w:tcPr>
          <w:p w14:paraId="25AD57D8">
            <w:pPr>
              <w:widowControl/>
              <w:spacing w:line="360" w:lineRule="auto"/>
              <w:rPr>
                <w:rFonts w:hint="eastAsia" w:ascii="宋体" w:hAnsi="宋体" w:cs="宋体"/>
                <w:color w:val="FF0000"/>
                <w:szCs w:val="21"/>
              </w:rPr>
            </w:pPr>
            <w:r>
              <w:rPr>
                <w:rFonts w:hint="eastAsia" w:ascii="宋体" w:hAnsi="宋体" w:cs="宋体"/>
                <w:b/>
                <w:bCs/>
                <w:color w:val="000000"/>
                <w:szCs w:val="21"/>
              </w:rPr>
              <w:t>二、空压站房改造</w:t>
            </w:r>
          </w:p>
        </w:tc>
      </w:tr>
      <w:tr w14:paraId="4659B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36" w:type="pct"/>
            <w:shd w:val="clear" w:color="auto" w:fill="FFFFFF" w:themeFill="background1"/>
            <w:noWrap/>
            <w:vAlign w:val="center"/>
          </w:tcPr>
          <w:p w14:paraId="254A707B">
            <w:pPr>
              <w:widowControl/>
              <w:spacing w:line="360" w:lineRule="auto"/>
              <w:rPr>
                <w:rFonts w:hint="eastAsia" w:ascii="宋体" w:hAnsi="宋体" w:cs="宋体"/>
                <w:color w:val="000000"/>
                <w:szCs w:val="21"/>
              </w:rPr>
            </w:pPr>
            <w:r>
              <w:rPr>
                <w:rFonts w:hint="eastAsia" w:ascii="宋体" w:hAnsi="宋体" w:cs="宋体"/>
                <w:color w:val="000000"/>
                <w:szCs w:val="21"/>
              </w:rPr>
              <w:t>1</w:t>
            </w:r>
          </w:p>
        </w:tc>
        <w:tc>
          <w:tcPr>
            <w:tcW w:w="998" w:type="pct"/>
            <w:shd w:val="clear" w:color="auto" w:fill="FFFFFF" w:themeFill="background1"/>
            <w:noWrap/>
            <w:vAlign w:val="center"/>
          </w:tcPr>
          <w:p w14:paraId="33C9E4E4">
            <w:pPr>
              <w:widowControl/>
              <w:spacing w:line="360" w:lineRule="auto"/>
              <w:rPr>
                <w:rFonts w:hint="eastAsia" w:ascii="宋体" w:hAnsi="宋体" w:cs="宋体"/>
                <w:color w:val="000000"/>
                <w:szCs w:val="21"/>
              </w:rPr>
            </w:pPr>
            <w:r>
              <w:rPr>
                <w:rFonts w:hint="eastAsia" w:ascii="宋体" w:hAnsi="宋体" w:cs="宋体"/>
                <w:color w:val="000000"/>
                <w:szCs w:val="21"/>
              </w:rPr>
              <w:t>原站房设备拆除</w:t>
            </w:r>
          </w:p>
        </w:tc>
        <w:tc>
          <w:tcPr>
            <w:tcW w:w="354" w:type="pct"/>
            <w:shd w:val="clear" w:color="auto" w:fill="FFFFFF" w:themeFill="background1"/>
            <w:noWrap/>
            <w:vAlign w:val="center"/>
          </w:tcPr>
          <w:p w14:paraId="635EE03C">
            <w:pPr>
              <w:widowControl/>
              <w:spacing w:line="360" w:lineRule="auto"/>
              <w:jc w:val="center"/>
              <w:rPr>
                <w:rFonts w:hint="eastAsia" w:ascii="宋体" w:hAnsi="宋体" w:cs="宋体"/>
                <w:color w:val="000000"/>
                <w:szCs w:val="21"/>
              </w:rPr>
            </w:pPr>
            <w:r>
              <w:rPr>
                <w:rFonts w:hint="eastAsia" w:ascii="宋体" w:hAnsi="宋体" w:cs="宋体"/>
                <w:color w:val="000000"/>
                <w:szCs w:val="21"/>
              </w:rPr>
              <w:t>项</w:t>
            </w:r>
          </w:p>
        </w:tc>
        <w:tc>
          <w:tcPr>
            <w:tcW w:w="499" w:type="pct"/>
            <w:shd w:val="clear" w:color="auto" w:fill="FFFFFF" w:themeFill="background1"/>
            <w:noWrap/>
            <w:vAlign w:val="center"/>
          </w:tcPr>
          <w:p w14:paraId="49CD3CBB">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619FB117">
            <w:pPr>
              <w:widowControl/>
              <w:spacing w:line="360" w:lineRule="auto"/>
              <w:rPr>
                <w:rFonts w:hint="eastAsia" w:ascii="宋体" w:hAnsi="宋体" w:cs="宋体"/>
                <w:szCs w:val="21"/>
              </w:rPr>
            </w:pPr>
            <w:r>
              <w:rPr>
                <w:rFonts w:hint="eastAsia" w:ascii="宋体" w:hAnsi="宋体" w:cs="宋体"/>
                <w:szCs w:val="21"/>
              </w:rPr>
              <w:t>拆除原站房内空压机2台、储罐2台、冷干机3台、过滤器9只、减压箱2个、分汽缸1个及附属管道，妥善处置拆卸部件，保护原有可用管线。</w:t>
            </w:r>
          </w:p>
        </w:tc>
      </w:tr>
      <w:tr w14:paraId="59102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36" w:type="pct"/>
            <w:shd w:val="clear" w:color="auto" w:fill="FFFFFF" w:themeFill="background1"/>
            <w:noWrap/>
            <w:vAlign w:val="center"/>
          </w:tcPr>
          <w:p w14:paraId="7A44F792">
            <w:pPr>
              <w:widowControl/>
              <w:spacing w:line="360" w:lineRule="auto"/>
              <w:rPr>
                <w:rFonts w:hint="eastAsia" w:ascii="宋体" w:hAnsi="宋体" w:cs="宋体"/>
                <w:color w:val="000000"/>
                <w:szCs w:val="21"/>
              </w:rPr>
            </w:pPr>
            <w:r>
              <w:rPr>
                <w:rFonts w:hint="eastAsia" w:ascii="宋体" w:hAnsi="宋体" w:cs="宋体"/>
                <w:color w:val="000000"/>
                <w:szCs w:val="21"/>
              </w:rPr>
              <w:t>2</w:t>
            </w:r>
          </w:p>
        </w:tc>
        <w:tc>
          <w:tcPr>
            <w:tcW w:w="998" w:type="pct"/>
            <w:shd w:val="clear" w:color="auto" w:fill="FFFFFF" w:themeFill="background1"/>
            <w:noWrap/>
            <w:vAlign w:val="center"/>
          </w:tcPr>
          <w:p w14:paraId="42DA84DD">
            <w:pPr>
              <w:widowControl/>
              <w:spacing w:line="360" w:lineRule="auto"/>
              <w:rPr>
                <w:rFonts w:hint="eastAsia" w:ascii="宋体" w:hAnsi="宋体" w:cs="宋体"/>
                <w:color w:val="000000"/>
                <w:szCs w:val="21"/>
              </w:rPr>
            </w:pPr>
            <w:r>
              <w:rPr>
                <w:rFonts w:hint="eastAsia" w:ascii="宋体" w:hAnsi="宋体" w:cs="宋体"/>
                <w:color w:val="000000"/>
                <w:szCs w:val="21"/>
              </w:rPr>
              <w:t>压缩空气流量计</w:t>
            </w:r>
          </w:p>
        </w:tc>
        <w:tc>
          <w:tcPr>
            <w:tcW w:w="354" w:type="pct"/>
            <w:shd w:val="clear" w:color="auto" w:fill="FFFFFF" w:themeFill="background1"/>
            <w:noWrap/>
            <w:vAlign w:val="center"/>
          </w:tcPr>
          <w:p w14:paraId="5427F09E">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1B46D18A">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2D70BD04">
            <w:pPr>
              <w:widowControl/>
              <w:spacing w:line="360" w:lineRule="auto"/>
              <w:rPr>
                <w:rFonts w:hint="eastAsia" w:ascii="宋体" w:hAnsi="宋体" w:cs="宋体"/>
                <w:szCs w:val="21"/>
              </w:rPr>
            </w:pPr>
            <w:r>
              <w:rPr>
                <w:rFonts w:hint="eastAsia" w:ascii="宋体" w:hAnsi="宋体" w:cs="宋体"/>
                <w:szCs w:val="21"/>
              </w:rPr>
              <w:t>一体化温压补偿管段式涡街流量计, 最大标况流量 150 Nm³/h；适配 0～0.8MPa 常规医用供气压力；支持 RS485 Modbus-RTU；设置旁通阀，便于检修。</w:t>
            </w:r>
          </w:p>
        </w:tc>
      </w:tr>
      <w:tr w14:paraId="7E0E0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36" w:type="pct"/>
            <w:shd w:val="clear" w:color="auto" w:fill="FFFFFF" w:themeFill="background1"/>
            <w:noWrap/>
            <w:vAlign w:val="center"/>
          </w:tcPr>
          <w:p w14:paraId="5AC0F36A">
            <w:pPr>
              <w:widowControl/>
              <w:spacing w:line="360" w:lineRule="auto"/>
              <w:rPr>
                <w:rFonts w:hint="eastAsia" w:ascii="宋体" w:hAnsi="宋体" w:cs="宋体"/>
                <w:color w:val="000000"/>
                <w:szCs w:val="21"/>
              </w:rPr>
            </w:pPr>
            <w:r>
              <w:rPr>
                <w:rFonts w:hint="eastAsia" w:ascii="宋体" w:hAnsi="宋体" w:cs="宋体"/>
                <w:color w:val="000000"/>
                <w:szCs w:val="21"/>
              </w:rPr>
              <w:t>3</w:t>
            </w:r>
          </w:p>
        </w:tc>
        <w:tc>
          <w:tcPr>
            <w:tcW w:w="998" w:type="pct"/>
            <w:shd w:val="clear" w:color="auto" w:fill="FFFFFF" w:themeFill="background1"/>
            <w:noWrap/>
            <w:vAlign w:val="center"/>
          </w:tcPr>
          <w:p w14:paraId="3747206B">
            <w:pPr>
              <w:widowControl/>
              <w:spacing w:line="360" w:lineRule="auto"/>
              <w:rPr>
                <w:rFonts w:hint="eastAsia" w:ascii="宋体" w:hAnsi="宋体" w:cs="宋体"/>
                <w:color w:val="000000"/>
                <w:szCs w:val="21"/>
              </w:rPr>
            </w:pPr>
            <w:r>
              <w:rPr>
                <w:rFonts w:hint="eastAsia" w:ascii="宋体" w:hAnsi="宋体" w:cs="宋体"/>
                <w:color w:val="000000"/>
                <w:szCs w:val="21"/>
              </w:rPr>
              <w:t>旧站房翻新</w:t>
            </w:r>
          </w:p>
        </w:tc>
        <w:tc>
          <w:tcPr>
            <w:tcW w:w="354" w:type="pct"/>
            <w:shd w:val="clear" w:color="auto" w:fill="FFFFFF" w:themeFill="background1"/>
            <w:noWrap/>
            <w:vAlign w:val="center"/>
          </w:tcPr>
          <w:p w14:paraId="3EB38CD3">
            <w:pPr>
              <w:widowControl/>
              <w:spacing w:line="360" w:lineRule="auto"/>
              <w:jc w:val="center"/>
              <w:rPr>
                <w:rFonts w:hint="eastAsia" w:ascii="宋体" w:hAnsi="宋体" w:cs="宋体"/>
                <w:color w:val="000000"/>
                <w:szCs w:val="21"/>
              </w:rPr>
            </w:pPr>
            <w:r>
              <w:rPr>
                <w:rFonts w:hint="eastAsia" w:ascii="宋体" w:hAnsi="宋体" w:cs="宋体"/>
                <w:color w:val="000000"/>
                <w:szCs w:val="21"/>
              </w:rPr>
              <w:t>项</w:t>
            </w:r>
          </w:p>
        </w:tc>
        <w:tc>
          <w:tcPr>
            <w:tcW w:w="499" w:type="pct"/>
            <w:shd w:val="clear" w:color="auto" w:fill="FFFFFF" w:themeFill="background1"/>
            <w:noWrap/>
            <w:vAlign w:val="center"/>
          </w:tcPr>
          <w:p w14:paraId="092E6055">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53326303">
            <w:pPr>
              <w:widowControl/>
              <w:spacing w:line="360" w:lineRule="auto"/>
              <w:rPr>
                <w:rFonts w:hint="eastAsia" w:ascii="宋体" w:hAnsi="宋体" w:cs="宋体"/>
                <w:szCs w:val="21"/>
              </w:rPr>
            </w:pPr>
            <w:r>
              <w:rPr>
                <w:rFonts w:hint="eastAsia" w:ascii="宋体" w:hAnsi="宋体" w:cs="宋体"/>
                <w:szCs w:val="21"/>
              </w:rPr>
              <w:t>1.站房土建改造符合GB50751</w:t>
            </w:r>
            <w:r>
              <w:rPr>
                <w:rFonts w:hint="eastAsia" w:ascii="宋体" w:hAnsi="宋体" w:cs="宋体"/>
                <w:szCs w:val="21"/>
              </w:rPr>
              <w:noBreakHyphen/>
            </w:r>
            <w:r>
              <w:rPr>
                <w:rFonts w:hint="eastAsia" w:ascii="宋体" w:hAnsi="宋体" w:cs="宋体"/>
                <w:szCs w:val="21"/>
              </w:rPr>
              <w:t>2012 医用气体站房土建相关要求；清除原有地砖，地面施工环氧地坪，地坪厚度满足机房使用要求，表面平整度≤2mm/2m；内墙平整抹灰后涂刷机房专用乳胶漆；</w:t>
            </w:r>
          </w:p>
          <w:p w14:paraId="4F0D4487">
            <w:pPr>
              <w:widowControl/>
              <w:spacing w:line="360" w:lineRule="auto"/>
              <w:rPr>
                <w:rFonts w:hint="eastAsia" w:ascii="宋体" w:hAnsi="宋体" w:cs="宋体"/>
                <w:szCs w:val="21"/>
              </w:rPr>
            </w:pPr>
            <w:r>
              <w:rPr>
                <w:rFonts w:hint="eastAsia" w:ascii="宋体" w:hAnsi="宋体" w:cs="宋体"/>
                <w:szCs w:val="21"/>
              </w:rPr>
              <w:t>2.站房做好通风散热、设备基础减振隔振；</w:t>
            </w:r>
          </w:p>
          <w:p w14:paraId="4B0AD219">
            <w:pPr>
              <w:widowControl/>
              <w:spacing w:line="360" w:lineRule="auto"/>
              <w:rPr>
                <w:rFonts w:hint="eastAsia" w:ascii="宋体" w:hAnsi="宋体" w:cs="宋体"/>
                <w:szCs w:val="21"/>
              </w:rPr>
            </w:pPr>
            <w:r>
              <w:rPr>
                <w:rFonts w:hint="eastAsia" w:ascii="宋体" w:hAnsi="宋体" w:cs="宋体"/>
                <w:szCs w:val="21"/>
              </w:rPr>
              <w:t>3.照明：加装T8 高效LED灯4盏（8根）；</w:t>
            </w:r>
          </w:p>
          <w:p w14:paraId="792AE7DD">
            <w:pPr>
              <w:widowControl/>
              <w:spacing w:line="360" w:lineRule="auto"/>
              <w:rPr>
                <w:rFonts w:hint="eastAsia" w:ascii="宋体" w:hAnsi="宋体" w:cs="宋体"/>
                <w:szCs w:val="21"/>
              </w:rPr>
            </w:pPr>
            <w:r>
              <w:rPr>
                <w:rFonts w:hint="eastAsia" w:ascii="宋体" w:hAnsi="宋体" w:cs="宋体"/>
                <w:szCs w:val="21"/>
              </w:rPr>
              <w:t>4.机组侧墙面下方加装60cm*40cm通气格栅，应有足够有效通风面积，配置可拆卸防尘过滤网；5.设备基础划线并加装设备标识。</w:t>
            </w:r>
          </w:p>
        </w:tc>
      </w:tr>
      <w:tr w14:paraId="3D0DC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36" w:type="pct"/>
            <w:shd w:val="clear" w:color="auto" w:fill="FFFFFF" w:themeFill="background1"/>
            <w:noWrap/>
            <w:vAlign w:val="center"/>
          </w:tcPr>
          <w:p w14:paraId="7A4440F4">
            <w:pPr>
              <w:widowControl/>
              <w:spacing w:line="360" w:lineRule="auto"/>
              <w:rPr>
                <w:rFonts w:hint="eastAsia" w:ascii="宋体" w:hAnsi="宋体" w:cs="宋体"/>
                <w:color w:val="000000"/>
                <w:szCs w:val="21"/>
              </w:rPr>
            </w:pPr>
            <w:r>
              <w:rPr>
                <w:rFonts w:hint="eastAsia" w:ascii="宋体" w:hAnsi="宋体" w:cs="宋体"/>
                <w:color w:val="000000"/>
                <w:szCs w:val="21"/>
              </w:rPr>
              <w:t>4</w:t>
            </w:r>
          </w:p>
        </w:tc>
        <w:tc>
          <w:tcPr>
            <w:tcW w:w="998" w:type="pct"/>
            <w:shd w:val="clear" w:color="auto" w:fill="FFFFFF" w:themeFill="background1"/>
            <w:noWrap/>
            <w:vAlign w:val="center"/>
          </w:tcPr>
          <w:p w14:paraId="277CB7AB">
            <w:pPr>
              <w:widowControl/>
              <w:spacing w:line="360" w:lineRule="auto"/>
              <w:rPr>
                <w:rFonts w:hint="eastAsia" w:ascii="宋体" w:hAnsi="宋体" w:cs="宋体"/>
                <w:color w:val="000000"/>
                <w:szCs w:val="21"/>
              </w:rPr>
            </w:pPr>
            <w:r>
              <w:rPr>
                <w:rFonts w:hint="eastAsia" w:ascii="宋体" w:hAnsi="宋体" w:cs="宋体"/>
                <w:color w:val="000000"/>
                <w:szCs w:val="21"/>
              </w:rPr>
              <w:t>现用站房翻新</w:t>
            </w:r>
          </w:p>
        </w:tc>
        <w:tc>
          <w:tcPr>
            <w:tcW w:w="354" w:type="pct"/>
            <w:shd w:val="clear" w:color="auto" w:fill="FFFFFF" w:themeFill="background1"/>
            <w:noWrap/>
            <w:vAlign w:val="center"/>
          </w:tcPr>
          <w:p w14:paraId="769EEBAA">
            <w:pPr>
              <w:widowControl/>
              <w:spacing w:line="360" w:lineRule="auto"/>
              <w:jc w:val="center"/>
              <w:rPr>
                <w:rFonts w:hint="eastAsia" w:ascii="宋体" w:hAnsi="宋体" w:cs="宋体"/>
                <w:color w:val="000000"/>
                <w:szCs w:val="21"/>
              </w:rPr>
            </w:pPr>
            <w:r>
              <w:rPr>
                <w:rFonts w:hint="eastAsia" w:ascii="宋体" w:hAnsi="宋体" w:cs="宋体"/>
                <w:color w:val="000000"/>
                <w:szCs w:val="21"/>
              </w:rPr>
              <w:t>项</w:t>
            </w:r>
          </w:p>
        </w:tc>
        <w:tc>
          <w:tcPr>
            <w:tcW w:w="499" w:type="pct"/>
            <w:shd w:val="clear" w:color="auto" w:fill="FFFFFF" w:themeFill="background1"/>
            <w:noWrap/>
            <w:vAlign w:val="center"/>
          </w:tcPr>
          <w:p w14:paraId="49C3E313">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7AEB35BA">
            <w:pPr>
              <w:widowControl/>
              <w:spacing w:line="360" w:lineRule="auto"/>
              <w:rPr>
                <w:rFonts w:hint="eastAsia" w:ascii="宋体" w:hAnsi="宋体" w:cs="宋体"/>
                <w:szCs w:val="21"/>
              </w:rPr>
            </w:pPr>
            <w:r>
              <w:rPr>
                <w:rFonts w:hint="eastAsia" w:ascii="宋体" w:hAnsi="宋体" w:cs="宋体"/>
                <w:szCs w:val="21"/>
              </w:rPr>
              <w:t>1.站房翻新符合压缩空气机房相关标准，内墙平整抹灰并涂刷机房专用乳胶漆；</w:t>
            </w:r>
          </w:p>
          <w:p w14:paraId="2C791B01">
            <w:pPr>
              <w:widowControl/>
              <w:spacing w:line="360" w:lineRule="auto"/>
              <w:rPr>
                <w:rFonts w:hint="eastAsia" w:ascii="宋体" w:hAnsi="宋体" w:cs="宋体"/>
                <w:szCs w:val="21"/>
              </w:rPr>
            </w:pPr>
            <w:r>
              <w:rPr>
                <w:rFonts w:hint="eastAsia" w:ascii="宋体" w:hAnsi="宋体" w:cs="宋体"/>
                <w:szCs w:val="21"/>
              </w:rPr>
              <w:t>2.设备基础划线并加装设备标识。</w:t>
            </w:r>
          </w:p>
        </w:tc>
      </w:tr>
      <w:tr w14:paraId="7FF04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5000" w:type="pct"/>
            <w:gridSpan w:val="5"/>
            <w:shd w:val="clear" w:color="auto" w:fill="FFFFFF" w:themeFill="background1"/>
            <w:noWrap/>
            <w:vAlign w:val="center"/>
          </w:tcPr>
          <w:p w14:paraId="54B35C7E">
            <w:pPr>
              <w:widowControl/>
              <w:spacing w:line="360" w:lineRule="auto"/>
              <w:rPr>
                <w:rFonts w:hint="eastAsia" w:ascii="宋体" w:hAnsi="宋体" w:cs="宋体"/>
                <w:color w:val="FF0000"/>
                <w:szCs w:val="21"/>
              </w:rPr>
            </w:pPr>
            <w:r>
              <w:rPr>
                <w:rFonts w:hint="eastAsia" w:ascii="宋体" w:hAnsi="宋体" w:cs="宋体"/>
                <w:b/>
                <w:bCs/>
                <w:color w:val="000000"/>
                <w:szCs w:val="21"/>
              </w:rPr>
              <w:t>三、特种气体站房改造</w:t>
            </w:r>
          </w:p>
        </w:tc>
      </w:tr>
      <w:tr w14:paraId="50F99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3F5F9357">
            <w:pPr>
              <w:widowControl/>
              <w:spacing w:line="360" w:lineRule="auto"/>
              <w:rPr>
                <w:rFonts w:hint="eastAsia" w:ascii="宋体" w:hAnsi="宋体" w:cs="宋体"/>
                <w:color w:val="000000"/>
                <w:szCs w:val="21"/>
              </w:rPr>
            </w:pPr>
            <w:r>
              <w:rPr>
                <w:rFonts w:hint="eastAsia" w:ascii="宋体" w:hAnsi="宋体" w:cs="宋体"/>
                <w:color w:val="000000"/>
                <w:szCs w:val="21"/>
              </w:rPr>
              <w:t>1</w:t>
            </w:r>
          </w:p>
        </w:tc>
        <w:tc>
          <w:tcPr>
            <w:tcW w:w="998" w:type="pct"/>
            <w:shd w:val="clear" w:color="auto" w:fill="FFFFFF" w:themeFill="background1"/>
            <w:noWrap/>
            <w:vAlign w:val="center"/>
          </w:tcPr>
          <w:p w14:paraId="50A44340">
            <w:pPr>
              <w:widowControl/>
              <w:spacing w:line="360" w:lineRule="auto"/>
              <w:rPr>
                <w:rFonts w:hint="eastAsia" w:ascii="宋体" w:hAnsi="宋体" w:cs="宋体"/>
                <w:color w:val="000000"/>
                <w:szCs w:val="21"/>
              </w:rPr>
            </w:pPr>
            <w:r>
              <w:rPr>
                <w:rFonts w:hint="eastAsia" w:ascii="宋体" w:hAnsi="宋体" w:cs="宋体"/>
                <w:color w:val="000000"/>
                <w:szCs w:val="21"/>
              </w:rPr>
              <w:t>等电位接地、绝缘措施处理</w:t>
            </w:r>
          </w:p>
        </w:tc>
        <w:tc>
          <w:tcPr>
            <w:tcW w:w="354" w:type="pct"/>
            <w:shd w:val="clear" w:color="auto" w:fill="FFFFFF" w:themeFill="background1"/>
            <w:noWrap/>
            <w:vAlign w:val="center"/>
          </w:tcPr>
          <w:p w14:paraId="48B4D580">
            <w:pPr>
              <w:widowControl/>
              <w:spacing w:line="360" w:lineRule="auto"/>
              <w:jc w:val="center"/>
              <w:rPr>
                <w:rFonts w:hint="eastAsia" w:ascii="宋体" w:hAnsi="宋体" w:cs="宋体"/>
                <w:color w:val="000000"/>
                <w:szCs w:val="21"/>
              </w:rPr>
            </w:pPr>
            <w:r>
              <w:rPr>
                <w:rFonts w:hint="eastAsia" w:ascii="宋体" w:hAnsi="宋体" w:cs="宋体"/>
                <w:color w:val="000000"/>
                <w:szCs w:val="21"/>
              </w:rPr>
              <w:t>项</w:t>
            </w:r>
          </w:p>
        </w:tc>
        <w:tc>
          <w:tcPr>
            <w:tcW w:w="499" w:type="pct"/>
            <w:shd w:val="clear" w:color="auto" w:fill="FFFFFF" w:themeFill="background1"/>
            <w:noWrap/>
            <w:vAlign w:val="center"/>
          </w:tcPr>
          <w:p w14:paraId="5C6F74E0">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vAlign w:val="center"/>
          </w:tcPr>
          <w:p w14:paraId="3AE3AC5D">
            <w:pPr>
              <w:spacing w:line="360" w:lineRule="auto"/>
              <w:rPr>
                <w:rFonts w:hint="eastAsia" w:ascii="宋体" w:hAnsi="宋体" w:cs="宋体"/>
                <w:szCs w:val="21"/>
              </w:rPr>
            </w:pPr>
            <w:r>
              <w:rPr>
                <w:rFonts w:hint="eastAsia" w:ascii="宋体" w:hAnsi="宋体" w:cs="宋体"/>
                <w:szCs w:val="21"/>
              </w:rPr>
              <w:t>1.补充等电位接地干线，接地电阻≤1Ω，所有金属支架、设备外壳可靠接地；</w:t>
            </w:r>
          </w:p>
          <w:p w14:paraId="4B583058">
            <w:pPr>
              <w:spacing w:line="360" w:lineRule="auto"/>
              <w:rPr>
                <w:rFonts w:hint="eastAsia" w:ascii="宋体" w:hAnsi="宋体" w:cs="宋体"/>
                <w:szCs w:val="21"/>
              </w:rPr>
            </w:pPr>
            <w:r>
              <w:rPr>
                <w:rFonts w:hint="eastAsia" w:ascii="宋体" w:hAnsi="宋体" w:cs="宋体"/>
                <w:szCs w:val="21"/>
              </w:rPr>
              <w:t>2.医用气体管道与支架之间加装绝缘垫片，杜绝电腐蚀与静电传导；</w:t>
            </w:r>
          </w:p>
          <w:p w14:paraId="11438187">
            <w:pPr>
              <w:spacing w:line="360" w:lineRule="auto"/>
              <w:rPr>
                <w:rFonts w:hint="eastAsia" w:ascii="宋体" w:hAnsi="宋体" w:cs="宋体"/>
                <w:szCs w:val="21"/>
              </w:rPr>
            </w:pPr>
            <w:r>
              <w:rPr>
                <w:rFonts w:hint="eastAsia" w:ascii="宋体" w:hAnsi="宋体" w:cs="宋体"/>
                <w:szCs w:val="21"/>
              </w:rPr>
              <w:t>3.出具接地电阻测试报告；</w:t>
            </w:r>
          </w:p>
          <w:p w14:paraId="65CCDE8C">
            <w:pPr>
              <w:spacing w:line="360" w:lineRule="auto"/>
              <w:rPr>
                <w:rFonts w:hint="eastAsia" w:ascii="宋体" w:hAnsi="宋体" w:cs="宋体"/>
                <w:szCs w:val="21"/>
              </w:rPr>
            </w:pPr>
            <w:r>
              <w:rPr>
                <w:rFonts w:hint="eastAsia" w:ascii="宋体" w:hAnsi="宋体" w:cs="宋体"/>
                <w:szCs w:val="21"/>
              </w:rPr>
              <w:t>4.内墙平整抹灰并涂刷机房专用乳胶漆；</w:t>
            </w:r>
          </w:p>
          <w:p w14:paraId="7F829E23">
            <w:pPr>
              <w:spacing w:line="360" w:lineRule="auto"/>
              <w:rPr>
                <w:rFonts w:hint="eastAsia" w:ascii="宋体" w:hAnsi="宋体" w:cs="宋体"/>
                <w:szCs w:val="21"/>
              </w:rPr>
            </w:pPr>
            <w:r>
              <w:rPr>
                <w:rFonts w:hint="eastAsia" w:ascii="宋体" w:hAnsi="宋体" w:cs="宋体"/>
                <w:szCs w:val="21"/>
              </w:rPr>
              <w:t>5.设备基础划线并加装设备、管道标识。</w:t>
            </w:r>
          </w:p>
        </w:tc>
      </w:tr>
      <w:tr w14:paraId="35B0B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1283B0C7">
            <w:pPr>
              <w:widowControl/>
              <w:spacing w:line="360" w:lineRule="auto"/>
              <w:rPr>
                <w:rFonts w:hint="eastAsia" w:ascii="宋体" w:hAnsi="宋体" w:cs="宋体"/>
                <w:color w:val="000000"/>
                <w:szCs w:val="21"/>
              </w:rPr>
            </w:pPr>
            <w:r>
              <w:rPr>
                <w:rFonts w:hint="eastAsia" w:ascii="宋体" w:hAnsi="宋体" w:cs="宋体"/>
                <w:color w:val="000000"/>
                <w:szCs w:val="21"/>
              </w:rPr>
              <w:t>2</w:t>
            </w:r>
          </w:p>
        </w:tc>
        <w:tc>
          <w:tcPr>
            <w:tcW w:w="998" w:type="pct"/>
            <w:shd w:val="clear" w:color="auto" w:fill="FFFFFF" w:themeFill="background1"/>
            <w:noWrap/>
            <w:vAlign w:val="center"/>
          </w:tcPr>
          <w:p w14:paraId="612188E0">
            <w:pPr>
              <w:widowControl/>
              <w:spacing w:line="360" w:lineRule="auto"/>
              <w:rPr>
                <w:rFonts w:hint="eastAsia" w:ascii="宋体" w:hAnsi="宋体" w:cs="宋体"/>
                <w:color w:val="000000"/>
                <w:szCs w:val="21"/>
              </w:rPr>
            </w:pPr>
            <w:r>
              <w:rPr>
                <w:rFonts w:hint="eastAsia" w:ascii="宋体" w:hAnsi="宋体" w:cs="宋体"/>
                <w:color w:val="000000"/>
                <w:szCs w:val="21"/>
              </w:rPr>
              <w:t>二氧化碳浓度报警装置</w:t>
            </w:r>
          </w:p>
        </w:tc>
        <w:tc>
          <w:tcPr>
            <w:tcW w:w="354" w:type="pct"/>
            <w:shd w:val="clear" w:color="auto" w:fill="FFFFFF" w:themeFill="background1"/>
            <w:noWrap/>
            <w:vAlign w:val="center"/>
          </w:tcPr>
          <w:p w14:paraId="5E8CD742">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5C2AEFAB">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vAlign w:val="center"/>
          </w:tcPr>
          <w:p w14:paraId="76395426">
            <w:pPr>
              <w:spacing w:line="360" w:lineRule="auto"/>
              <w:rPr>
                <w:rFonts w:hint="eastAsia" w:ascii="宋体" w:hAnsi="宋体" w:cs="宋体"/>
                <w:szCs w:val="21"/>
                <w:lang w:bidi="ar"/>
              </w:rPr>
            </w:pPr>
            <w:r>
              <w:rPr>
                <w:rFonts w:hint="eastAsia" w:ascii="宋体" w:hAnsi="宋体" w:cs="宋体"/>
                <w:szCs w:val="21"/>
                <w:lang w:bidi="ar"/>
              </w:rPr>
              <w:t>1.测量范围:0~2000ppm，测量精度:</w:t>
            </w:r>
            <w:r>
              <w:rPr>
                <w:rFonts w:hint="eastAsia" w:ascii="宋体" w:hAnsi="宋体" w:cs="宋体"/>
                <w:szCs w:val="21"/>
              </w:rPr>
              <w:t xml:space="preserve"> </w:t>
            </w:r>
            <w:r>
              <w:rPr>
                <w:rFonts w:hint="eastAsia" w:ascii="宋体" w:hAnsi="宋体" w:cs="宋体"/>
                <w:szCs w:val="21"/>
                <w:lang w:bidi="ar"/>
              </w:rPr>
              <w:t>±5%；</w:t>
            </w:r>
          </w:p>
          <w:p w14:paraId="105E3EA1">
            <w:pPr>
              <w:spacing w:line="360" w:lineRule="auto"/>
              <w:rPr>
                <w:rFonts w:hint="eastAsia" w:ascii="宋体" w:hAnsi="宋体" w:cs="宋体"/>
                <w:szCs w:val="21"/>
              </w:rPr>
            </w:pPr>
            <w:r>
              <w:rPr>
                <w:rFonts w:hint="eastAsia" w:ascii="宋体" w:hAnsi="宋体" w:cs="宋体"/>
                <w:szCs w:val="21"/>
                <w:lang w:bidi="ar"/>
              </w:rPr>
              <w:t>2.不小于7英寸高清彩色触控屏，</w:t>
            </w:r>
            <w:r>
              <w:rPr>
                <w:rFonts w:hint="eastAsia" w:ascii="宋体" w:hAnsi="宋体" w:cs="宋体"/>
                <w:szCs w:val="21"/>
              </w:rPr>
              <w:t>提供开放数据通讯接口，便于设备远程管理，报警信号接入氧气班班组；</w:t>
            </w:r>
          </w:p>
          <w:p w14:paraId="0A954DAE">
            <w:pPr>
              <w:spacing w:line="360" w:lineRule="auto"/>
              <w:rPr>
                <w:rFonts w:hint="eastAsia" w:ascii="宋体" w:hAnsi="宋体" w:cs="宋体"/>
                <w:szCs w:val="21"/>
              </w:rPr>
            </w:pPr>
            <w:r>
              <w:rPr>
                <w:rFonts w:hint="eastAsia" w:ascii="宋体" w:hAnsi="宋体" w:cs="宋体"/>
                <w:szCs w:val="21"/>
              </w:rPr>
              <w:t>3.内墙平整抹灰并涂刷机房专用乳胶漆；</w:t>
            </w:r>
          </w:p>
          <w:p w14:paraId="1CD1BF9D">
            <w:pPr>
              <w:spacing w:line="360" w:lineRule="auto"/>
              <w:rPr>
                <w:rFonts w:hint="eastAsia" w:ascii="宋体" w:hAnsi="宋体" w:cs="宋体"/>
                <w:szCs w:val="21"/>
                <w:lang w:bidi="ar"/>
              </w:rPr>
            </w:pPr>
            <w:r>
              <w:rPr>
                <w:rFonts w:hint="eastAsia" w:ascii="宋体" w:hAnsi="宋体" w:cs="宋体"/>
                <w:szCs w:val="21"/>
              </w:rPr>
              <w:t>4.设备基础划线并加装设备、管道标识。</w:t>
            </w:r>
          </w:p>
        </w:tc>
      </w:tr>
      <w:tr w14:paraId="644F4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5712942B">
            <w:pPr>
              <w:widowControl/>
              <w:spacing w:line="360" w:lineRule="auto"/>
              <w:rPr>
                <w:rFonts w:hint="eastAsia" w:ascii="宋体" w:hAnsi="宋体" w:cs="宋体"/>
                <w:color w:val="000000"/>
                <w:szCs w:val="21"/>
              </w:rPr>
            </w:pPr>
            <w:r>
              <w:rPr>
                <w:rFonts w:hint="eastAsia" w:ascii="宋体" w:hAnsi="宋体" w:cs="宋体"/>
                <w:color w:val="000000"/>
                <w:szCs w:val="21"/>
              </w:rPr>
              <w:t>3</w:t>
            </w:r>
          </w:p>
        </w:tc>
        <w:tc>
          <w:tcPr>
            <w:tcW w:w="998" w:type="pct"/>
            <w:shd w:val="clear" w:color="auto" w:fill="FFFFFF" w:themeFill="background1"/>
            <w:noWrap/>
            <w:vAlign w:val="center"/>
          </w:tcPr>
          <w:p w14:paraId="7ECB29D5">
            <w:pPr>
              <w:widowControl/>
              <w:spacing w:line="360" w:lineRule="auto"/>
              <w:rPr>
                <w:rFonts w:hint="eastAsia" w:ascii="宋体" w:hAnsi="宋体" w:cs="宋体"/>
                <w:color w:val="000000"/>
                <w:szCs w:val="21"/>
              </w:rPr>
            </w:pPr>
            <w:r>
              <w:rPr>
                <w:rFonts w:hint="eastAsia" w:ascii="宋体" w:hAnsi="宋体" w:cs="宋体"/>
                <w:color w:val="000000"/>
                <w:szCs w:val="21"/>
              </w:rPr>
              <w:t>负压吸引室管路改造</w:t>
            </w:r>
          </w:p>
        </w:tc>
        <w:tc>
          <w:tcPr>
            <w:tcW w:w="354" w:type="pct"/>
            <w:shd w:val="clear" w:color="auto" w:fill="FFFFFF" w:themeFill="background1"/>
            <w:noWrap/>
            <w:vAlign w:val="center"/>
          </w:tcPr>
          <w:p w14:paraId="5310C604">
            <w:pPr>
              <w:widowControl/>
              <w:spacing w:line="360" w:lineRule="auto"/>
              <w:jc w:val="center"/>
              <w:rPr>
                <w:rFonts w:hint="eastAsia" w:ascii="宋体" w:hAnsi="宋体" w:cs="宋体"/>
                <w:color w:val="000000"/>
                <w:szCs w:val="21"/>
              </w:rPr>
            </w:pPr>
            <w:r>
              <w:rPr>
                <w:rFonts w:hint="eastAsia" w:ascii="宋体" w:hAnsi="宋体" w:cs="宋体"/>
                <w:color w:val="000000"/>
                <w:szCs w:val="21"/>
              </w:rPr>
              <w:t>项</w:t>
            </w:r>
          </w:p>
        </w:tc>
        <w:tc>
          <w:tcPr>
            <w:tcW w:w="499" w:type="pct"/>
            <w:shd w:val="clear" w:color="auto" w:fill="FFFFFF" w:themeFill="background1"/>
            <w:noWrap/>
            <w:vAlign w:val="center"/>
          </w:tcPr>
          <w:p w14:paraId="4589682F">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vAlign w:val="center"/>
          </w:tcPr>
          <w:p w14:paraId="436EC005">
            <w:pPr>
              <w:widowControl/>
              <w:spacing w:line="360" w:lineRule="auto"/>
              <w:rPr>
                <w:rFonts w:hint="eastAsia" w:ascii="宋体" w:hAnsi="宋体" w:cs="宋体"/>
                <w:szCs w:val="21"/>
              </w:rPr>
            </w:pPr>
            <w:r>
              <w:rPr>
                <w:rFonts w:hint="eastAsia" w:ascii="宋体" w:hAnsi="宋体" w:cs="宋体"/>
                <w:szCs w:val="21"/>
              </w:rPr>
              <w:t>1.拆除现用的处于压缩空气站房的负压吸引分汽缸，恢复使用现位于负压吸引室的分汽缸；</w:t>
            </w:r>
          </w:p>
          <w:p w14:paraId="0AC95DB5">
            <w:pPr>
              <w:widowControl/>
              <w:spacing w:line="360" w:lineRule="auto"/>
              <w:rPr>
                <w:rFonts w:hint="eastAsia" w:ascii="宋体" w:hAnsi="宋体" w:cs="宋体"/>
                <w:szCs w:val="21"/>
              </w:rPr>
            </w:pPr>
            <w:r>
              <w:rPr>
                <w:rFonts w:hint="eastAsia" w:ascii="宋体" w:hAnsi="宋体" w:cs="宋体"/>
                <w:szCs w:val="21"/>
              </w:rPr>
              <w:t>2.内墙平整抹灰并涂刷机房专用乳胶漆；</w:t>
            </w:r>
          </w:p>
          <w:p w14:paraId="6A1C8CB8">
            <w:pPr>
              <w:widowControl/>
              <w:spacing w:line="360" w:lineRule="auto"/>
              <w:rPr>
                <w:rFonts w:hint="eastAsia" w:ascii="宋体" w:hAnsi="宋体" w:cs="宋体"/>
                <w:szCs w:val="21"/>
              </w:rPr>
            </w:pPr>
            <w:r>
              <w:rPr>
                <w:rFonts w:hint="eastAsia" w:ascii="宋体" w:hAnsi="宋体" w:cs="宋体"/>
                <w:szCs w:val="21"/>
              </w:rPr>
              <w:t>3.设备基础划线并加装设备、管道标识。</w:t>
            </w:r>
          </w:p>
        </w:tc>
      </w:tr>
      <w:tr w14:paraId="20B68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5000" w:type="pct"/>
            <w:gridSpan w:val="5"/>
            <w:shd w:val="clear" w:color="auto" w:fill="FFFFFF" w:themeFill="background1"/>
            <w:noWrap/>
            <w:vAlign w:val="center"/>
          </w:tcPr>
          <w:p w14:paraId="51B826D4">
            <w:pPr>
              <w:widowControl/>
              <w:spacing w:line="360" w:lineRule="auto"/>
              <w:rPr>
                <w:rFonts w:hint="eastAsia" w:ascii="宋体" w:hAnsi="宋体" w:cs="宋体"/>
                <w:color w:val="FF0000"/>
                <w:szCs w:val="21"/>
              </w:rPr>
            </w:pPr>
            <w:r>
              <w:rPr>
                <w:rFonts w:hint="eastAsia" w:ascii="宋体" w:hAnsi="宋体" w:cs="宋体"/>
                <w:b/>
                <w:bCs/>
                <w:color w:val="000000"/>
                <w:szCs w:val="21"/>
              </w:rPr>
              <w:t>四、供应室、洗衣房压缩空气系统（微油系统）</w:t>
            </w:r>
          </w:p>
        </w:tc>
      </w:tr>
      <w:tr w14:paraId="01EB2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155D727D">
            <w:pPr>
              <w:widowControl/>
              <w:spacing w:line="360" w:lineRule="auto"/>
              <w:rPr>
                <w:rFonts w:hint="eastAsia" w:ascii="宋体" w:hAnsi="宋体" w:cs="宋体"/>
                <w:color w:val="000000"/>
                <w:szCs w:val="21"/>
                <w:highlight w:val="yellow"/>
              </w:rPr>
            </w:pPr>
            <w:bookmarkStart w:id="102" w:name="_Hlk241501198"/>
            <w:r>
              <w:rPr>
                <w:rFonts w:hint="eastAsia" w:ascii="宋体" w:hAnsi="宋体" w:cs="宋体"/>
                <w:color w:val="000000"/>
                <w:szCs w:val="21"/>
              </w:rPr>
              <w:t>1</w:t>
            </w:r>
          </w:p>
        </w:tc>
        <w:tc>
          <w:tcPr>
            <w:tcW w:w="998" w:type="pct"/>
            <w:shd w:val="clear" w:color="auto" w:fill="FFFFFF" w:themeFill="background1"/>
            <w:vAlign w:val="center"/>
          </w:tcPr>
          <w:p w14:paraId="3CFDD1FE">
            <w:pPr>
              <w:widowControl/>
              <w:spacing w:line="360" w:lineRule="auto"/>
              <w:rPr>
                <w:rFonts w:hint="eastAsia" w:ascii="宋体" w:hAnsi="宋体" w:cs="宋体"/>
                <w:szCs w:val="21"/>
              </w:rPr>
            </w:pPr>
            <w:r>
              <w:rPr>
                <w:rFonts w:hint="eastAsia" w:ascii="宋体" w:hAnsi="宋体"/>
                <w:szCs w:val="21"/>
              </w:rPr>
              <w:t>微</w:t>
            </w:r>
            <w:r>
              <w:rPr>
                <w:rFonts w:ascii="宋体" w:hAnsi="宋体"/>
                <w:szCs w:val="21"/>
              </w:rPr>
              <w:t>油空气压缩机</w:t>
            </w:r>
          </w:p>
        </w:tc>
        <w:tc>
          <w:tcPr>
            <w:tcW w:w="354" w:type="pct"/>
            <w:shd w:val="clear" w:color="auto" w:fill="FFFFFF" w:themeFill="background1"/>
            <w:noWrap/>
            <w:vAlign w:val="center"/>
          </w:tcPr>
          <w:p w14:paraId="706DDA08">
            <w:pPr>
              <w:widowControl/>
              <w:spacing w:line="360" w:lineRule="auto"/>
              <w:jc w:val="center"/>
              <w:rPr>
                <w:rFonts w:hint="eastAsia" w:ascii="宋体" w:hAnsi="宋体" w:cs="宋体"/>
                <w:szCs w:val="21"/>
              </w:rPr>
            </w:pPr>
            <w:r>
              <w:rPr>
                <w:rFonts w:hint="eastAsia" w:ascii="宋体" w:hAnsi="宋体" w:cs="宋体"/>
                <w:szCs w:val="21"/>
              </w:rPr>
              <w:t>台</w:t>
            </w:r>
          </w:p>
        </w:tc>
        <w:tc>
          <w:tcPr>
            <w:tcW w:w="499" w:type="pct"/>
            <w:shd w:val="clear" w:color="auto" w:fill="FFFFFF" w:themeFill="background1"/>
            <w:noWrap/>
            <w:vAlign w:val="center"/>
          </w:tcPr>
          <w:p w14:paraId="4152602A">
            <w:pPr>
              <w:widowControl/>
              <w:spacing w:line="360" w:lineRule="auto"/>
              <w:jc w:val="center"/>
              <w:rPr>
                <w:rFonts w:hint="eastAsia" w:ascii="宋体" w:hAnsi="宋体" w:cs="宋体"/>
                <w:szCs w:val="21"/>
              </w:rPr>
            </w:pPr>
            <w:r>
              <w:rPr>
                <w:rFonts w:hint="eastAsia" w:ascii="宋体" w:hAnsi="宋体" w:cs="宋体"/>
                <w:szCs w:val="21"/>
              </w:rPr>
              <w:t>1</w:t>
            </w:r>
          </w:p>
        </w:tc>
        <w:tc>
          <w:tcPr>
            <w:tcW w:w="2813" w:type="pct"/>
            <w:shd w:val="clear" w:color="auto" w:fill="FFFFFF" w:themeFill="background1"/>
            <w:vAlign w:val="center"/>
          </w:tcPr>
          <w:p w14:paraId="19EE3EB7">
            <w:pPr>
              <w:spacing w:line="360" w:lineRule="auto"/>
              <w:rPr>
                <w:rFonts w:hint="eastAsia" w:ascii="宋体" w:hAnsi="宋体"/>
                <w:szCs w:val="21"/>
              </w:rPr>
            </w:pPr>
            <w:r>
              <w:rPr>
                <w:rFonts w:hint="eastAsia" w:ascii="宋体" w:hAnsi="宋体"/>
                <w:szCs w:val="21"/>
              </w:rPr>
              <w:t>1.</w:t>
            </w:r>
            <w:bookmarkStart w:id="103" w:name="OLE_LINK13"/>
            <w:r>
              <w:rPr>
                <w:rFonts w:ascii="宋体" w:hAnsi="宋体"/>
                <w:szCs w:val="21"/>
              </w:rPr>
              <w:t>微油螺杆式空气压缩机</w:t>
            </w:r>
            <w:r>
              <w:rPr>
                <w:rFonts w:hint="eastAsia" w:ascii="宋体" w:hAnsi="宋体"/>
                <w:szCs w:val="21"/>
              </w:rPr>
              <w:t>；</w:t>
            </w:r>
            <w:r>
              <w:rPr>
                <w:rFonts w:hint="eastAsia"/>
              </w:rPr>
              <w:t>额定压力≥0.8MPa，额定流量≥</w:t>
            </w:r>
            <w:r>
              <w:t>1.58m³/min</w:t>
            </w:r>
            <w:r>
              <w:rPr>
                <w:rFonts w:hint="eastAsia" w:ascii="宋体" w:hAnsi="宋体"/>
                <w:szCs w:val="21"/>
              </w:rPr>
              <w:t>；</w:t>
            </w:r>
            <w:r>
              <w:rPr>
                <w:rFonts w:ascii="宋体" w:hAnsi="宋体"/>
                <w:szCs w:val="21"/>
              </w:rPr>
              <w:t>额定功率≥11KW</w:t>
            </w:r>
            <w:bookmarkEnd w:id="103"/>
            <w:r>
              <w:rPr>
                <w:rFonts w:hint="eastAsia" w:ascii="宋体" w:hAnsi="宋体"/>
                <w:szCs w:val="21"/>
              </w:rPr>
              <w:t>；</w:t>
            </w:r>
            <w:r>
              <w:rPr>
                <w:rFonts w:ascii="宋体" w:hAnsi="宋体"/>
                <w:szCs w:val="21"/>
              </w:rPr>
              <w:t>智能控制操作界面，可实现远程监控远程报警</w:t>
            </w:r>
            <w:r>
              <w:rPr>
                <w:rFonts w:hint="eastAsia" w:ascii="宋体" w:hAnsi="宋体" w:cs="宋体"/>
                <w:szCs w:val="21"/>
              </w:rPr>
              <w:t>；</w:t>
            </w:r>
          </w:p>
          <w:p w14:paraId="103FFD75">
            <w:pPr>
              <w:spacing w:line="360" w:lineRule="auto"/>
            </w:pPr>
            <w:bookmarkStart w:id="104" w:name="OLE_LINK14"/>
            <w:r>
              <w:rPr>
                <w:rFonts w:hint="eastAsia" w:ascii="宋体" w:hAnsi="宋体" w:cs="宋体"/>
                <w:szCs w:val="21"/>
              </w:rPr>
              <w:t>2.标配断电重启功能</w:t>
            </w:r>
            <w:bookmarkEnd w:id="104"/>
            <w:r>
              <w:rPr>
                <w:rFonts w:hint="eastAsia" w:ascii="宋体" w:hAnsi="宋体" w:cs="宋体"/>
                <w:szCs w:val="21"/>
              </w:rPr>
              <w:t>。</w:t>
            </w:r>
          </w:p>
        </w:tc>
      </w:tr>
      <w:bookmarkEnd w:id="102"/>
      <w:tr w14:paraId="0A88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3674D1A8">
            <w:pPr>
              <w:widowControl/>
              <w:spacing w:line="360" w:lineRule="auto"/>
              <w:rPr>
                <w:rFonts w:hint="eastAsia" w:ascii="宋体" w:hAnsi="宋体" w:cs="宋体"/>
                <w:color w:val="000000"/>
                <w:szCs w:val="21"/>
              </w:rPr>
            </w:pPr>
            <w:r>
              <w:rPr>
                <w:rFonts w:hint="eastAsia" w:ascii="宋体" w:hAnsi="宋体" w:cs="宋体"/>
                <w:color w:val="000000"/>
                <w:szCs w:val="21"/>
              </w:rPr>
              <w:t>2</w:t>
            </w:r>
          </w:p>
        </w:tc>
        <w:tc>
          <w:tcPr>
            <w:tcW w:w="998" w:type="pct"/>
            <w:shd w:val="clear" w:color="auto" w:fill="FFFFFF" w:themeFill="background1"/>
            <w:vAlign w:val="center"/>
          </w:tcPr>
          <w:p w14:paraId="3A9BE869">
            <w:pPr>
              <w:widowControl/>
              <w:spacing w:line="360" w:lineRule="auto"/>
              <w:rPr>
                <w:rFonts w:hint="eastAsia" w:ascii="宋体" w:hAnsi="宋体" w:cs="宋体"/>
                <w:szCs w:val="21"/>
              </w:rPr>
            </w:pPr>
            <w:r>
              <w:rPr>
                <w:rFonts w:hint="eastAsia" w:ascii="宋体" w:hAnsi="宋体" w:cs="宋体"/>
                <w:szCs w:val="21"/>
              </w:rPr>
              <w:t>主路过滤器</w:t>
            </w:r>
          </w:p>
        </w:tc>
        <w:tc>
          <w:tcPr>
            <w:tcW w:w="354" w:type="pct"/>
            <w:shd w:val="clear" w:color="auto" w:fill="FFFFFF" w:themeFill="background1"/>
            <w:noWrap/>
            <w:vAlign w:val="center"/>
          </w:tcPr>
          <w:p w14:paraId="0A2FCE7A">
            <w:pPr>
              <w:widowControl/>
              <w:spacing w:line="360" w:lineRule="auto"/>
              <w:jc w:val="center"/>
              <w:rPr>
                <w:rFonts w:hint="eastAsia" w:ascii="宋体" w:hAnsi="宋体" w:cs="宋体"/>
                <w:szCs w:val="21"/>
              </w:rPr>
            </w:pPr>
            <w:r>
              <w:rPr>
                <w:rFonts w:hint="eastAsia" w:ascii="宋体" w:hAnsi="宋体" w:cs="宋体"/>
                <w:szCs w:val="21"/>
              </w:rPr>
              <w:t>个</w:t>
            </w:r>
          </w:p>
        </w:tc>
        <w:tc>
          <w:tcPr>
            <w:tcW w:w="499" w:type="pct"/>
            <w:shd w:val="clear" w:color="auto" w:fill="FFFFFF" w:themeFill="background1"/>
            <w:noWrap/>
            <w:vAlign w:val="center"/>
          </w:tcPr>
          <w:p w14:paraId="6710D8FD">
            <w:pPr>
              <w:widowControl/>
              <w:spacing w:line="360" w:lineRule="auto"/>
              <w:jc w:val="center"/>
              <w:rPr>
                <w:rFonts w:hint="eastAsia" w:ascii="宋体" w:hAnsi="宋体" w:cs="宋体"/>
                <w:szCs w:val="21"/>
              </w:rPr>
            </w:pPr>
            <w:r>
              <w:rPr>
                <w:rFonts w:hint="eastAsia" w:ascii="宋体" w:hAnsi="宋体" w:cs="宋体"/>
                <w:szCs w:val="21"/>
              </w:rPr>
              <w:t>1</w:t>
            </w:r>
          </w:p>
        </w:tc>
        <w:tc>
          <w:tcPr>
            <w:tcW w:w="2813" w:type="pct"/>
            <w:shd w:val="clear" w:color="auto" w:fill="FFFFFF" w:themeFill="background1"/>
            <w:vAlign w:val="center"/>
          </w:tcPr>
          <w:p w14:paraId="0C61445F">
            <w:pPr>
              <w:pStyle w:val="342"/>
              <w:spacing w:before="120"/>
              <w:ind w:left="0" w:firstLine="0"/>
              <w:rPr>
                <w:rFonts w:hint="eastAsia" w:eastAsia="宋体"/>
                <w:sz w:val="21"/>
                <w:szCs w:val="21"/>
              </w:rPr>
            </w:pPr>
            <w:r>
              <w:rPr>
                <w:rFonts w:hint="eastAsia" w:eastAsia="宋体"/>
                <w:sz w:val="21"/>
                <w:szCs w:val="21"/>
              </w:rPr>
              <w:t>处理气量≥</w:t>
            </w:r>
            <w:r>
              <w:rPr>
                <w:rFonts w:eastAsia="宋体"/>
                <w:sz w:val="21"/>
                <w:szCs w:val="21"/>
              </w:rPr>
              <w:t>2.</w:t>
            </w:r>
            <w:r>
              <w:rPr>
                <w:rFonts w:hint="eastAsia" w:eastAsia="宋体"/>
                <w:sz w:val="21"/>
                <w:szCs w:val="21"/>
              </w:rPr>
              <w:t>8m³/min。</w:t>
            </w:r>
          </w:p>
        </w:tc>
      </w:tr>
      <w:tr w14:paraId="37650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352AC80D">
            <w:pPr>
              <w:widowControl/>
              <w:spacing w:line="360" w:lineRule="auto"/>
              <w:rPr>
                <w:rFonts w:hint="eastAsia" w:ascii="宋体" w:hAnsi="宋体" w:cs="宋体"/>
                <w:color w:val="000000"/>
                <w:szCs w:val="21"/>
              </w:rPr>
            </w:pPr>
            <w:r>
              <w:rPr>
                <w:rFonts w:hint="eastAsia" w:ascii="宋体" w:hAnsi="宋体" w:cs="宋体"/>
                <w:color w:val="000000"/>
                <w:szCs w:val="21"/>
              </w:rPr>
              <w:t>3</w:t>
            </w:r>
          </w:p>
        </w:tc>
        <w:tc>
          <w:tcPr>
            <w:tcW w:w="998" w:type="pct"/>
            <w:shd w:val="clear" w:color="auto" w:fill="FFFFFF" w:themeFill="background1"/>
            <w:vAlign w:val="center"/>
          </w:tcPr>
          <w:p w14:paraId="45496DAB">
            <w:pPr>
              <w:widowControl/>
              <w:spacing w:line="360" w:lineRule="auto"/>
              <w:rPr>
                <w:rFonts w:hint="eastAsia" w:ascii="宋体" w:hAnsi="宋体" w:cs="宋体"/>
                <w:szCs w:val="21"/>
              </w:rPr>
            </w:pPr>
            <w:r>
              <w:rPr>
                <w:rFonts w:hint="eastAsia" w:ascii="宋体" w:hAnsi="宋体" w:cs="宋体"/>
                <w:szCs w:val="21"/>
              </w:rPr>
              <w:t>高效精密过滤器</w:t>
            </w:r>
          </w:p>
        </w:tc>
        <w:tc>
          <w:tcPr>
            <w:tcW w:w="354" w:type="pct"/>
            <w:shd w:val="clear" w:color="auto" w:fill="FFFFFF" w:themeFill="background1"/>
            <w:noWrap/>
            <w:vAlign w:val="center"/>
          </w:tcPr>
          <w:p w14:paraId="2D0115E2">
            <w:pPr>
              <w:widowControl/>
              <w:spacing w:line="360" w:lineRule="auto"/>
              <w:jc w:val="center"/>
              <w:rPr>
                <w:rFonts w:hint="eastAsia" w:ascii="宋体" w:hAnsi="宋体" w:cs="宋体"/>
                <w:szCs w:val="21"/>
              </w:rPr>
            </w:pPr>
            <w:r>
              <w:rPr>
                <w:rFonts w:hint="eastAsia" w:ascii="宋体" w:hAnsi="宋体" w:cs="宋体"/>
                <w:szCs w:val="21"/>
              </w:rPr>
              <w:t>个</w:t>
            </w:r>
          </w:p>
        </w:tc>
        <w:tc>
          <w:tcPr>
            <w:tcW w:w="499" w:type="pct"/>
            <w:shd w:val="clear" w:color="auto" w:fill="FFFFFF" w:themeFill="background1"/>
            <w:noWrap/>
            <w:vAlign w:val="center"/>
          </w:tcPr>
          <w:p w14:paraId="1DB153FF">
            <w:pPr>
              <w:widowControl/>
              <w:spacing w:line="360" w:lineRule="auto"/>
              <w:jc w:val="center"/>
              <w:rPr>
                <w:rFonts w:hint="eastAsia" w:ascii="宋体" w:hAnsi="宋体" w:cs="宋体"/>
                <w:szCs w:val="21"/>
              </w:rPr>
            </w:pPr>
            <w:r>
              <w:rPr>
                <w:rFonts w:hint="eastAsia" w:ascii="宋体" w:hAnsi="宋体" w:cs="宋体"/>
                <w:szCs w:val="21"/>
              </w:rPr>
              <w:t>1</w:t>
            </w:r>
          </w:p>
        </w:tc>
        <w:tc>
          <w:tcPr>
            <w:tcW w:w="2813" w:type="pct"/>
            <w:shd w:val="clear" w:color="auto" w:fill="FFFFFF" w:themeFill="background1"/>
            <w:vAlign w:val="center"/>
          </w:tcPr>
          <w:p w14:paraId="36F02FC2">
            <w:pPr>
              <w:spacing w:line="360" w:lineRule="auto"/>
              <w:rPr>
                <w:rFonts w:hint="eastAsia" w:ascii="宋体" w:hAnsi="宋体"/>
                <w:szCs w:val="21"/>
              </w:rPr>
            </w:pPr>
            <w:r>
              <w:rPr>
                <w:rFonts w:hint="eastAsia" w:ascii="宋体" w:hAnsi="宋体"/>
                <w:szCs w:val="21"/>
              </w:rPr>
              <w:t>处理气量≥</w:t>
            </w:r>
            <w:r>
              <w:rPr>
                <w:rFonts w:ascii="宋体" w:hAnsi="宋体"/>
                <w:szCs w:val="21"/>
              </w:rPr>
              <w:t>2.0m³/min</w:t>
            </w:r>
            <w:r>
              <w:rPr>
                <w:rFonts w:hint="eastAsia" w:ascii="宋体" w:hAnsi="宋体"/>
                <w:szCs w:val="21"/>
              </w:rPr>
              <w:t>；过滤精度：</w:t>
            </w:r>
            <w:r>
              <w:rPr>
                <w:rFonts w:ascii="宋体" w:hAnsi="宋体"/>
                <w:szCs w:val="21"/>
              </w:rPr>
              <w:t>0.01um</w:t>
            </w:r>
            <w:r>
              <w:rPr>
                <w:rFonts w:hint="eastAsia" w:ascii="宋体" w:hAnsi="宋体"/>
                <w:szCs w:val="21"/>
              </w:rPr>
              <w:t>；</w:t>
            </w:r>
            <w:bookmarkStart w:id="105" w:name="OLE_LINK18"/>
            <w:r>
              <w:rPr>
                <w:rFonts w:hint="eastAsia" w:ascii="宋体" w:hAnsi="宋体"/>
                <w:szCs w:val="21"/>
              </w:rPr>
              <w:t>最大含油量：</w:t>
            </w:r>
            <w:r>
              <w:rPr>
                <w:rFonts w:ascii="宋体" w:hAnsi="宋体"/>
                <w:szCs w:val="21"/>
              </w:rPr>
              <w:t>0.01ppm</w:t>
            </w:r>
            <w:bookmarkEnd w:id="105"/>
            <w:r>
              <w:rPr>
                <w:rFonts w:hint="eastAsia" w:ascii="宋体" w:hAnsi="宋体"/>
                <w:szCs w:val="21"/>
              </w:rPr>
              <w:t>。</w:t>
            </w:r>
          </w:p>
        </w:tc>
      </w:tr>
      <w:tr w14:paraId="1074C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391692ED">
            <w:pPr>
              <w:widowControl/>
              <w:spacing w:line="360" w:lineRule="auto"/>
              <w:rPr>
                <w:rFonts w:hint="eastAsia" w:ascii="宋体" w:hAnsi="宋体" w:cs="宋体"/>
                <w:color w:val="000000"/>
                <w:szCs w:val="21"/>
              </w:rPr>
            </w:pPr>
            <w:r>
              <w:rPr>
                <w:rFonts w:hint="eastAsia" w:ascii="宋体" w:hAnsi="宋体" w:cs="宋体"/>
                <w:color w:val="000000"/>
                <w:szCs w:val="21"/>
              </w:rPr>
              <w:t>4</w:t>
            </w:r>
          </w:p>
        </w:tc>
        <w:tc>
          <w:tcPr>
            <w:tcW w:w="998" w:type="pct"/>
            <w:shd w:val="clear" w:color="auto" w:fill="FFFFFF" w:themeFill="background1"/>
            <w:vAlign w:val="center"/>
          </w:tcPr>
          <w:p w14:paraId="320F5C19">
            <w:pPr>
              <w:widowControl/>
              <w:spacing w:line="360" w:lineRule="auto"/>
              <w:rPr>
                <w:rFonts w:hint="eastAsia" w:ascii="宋体" w:hAnsi="宋体" w:cs="宋体"/>
                <w:szCs w:val="21"/>
              </w:rPr>
            </w:pPr>
            <w:bookmarkStart w:id="106" w:name="OLE_LINK16"/>
            <w:r>
              <w:rPr>
                <w:rFonts w:hint="eastAsia" w:ascii="宋体" w:hAnsi="宋体" w:cs="宋体"/>
                <w:szCs w:val="21"/>
              </w:rPr>
              <w:t>普通除尘过滤器</w:t>
            </w:r>
            <w:bookmarkEnd w:id="106"/>
          </w:p>
        </w:tc>
        <w:tc>
          <w:tcPr>
            <w:tcW w:w="354" w:type="pct"/>
            <w:shd w:val="clear" w:color="auto" w:fill="FFFFFF" w:themeFill="background1"/>
            <w:noWrap/>
            <w:vAlign w:val="center"/>
          </w:tcPr>
          <w:p w14:paraId="124D084C">
            <w:pPr>
              <w:widowControl/>
              <w:spacing w:line="360" w:lineRule="auto"/>
              <w:jc w:val="center"/>
              <w:rPr>
                <w:rFonts w:hint="eastAsia" w:ascii="宋体" w:hAnsi="宋体" w:cs="宋体"/>
                <w:szCs w:val="21"/>
              </w:rPr>
            </w:pPr>
            <w:r>
              <w:rPr>
                <w:rFonts w:hint="eastAsia" w:ascii="宋体" w:hAnsi="宋体" w:cs="宋体"/>
                <w:szCs w:val="21"/>
              </w:rPr>
              <w:t>个</w:t>
            </w:r>
          </w:p>
        </w:tc>
        <w:tc>
          <w:tcPr>
            <w:tcW w:w="499" w:type="pct"/>
            <w:shd w:val="clear" w:color="auto" w:fill="FFFFFF" w:themeFill="background1"/>
            <w:noWrap/>
            <w:vAlign w:val="center"/>
          </w:tcPr>
          <w:p w14:paraId="3043FD96">
            <w:pPr>
              <w:widowControl/>
              <w:spacing w:line="360" w:lineRule="auto"/>
              <w:jc w:val="center"/>
              <w:rPr>
                <w:rFonts w:hint="eastAsia" w:ascii="宋体" w:hAnsi="宋体" w:cs="宋体"/>
                <w:szCs w:val="21"/>
              </w:rPr>
            </w:pPr>
            <w:r>
              <w:rPr>
                <w:rFonts w:hint="eastAsia" w:ascii="宋体" w:hAnsi="宋体" w:cs="宋体"/>
                <w:szCs w:val="21"/>
              </w:rPr>
              <w:t>1</w:t>
            </w:r>
          </w:p>
        </w:tc>
        <w:tc>
          <w:tcPr>
            <w:tcW w:w="2813" w:type="pct"/>
            <w:shd w:val="clear" w:color="auto" w:fill="FFFFFF" w:themeFill="background1"/>
            <w:vAlign w:val="center"/>
          </w:tcPr>
          <w:p w14:paraId="3B644340">
            <w:pPr>
              <w:spacing w:line="360" w:lineRule="auto"/>
              <w:rPr>
                <w:rFonts w:hint="eastAsia" w:ascii="宋体" w:hAnsi="宋体"/>
                <w:szCs w:val="21"/>
              </w:rPr>
            </w:pPr>
            <w:r>
              <w:rPr>
                <w:rFonts w:hint="eastAsia" w:ascii="宋体" w:hAnsi="宋体"/>
                <w:szCs w:val="21"/>
              </w:rPr>
              <w:t>处理气量≥</w:t>
            </w:r>
            <w:r>
              <w:rPr>
                <w:rFonts w:ascii="宋体" w:hAnsi="宋体"/>
                <w:szCs w:val="21"/>
              </w:rPr>
              <w:t>2.0m³/min</w:t>
            </w:r>
            <w:r>
              <w:rPr>
                <w:rFonts w:hint="eastAsia" w:ascii="宋体" w:hAnsi="宋体"/>
                <w:szCs w:val="21"/>
              </w:rPr>
              <w:t>；过滤精度：</w:t>
            </w:r>
            <w:r>
              <w:rPr>
                <w:rFonts w:ascii="宋体" w:hAnsi="宋体"/>
                <w:szCs w:val="21"/>
              </w:rPr>
              <w:t>0.01um</w:t>
            </w:r>
            <w:r>
              <w:rPr>
                <w:rFonts w:hint="eastAsia" w:ascii="宋体" w:hAnsi="宋体"/>
                <w:szCs w:val="21"/>
              </w:rPr>
              <w:t>；最大含油量：</w:t>
            </w:r>
            <w:r>
              <w:rPr>
                <w:rFonts w:ascii="宋体" w:hAnsi="宋体"/>
                <w:szCs w:val="21"/>
              </w:rPr>
              <w:t>0.01ppm</w:t>
            </w:r>
            <w:r>
              <w:rPr>
                <w:rFonts w:hint="eastAsia" w:ascii="宋体" w:hAnsi="宋体"/>
                <w:szCs w:val="21"/>
              </w:rPr>
              <w:t>。</w:t>
            </w:r>
          </w:p>
        </w:tc>
      </w:tr>
      <w:tr w14:paraId="1CB9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6BF622F9">
            <w:pPr>
              <w:widowControl/>
              <w:spacing w:line="360" w:lineRule="auto"/>
              <w:rPr>
                <w:rFonts w:hint="eastAsia" w:ascii="宋体" w:hAnsi="宋体" w:cs="宋体"/>
                <w:color w:val="000000"/>
                <w:szCs w:val="21"/>
                <w:highlight w:val="yellow"/>
              </w:rPr>
            </w:pPr>
            <w:r>
              <w:rPr>
                <w:rFonts w:hint="eastAsia" w:ascii="宋体" w:hAnsi="宋体" w:cs="宋体"/>
                <w:szCs w:val="21"/>
              </w:rPr>
              <w:t>5</w:t>
            </w:r>
          </w:p>
        </w:tc>
        <w:tc>
          <w:tcPr>
            <w:tcW w:w="998" w:type="pct"/>
            <w:shd w:val="clear" w:color="auto" w:fill="FFFFFF" w:themeFill="background1"/>
            <w:vAlign w:val="center"/>
          </w:tcPr>
          <w:p w14:paraId="5CA89647">
            <w:pPr>
              <w:widowControl/>
              <w:spacing w:line="360" w:lineRule="auto"/>
              <w:rPr>
                <w:rFonts w:hint="eastAsia" w:ascii="宋体" w:hAnsi="宋体" w:cs="宋体"/>
                <w:szCs w:val="21"/>
              </w:rPr>
            </w:pPr>
            <w:r>
              <w:rPr>
                <w:rFonts w:ascii="宋体" w:hAnsi="宋体" w:cs="宋体"/>
                <w:szCs w:val="21"/>
              </w:rPr>
              <w:t>微热再生吸干机</w:t>
            </w:r>
          </w:p>
        </w:tc>
        <w:tc>
          <w:tcPr>
            <w:tcW w:w="354" w:type="pct"/>
            <w:shd w:val="clear" w:color="auto" w:fill="FFFFFF" w:themeFill="background1"/>
            <w:noWrap/>
            <w:vAlign w:val="center"/>
          </w:tcPr>
          <w:p w14:paraId="4A9A0A51">
            <w:pPr>
              <w:widowControl/>
              <w:spacing w:line="360" w:lineRule="auto"/>
              <w:jc w:val="center"/>
              <w:rPr>
                <w:rFonts w:hint="eastAsia" w:ascii="宋体" w:hAnsi="宋体" w:cs="宋体"/>
                <w:szCs w:val="21"/>
              </w:rPr>
            </w:pPr>
            <w:r>
              <w:rPr>
                <w:rFonts w:hint="eastAsia" w:ascii="宋体" w:hAnsi="宋体" w:cs="宋体"/>
                <w:szCs w:val="21"/>
              </w:rPr>
              <w:t>台</w:t>
            </w:r>
          </w:p>
        </w:tc>
        <w:tc>
          <w:tcPr>
            <w:tcW w:w="499" w:type="pct"/>
            <w:shd w:val="clear" w:color="auto" w:fill="FFFFFF" w:themeFill="background1"/>
            <w:noWrap/>
            <w:vAlign w:val="center"/>
          </w:tcPr>
          <w:p w14:paraId="128AAE2E">
            <w:pPr>
              <w:widowControl/>
              <w:spacing w:line="360" w:lineRule="auto"/>
              <w:jc w:val="center"/>
              <w:rPr>
                <w:rFonts w:hint="eastAsia" w:ascii="宋体" w:hAnsi="宋体" w:cs="宋体"/>
                <w:szCs w:val="21"/>
              </w:rPr>
            </w:pPr>
            <w:r>
              <w:rPr>
                <w:rFonts w:hint="eastAsia" w:ascii="宋体" w:hAnsi="宋体" w:cs="宋体"/>
                <w:szCs w:val="21"/>
              </w:rPr>
              <w:t>1</w:t>
            </w:r>
          </w:p>
        </w:tc>
        <w:tc>
          <w:tcPr>
            <w:tcW w:w="2813" w:type="pct"/>
            <w:shd w:val="clear" w:color="auto" w:fill="FFFFFF" w:themeFill="background1"/>
            <w:vAlign w:val="center"/>
          </w:tcPr>
          <w:p w14:paraId="6D48CBA3">
            <w:pPr>
              <w:pStyle w:val="342"/>
              <w:spacing w:before="120"/>
              <w:ind w:left="0" w:firstLine="0"/>
              <w:rPr>
                <w:rFonts w:hint="eastAsia" w:eastAsia="宋体"/>
                <w:sz w:val="21"/>
                <w:szCs w:val="21"/>
              </w:rPr>
            </w:pPr>
            <w:r>
              <w:rPr>
                <w:rFonts w:hint="eastAsia" w:eastAsia="宋体"/>
                <w:sz w:val="21"/>
                <w:szCs w:val="21"/>
              </w:rPr>
              <w:t>处理气量</w:t>
            </w:r>
            <w:bookmarkStart w:id="107" w:name="OLE_LINK17"/>
            <w:r>
              <w:rPr>
                <w:rFonts w:hint="eastAsia" w:eastAsia="宋体"/>
                <w:sz w:val="21"/>
                <w:szCs w:val="21"/>
              </w:rPr>
              <w:t>≥</w:t>
            </w:r>
            <w:bookmarkEnd w:id="107"/>
            <w:r>
              <w:rPr>
                <w:rFonts w:eastAsia="宋体"/>
                <w:sz w:val="21"/>
                <w:szCs w:val="21"/>
              </w:rPr>
              <w:t>1.8</w:t>
            </w:r>
            <w:r>
              <w:rPr>
                <w:rFonts w:hint="eastAsia" w:eastAsia="宋体"/>
                <w:sz w:val="21"/>
                <w:szCs w:val="21"/>
              </w:rPr>
              <w:t>m³/min；空气压力露点温度应达到-20℃以下。</w:t>
            </w:r>
          </w:p>
        </w:tc>
      </w:tr>
      <w:tr w14:paraId="59266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336" w:type="pct"/>
            <w:shd w:val="clear" w:color="auto" w:fill="FFFFFF" w:themeFill="background1"/>
            <w:noWrap/>
            <w:vAlign w:val="center"/>
          </w:tcPr>
          <w:p w14:paraId="04ADD048">
            <w:pPr>
              <w:widowControl/>
              <w:spacing w:line="360" w:lineRule="auto"/>
              <w:rPr>
                <w:rFonts w:hint="eastAsia" w:ascii="宋体" w:hAnsi="宋体" w:cs="宋体"/>
                <w:color w:val="000000"/>
                <w:szCs w:val="21"/>
              </w:rPr>
            </w:pPr>
            <w:r>
              <w:rPr>
                <w:rFonts w:hint="eastAsia" w:ascii="宋体" w:hAnsi="宋体" w:cs="宋体"/>
                <w:color w:val="000000"/>
                <w:szCs w:val="21"/>
              </w:rPr>
              <w:t>6</w:t>
            </w:r>
          </w:p>
        </w:tc>
        <w:tc>
          <w:tcPr>
            <w:tcW w:w="998" w:type="pct"/>
            <w:shd w:val="clear" w:color="auto" w:fill="FFFFFF" w:themeFill="background1"/>
            <w:vAlign w:val="center"/>
          </w:tcPr>
          <w:p w14:paraId="1B1C1BA5">
            <w:pPr>
              <w:widowControl/>
              <w:spacing w:line="360" w:lineRule="auto"/>
              <w:rPr>
                <w:rFonts w:hint="eastAsia" w:ascii="宋体" w:hAnsi="宋体" w:cs="宋体"/>
                <w:color w:val="000000"/>
                <w:szCs w:val="21"/>
              </w:rPr>
            </w:pPr>
            <w:r>
              <w:rPr>
                <w:rFonts w:hint="eastAsia" w:ascii="宋体" w:hAnsi="宋体" w:cs="宋体"/>
                <w:color w:val="000000"/>
                <w:szCs w:val="21"/>
              </w:rPr>
              <w:t>空气储罐（碳钢）</w:t>
            </w:r>
          </w:p>
        </w:tc>
        <w:tc>
          <w:tcPr>
            <w:tcW w:w="354" w:type="pct"/>
            <w:shd w:val="clear" w:color="auto" w:fill="FFFFFF" w:themeFill="background1"/>
            <w:noWrap/>
            <w:vAlign w:val="center"/>
          </w:tcPr>
          <w:p w14:paraId="205D5957">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383934A0">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05A4A5AF">
            <w:pPr>
              <w:widowControl/>
              <w:spacing w:line="360" w:lineRule="auto"/>
              <w:rPr>
                <w:rFonts w:hint="eastAsia" w:ascii="宋体" w:hAnsi="宋体" w:cs="宋体"/>
                <w:color w:val="000000"/>
                <w:szCs w:val="21"/>
              </w:rPr>
            </w:pPr>
            <w:r>
              <w:rPr>
                <w:rFonts w:hint="eastAsia" w:ascii="宋体" w:hAnsi="宋体" w:cs="宋体"/>
                <w:color w:val="000000"/>
                <w:szCs w:val="21"/>
              </w:rPr>
              <w:t>1.材质为碳钢；有效容积2m³；最大工作压力≥0.8MPa；</w:t>
            </w:r>
          </w:p>
          <w:p w14:paraId="1874EFF6">
            <w:pPr>
              <w:widowControl/>
              <w:spacing w:line="360" w:lineRule="auto"/>
              <w:rPr>
                <w:rFonts w:hint="eastAsia" w:ascii="宋体" w:hAnsi="宋体" w:cs="宋体"/>
                <w:szCs w:val="21"/>
              </w:rPr>
            </w:pPr>
            <w:r>
              <w:rPr>
                <w:rFonts w:hint="eastAsia" w:ascii="宋体" w:hAnsi="宋体" w:cs="宋体"/>
                <w:color w:val="000000"/>
                <w:szCs w:val="21"/>
              </w:rPr>
              <w:t>2.符合国家压力容器安全技术监察规程。</w:t>
            </w:r>
          </w:p>
        </w:tc>
      </w:tr>
      <w:tr w14:paraId="0F00C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31F659F3">
            <w:pPr>
              <w:widowControl/>
              <w:spacing w:line="360" w:lineRule="auto"/>
              <w:rPr>
                <w:rFonts w:hint="eastAsia" w:ascii="宋体" w:hAnsi="宋体" w:cs="宋体"/>
                <w:color w:val="000000"/>
                <w:szCs w:val="21"/>
              </w:rPr>
            </w:pPr>
            <w:r>
              <w:rPr>
                <w:rFonts w:hint="eastAsia" w:ascii="宋体" w:hAnsi="宋体" w:cs="宋体"/>
                <w:color w:val="000000"/>
                <w:szCs w:val="21"/>
              </w:rPr>
              <w:t>7</w:t>
            </w:r>
          </w:p>
        </w:tc>
        <w:tc>
          <w:tcPr>
            <w:tcW w:w="998" w:type="pct"/>
            <w:shd w:val="clear" w:color="auto" w:fill="FFFFFF" w:themeFill="background1"/>
            <w:vAlign w:val="center"/>
          </w:tcPr>
          <w:p w14:paraId="52E59A50">
            <w:pPr>
              <w:widowControl/>
              <w:spacing w:line="360" w:lineRule="auto"/>
              <w:rPr>
                <w:rFonts w:hint="eastAsia" w:ascii="宋体" w:hAnsi="宋体" w:cs="宋体"/>
                <w:color w:val="000000"/>
                <w:szCs w:val="21"/>
              </w:rPr>
            </w:pPr>
            <w:r>
              <w:rPr>
                <w:rFonts w:hint="eastAsia" w:ascii="宋体" w:hAnsi="宋体" w:cs="宋体"/>
                <w:color w:val="000000"/>
                <w:szCs w:val="21"/>
              </w:rPr>
              <w:t>压缩空气露点监测仪</w:t>
            </w:r>
          </w:p>
        </w:tc>
        <w:tc>
          <w:tcPr>
            <w:tcW w:w="354" w:type="pct"/>
            <w:shd w:val="clear" w:color="auto" w:fill="FFFFFF" w:themeFill="background1"/>
            <w:noWrap/>
            <w:vAlign w:val="center"/>
          </w:tcPr>
          <w:p w14:paraId="4D5DE380">
            <w:pPr>
              <w:widowControl/>
              <w:spacing w:line="360" w:lineRule="auto"/>
              <w:jc w:val="center"/>
              <w:rPr>
                <w:rFonts w:hint="eastAsia" w:ascii="宋体" w:hAnsi="宋体" w:cs="宋体"/>
                <w:color w:val="000000"/>
                <w:szCs w:val="21"/>
              </w:rPr>
            </w:pPr>
            <w:r>
              <w:rPr>
                <w:rFonts w:hint="eastAsia" w:ascii="宋体" w:hAnsi="宋体" w:cs="宋体"/>
                <w:color w:val="000000"/>
                <w:szCs w:val="21"/>
              </w:rPr>
              <w:t>项</w:t>
            </w:r>
          </w:p>
        </w:tc>
        <w:tc>
          <w:tcPr>
            <w:tcW w:w="499" w:type="pct"/>
            <w:shd w:val="clear" w:color="auto" w:fill="FFFFFF" w:themeFill="background1"/>
            <w:noWrap/>
            <w:vAlign w:val="center"/>
          </w:tcPr>
          <w:p w14:paraId="25ED89AE">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vAlign w:val="center"/>
          </w:tcPr>
          <w:p w14:paraId="24C7AC6F">
            <w:pPr>
              <w:widowControl/>
              <w:spacing w:line="360" w:lineRule="auto"/>
              <w:rPr>
                <w:rFonts w:hint="eastAsia" w:ascii="宋体" w:hAnsi="宋体" w:cs="宋体"/>
                <w:color w:val="000000"/>
                <w:szCs w:val="21"/>
              </w:rPr>
            </w:pPr>
            <w:r>
              <w:rPr>
                <w:rFonts w:hint="eastAsia" w:ascii="宋体" w:hAnsi="宋体" w:cs="宋体"/>
                <w:color w:val="000000"/>
                <w:szCs w:val="21"/>
              </w:rPr>
              <w:t>1.露点监测范围≤-40℃，示值误差≤±0.5℃；2.实时动态显示压缩空气露点值，显示精度为：0.1摄氏度；</w:t>
            </w:r>
          </w:p>
          <w:p w14:paraId="1B2ED819">
            <w:pPr>
              <w:widowControl/>
              <w:spacing w:line="360" w:lineRule="auto"/>
              <w:rPr>
                <w:rFonts w:hint="eastAsia" w:ascii="宋体" w:hAnsi="宋体" w:cs="宋体"/>
                <w:color w:val="000000"/>
                <w:szCs w:val="21"/>
              </w:rPr>
            </w:pPr>
            <w:r>
              <w:rPr>
                <w:rFonts w:hint="eastAsia" w:ascii="宋体" w:hAnsi="宋体" w:cs="宋体"/>
                <w:color w:val="000000"/>
                <w:szCs w:val="21"/>
              </w:rPr>
              <w:t>3.具有压缩空气露点异常报警功能，当露点值偏离正常值时发出声光报警；</w:t>
            </w:r>
          </w:p>
          <w:p w14:paraId="6F24EC47">
            <w:pPr>
              <w:widowControl/>
              <w:spacing w:line="360" w:lineRule="auto"/>
              <w:rPr>
                <w:rFonts w:hint="eastAsia" w:ascii="宋体" w:hAnsi="宋体" w:cs="宋体"/>
                <w:color w:val="000000"/>
                <w:szCs w:val="21"/>
              </w:rPr>
            </w:pPr>
            <w:r>
              <w:rPr>
                <w:rFonts w:hint="eastAsia" w:ascii="宋体" w:hAnsi="宋体" w:cs="宋体"/>
                <w:color w:val="000000"/>
                <w:szCs w:val="21"/>
              </w:rPr>
              <w:t>4.具有数据记录功能，数据保持一年以上，方便历史数据查询；</w:t>
            </w:r>
          </w:p>
          <w:p w14:paraId="76895EA5">
            <w:pPr>
              <w:widowControl/>
              <w:spacing w:line="360" w:lineRule="auto"/>
              <w:rPr>
                <w:rFonts w:hint="eastAsia" w:ascii="宋体" w:hAnsi="宋体" w:cs="宋体"/>
                <w:szCs w:val="21"/>
              </w:rPr>
            </w:pPr>
            <w:r>
              <w:rPr>
                <w:rFonts w:hint="eastAsia" w:ascii="宋体" w:hAnsi="宋体" w:cs="宋体"/>
                <w:color w:val="000000"/>
                <w:szCs w:val="21"/>
              </w:rPr>
              <w:t>5.预留数据接口，方便远程数据传输。</w:t>
            </w:r>
          </w:p>
        </w:tc>
      </w:tr>
      <w:tr w14:paraId="4AB59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2CE09D01">
            <w:pPr>
              <w:widowControl/>
              <w:spacing w:line="360" w:lineRule="auto"/>
              <w:rPr>
                <w:rFonts w:hint="eastAsia" w:ascii="宋体" w:hAnsi="宋体" w:cs="宋体"/>
                <w:color w:val="000000"/>
                <w:szCs w:val="21"/>
              </w:rPr>
            </w:pPr>
            <w:r>
              <w:rPr>
                <w:rFonts w:hint="eastAsia" w:ascii="宋体" w:hAnsi="宋体" w:cs="宋体"/>
                <w:color w:val="000000"/>
                <w:szCs w:val="21"/>
              </w:rPr>
              <w:t>8</w:t>
            </w:r>
          </w:p>
        </w:tc>
        <w:tc>
          <w:tcPr>
            <w:tcW w:w="998" w:type="pct"/>
            <w:shd w:val="clear" w:color="auto" w:fill="FFFFFF" w:themeFill="background1"/>
            <w:vAlign w:val="center"/>
          </w:tcPr>
          <w:p w14:paraId="3FF3F9B1">
            <w:pPr>
              <w:widowControl/>
              <w:spacing w:line="360" w:lineRule="auto"/>
              <w:rPr>
                <w:rFonts w:hint="eastAsia" w:ascii="宋体" w:hAnsi="宋体" w:cs="宋体"/>
                <w:color w:val="000000"/>
                <w:szCs w:val="21"/>
              </w:rPr>
            </w:pPr>
            <w:r>
              <w:rPr>
                <w:rFonts w:hint="eastAsia" w:ascii="宋体" w:hAnsi="宋体" w:cs="宋体"/>
                <w:color w:val="000000"/>
                <w:szCs w:val="21"/>
              </w:rPr>
              <w:t>分汽缸</w:t>
            </w:r>
          </w:p>
        </w:tc>
        <w:tc>
          <w:tcPr>
            <w:tcW w:w="354" w:type="pct"/>
            <w:shd w:val="clear" w:color="auto" w:fill="FFFFFF" w:themeFill="background1"/>
            <w:noWrap/>
            <w:vAlign w:val="center"/>
          </w:tcPr>
          <w:p w14:paraId="0DBEDC56">
            <w:pPr>
              <w:widowControl/>
              <w:spacing w:line="360" w:lineRule="auto"/>
              <w:jc w:val="center"/>
              <w:rPr>
                <w:rFonts w:hint="eastAsia" w:ascii="宋体" w:hAnsi="宋体" w:cs="宋体"/>
                <w:color w:val="000000"/>
                <w:szCs w:val="21"/>
              </w:rPr>
            </w:pPr>
            <w:r>
              <w:rPr>
                <w:rFonts w:hint="eastAsia" w:ascii="宋体" w:hAnsi="宋体" w:cs="宋体"/>
                <w:color w:val="000000"/>
                <w:szCs w:val="21"/>
              </w:rPr>
              <w:t>组</w:t>
            </w:r>
          </w:p>
        </w:tc>
        <w:tc>
          <w:tcPr>
            <w:tcW w:w="499" w:type="pct"/>
            <w:shd w:val="clear" w:color="auto" w:fill="FFFFFF" w:themeFill="background1"/>
            <w:noWrap/>
            <w:vAlign w:val="center"/>
          </w:tcPr>
          <w:p w14:paraId="6E178B55">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vAlign w:val="center"/>
          </w:tcPr>
          <w:p w14:paraId="18492FA5">
            <w:pPr>
              <w:widowControl/>
              <w:spacing w:line="360" w:lineRule="auto"/>
              <w:rPr>
                <w:rFonts w:hint="eastAsia" w:ascii="宋体" w:hAnsi="宋体" w:cs="宋体"/>
                <w:szCs w:val="21"/>
              </w:rPr>
            </w:pPr>
            <w:r>
              <w:rPr>
                <w:rFonts w:hint="eastAsia" w:ascii="宋体" w:hAnsi="宋体" w:cs="宋体"/>
                <w:color w:val="000000"/>
                <w:szCs w:val="21"/>
              </w:rPr>
              <w:t>更换原有旧分汽缸，规格相同。</w:t>
            </w:r>
          </w:p>
        </w:tc>
      </w:tr>
      <w:tr w14:paraId="2F0D5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33B57062">
            <w:pPr>
              <w:widowControl/>
              <w:spacing w:line="360" w:lineRule="auto"/>
              <w:rPr>
                <w:rFonts w:hint="eastAsia" w:ascii="宋体" w:hAnsi="宋体" w:cs="宋体"/>
                <w:color w:val="000000"/>
                <w:szCs w:val="21"/>
              </w:rPr>
            </w:pPr>
            <w:r>
              <w:rPr>
                <w:rFonts w:hint="eastAsia" w:ascii="宋体" w:hAnsi="宋体" w:cs="宋体"/>
                <w:color w:val="000000"/>
                <w:szCs w:val="21"/>
              </w:rPr>
              <w:t>9</w:t>
            </w:r>
          </w:p>
        </w:tc>
        <w:tc>
          <w:tcPr>
            <w:tcW w:w="998" w:type="pct"/>
            <w:shd w:val="clear" w:color="auto" w:fill="FFFFFF" w:themeFill="background1"/>
            <w:vAlign w:val="center"/>
          </w:tcPr>
          <w:p w14:paraId="52A5383E">
            <w:pPr>
              <w:widowControl/>
              <w:spacing w:line="360" w:lineRule="auto"/>
              <w:rPr>
                <w:rFonts w:hint="eastAsia" w:ascii="宋体" w:hAnsi="宋体" w:cs="宋体"/>
                <w:color w:val="000000"/>
                <w:szCs w:val="21"/>
              </w:rPr>
            </w:pPr>
            <w:r>
              <w:rPr>
                <w:rFonts w:hint="eastAsia" w:ascii="宋体" w:hAnsi="宋体" w:cs="宋体"/>
                <w:color w:val="000000"/>
                <w:szCs w:val="21"/>
              </w:rPr>
              <w:t>压缩空气站房管路及阀门</w:t>
            </w:r>
          </w:p>
        </w:tc>
        <w:tc>
          <w:tcPr>
            <w:tcW w:w="354" w:type="pct"/>
            <w:shd w:val="clear" w:color="auto" w:fill="FFFFFF" w:themeFill="background1"/>
            <w:noWrap/>
            <w:vAlign w:val="center"/>
          </w:tcPr>
          <w:p w14:paraId="276B77CB">
            <w:pPr>
              <w:widowControl/>
              <w:spacing w:line="360" w:lineRule="auto"/>
              <w:jc w:val="center"/>
              <w:rPr>
                <w:rFonts w:hint="eastAsia" w:ascii="宋体" w:hAnsi="宋体" w:cs="宋体"/>
                <w:color w:val="000000"/>
                <w:szCs w:val="21"/>
              </w:rPr>
            </w:pPr>
            <w:r>
              <w:rPr>
                <w:rFonts w:hint="eastAsia" w:ascii="宋体" w:hAnsi="宋体" w:cs="宋体"/>
                <w:color w:val="000000"/>
                <w:szCs w:val="21"/>
              </w:rPr>
              <w:t>项</w:t>
            </w:r>
          </w:p>
        </w:tc>
        <w:tc>
          <w:tcPr>
            <w:tcW w:w="499" w:type="pct"/>
            <w:shd w:val="clear" w:color="auto" w:fill="FFFFFF" w:themeFill="background1"/>
            <w:noWrap/>
            <w:vAlign w:val="center"/>
          </w:tcPr>
          <w:p w14:paraId="60DF7558">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vAlign w:val="center"/>
          </w:tcPr>
          <w:p w14:paraId="77A59F8F">
            <w:pPr>
              <w:widowControl/>
              <w:spacing w:line="360" w:lineRule="auto"/>
              <w:rPr>
                <w:rFonts w:hint="eastAsia" w:ascii="宋体" w:hAnsi="宋体" w:cs="宋体"/>
                <w:szCs w:val="21"/>
              </w:rPr>
            </w:pPr>
            <w:r>
              <w:rPr>
                <w:rFonts w:hint="eastAsia" w:ascii="宋体" w:hAnsi="宋体" w:cs="宋体"/>
                <w:szCs w:val="21"/>
              </w:rPr>
              <w:t>1.站房内主管路采用无缝铜管，银钎</w:t>
            </w:r>
            <w:r>
              <w:rPr>
                <w:rFonts w:hint="eastAsia"/>
                <w:color w:val="111827"/>
              </w:rPr>
              <w:t>焊</w:t>
            </w:r>
            <w:r>
              <w:rPr>
                <w:rFonts w:hint="eastAsia" w:ascii="宋体" w:hAnsi="宋体" w:cs="宋体"/>
                <w:szCs w:val="21"/>
              </w:rPr>
              <w:t>；</w:t>
            </w:r>
          </w:p>
          <w:p w14:paraId="27E7350D">
            <w:pPr>
              <w:widowControl/>
              <w:spacing w:line="360" w:lineRule="auto"/>
              <w:rPr>
                <w:rFonts w:hint="eastAsia" w:ascii="宋体" w:hAnsi="宋体" w:cs="宋体"/>
                <w:szCs w:val="21"/>
              </w:rPr>
            </w:pPr>
            <w:r>
              <w:rPr>
                <w:rFonts w:hint="eastAsia" w:ascii="宋体" w:hAnsi="宋体" w:cs="宋体"/>
                <w:szCs w:val="21"/>
              </w:rPr>
              <w:br w:type="page"/>
            </w:r>
            <w:r>
              <w:rPr>
                <w:rFonts w:hint="eastAsia" w:ascii="宋体" w:hAnsi="宋体" w:cs="宋体"/>
                <w:szCs w:val="21"/>
              </w:rPr>
              <w:t>2.配套球阀、止回阀、减压阀、压力表，阀门压力等级≥1.6MPa；空压机出口管路必须设置独立外置止回阀，满足 GB50751 医用气体系统防倒灌安全要求；</w:t>
            </w:r>
          </w:p>
          <w:p w14:paraId="6BEAF030">
            <w:pPr>
              <w:widowControl/>
              <w:spacing w:line="360" w:lineRule="auto"/>
              <w:rPr>
                <w:rFonts w:hint="eastAsia" w:ascii="宋体" w:hAnsi="宋体" w:cs="宋体"/>
                <w:szCs w:val="21"/>
              </w:rPr>
            </w:pPr>
            <w:r>
              <w:rPr>
                <w:rFonts w:hint="eastAsia" w:ascii="宋体" w:hAnsi="宋体" w:cs="宋体"/>
                <w:szCs w:val="21"/>
              </w:rPr>
              <w:br w:type="page"/>
            </w:r>
            <w:r>
              <w:rPr>
                <w:rFonts w:hint="eastAsia" w:ascii="宋体" w:hAnsi="宋体" w:cs="宋体"/>
                <w:szCs w:val="21"/>
              </w:rPr>
              <w:t>3.管路按规范做色标与流向标识，支架做绝缘处理。</w:t>
            </w:r>
          </w:p>
        </w:tc>
      </w:tr>
      <w:tr w14:paraId="247CB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2D035DF3">
            <w:pPr>
              <w:widowControl/>
              <w:spacing w:line="360" w:lineRule="auto"/>
              <w:rPr>
                <w:rFonts w:hint="eastAsia" w:ascii="宋体" w:hAnsi="宋体" w:cs="宋体"/>
                <w:color w:val="000000"/>
                <w:szCs w:val="21"/>
              </w:rPr>
            </w:pPr>
            <w:r>
              <w:rPr>
                <w:rFonts w:hint="eastAsia" w:ascii="宋体" w:hAnsi="宋体" w:cs="宋体"/>
                <w:color w:val="000000"/>
                <w:szCs w:val="21"/>
              </w:rPr>
              <w:t>10</w:t>
            </w:r>
          </w:p>
        </w:tc>
        <w:tc>
          <w:tcPr>
            <w:tcW w:w="998" w:type="pct"/>
            <w:shd w:val="clear" w:color="auto" w:fill="FFFFFF" w:themeFill="background1"/>
            <w:vAlign w:val="center"/>
          </w:tcPr>
          <w:p w14:paraId="7537EFAB">
            <w:pPr>
              <w:widowControl/>
              <w:spacing w:line="360" w:lineRule="auto"/>
              <w:rPr>
                <w:rFonts w:hint="eastAsia" w:ascii="宋体" w:hAnsi="宋体" w:cs="宋体"/>
                <w:color w:val="000000"/>
                <w:szCs w:val="21"/>
              </w:rPr>
            </w:pPr>
            <w:r>
              <w:rPr>
                <w:rFonts w:hint="eastAsia" w:ascii="宋体" w:hAnsi="宋体" w:cs="宋体"/>
                <w:color w:val="000000"/>
                <w:szCs w:val="21"/>
              </w:rPr>
              <w:t>减压装置</w:t>
            </w:r>
          </w:p>
        </w:tc>
        <w:tc>
          <w:tcPr>
            <w:tcW w:w="354" w:type="pct"/>
            <w:shd w:val="clear" w:color="auto" w:fill="FFFFFF" w:themeFill="background1"/>
            <w:noWrap/>
            <w:vAlign w:val="center"/>
          </w:tcPr>
          <w:p w14:paraId="7DF25C64">
            <w:pPr>
              <w:widowControl/>
              <w:spacing w:line="360" w:lineRule="auto"/>
              <w:jc w:val="center"/>
              <w:rPr>
                <w:rFonts w:hint="eastAsia" w:ascii="宋体" w:hAnsi="宋体" w:cs="宋体"/>
                <w:color w:val="000000"/>
                <w:szCs w:val="21"/>
              </w:rPr>
            </w:pPr>
            <w:r>
              <w:rPr>
                <w:rFonts w:hint="eastAsia" w:ascii="宋体" w:hAnsi="宋体" w:cs="宋体"/>
                <w:color w:val="000000"/>
                <w:szCs w:val="21"/>
              </w:rPr>
              <w:t>项</w:t>
            </w:r>
          </w:p>
        </w:tc>
        <w:tc>
          <w:tcPr>
            <w:tcW w:w="499" w:type="pct"/>
            <w:shd w:val="clear" w:color="auto" w:fill="FFFFFF" w:themeFill="background1"/>
            <w:noWrap/>
            <w:vAlign w:val="center"/>
          </w:tcPr>
          <w:p w14:paraId="55CF7079">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121AAD73">
            <w:pPr>
              <w:widowControl/>
              <w:spacing w:line="360" w:lineRule="auto"/>
              <w:rPr>
                <w:rFonts w:hint="eastAsia" w:ascii="宋体" w:hAnsi="宋体" w:cs="宋体"/>
                <w:szCs w:val="21"/>
              </w:rPr>
            </w:pPr>
            <w:r>
              <w:rPr>
                <w:rFonts w:hint="eastAsia" w:ascii="宋体" w:hAnsi="宋体" w:cs="宋体"/>
                <w:szCs w:val="21"/>
              </w:rPr>
              <w:t>对站房出来的压缩空气进行减压(压力可调)，双回路设置，自带压力表，实时显示出气压力。</w:t>
            </w:r>
          </w:p>
        </w:tc>
      </w:tr>
      <w:tr w14:paraId="789CD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5000" w:type="pct"/>
            <w:gridSpan w:val="5"/>
            <w:shd w:val="clear" w:color="auto" w:fill="FFFFFF" w:themeFill="background1"/>
            <w:noWrap/>
            <w:vAlign w:val="center"/>
          </w:tcPr>
          <w:p w14:paraId="60DC25A3">
            <w:pPr>
              <w:widowControl/>
              <w:spacing w:line="360" w:lineRule="auto"/>
              <w:rPr>
                <w:rFonts w:hint="eastAsia" w:ascii="宋体" w:hAnsi="宋体" w:cs="宋体"/>
                <w:color w:val="FF0000"/>
                <w:szCs w:val="21"/>
              </w:rPr>
            </w:pPr>
            <w:r>
              <w:rPr>
                <w:rFonts w:hint="eastAsia" w:ascii="宋体" w:hAnsi="宋体" w:cs="宋体"/>
                <w:b/>
                <w:bCs/>
                <w:color w:val="000000"/>
                <w:szCs w:val="21"/>
              </w:rPr>
              <w:t>五、一楼液氧站</w:t>
            </w:r>
          </w:p>
        </w:tc>
      </w:tr>
      <w:tr w14:paraId="5A8F8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336" w:type="pct"/>
            <w:shd w:val="clear" w:color="auto" w:fill="FFFFFF" w:themeFill="background1"/>
            <w:noWrap/>
            <w:vAlign w:val="center"/>
          </w:tcPr>
          <w:p w14:paraId="348C265D">
            <w:pPr>
              <w:widowControl/>
              <w:spacing w:line="360" w:lineRule="auto"/>
              <w:rPr>
                <w:rFonts w:hint="eastAsia" w:ascii="宋体" w:hAnsi="宋体" w:cs="宋体"/>
                <w:color w:val="000000"/>
                <w:szCs w:val="21"/>
              </w:rPr>
            </w:pPr>
            <w:r>
              <w:rPr>
                <w:rFonts w:hint="eastAsia" w:ascii="宋体" w:hAnsi="宋体" w:cs="宋体"/>
                <w:color w:val="000000"/>
                <w:szCs w:val="21"/>
              </w:rPr>
              <w:t>1</w:t>
            </w:r>
          </w:p>
        </w:tc>
        <w:tc>
          <w:tcPr>
            <w:tcW w:w="998" w:type="pct"/>
            <w:shd w:val="clear" w:color="auto" w:fill="FFFFFF" w:themeFill="background1"/>
            <w:noWrap/>
            <w:vAlign w:val="center"/>
          </w:tcPr>
          <w:p w14:paraId="7FA890E1">
            <w:pPr>
              <w:widowControl/>
              <w:spacing w:line="360" w:lineRule="auto"/>
              <w:rPr>
                <w:rFonts w:hint="eastAsia" w:ascii="宋体" w:hAnsi="宋体" w:cs="宋体"/>
                <w:color w:val="000000"/>
                <w:szCs w:val="21"/>
              </w:rPr>
            </w:pPr>
            <w:r>
              <w:rPr>
                <w:rFonts w:hint="eastAsia" w:ascii="宋体" w:hAnsi="宋体" w:cs="宋体"/>
                <w:color w:val="000000"/>
                <w:szCs w:val="21"/>
              </w:rPr>
              <w:t>氧气流量计（主管用，大流量）</w:t>
            </w:r>
          </w:p>
        </w:tc>
        <w:tc>
          <w:tcPr>
            <w:tcW w:w="354" w:type="pct"/>
            <w:shd w:val="clear" w:color="auto" w:fill="FFFFFF" w:themeFill="background1"/>
            <w:noWrap/>
            <w:vAlign w:val="center"/>
          </w:tcPr>
          <w:p w14:paraId="00CAF271">
            <w:pPr>
              <w:widowControl/>
              <w:spacing w:line="360" w:lineRule="auto"/>
              <w:jc w:val="center"/>
              <w:rPr>
                <w:rFonts w:hint="eastAsia" w:ascii="宋体" w:hAnsi="宋体" w:cs="宋体"/>
                <w:color w:val="000000"/>
                <w:szCs w:val="21"/>
              </w:rPr>
            </w:pPr>
            <w:r>
              <w:rPr>
                <w:rFonts w:hint="eastAsia" w:ascii="宋体" w:hAnsi="宋体" w:cs="宋体"/>
                <w:color w:val="000000"/>
                <w:szCs w:val="21"/>
              </w:rPr>
              <w:t>套</w:t>
            </w:r>
          </w:p>
        </w:tc>
        <w:tc>
          <w:tcPr>
            <w:tcW w:w="499" w:type="pct"/>
            <w:shd w:val="clear" w:color="auto" w:fill="FFFFFF" w:themeFill="background1"/>
            <w:noWrap/>
            <w:vAlign w:val="center"/>
          </w:tcPr>
          <w:p w14:paraId="04C37F58">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vAlign w:val="center"/>
          </w:tcPr>
          <w:p w14:paraId="5AF8FF7A">
            <w:pPr>
              <w:spacing w:line="360" w:lineRule="auto"/>
              <w:rPr>
                <w:rFonts w:hint="eastAsia" w:ascii="宋体" w:hAnsi="宋体" w:cs="宋体"/>
                <w:szCs w:val="21"/>
              </w:rPr>
            </w:pPr>
            <w:r>
              <w:rPr>
                <w:rFonts w:hint="eastAsia" w:ascii="宋体" w:hAnsi="宋体" w:cs="宋体"/>
                <w:szCs w:val="21"/>
              </w:rPr>
              <w:t>1.最大流量≥160Nm³/h，</w:t>
            </w:r>
            <w:r>
              <w:rPr>
                <w:rFonts w:hint="eastAsia"/>
                <w:color w:val="111827"/>
              </w:rPr>
              <w:t>精度优于 1.5 级</w:t>
            </w:r>
            <w:r>
              <w:rPr>
                <w:rFonts w:hint="eastAsia" w:ascii="宋体" w:hAnsi="宋体" w:cs="宋体"/>
                <w:szCs w:val="21"/>
              </w:rPr>
              <w:t>；</w:t>
            </w:r>
          </w:p>
          <w:p w14:paraId="1D6DCC9D">
            <w:pPr>
              <w:spacing w:line="360" w:lineRule="auto"/>
              <w:rPr>
                <w:rFonts w:hint="eastAsia" w:ascii="宋体" w:hAnsi="宋体" w:cs="宋体"/>
                <w:szCs w:val="21"/>
              </w:rPr>
            </w:pPr>
            <w:r>
              <w:rPr>
                <w:rFonts w:hint="eastAsia" w:ascii="宋体" w:hAnsi="宋体" w:cs="宋体"/>
                <w:szCs w:val="21"/>
              </w:rPr>
              <w:t>2.管道式安装，法兰连接，经脱脂处理；</w:t>
            </w:r>
          </w:p>
          <w:p w14:paraId="184F5CBC">
            <w:pPr>
              <w:spacing w:line="360" w:lineRule="auto"/>
              <w:rPr>
                <w:rFonts w:hint="eastAsia" w:ascii="宋体" w:hAnsi="宋体" w:cs="宋体"/>
                <w:szCs w:val="21"/>
              </w:rPr>
            </w:pPr>
            <w:r>
              <w:rPr>
                <w:rFonts w:hint="eastAsia" w:ascii="宋体" w:hAnsi="宋体" w:cs="宋体"/>
                <w:szCs w:val="21"/>
              </w:rPr>
              <w:t>3.带瞬时流量、累计流量显示，支持4-20mA信号远传；</w:t>
            </w:r>
          </w:p>
          <w:p w14:paraId="37A54687">
            <w:pPr>
              <w:spacing w:line="360" w:lineRule="auto"/>
              <w:rPr>
                <w:rFonts w:hint="eastAsia" w:ascii="宋体" w:hAnsi="宋体" w:cs="宋体"/>
                <w:szCs w:val="21"/>
              </w:rPr>
            </w:pPr>
            <w:r>
              <w:rPr>
                <w:rFonts w:hint="eastAsia" w:ascii="宋体" w:hAnsi="宋体" w:cs="宋体"/>
                <w:szCs w:val="21"/>
              </w:rPr>
              <w:t>4.</w:t>
            </w:r>
            <w:r>
              <w:rPr>
                <w:rFonts w:hint="eastAsia" w:ascii="宋体" w:hAnsi="宋体" w:cs="宋体"/>
                <w:color w:val="000000"/>
                <w:szCs w:val="21"/>
              </w:rPr>
              <w:t>提供开放数据通讯接口，便于设备的远程管理。</w:t>
            </w:r>
          </w:p>
        </w:tc>
      </w:tr>
      <w:tr w14:paraId="65E4D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4F0744FD">
            <w:pPr>
              <w:widowControl/>
              <w:spacing w:line="360" w:lineRule="auto"/>
              <w:rPr>
                <w:rFonts w:hint="eastAsia" w:ascii="宋体" w:hAnsi="宋体" w:cs="宋体"/>
                <w:color w:val="000000"/>
                <w:szCs w:val="21"/>
              </w:rPr>
            </w:pPr>
            <w:r>
              <w:rPr>
                <w:rFonts w:hint="eastAsia" w:ascii="宋体" w:hAnsi="宋体" w:cs="宋体"/>
                <w:color w:val="000000"/>
                <w:szCs w:val="21"/>
              </w:rPr>
              <w:t>2</w:t>
            </w:r>
          </w:p>
        </w:tc>
        <w:tc>
          <w:tcPr>
            <w:tcW w:w="998" w:type="pct"/>
            <w:shd w:val="clear" w:color="auto" w:fill="FFFFFF" w:themeFill="background1"/>
            <w:noWrap/>
            <w:vAlign w:val="center"/>
          </w:tcPr>
          <w:p w14:paraId="64EE7846">
            <w:pPr>
              <w:widowControl/>
              <w:spacing w:line="360" w:lineRule="auto"/>
              <w:rPr>
                <w:rFonts w:hint="eastAsia" w:ascii="宋体" w:hAnsi="宋体" w:cs="宋体"/>
                <w:color w:val="000000"/>
                <w:szCs w:val="21"/>
              </w:rPr>
            </w:pPr>
            <w:r>
              <w:rPr>
                <w:rFonts w:hint="eastAsia" w:ascii="宋体" w:hAnsi="宋体" w:cs="宋体"/>
                <w:color w:val="000000"/>
                <w:szCs w:val="21"/>
              </w:rPr>
              <w:t>压力报警装置</w:t>
            </w:r>
          </w:p>
        </w:tc>
        <w:tc>
          <w:tcPr>
            <w:tcW w:w="354" w:type="pct"/>
            <w:shd w:val="clear" w:color="auto" w:fill="FFFFFF" w:themeFill="background1"/>
            <w:noWrap/>
            <w:vAlign w:val="center"/>
          </w:tcPr>
          <w:p w14:paraId="2B88F185">
            <w:pPr>
              <w:widowControl/>
              <w:spacing w:line="360" w:lineRule="auto"/>
              <w:jc w:val="center"/>
              <w:rPr>
                <w:rFonts w:hint="eastAsia" w:ascii="宋体" w:hAnsi="宋体" w:cs="宋体"/>
                <w:color w:val="000000"/>
                <w:szCs w:val="21"/>
              </w:rPr>
            </w:pPr>
            <w:r>
              <w:rPr>
                <w:rFonts w:hint="eastAsia" w:ascii="宋体" w:hAnsi="宋体" w:cs="宋体"/>
                <w:color w:val="000000"/>
                <w:szCs w:val="21"/>
              </w:rPr>
              <w:t>套</w:t>
            </w:r>
          </w:p>
        </w:tc>
        <w:tc>
          <w:tcPr>
            <w:tcW w:w="499" w:type="pct"/>
            <w:shd w:val="clear" w:color="auto" w:fill="FFFFFF" w:themeFill="background1"/>
            <w:noWrap/>
            <w:vAlign w:val="center"/>
          </w:tcPr>
          <w:p w14:paraId="3FA637DC">
            <w:pPr>
              <w:widowControl/>
              <w:spacing w:line="360" w:lineRule="auto"/>
              <w:jc w:val="center"/>
              <w:rPr>
                <w:rFonts w:hint="eastAsia" w:ascii="宋体" w:hAnsi="宋体" w:cs="宋体"/>
                <w:color w:val="000000"/>
                <w:szCs w:val="21"/>
              </w:rPr>
            </w:pPr>
            <w:r>
              <w:rPr>
                <w:rFonts w:hint="eastAsia" w:ascii="宋体" w:hAnsi="宋体" w:cs="宋体"/>
                <w:color w:val="000000"/>
                <w:szCs w:val="21"/>
              </w:rPr>
              <w:t>4</w:t>
            </w:r>
          </w:p>
        </w:tc>
        <w:tc>
          <w:tcPr>
            <w:tcW w:w="2813" w:type="pct"/>
            <w:shd w:val="clear" w:color="auto" w:fill="FFFFFF" w:themeFill="background1"/>
            <w:vAlign w:val="center"/>
          </w:tcPr>
          <w:p w14:paraId="66B9C3C4">
            <w:pPr>
              <w:spacing w:line="360" w:lineRule="auto"/>
              <w:rPr>
                <w:rFonts w:hint="eastAsia" w:ascii="宋体" w:hAnsi="宋体" w:cs="宋体"/>
                <w:szCs w:val="21"/>
              </w:rPr>
            </w:pPr>
            <w:r>
              <w:rPr>
                <w:rFonts w:hint="eastAsia" w:ascii="宋体" w:hAnsi="宋体" w:cs="宋体"/>
                <w:szCs w:val="21"/>
              </w:rPr>
              <w:t>1.适用介质：氧气，适配 4 个独立液氧罐；</w:t>
            </w:r>
          </w:p>
          <w:p w14:paraId="7F983607">
            <w:pPr>
              <w:spacing w:line="360" w:lineRule="auto"/>
              <w:rPr>
                <w:rFonts w:hint="eastAsia" w:ascii="宋体" w:hAnsi="宋体" w:cs="宋体"/>
                <w:szCs w:val="21"/>
              </w:rPr>
            </w:pPr>
            <w:r>
              <w:rPr>
                <w:rFonts w:hint="eastAsia" w:ascii="宋体" w:hAnsi="宋体" w:cs="宋体"/>
                <w:szCs w:val="21"/>
              </w:rPr>
              <w:t>2.测量范围 0~1.6MPa，高低压报警阈值可设；</w:t>
            </w:r>
          </w:p>
          <w:p w14:paraId="0D5DA61A">
            <w:pPr>
              <w:spacing w:line="360" w:lineRule="auto"/>
              <w:rPr>
                <w:rFonts w:hint="eastAsia" w:ascii="宋体" w:hAnsi="宋体" w:cs="宋体"/>
                <w:szCs w:val="21"/>
              </w:rPr>
            </w:pPr>
            <w:r>
              <w:rPr>
                <w:rFonts w:hint="eastAsia" w:ascii="宋体" w:hAnsi="宋体" w:cs="宋体"/>
                <w:szCs w:val="21"/>
              </w:rPr>
              <w:t>3.传感器材质脱脂处理；</w:t>
            </w:r>
          </w:p>
          <w:p w14:paraId="5CB9FB26">
            <w:pPr>
              <w:spacing w:line="360" w:lineRule="auto"/>
              <w:rPr>
                <w:rFonts w:hint="eastAsia" w:ascii="宋体" w:hAnsi="宋体" w:cs="宋体"/>
                <w:szCs w:val="21"/>
              </w:rPr>
            </w:pPr>
            <w:r>
              <w:rPr>
                <w:rFonts w:hint="eastAsia" w:ascii="宋体" w:hAnsi="宋体" w:cs="宋体"/>
                <w:szCs w:val="21"/>
              </w:rPr>
              <w:t>4.</w:t>
            </w:r>
            <w:r>
              <w:rPr>
                <w:rFonts w:hint="eastAsia" w:ascii="宋体" w:hAnsi="宋体" w:cs="宋体"/>
                <w:color w:val="000000"/>
                <w:szCs w:val="21"/>
              </w:rPr>
              <w:t>提供开放数据通讯接口，便于设备远程管理，报警信号接入氧气班班组。</w:t>
            </w:r>
          </w:p>
        </w:tc>
      </w:tr>
      <w:tr w14:paraId="3F3C4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179EC6A7">
            <w:pPr>
              <w:widowControl/>
              <w:spacing w:line="360" w:lineRule="auto"/>
              <w:rPr>
                <w:rFonts w:hint="eastAsia" w:ascii="宋体" w:hAnsi="宋体" w:cs="宋体"/>
                <w:color w:val="000000"/>
                <w:szCs w:val="21"/>
              </w:rPr>
            </w:pPr>
            <w:r>
              <w:rPr>
                <w:rFonts w:hint="eastAsia" w:ascii="宋体" w:hAnsi="宋体" w:cs="宋体"/>
                <w:color w:val="000000"/>
                <w:szCs w:val="21"/>
              </w:rPr>
              <w:t>3</w:t>
            </w:r>
          </w:p>
        </w:tc>
        <w:tc>
          <w:tcPr>
            <w:tcW w:w="998" w:type="pct"/>
            <w:shd w:val="clear" w:color="auto" w:fill="FFFFFF" w:themeFill="background1"/>
            <w:noWrap/>
            <w:vAlign w:val="center"/>
          </w:tcPr>
          <w:p w14:paraId="4137B4F5">
            <w:pPr>
              <w:widowControl/>
              <w:spacing w:line="360" w:lineRule="auto"/>
              <w:rPr>
                <w:rFonts w:hint="eastAsia" w:ascii="宋体" w:hAnsi="宋体" w:cs="宋体"/>
                <w:color w:val="000000"/>
                <w:szCs w:val="21"/>
              </w:rPr>
            </w:pPr>
            <w:r>
              <w:rPr>
                <w:rFonts w:hint="eastAsia" w:ascii="宋体" w:hAnsi="宋体" w:cs="宋体"/>
                <w:color w:val="000000"/>
                <w:szCs w:val="21"/>
              </w:rPr>
              <w:t>维修二级减压装置</w:t>
            </w:r>
          </w:p>
        </w:tc>
        <w:tc>
          <w:tcPr>
            <w:tcW w:w="354" w:type="pct"/>
            <w:shd w:val="clear" w:color="auto" w:fill="FFFFFF" w:themeFill="background1"/>
            <w:noWrap/>
            <w:vAlign w:val="center"/>
          </w:tcPr>
          <w:p w14:paraId="1125EF00">
            <w:pPr>
              <w:widowControl/>
              <w:spacing w:line="360" w:lineRule="auto"/>
              <w:jc w:val="center"/>
              <w:rPr>
                <w:rFonts w:hint="eastAsia" w:ascii="宋体" w:hAnsi="宋体" w:cs="宋体"/>
                <w:color w:val="000000"/>
                <w:szCs w:val="21"/>
              </w:rPr>
            </w:pPr>
            <w:r>
              <w:rPr>
                <w:rFonts w:hint="eastAsia" w:ascii="宋体" w:hAnsi="宋体" w:cs="宋体"/>
                <w:color w:val="000000"/>
                <w:szCs w:val="21"/>
              </w:rPr>
              <w:t>套</w:t>
            </w:r>
          </w:p>
        </w:tc>
        <w:tc>
          <w:tcPr>
            <w:tcW w:w="499" w:type="pct"/>
            <w:shd w:val="clear" w:color="auto" w:fill="FFFFFF" w:themeFill="background1"/>
            <w:noWrap/>
            <w:vAlign w:val="center"/>
          </w:tcPr>
          <w:p w14:paraId="774E9E3A">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vAlign w:val="center"/>
          </w:tcPr>
          <w:p w14:paraId="1E18FF00">
            <w:pPr>
              <w:spacing w:line="360" w:lineRule="auto"/>
              <w:rPr>
                <w:rFonts w:hint="eastAsia" w:ascii="宋体" w:hAnsi="宋体" w:cs="宋体"/>
                <w:szCs w:val="21"/>
              </w:rPr>
            </w:pPr>
            <w:r>
              <w:rPr>
                <w:rFonts w:hint="eastAsia" w:ascii="宋体" w:hAnsi="宋体" w:cs="宋体"/>
                <w:szCs w:val="21"/>
              </w:rPr>
              <w:t>1.对负一楼负压吸引室内现有二级减压装置拆解检修，更换密封件、老化部件；</w:t>
            </w:r>
          </w:p>
          <w:p w14:paraId="3FFB5414">
            <w:pPr>
              <w:spacing w:line="360" w:lineRule="auto"/>
              <w:rPr>
                <w:rFonts w:hint="eastAsia" w:ascii="宋体" w:hAnsi="宋体" w:cs="宋体"/>
                <w:szCs w:val="21"/>
              </w:rPr>
            </w:pPr>
            <w:r>
              <w:rPr>
                <w:rFonts w:hint="eastAsia" w:ascii="宋体" w:hAnsi="宋体" w:cs="宋体"/>
                <w:szCs w:val="21"/>
              </w:rPr>
              <w:t>2.校准出口压力，确保调压稳定，无泄漏；</w:t>
            </w:r>
          </w:p>
          <w:p w14:paraId="27D55C22">
            <w:pPr>
              <w:spacing w:line="360" w:lineRule="auto"/>
              <w:rPr>
                <w:rFonts w:hint="eastAsia" w:ascii="宋体" w:hAnsi="宋体" w:cs="宋体"/>
                <w:szCs w:val="21"/>
              </w:rPr>
            </w:pPr>
            <w:r>
              <w:rPr>
                <w:rFonts w:hint="eastAsia" w:ascii="宋体" w:hAnsi="宋体" w:cs="宋体"/>
                <w:szCs w:val="21"/>
              </w:rPr>
              <w:t>3.检修后做压</w:t>
            </w:r>
            <w:bookmarkStart w:id="108" w:name="OLE_LINK8"/>
            <w:r>
              <w:rPr>
                <w:rFonts w:hint="eastAsia" w:ascii="宋体" w:hAnsi="宋体" w:cs="宋体"/>
                <w:szCs w:val="21"/>
              </w:rPr>
              <w:t>力</w:t>
            </w:r>
            <w:bookmarkEnd w:id="108"/>
            <w:r>
              <w:rPr>
                <w:rFonts w:hint="eastAsia" w:ascii="宋体" w:hAnsi="宋体" w:cs="宋体"/>
                <w:szCs w:val="21"/>
              </w:rPr>
              <w:t>试验，出具检测记录。</w:t>
            </w:r>
          </w:p>
        </w:tc>
      </w:tr>
      <w:tr w14:paraId="68746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06A93580">
            <w:pPr>
              <w:widowControl/>
              <w:spacing w:line="360" w:lineRule="auto"/>
              <w:rPr>
                <w:rFonts w:hint="eastAsia" w:ascii="宋体" w:hAnsi="宋体" w:cs="宋体"/>
                <w:color w:val="000000"/>
                <w:szCs w:val="21"/>
              </w:rPr>
            </w:pPr>
            <w:r>
              <w:rPr>
                <w:rFonts w:hint="eastAsia" w:ascii="宋体" w:hAnsi="宋体" w:cs="宋体"/>
                <w:color w:val="000000"/>
                <w:szCs w:val="21"/>
              </w:rPr>
              <w:t>4</w:t>
            </w:r>
          </w:p>
        </w:tc>
        <w:tc>
          <w:tcPr>
            <w:tcW w:w="998" w:type="pct"/>
            <w:shd w:val="clear" w:color="auto" w:fill="FFFFFF" w:themeFill="background1"/>
            <w:noWrap/>
            <w:vAlign w:val="center"/>
          </w:tcPr>
          <w:p w14:paraId="2476127E">
            <w:pPr>
              <w:widowControl/>
              <w:spacing w:line="360" w:lineRule="auto"/>
              <w:rPr>
                <w:rFonts w:hint="eastAsia" w:ascii="宋体" w:hAnsi="宋体" w:cs="宋体"/>
                <w:color w:val="000000"/>
                <w:szCs w:val="21"/>
              </w:rPr>
            </w:pPr>
            <w:r>
              <w:rPr>
                <w:rFonts w:hint="eastAsia" w:ascii="宋体" w:hAnsi="宋体" w:cs="宋体"/>
                <w:color w:val="000000"/>
                <w:szCs w:val="21"/>
              </w:rPr>
              <w:t>氧气浓度报警装置</w:t>
            </w:r>
          </w:p>
        </w:tc>
        <w:tc>
          <w:tcPr>
            <w:tcW w:w="354" w:type="pct"/>
            <w:shd w:val="clear" w:color="auto" w:fill="FFFFFF" w:themeFill="background1"/>
            <w:noWrap/>
            <w:vAlign w:val="center"/>
          </w:tcPr>
          <w:p w14:paraId="60B03EF1">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646B9537">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vAlign w:val="center"/>
          </w:tcPr>
          <w:p w14:paraId="0E484DE1">
            <w:pPr>
              <w:spacing w:line="360" w:lineRule="auto"/>
              <w:rPr>
                <w:rFonts w:hint="eastAsia" w:ascii="宋体" w:hAnsi="宋体" w:cs="宋体"/>
                <w:szCs w:val="21"/>
              </w:rPr>
            </w:pPr>
            <w:r>
              <w:rPr>
                <w:rFonts w:hint="eastAsia" w:ascii="宋体" w:hAnsi="宋体" w:cs="宋体"/>
                <w:szCs w:val="21"/>
              </w:rPr>
              <w:t>1.监测范围 0~100% Vol，精度±1% FS；</w:t>
            </w:r>
          </w:p>
          <w:p w14:paraId="06E05DA0">
            <w:pPr>
              <w:spacing w:line="360" w:lineRule="auto"/>
              <w:rPr>
                <w:rFonts w:hint="eastAsia" w:ascii="宋体" w:hAnsi="宋体" w:cs="宋体"/>
                <w:szCs w:val="21"/>
              </w:rPr>
            </w:pPr>
            <w:r>
              <w:rPr>
                <w:rFonts w:hint="eastAsia" w:ascii="宋体" w:hAnsi="宋体" w:cs="宋体"/>
                <w:szCs w:val="21"/>
              </w:rPr>
              <w:t>2.</w:t>
            </w:r>
            <w:r>
              <w:rPr>
                <w:rFonts w:hint="eastAsia" w:ascii="宋体" w:hAnsi="宋体" w:cs="宋体"/>
                <w:color w:val="000000"/>
                <w:szCs w:val="21"/>
              </w:rPr>
              <w:t>提供开放数据通讯接口，便于设备的远程管理，报警信号接入氧气班班组。</w:t>
            </w:r>
          </w:p>
        </w:tc>
      </w:tr>
      <w:tr w14:paraId="51F39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000" w:type="pct"/>
            <w:gridSpan w:val="5"/>
            <w:shd w:val="clear" w:color="auto" w:fill="FFFFFF" w:themeFill="background1"/>
            <w:noWrap/>
            <w:vAlign w:val="center"/>
          </w:tcPr>
          <w:p w14:paraId="55D470AE">
            <w:pPr>
              <w:spacing w:line="360" w:lineRule="auto"/>
              <w:rPr>
                <w:rFonts w:hint="eastAsia" w:ascii="宋体" w:hAnsi="宋体" w:cs="宋体"/>
                <w:b/>
                <w:bCs/>
                <w:szCs w:val="21"/>
              </w:rPr>
            </w:pPr>
            <w:r>
              <w:rPr>
                <w:rFonts w:hint="eastAsia" w:ascii="宋体" w:hAnsi="宋体" w:cs="宋体"/>
                <w:b/>
                <w:bCs/>
                <w:szCs w:val="21"/>
              </w:rPr>
              <w:t>六、系统配套管道及阀门</w:t>
            </w:r>
          </w:p>
        </w:tc>
      </w:tr>
      <w:tr w14:paraId="283EA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08EE3822">
            <w:pPr>
              <w:widowControl/>
              <w:spacing w:line="360" w:lineRule="auto"/>
              <w:rPr>
                <w:rFonts w:hint="eastAsia" w:ascii="宋体" w:hAnsi="宋体" w:cs="宋体"/>
                <w:color w:val="000000"/>
                <w:szCs w:val="21"/>
              </w:rPr>
            </w:pPr>
            <w:r>
              <w:rPr>
                <w:rFonts w:hint="eastAsia" w:ascii="宋体" w:hAnsi="宋体" w:cs="宋体"/>
                <w:color w:val="000000"/>
                <w:szCs w:val="21"/>
              </w:rPr>
              <w:t>1</w:t>
            </w:r>
          </w:p>
        </w:tc>
        <w:tc>
          <w:tcPr>
            <w:tcW w:w="998" w:type="pct"/>
            <w:vMerge w:val="restart"/>
            <w:shd w:val="clear" w:color="auto" w:fill="FFFFFF" w:themeFill="background1"/>
            <w:noWrap/>
            <w:vAlign w:val="center"/>
          </w:tcPr>
          <w:p w14:paraId="35EC2028">
            <w:pPr>
              <w:widowControl/>
              <w:spacing w:line="360" w:lineRule="auto"/>
              <w:jc w:val="center"/>
              <w:rPr>
                <w:rFonts w:hint="eastAsia" w:ascii="宋体" w:hAnsi="宋体" w:cs="宋体"/>
                <w:color w:val="000000"/>
                <w:szCs w:val="21"/>
              </w:rPr>
            </w:pPr>
            <w:r>
              <w:rPr>
                <w:rFonts w:hint="eastAsia" w:ascii="宋体" w:hAnsi="宋体" w:cs="宋体"/>
                <w:color w:val="000000"/>
                <w:szCs w:val="21"/>
              </w:rPr>
              <w:t>黄铜球阀</w:t>
            </w:r>
          </w:p>
        </w:tc>
        <w:tc>
          <w:tcPr>
            <w:tcW w:w="354" w:type="pct"/>
            <w:shd w:val="clear" w:color="auto" w:fill="FFFFFF" w:themeFill="background1"/>
            <w:noWrap/>
            <w:vAlign w:val="center"/>
          </w:tcPr>
          <w:p w14:paraId="3E9A7406">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4661EDAF">
            <w:pPr>
              <w:widowControl/>
              <w:spacing w:line="360" w:lineRule="auto"/>
              <w:jc w:val="center"/>
              <w:rPr>
                <w:rFonts w:hint="eastAsia" w:ascii="宋体" w:hAnsi="宋体" w:cs="宋体"/>
                <w:color w:val="000000"/>
                <w:szCs w:val="21"/>
              </w:rPr>
            </w:pPr>
            <w:r>
              <w:rPr>
                <w:rFonts w:hint="eastAsia" w:ascii="宋体" w:hAnsi="宋体" w:cs="宋体"/>
                <w:color w:val="000000"/>
                <w:szCs w:val="21"/>
              </w:rPr>
              <w:t>2</w:t>
            </w:r>
          </w:p>
        </w:tc>
        <w:tc>
          <w:tcPr>
            <w:tcW w:w="2813" w:type="pct"/>
            <w:shd w:val="clear" w:color="auto" w:fill="FFFFFF" w:themeFill="background1"/>
            <w:vAlign w:val="center"/>
          </w:tcPr>
          <w:p w14:paraId="35E834CE">
            <w:pPr>
              <w:spacing w:line="360" w:lineRule="auto"/>
              <w:rPr>
                <w:rFonts w:hint="eastAsia" w:ascii="宋体" w:hAnsi="宋体" w:cs="宋体"/>
                <w:szCs w:val="21"/>
              </w:rPr>
            </w:pPr>
            <w:r>
              <w:rPr>
                <w:rFonts w:hint="eastAsia" w:ascii="宋体" w:hAnsi="宋体" w:cs="宋体"/>
                <w:szCs w:val="21"/>
              </w:rPr>
              <w:t>黄铜DN25</w:t>
            </w:r>
          </w:p>
        </w:tc>
      </w:tr>
      <w:tr w14:paraId="718C2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05CE01DC">
            <w:pPr>
              <w:widowControl/>
              <w:spacing w:line="360" w:lineRule="auto"/>
              <w:rPr>
                <w:rFonts w:hint="eastAsia" w:ascii="宋体" w:hAnsi="宋体" w:cs="宋体"/>
                <w:color w:val="000000"/>
                <w:szCs w:val="21"/>
              </w:rPr>
            </w:pPr>
            <w:r>
              <w:rPr>
                <w:rFonts w:hint="eastAsia" w:ascii="宋体" w:hAnsi="宋体" w:cs="宋体"/>
                <w:color w:val="000000"/>
                <w:szCs w:val="21"/>
              </w:rPr>
              <w:t>2</w:t>
            </w:r>
          </w:p>
        </w:tc>
        <w:tc>
          <w:tcPr>
            <w:tcW w:w="998" w:type="pct"/>
            <w:vMerge w:val="continue"/>
            <w:shd w:val="clear" w:color="auto" w:fill="FFFFFF" w:themeFill="background1"/>
            <w:noWrap/>
            <w:vAlign w:val="center"/>
          </w:tcPr>
          <w:p w14:paraId="4B2A0061">
            <w:pPr>
              <w:widowControl/>
              <w:spacing w:line="360" w:lineRule="auto"/>
              <w:rPr>
                <w:rFonts w:hint="eastAsia" w:ascii="宋体" w:hAnsi="宋体" w:cs="宋体"/>
                <w:color w:val="000000"/>
                <w:szCs w:val="21"/>
              </w:rPr>
            </w:pPr>
          </w:p>
        </w:tc>
        <w:tc>
          <w:tcPr>
            <w:tcW w:w="354" w:type="pct"/>
            <w:shd w:val="clear" w:color="auto" w:fill="FFFFFF" w:themeFill="background1"/>
            <w:noWrap/>
            <w:vAlign w:val="center"/>
          </w:tcPr>
          <w:p w14:paraId="255D7091">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0CB430AA">
            <w:pPr>
              <w:widowControl/>
              <w:spacing w:line="360" w:lineRule="auto"/>
              <w:jc w:val="center"/>
              <w:rPr>
                <w:rFonts w:hint="eastAsia" w:ascii="宋体" w:hAnsi="宋体" w:cs="宋体"/>
                <w:color w:val="000000"/>
                <w:szCs w:val="21"/>
              </w:rPr>
            </w:pPr>
            <w:r>
              <w:rPr>
                <w:rFonts w:hint="eastAsia" w:ascii="宋体" w:hAnsi="宋体" w:cs="宋体"/>
                <w:color w:val="000000"/>
                <w:szCs w:val="21"/>
              </w:rPr>
              <w:t>2</w:t>
            </w:r>
          </w:p>
        </w:tc>
        <w:tc>
          <w:tcPr>
            <w:tcW w:w="2813" w:type="pct"/>
            <w:shd w:val="clear" w:color="auto" w:fill="FFFFFF" w:themeFill="background1"/>
            <w:vAlign w:val="center"/>
          </w:tcPr>
          <w:p w14:paraId="77BB8FE5">
            <w:pPr>
              <w:spacing w:line="360" w:lineRule="auto"/>
              <w:rPr>
                <w:rFonts w:hint="eastAsia" w:ascii="宋体" w:hAnsi="宋体" w:cs="宋体"/>
                <w:szCs w:val="21"/>
              </w:rPr>
            </w:pPr>
            <w:r>
              <w:rPr>
                <w:rFonts w:hint="eastAsia" w:ascii="宋体" w:hAnsi="宋体" w:cs="宋体"/>
                <w:szCs w:val="21"/>
              </w:rPr>
              <w:t>黄铜DN15</w:t>
            </w:r>
          </w:p>
        </w:tc>
      </w:tr>
      <w:tr w14:paraId="21943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2A06AC72">
            <w:pPr>
              <w:widowControl/>
              <w:spacing w:line="360" w:lineRule="auto"/>
              <w:rPr>
                <w:rFonts w:hint="eastAsia" w:ascii="宋体" w:hAnsi="宋体" w:cs="宋体"/>
                <w:color w:val="000000"/>
                <w:szCs w:val="21"/>
              </w:rPr>
            </w:pPr>
            <w:r>
              <w:rPr>
                <w:rFonts w:hint="eastAsia" w:ascii="宋体" w:hAnsi="宋体" w:cs="宋体"/>
                <w:color w:val="000000"/>
                <w:szCs w:val="21"/>
              </w:rPr>
              <w:t>3</w:t>
            </w:r>
          </w:p>
        </w:tc>
        <w:tc>
          <w:tcPr>
            <w:tcW w:w="998" w:type="pct"/>
            <w:vMerge w:val="continue"/>
            <w:shd w:val="clear" w:color="auto" w:fill="FFFFFF" w:themeFill="background1"/>
            <w:noWrap/>
            <w:vAlign w:val="center"/>
          </w:tcPr>
          <w:p w14:paraId="5D1269C1">
            <w:pPr>
              <w:widowControl/>
              <w:spacing w:line="360" w:lineRule="auto"/>
              <w:rPr>
                <w:rFonts w:hint="eastAsia" w:ascii="宋体" w:hAnsi="宋体" w:cs="宋体"/>
                <w:color w:val="000000"/>
                <w:szCs w:val="21"/>
              </w:rPr>
            </w:pPr>
          </w:p>
        </w:tc>
        <w:tc>
          <w:tcPr>
            <w:tcW w:w="354" w:type="pct"/>
            <w:shd w:val="clear" w:color="auto" w:fill="FFFFFF" w:themeFill="background1"/>
            <w:noWrap/>
            <w:vAlign w:val="center"/>
          </w:tcPr>
          <w:p w14:paraId="266FF0E0">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2F787A19">
            <w:pPr>
              <w:widowControl/>
              <w:spacing w:line="360" w:lineRule="auto"/>
              <w:jc w:val="center"/>
              <w:rPr>
                <w:rFonts w:hint="eastAsia" w:ascii="宋体" w:hAnsi="宋体" w:cs="宋体"/>
                <w:color w:val="000000"/>
                <w:szCs w:val="21"/>
              </w:rPr>
            </w:pPr>
            <w:r>
              <w:rPr>
                <w:rFonts w:hint="eastAsia" w:ascii="宋体" w:hAnsi="宋体" w:cs="宋体"/>
                <w:color w:val="000000"/>
                <w:szCs w:val="21"/>
              </w:rPr>
              <w:t>2</w:t>
            </w:r>
          </w:p>
        </w:tc>
        <w:tc>
          <w:tcPr>
            <w:tcW w:w="2813" w:type="pct"/>
            <w:shd w:val="clear" w:color="auto" w:fill="FFFFFF" w:themeFill="background1"/>
            <w:vAlign w:val="center"/>
          </w:tcPr>
          <w:p w14:paraId="3BF0D7D1">
            <w:pPr>
              <w:spacing w:line="360" w:lineRule="auto"/>
              <w:rPr>
                <w:rFonts w:hint="eastAsia" w:ascii="宋体" w:hAnsi="宋体" w:cs="宋体"/>
                <w:szCs w:val="21"/>
              </w:rPr>
            </w:pPr>
            <w:r>
              <w:rPr>
                <w:rFonts w:hint="eastAsia" w:ascii="宋体" w:hAnsi="宋体" w:cs="宋体"/>
                <w:szCs w:val="21"/>
              </w:rPr>
              <w:t>DN15，2266/Q11F-16T</w:t>
            </w:r>
          </w:p>
        </w:tc>
      </w:tr>
      <w:tr w14:paraId="1A950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4D5DC20D">
            <w:pPr>
              <w:widowControl/>
              <w:spacing w:line="360" w:lineRule="auto"/>
              <w:rPr>
                <w:rFonts w:hint="eastAsia" w:ascii="宋体" w:hAnsi="宋体" w:cs="宋体"/>
                <w:color w:val="000000"/>
                <w:szCs w:val="21"/>
              </w:rPr>
            </w:pPr>
            <w:r>
              <w:rPr>
                <w:rFonts w:hint="eastAsia" w:ascii="宋体" w:hAnsi="宋体" w:cs="宋体"/>
                <w:color w:val="000000"/>
                <w:szCs w:val="21"/>
              </w:rPr>
              <w:t>4</w:t>
            </w:r>
          </w:p>
        </w:tc>
        <w:tc>
          <w:tcPr>
            <w:tcW w:w="998" w:type="pct"/>
            <w:vMerge w:val="continue"/>
            <w:shd w:val="clear" w:color="auto" w:fill="FFFFFF" w:themeFill="background1"/>
            <w:noWrap/>
            <w:vAlign w:val="center"/>
          </w:tcPr>
          <w:p w14:paraId="20EA4E82">
            <w:pPr>
              <w:widowControl/>
              <w:spacing w:line="360" w:lineRule="auto"/>
              <w:rPr>
                <w:rFonts w:hint="eastAsia" w:ascii="宋体" w:hAnsi="宋体" w:cs="宋体"/>
                <w:color w:val="000000"/>
                <w:szCs w:val="21"/>
              </w:rPr>
            </w:pPr>
          </w:p>
        </w:tc>
        <w:tc>
          <w:tcPr>
            <w:tcW w:w="354" w:type="pct"/>
            <w:shd w:val="clear" w:color="auto" w:fill="FFFFFF" w:themeFill="background1"/>
            <w:noWrap/>
            <w:vAlign w:val="center"/>
          </w:tcPr>
          <w:p w14:paraId="57D28646">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42761C59">
            <w:pPr>
              <w:widowControl/>
              <w:spacing w:line="360" w:lineRule="auto"/>
              <w:jc w:val="center"/>
              <w:rPr>
                <w:rFonts w:hint="eastAsia" w:ascii="宋体" w:hAnsi="宋体" w:cs="宋体"/>
                <w:color w:val="000000"/>
                <w:szCs w:val="21"/>
              </w:rPr>
            </w:pPr>
            <w:r>
              <w:rPr>
                <w:rFonts w:hint="eastAsia" w:ascii="宋体" w:hAnsi="宋体" w:cs="宋体"/>
                <w:color w:val="000000"/>
                <w:szCs w:val="21"/>
              </w:rPr>
              <w:t>12</w:t>
            </w:r>
          </w:p>
        </w:tc>
        <w:tc>
          <w:tcPr>
            <w:tcW w:w="2813" w:type="pct"/>
            <w:shd w:val="clear" w:color="auto" w:fill="FFFFFF" w:themeFill="background1"/>
            <w:vAlign w:val="center"/>
          </w:tcPr>
          <w:p w14:paraId="482A51E8">
            <w:pPr>
              <w:spacing w:line="360" w:lineRule="auto"/>
              <w:rPr>
                <w:rFonts w:hint="eastAsia" w:ascii="宋体" w:hAnsi="宋体" w:cs="宋体"/>
                <w:szCs w:val="21"/>
              </w:rPr>
            </w:pPr>
            <w:r>
              <w:rPr>
                <w:rFonts w:hint="eastAsia" w:ascii="宋体" w:hAnsi="宋体" w:cs="宋体"/>
                <w:szCs w:val="21"/>
              </w:rPr>
              <w:t>DN40,2266/Q11F-16T</w:t>
            </w:r>
          </w:p>
        </w:tc>
      </w:tr>
      <w:tr w14:paraId="4E77C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6248BC66">
            <w:pPr>
              <w:widowControl/>
              <w:spacing w:line="360" w:lineRule="auto"/>
              <w:rPr>
                <w:rFonts w:hint="eastAsia" w:ascii="宋体" w:hAnsi="宋体" w:cs="宋体"/>
                <w:color w:val="000000"/>
                <w:szCs w:val="21"/>
              </w:rPr>
            </w:pPr>
            <w:r>
              <w:rPr>
                <w:rFonts w:hint="eastAsia" w:ascii="宋体" w:hAnsi="宋体" w:cs="宋体"/>
                <w:color w:val="000000"/>
                <w:szCs w:val="21"/>
              </w:rPr>
              <w:t>5</w:t>
            </w:r>
          </w:p>
        </w:tc>
        <w:tc>
          <w:tcPr>
            <w:tcW w:w="998" w:type="pct"/>
            <w:vMerge w:val="restart"/>
            <w:shd w:val="clear" w:color="auto" w:fill="FFFFFF" w:themeFill="background1"/>
            <w:noWrap/>
            <w:vAlign w:val="center"/>
          </w:tcPr>
          <w:p w14:paraId="1B707CAF">
            <w:pPr>
              <w:widowControl/>
              <w:spacing w:line="360" w:lineRule="auto"/>
              <w:jc w:val="center"/>
              <w:rPr>
                <w:rFonts w:hint="eastAsia" w:ascii="宋体" w:hAnsi="宋体" w:cs="宋体"/>
                <w:szCs w:val="21"/>
              </w:rPr>
            </w:pPr>
            <w:r>
              <w:rPr>
                <w:rFonts w:hint="eastAsia" w:ascii="宋体" w:hAnsi="宋体" w:cs="宋体"/>
                <w:szCs w:val="21"/>
              </w:rPr>
              <w:t>无缝铜管</w:t>
            </w:r>
          </w:p>
        </w:tc>
        <w:tc>
          <w:tcPr>
            <w:tcW w:w="354" w:type="pct"/>
            <w:shd w:val="clear" w:color="auto" w:fill="FFFFFF" w:themeFill="background1"/>
            <w:noWrap/>
            <w:vAlign w:val="center"/>
          </w:tcPr>
          <w:p w14:paraId="456C0111">
            <w:pPr>
              <w:widowControl/>
              <w:spacing w:line="360" w:lineRule="auto"/>
              <w:jc w:val="center"/>
              <w:rPr>
                <w:rFonts w:hint="eastAsia" w:ascii="宋体" w:hAnsi="宋体" w:cs="宋体"/>
                <w:szCs w:val="21"/>
              </w:rPr>
            </w:pPr>
            <w:r>
              <w:rPr>
                <w:rFonts w:hint="eastAsia" w:ascii="宋体" w:hAnsi="宋体" w:cs="宋体"/>
                <w:szCs w:val="21"/>
              </w:rPr>
              <w:t>米</w:t>
            </w:r>
          </w:p>
        </w:tc>
        <w:tc>
          <w:tcPr>
            <w:tcW w:w="499" w:type="pct"/>
            <w:shd w:val="clear" w:color="auto" w:fill="FFFFFF" w:themeFill="background1"/>
            <w:noWrap/>
            <w:vAlign w:val="center"/>
          </w:tcPr>
          <w:p w14:paraId="5B71CB8E">
            <w:pPr>
              <w:widowControl/>
              <w:spacing w:line="360" w:lineRule="auto"/>
              <w:jc w:val="center"/>
              <w:rPr>
                <w:rFonts w:hint="eastAsia" w:ascii="宋体" w:hAnsi="宋体" w:cs="宋体"/>
                <w:szCs w:val="21"/>
              </w:rPr>
            </w:pPr>
            <w:r>
              <w:rPr>
                <w:rFonts w:hint="eastAsia" w:ascii="宋体" w:hAnsi="宋体" w:cs="宋体"/>
                <w:szCs w:val="21"/>
              </w:rPr>
              <w:t>45</w:t>
            </w:r>
          </w:p>
        </w:tc>
        <w:tc>
          <w:tcPr>
            <w:tcW w:w="2813" w:type="pct"/>
            <w:shd w:val="clear" w:color="auto" w:fill="FFFFFF" w:themeFill="background1"/>
            <w:vAlign w:val="center"/>
          </w:tcPr>
          <w:p w14:paraId="379AF362">
            <w:pPr>
              <w:spacing w:line="360" w:lineRule="auto"/>
              <w:rPr>
                <w:rFonts w:hint="eastAsia" w:ascii="宋体" w:hAnsi="宋体" w:cs="宋体"/>
                <w:szCs w:val="21"/>
              </w:rPr>
            </w:pPr>
            <w:r>
              <w:rPr>
                <w:rFonts w:hint="eastAsia" w:ascii="宋体" w:hAnsi="宋体" w:cs="宋体"/>
                <w:szCs w:val="21"/>
              </w:rPr>
              <w:t>φ42*1.5/TP2Y 脱脂</w:t>
            </w:r>
          </w:p>
        </w:tc>
      </w:tr>
      <w:tr w14:paraId="0EE41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6408E1CB">
            <w:pPr>
              <w:widowControl/>
              <w:spacing w:line="360" w:lineRule="auto"/>
              <w:rPr>
                <w:rFonts w:hint="eastAsia" w:ascii="宋体" w:hAnsi="宋体" w:cs="宋体"/>
                <w:color w:val="000000"/>
                <w:szCs w:val="21"/>
              </w:rPr>
            </w:pPr>
            <w:r>
              <w:rPr>
                <w:rFonts w:hint="eastAsia" w:ascii="宋体" w:hAnsi="宋体" w:cs="宋体"/>
                <w:color w:val="000000"/>
                <w:szCs w:val="21"/>
              </w:rPr>
              <w:t>6</w:t>
            </w:r>
          </w:p>
        </w:tc>
        <w:tc>
          <w:tcPr>
            <w:tcW w:w="998" w:type="pct"/>
            <w:vMerge w:val="continue"/>
            <w:shd w:val="clear" w:color="auto" w:fill="FFFFFF" w:themeFill="background1"/>
            <w:noWrap/>
            <w:vAlign w:val="center"/>
          </w:tcPr>
          <w:p w14:paraId="43CB0907">
            <w:pPr>
              <w:widowControl/>
              <w:spacing w:line="360" w:lineRule="auto"/>
              <w:rPr>
                <w:rFonts w:hint="eastAsia" w:ascii="宋体" w:hAnsi="宋体" w:cs="宋体"/>
                <w:szCs w:val="21"/>
              </w:rPr>
            </w:pPr>
          </w:p>
        </w:tc>
        <w:tc>
          <w:tcPr>
            <w:tcW w:w="354" w:type="pct"/>
            <w:shd w:val="clear" w:color="auto" w:fill="FFFFFF" w:themeFill="background1"/>
            <w:noWrap/>
            <w:vAlign w:val="center"/>
          </w:tcPr>
          <w:p w14:paraId="5F263B0A">
            <w:pPr>
              <w:widowControl/>
              <w:spacing w:line="360" w:lineRule="auto"/>
              <w:jc w:val="center"/>
              <w:rPr>
                <w:rFonts w:hint="eastAsia" w:ascii="宋体" w:hAnsi="宋体" w:cs="宋体"/>
                <w:szCs w:val="21"/>
              </w:rPr>
            </w:pPr>
            <w:r>
              <w:rPr>
                <w:rFonts w:hint="eastAsia" w:ascii="宋体" w:hAnsi="宋体" w:cs="宋体"/>
                <w:szCs w:val="21"/>
              </w:rPr>
              <w:t>米</w:t>
            </w:r>
          </w:p>
        </w:tc>
        <w:tc>
          <w:tcPr>
            <w:tcW w:w="499" w:type="pct"/>
            <w:shd w:val="clear" w:color="auto" w:fill="FFFFFF" w:themeFill="background1"/>
            <w:noWrap/>
            <w:vAlign w:val="center"/>
          </w:tcPr>
          <w:p w14:paraId="58B3E53E">
            <w:pPr>
              <w:widowControl/>
              <w:spacing w:line="360" w:lineRule="auto"/>
              <w:jc w:val="center"/>
              <w:rPr>
                <w:rFonts w:hint="eastAsia" w:ascii="宋体" w:hAnsi="宋体" w:cs="宋体"/>
                <w:szCs w:val="21"/>
              </w:rPr>
            </w:pPr>
            <w:r>
              <w:rPr>
                <w:rFonts w:hint="eastAsia" w:ascii="宋体" w:hAnsi="宋体" w:cs="宋体"/>
                <w:szCs w:val="21"/>
              </w:rPr>
              <w:t>17</w:t>
            </w:r>
          </w:p>
        </w:tc>
        <w:tc>
          <w:tcPr>
            <w:tcW w:w="2813" w:type="pct"/>
            <w:shd w:val="clear" w:color="auto" w:fill="FFFFFF" w:themeFill="background1"/>
            <w:vAlign w:val="center"/>
          </w:tcPr>
          <w:p w14:paraId="086E69F9">
            <w:pPr>
              <w:spacing w:line="360" w:lineRule="auto"/>
              <w:rPr>
                <w:rFonts w:hint="eastAsia" w:ascii="宋体" w:hAnsi="宋体" w:cs="宋体"/>
                <w:szCs w:val="21"/>
              </w:rPr>
            </w:pPr>
            <w:r>
              <w:rPr>
                <w:rFonts w:hint="eastAsia" w:ascii="宋体" w:hAnsi="宋体" w:cs="宋体"/>
                <w:szCs w:val="21"/>
              </w:rPr>
              <w:t>φ35*1.5/TP2Y 脱脂</w:t>
            </w:r>
          </w:p>
        </w:tc>
      </w:tr>
      <w:tr w14:paraId="29387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6081FBD3">
            <w:pPr>
              <w:widowControl/>
              <w:spacing w:line="360" w:lineRule="auto"/>
              <w:rPr>
                <w:rFonts w:hint="eastAsia" w:ascii="宋体" w:hAnsi="宋体" w:cs="宋体"/>
                <w:color w:val="000000"/>
                <w:szCs w:val="21"/>
              </w:rPr>
            </w:pPr>
            <w:r>
              <w:rPr>
                <w:rFonts w:hint="eastAsia" w:ascii="宋体" w:hAnsi="宋体" w:cs="宋体"/>
                <w:color w:val="000000"/>
                <w:szCs w:val="21"/>
              </w:rPr>
              <w:t>7</w:t>
            </w:r>
          </w:p>
        </w:tc>
        <w:tc>
          <w:tcPr>
            <w:tcW w:w="998" w:type="pct"/>
            <w:vMerge w:val="continue"/>
            <w:shd w:val="clear" w:color="auto" w:fill="FFFFFF" w:themeFill="background1"/>
            <w:noWrap/>
            <w:vAlign w:val="center"/>
          </w:tcPr>
          <w:p w14:paraId="75A6B62D">
            <w:pPr>
              <w:widowControl/>
              <w:spacing w:line="360" w:lineRule="auto"/>
              <w:rPr>
                <w:rFonts w:hint="eastAsia" w:ascii="宋体" w:hAnsi="宋体" w:cs="宋体"/>
                <w:szCs w:val="21"/>
              </w:rPr>
            </w:pPr>
          </w:p>
        </w:tc>
        <w:tc>
          <w:tcPr>
            <w:tcW w:w="354" w:type="pct"/>
            <w:shd w:val="clear" w:color="auto" w:fill="FFFFFF" w:themeFill="background1"/>
            <w:noWrap/>
            <w:vAlign w:val="center"/>
          </w:tcPr>
          <w:p w14:paraId="17A7C51A">
            <w:pPr>
              <w:widowControl/>
              <w:spacing w:line="360" w:lineRule="auto"/>
              <w:jc w:val="center"/>
              <w:rPr>
                <w:rFonts w:hint="eastAsia" w:ascii="宋体" w:hAnsi="宋体" w:cs="宋体"/>
                <w:szCs w:val="21"/>
              </w:rPr>
            </w:pPr>
            <w:r>
              <w:rPr>
                <w:rFonts w:hint="eastAsia" w:ascii="宋体" w:hAnsi="宋体" w:cs="宋体"/>
                <w:szCs w:val="21"/>
              </w:rPr>
              <w:t>米</w:t>
            </w:r>
          </w:p>
        </w:tc>
        <w:tc>
          <w:tcPr>
            <w:tcW w:w="499" w:type="pct"/>
            <w:shd w:val="clear" w:color="auto" w:fill="FFFFFF" w:themeFill="background1"/>
            <w:noWrap/>
            <w:vAlign w:val="center"/>
          </w:tcPr>
          <w:p w14:paraId="1A412787">
            <w:pPr>
              <w:widowControl/>
              <w:spacing w:line="360" w:lineRule="auto"/>
              <w:jc w:val="center"/>
              <w:rPr>
                <w:rFonts w:hint="eastAsia" w:ascii="宋体" w:hAnsi="宋体" w:cs="宋体"/>
                <w:szCs w:val="21"/>
              </w:rPr>
            </w:pPr>
            <w:r>
              <w:rPr>
                <w:rFonts w:hint="eastAsia" w:ascii="宋体" w:hAnsi="宋体" w:cs="宋体"/>
                <w:szCs w:val="21"/>
              </w:rPr>
              <w:t>200</w:t>
            </w:r>
          </w:p>
        </w:tc>
        <w:tc>
          <w:tcPr>
            <w:tcW w:w="2813" w:type="pct"/>
            <w:shd w:val="clear" w:color="auto" w:fill="FFFFFF" w:themeFill="background1"/>
            <w:vAlign w:val="center"/>
          </w:tcPr>
          <w:p w14:paraId="5096188B">
            <w:pPr>
              <w:spacing w:line="360" w:lineRule="auto"/>
              <w:rPr>
                <w:rFonts w:hint="eastAsia" w:ascii="宋体" w:hAnsi="宋体" w:cs="宋体"/>
                <w:szCs w:val="21"/>
              </w:rPr>
            </w:pPr>
            <w:r>
              <w:rPr>
                <w:rFonts w:hint="eastAsia" w:ascii="宋体" w:hAnsi="宋体" w:cs="宋体"/>
                <w:szCs w:val="21"/>
              </w:rPr>
              <w:t>φ28*1.2/TP2Y 脱脂</w:t>
            </w:r>
          </w:p>
        </w:tc>
      </w:tr>
      <w:tr w14:paraId="0B20D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762D66B8">
            <w:pPr>
              <w:widowControl/>
              <w:spacing w:line="360" w:lineRule="auto"/>
              <w:rPr>
                <w:rFonts w:hint="eastAsia" w:ascii="宋体" w:hAnsi="宋体" w:cs="宋体"/>
                <w:color w:val="000000"/>
                <w:szCs w:val="21"/>
              </w:rPr>
            </w:pPr>
            <w:r>
              <w:rPr>
                <w:rFonts w:hint="eastAsia" w:ascii="宋体" w:hAnsi="宋体" w:cs="宋体"/>
                <w:color w:val="000000"/>
                <w:szCs w:val="21"/>
              </w:rPr>
              <w:t>8</w:t>
            </w:r>
          </w:p>
        </w:tc>
        <w:tc>
          <w:tcPr>
            <w:tcW w:w="998" w:type="pct"/>
            <w:shd w:val="clear" w:color="auto" w:fill="FFFFFF" w:themeFill="background1"/>
            <w:noWrap/>
            <w:vAlign w:val="center"/>
          </w:tcPr>
          <w:p w14:paraId="46CA9090">
            <w:pPr>
              <w:widowControl/>
              <w:spacing w:line="360" w:lineRule="auto"/>
              <w:jc w:val="center"/>
              <w:rPr>
                <w:rFonts w:hint="eastAsia" w:ascii="宋体" w:hAnsi="宋体" w:cs="宋体"/>
                <w:szCs w:val="21"/>
              </w:rPr>
            </w:pPr>
            <w:r>
              <w:rPr>
                <w:rFonts w:hint="eastAsia" w:ascii="宋体" w:hAnsi="宋体" w:cs="宋体"/>
                <w:szCs w:val="21"/>
              </w:rPr>
              <w:t>自动排水器</w:t>
            </w:r>
          </w:p>
        </w:tc>
        <w:tc>
          <w:tcPr>
            <w:tcW w:w="354" w:type="pct"/>
            <w:shd w:val="clear" w:color="auto" w:fill="FFFFFF" w:themeFill="background1"/>
            <w:noWrap/>
            <w:vAlign w:val="center"/>
          </w:tcPr>
          <w:p w14:paraId="6418B78E">
            <w:pPr>
              <w:widowControl/>
              <w:spacing w:line="360" w:lineRule="auto"/>
              <w:jc w:val="center"/>
              <w:rPr>
                <w:rFonts w:hint="eastAsia" w:ascii="宋体" w:hAnsi="宋体" w:cs="宋体"/>
                <w:szCs w:val="21"/>
              </w:rPr>
            </w:pPr>
            <w:r>
              <w:rPr>
                <w:rFonts w:hint="eastAsia" w:ascii="宋体" w:hAnsi="宋体" w:cs="宋体"/>
                <w:szCs w:val="21"/>
              </w:rPr>
              <w:t>个</w:t>
            </w:r>
          </w:p>
        </w:tc>
        <w:tc>
          <w:tcPr>
            <w:tcW w:w="499" w:type="pct"/>
            <w:shd w:val="clear" w:color="auto" w:fill="FFFFFF" w:themeFill="background1"/>
            <w:noWrap/>
            <w:vAlign w:val="center"/>
          </w:tcPr>
          <w:p w14:paraId="2346BB39">
            <w:pPr>
              <w:widowControl/>
              <w:spacing w:line="360" w:lineRule="auto"/>
              <w:jc w:val="center"/>
              <w:rPr>
                <w:rFonts w:hint="eastAsia" w:ascii="宋体" w:hAnsi="宋体" w:cs="宋体"/>
                <w:szCs w:val="21"/>
              </w:rPr>
            </w:pPr>
            <w:r>
              <w:rPr>
                <w:rFonts w:hint="eastAsia" w:ascii="宋体" w:hAnsi="宋体" w:cs="宋体"/>
                <w:szCs w:val="21"/>
              </w:rPr>
              <w:t>1</w:t>
            </w:r>
          </w:p>
        </w:tc>
        <w:tc>
          <w:tcPr>
            <w:tcW w:w="2813" w:type="pct"/>
            <w:shd w:val="clear" w:color="auto" w:fill="FFFFFF" w:themeFill="background1"/>
            <w:vAlign w:val="center"/>
          </w:tcPr>
          <w:p w14:paraId="6B893E1D">
            <w:pPr>
              <w:spacing w:line="360" w:lineRule="auto"/>
              <w:rPr>
                <w:rFonts w:hint="eastAsia" w:ascii="宋体" w:hAnsi="宋体" w:cs="宋体"/>
                <w:szCs w:val="21"/>
              </w:rPr>
            </w:pPr>
            <w:r>
              <w:rPr>
                <w:rFonts w:hint="eastAsia" w:ascii="宋体" w:hAnsi="宋体" w:cs="宋体"/>
                <w:szCs w:val="21"/>
              </w:rPr>
              <w:t>无气损，手动、自动一体排水</w:t>
            </w:r>
          </w:p>
        </w:tc>
      </w:tr>
      <w:bookmarkEnd w:id="98"/>
    </w:tbl>
    <w:p w14:paraId="061F3512">
      <w:pPr>
        <w:spacing w:line="360" w:lineRule="auto"/>
        <w:rPr>
          <w:rFonts w:hint="eastAsia" w:ascii="宋体" w:hAnsi="宋体" w:cs="宋体"/>
          <w:szCs w:val="21"/>
        </w:rPr>
      </w:pPr>
      <w:r>
        <w:rPr>
          <w:rFonts w:hint="eastAsia" w:ascii="宋体" w:hAnsi="宋体" w:cs="宋体"/>
          <w:szCs w:val="21"/>
        </w:rPr>
        <w:t>注：本项目为固定总价全费用交钥匙包干报价，上表所有工程量</w:t>
      </w:r>
      <w:bookmarkStart w:id="109" w:name="OLE_LINK15"/>
      <w:r>
        <w:rPr>
          <w:rFonts w:hint="eastAsia" w:ascii="宋体" w:hAnsi="宋体" w:cs="宋体"/>
          <w:szCs w:val="21"/>
        </w:rPr>
        <w:t>均为</w:t>
      </w:r>
      <w:bookmarkEnd w:id="109"/>
      <w:r>
        <w:rPr>
          <w:rFonts w:hint="eastAsia" w:ascii="宋体" w:hAnsi="宋体" w:cs="宋体"/>
          <w:szCs w:val="21"/>
        </w:rPr>
        <w:t>预估工程量，投标人踏勘现场后自行核算全部实际用量。中标后不得以工程量不足、漏项追加任何费用，报价包含但不限于：</w:t>
      </w:r>
    </w:p>
    <w:p w14:paraId="7643A357">
      <w:pPr>
        <w:spacing w:line="360" w:lineRule="auto"/>
        <w:ind w:firstLine="420" w:firstLineChars="200"/>
        <w:rPr>
          <w:rFonts w:hint="eastAsia" w:ascii="宋体" w:hAnsi="宋体" w:cs="宋体"/>
          <w:szCs w:val="21"/>
        </w:rPr>
      </w:pPr>
      <w:r>
        <w:rPr>
          <w:rFonts w:hint="eastAsia" w:ascii="宋体" w:hAnsi="宋体" w:cs="宋体"/>
          <w:szCs w:val="21"/>
        </w:rPr>
        <w:t>1.设备原厂采购、包装、国内运输、装卸、场内二次转运、保险、仓储保管费；</w:t>
      </w:r>
    </w:p>
    <w:p w14:paraId="1BDE3C77">
      <w:pPr>
        <w:spacing w:line="360" w:lineRule="auto"/>
        <w:ind w:firstLine="420" w:firstLineChars="200"/>
        <w:rPr>
          <w:rFonts w:hint="eastAsia" w:ascii="宋体" w:hAnsi="宋体" w:cs="宋体"/>
          <w:szCs w:val="21"/>
        </w:rPr>
      </w:pPr>
      <w:r>
        <w:rPr>
          <w:rFonts w:hint="eastAsia" w:ascii="宋体" w:hAnsi="宋体" w:cs="宋体"/>
          <w:szCs w:val="21"/>
        </w:rPr>
        <w:t>2.全套管材、阀门、保温、焊材、脱脂剂、氮气、线缆、桥架、接地材料、标识、支架等所有辅材；</w:t>
      </w:r>
    </w:p>
    <w:p w14:paraId="37C25E73">
      <w:pPr>
        <w:spacing w:line="360" w:lineRule="auto"/>
        <w:ind w:firstLine="420" w:firstLineChars="200"/>
        <w:rPr>
          <w:rFonts w:hint="eastAsia" w:ascii="宋体" w:hAnsi="宋体" w:cs="宋体"/>
          <w:szCs w:val="21"/>
        </w:rPr>
      </w:pPr>
      <w:r>
        <w:rPr>
          <w:rFonts w:hint="eastAsia" w:ascii="宋体" w:hAnsi="宋体" w:cs="宋体"/>
          <w:szCs w:val="21"/>
        </w:rPr>
        <w:t>3.原有设备拆除、吊装、清运、危废合规处置费用、站房翻新费用；</w:t>
      </w:r>
    </w:p>
    <w:p w14:paraId="36AE249D">
      <w:pPr>
        <w:spacing w:line="360" w:lineRule="auto"/>
        <w:ind w:firstLine="420" w:firstLineChars="200"/>
        <w:rPr>
          <w:rFonts w:hint="eastAsia" w:ascii="宋体" w:hAnsi="宋体" w:cs="宋体"/>
          <w:szCs w:val="21"/>
        </w:rPr>
      </w:pPr>
      <w:r>
        <w:rPr>
          <w:rFonts w:hint="eastAsia" w:ascii="宋体" w:hAnsi="宋体" w:cs="宋体"/>
          <w:szCs w:val="21"/>
        </w:rPr>
        <w:t>4.施工围挡、安全防护、夜间照明、降噪、防火、文明施工措施费；</w:t>
      </w:r>
    </w:p>
    <w:p w14:paraId="51BF75C6">
      <w:pPr>
        <w:spacing w:line="360" w:lineRule="auto"/>
        <w:ind w:firstLine="420" w:firstLineChars="200"/>
        <w:rPr>
          <w:rFonts w:hint="eastAsia" w:ascii="宋体" w:hAnsi="宋体" w:cs="宋体"/>
          <w:szCs w:val="21"/>
        </w:rPr>
      </w:pPr>
      <w:r>
        <w:rPr>
          <w:rFonts w:hint="eastAsia" w:ascii="宋体" w:hAnsi="宋体" w:cs="宋体"/>
          <w:szCs w:val="21"/>
        </w:rPr>
        <w:t>5.特种设备焊工、电工、设备调试工程师全部人工、夜间加班降效费用；</w:t>
      </w:r>
    </w:p>
    <w:p w14:paraId="3916057F">
      <w:pPr>
        <w:spacing w:line="360" w:lineRule="auto"/>
        <w:ind w:firstLine="420" w:firstLineChars="200"/>
        <w:rPr>
          <w:rFonts w:hint="eastAsia" w:ascii="宋体" w:hAnsi="宋体" w:cs="宋体"/>
          <w:szCs w:val="21"/>
        </w:rPr>
      </w:pPr>
      <w:r>
        <w:rPr>
          <w:rFonts w:hint="eastAsia" w:ascii="宋体" w:hAnsi="宋体" w:cs="宋体"/>
          <w:szCs w:val="21"/>
        </w:rPr>
        <w:t>6.分段脱脂、吹扫、压力气密性试验、</w:t>
      </w:r>
      <w:r>
        <w:rPr>
          <w:rFonts w:hint="eastAsia"/>
          <w:color w:val="000000"/>
        </w:rPr>
        <w:t>空气质量检测报告</w:t>
      </w:r>
      <w:r>
        <w:rPr>
          <w:rFonts w:hint="eastAsia" w:ascii="宋体" w:hAnsi="宋体" w:cs="宋体"/>
          <w:szCs w:val="21"/>
        </w:rPr>
        <w:t xml:space="preserve"> / 接地 / 压力容器检测费用；</w:t>
      </w:r>
    </w:p>
    <w:p w14:paraId="1CDDA770">
      <w:pPr>
        <w:spacing w:line="360" w:lineRule="auto"/>
        <w:ind w:firstLine="420" w:firstLineChars="200"/>
        <w:rPr>
          <w:rFonts w:hint="eastAsia" w:ascii="宋体" w:hAnsi="宋体" w:cs="宋体"/>
          <w:szCs w:val="21"/>
        </w:rPr>
      </w:pPr>
      <w:r>
        <w:rPr>
          <w:rFonts w:hint="eastAsia" w:ascii="宋体" w:hAnsi="宋体" w:cs="宋体"/>
          <w:szCs w:val="21"/>
        </w:rPr>
        <w:t>7.全套设计深化、竣工蓝图、CAD 电子版图纸、资料打印装订费用；</w:t>
      </w:r>
    </w:p>
    <w:p w14:paraId="7E6D4668">
      <w:pPr>
        <w:spacing w:line="360" w:lineRule="auto"/>
        <w:ind w:firstLine="420" w:firstLineChars="200"/>
        <w:rPr>
          <w:rFonts w:hint="eastAsia" w:ascii="宋体" w:hAnsi="宋体" w:cs="宋体"/>
          <w:szCs w:val="21"/>
        </w:rPr>
      </w:pPr>
      <w:r>
        <w:rPr>
          <w:rFonts w:hint="eastAsia" w:ascii="宋体" w:hAnsi="宋体" w:cs="宋体"/>
          <w:szCs w:val="21"/>
        </w:rPr>
        <w:t>8.特种设备压力容器安装监检费、首次检验费、使用登记、旧设备注销等行政规费及相关费用。</w:t>
      </w:r>
    </w:p>
    <w:p w14:paraId="4132F200">
      <w:pPr>
        <w:spacing w:line="360" w:lineRule="auto"/>
        <w:ind w:firstLine="420" w:firstLineChars="200"/>
        <w:rPr>
          <w:rFonts w:hint="eastAsia" w:ascii="宋体" w:hAnsi="宋体" w:cs="宋体"/>
          <w:szCs w:val="21"/>
        </w:rPr>
      </w:pPr>
      <w:r>
        <w:rPr>
          <w:rFonts w:hint="eastAsia" w:ascii="宋体" w:hAnsi="宋体" w:cs="宋体"/>
          <w:szCs w:val="21"/>
        </w:rPr>
        <w:t>9.院内运维人员现场操作、安全培训、厂家远程技术服务费；</w:t>
      </w:r>
    </w:p>
    <w:p w14:paraId="5A7ACB55">
      <w:pPr>
        <w:spacing w:line="360" w:lineRule="auto"/>
        <w:ind w:firstLine="420" w:firstLineChars="200"/>
        <w:rPr>
          <w:rFonts w:hint="eastAsia" w:ascii="宋体" w:hAnsi="宋体" w:cs="宋体"/>
          <w:szCs w:val="21"/>
        </w:rPr>
      </w:pPr>
      <w:r>
        <w:rPr>
          <w:rFonts w:hint="eastAsia" w:ascii="宋体" w:hAnsi="宋体" w:cs="宋体"/>
          <w:szCs w:val="21"/>
        </w:rPr>
        <w:t>10.二年质保期内全部巡检、维修、原厂耗材免费更换、年度系统校准费用；</w:t>
      </w:r>
    </w:p>
    <w:p w14:paraId="33D753D9">
      <w:pPr>
        <w:spacing w:line="360" w:lineRule="auto"/>
        <w:ind w:firstLine="420" w:firstLineChars="200"/>
        <w:rPr>
          <w:rFonts w:hint="eastAsia" w:ascii="宋体" w:hAnsi="宋体" w:cs="宋体"/>
          <w:szCs w:val="21"/>
        </w:rPr>
      </w:pPr>
      <w:r>
        <w:rPr>
          <w:rFonts w:hint="eastAsia" w:ascii="宋体" w:hAnsi="宋体" w:cs="宋体"/>
          <w:szCs w:val="21"/>
        </w:rPr>
        <w:t>11.发票税金、管理费、企业利润、规费、意外伤害保险；</w:t>
      </w:r>
    </w:p>
    <w:p w14:paraId="66B868BF">
      <w:pPr>
        <w:spacing w:line="360" w:lineRule="auto"/>
        <w:ind w:firstLine="420" w:firstLineChars="200"/>
        <w:rPr>
          <w:rFonts w:hint="eastAsia" w:ascii="宋体" w:hAnsi="宋体" w:cs="宋体"/>
          <w:szCs w:val="21"/>
        </w:rPr>
      </w:pPr>
      <w:r>
        <w:rPr>
          <w:rFonts w:hint="eastAsia" w:ascii="宋体" w:hAnsi="宋体" w:cs="宋体"/>
          <w:szCs w:val="21"/>
        </w:rPr>
        <w:t>12.招标文件未列明，但系统正常运行须配套的全部物料、施工工序，投标人自动补齐，不单独计价。</w:t>
      </w:r>
    </w:p>
    <w:p w14:paraId="4B975B13">
      <w:pPr>
        <w:spacing w:line="360" w:lineRule="auto"/>
        <w:rPr>
          <w:rFonts w:hint="eastAsia" w:ascii="宋体" w:hAnsi="宋体" w:cs="宋体"/>
          <w:b/>
          <w:bCs/>
          <w:szCs w:val="21"/>
        </w:rPr>
      </w:pPr>
      <w:r>
        <w:rPr>
          <w:rFonts w:hint="eastAsia" w:ascii="宋体" w:hAnsi="宋体" w:cs="宋体"/>
          <w:b/>
          <w:bCs/>
          <w:szCs w:val="21"/>
        </w:rPr>
        <w:t>三、分系统专项技术规范</w:t>
      </w:r>
    </w:p>
    <w:p w14:paraId="088DD321">
      <w:pPr>
        <w:spacing w:line="360" w:lineRule="auto"/>
        <w:rPr>
          <w:rFonts w:hint="eastAsia" w:ascii="宋体" w:hAnsi="宋体" w:cs="宋体"/>
          <w:b/>
          <w:bCs/>
          <w:szCs w:val="21"/>
        </w:rPr>
      </w:pPr>
      <w:r>
        <w:rPr>
          <w:rFonts w:hint="eastAsia" w:ascii="宋体" w:hAnsi="宋体" w:cs="宋体"/>
          <w:b/>
          <w:bCs/>
          <w:szCs w:val="21"/>
        </w:rPr>
        <w:t>氧气供应系统专项技术规范（西区液氧站）</w:t>
      </w:r>
    </w:p>
    <w:p w14:paraId="43E949B1">
      <w:pPr>
        <w:spacing w:line="360" w:lineRule="auto"/>
        <w:ind w:firstLine="420" w:firstLineChars="200"/>
        <w:rPr>
          <w:rFonts w:hint="eastAsia" w:ascii="宋体" w:hAnsi="宋体" w:cs="宋体"/>
          <w:szCs w:val="21"/>
        </w:rPr>
      </w:pPr>
      <w:r>
        <w:rPr>
          <w:rFonts w:hint="eastAsia" w:ascii="宋体" w:hAnsi="宋体" w:cs="宋体"/>
          <w:szCs w:val="21"/>
        </w:rPr>
        <w:t>西区液氧监测系统要求（GB/T44059.1-2024 第 5 章监测条款）</w:t>
      </w:r>
    </w:p>
    <w:p w14:paraId="67BCE7AF">
      <w:pPr>
        <w:spacing w:line="360" w:lineRule="auto"/>
        <w:ind w:firstLine="420" w:firstLineChars="200"/>
        <w:rPr>
          <w:rFonts w:hint="eastAsia" w:ascii="宋体" w:hAnsi="宋体" w:cs="宋体"/>
          <w:szCs w:val="21"/>
        </w:rPr>
      </w:pPr>
      <w:r>
        <w:rPr>
          <w:rFonts w:hint="eastAsia" w:ascii="宋体" w:hAnsi="宋体" w:cs="宋体"/>
          <w:color w:val="000000" w:themeColor="text1"/>
          <w:szCs w:val="21"/>
          <w:lang w:bidi="ar"/>
          <w14:textFill>
            <w14:solidFill>
              <w14:schemeClr w14:val="tx1"/>
            </w14:solidFill>
          </w14:textFill>
        </w:rPr>
        <w:t>▲</w:t>
      </w:r>
      <w:r>
        <w:rPr>
          <w:rFonts w:hint="eastAsia" w:ascii="宋体" w:hAnsi="宋体" w:cs="宋体"/>
          <w:szCs w:val="21"/>
        </w:rPr>
        <w:t>1. 4台液氧储罐独立压力监测，单罐高低压分开报警，不得共用一路传感器；</w:t>
      </w:r>
    </w:p>
    <w:p w14:paraId="5511235A">
      <w:pPr>
        <w:spacing w:line="360" w:lineRule="auto"/>
        <w:ind w:firstLine="420" w:firstLineChars="200"/>
        <w:rPr>
          <w:rFonts w:hint="eastAsia" w:ascii="宋体" w:hAnsi="宋体" w:cs="宋体"/>
          <w:szCs w:val="21"/>
        </w:rPr>
      </w:pPr>
      <w:r>
        <w:rPr>
          <w:rFonts w:hint="eastAsia" w:ascii="宋体" w:hAnsi="宋体" w:cs="宋体"/>
          <w:color w:val="000000" w:themeColor="text1"/>
          <w:szCs w:val="21"/>
          <w:lang w:bidi="ar"/>
          <w14:textFill>
            <w14:solidFill>
              <w14:schemeClr w14:val="tx1"/>
            </w14:solidFill>
          </w14:textFill>
        </w:rPr>
        <w:t>▲</w:t>
      </w:r>
      <w:r>
        <w:rPr>
          <w:rFonts w:hint="eastAsia" w:ascii="宋体" w:hAnsi="宋体" w:cs="宋体"/>
          <w:szCs w:val="21"/>
        </w:rPr>
        <w:t>2.氧气主管流量计具备院方月度供氧计量统计功能，数据可导出 Excel；</w:t>
      </w:r>
    </w:p>
    <w:p w14:paraId="0D861A6D">
      <w:pPr>
        <w:spacing w:line="360" w:lineRule="auto"/>
        <w:ind w:firstLine="420" w:firstLineChars="200"/>
        <w:rPr>
          <w:rFonts w:hint="eastAsia" w:ascii="宋体" w:hAnsi="宋体" w:cs="宋体"/>
          <w:szCs w:val="21"/>
        </w:rPr>
      </w:pPr>
      <w:r>
        <w:rPr>
          <w:rFonts w:hint="eastAsia" w:ascii="宋体" w:hAnsi="宋体" w:cs="宋体"/>
          <w:color w:val="000000" w:themeColor="text1"/>
          <w:szCs w:val="21"/>
          <w:lang w:bidi="ar"/>
          <w14:textFill>
            <w14:solidFill>
              <w14:schemeClr w14:val="tx1"/>
            </w14:solidFill>
          </w14:textFill>
        </w:rPr>
        <w:t>▲</w:t>
      </w:r>
      <w:r>
        <w:rPr>
          <w:rFonts w:hint="eastAsia" w:ascii="宋体" w:hAnsi="宋体" w:cs="宋体"/>
          <w:szCs w:val="21"/>
        </w:rPr>
        <w:t>3.原有二级减压</w:t>
      </w:r>
      <w:ins w:id="0" w:author="李俊" w:date="2026-09-14T13:32:00Z">
        <w:r>
          <w:rPr>
            <w:rFonts w:hint="eastAsia" w:ascii="宋体" w:hAnsi="宋体" w:cs="宋体"/>
            <w:szCs w:val="21"/>
          </w:rPr>
          <w:t>装置</w:t>
        </w:r>
      </w:ins>
      <w:r>
        <w:rPr>
          <w:rFonts w:hint="eastAsia" w:ascii="宋体" w:hAnsi="宋体" w:cs="宋体"/>
          <w:szCs w:val="21"/>
        </w:rPr>
        <w:t>大修后必须完成24h气密性试验，</w:t>
      </w:r>
      <w:ins w:id="1" w:author="李俊" w:date="2026-09-14T13:32:00Z">
        <w:r>
          <w:rPr>
            <w:rFonts w:hint="eastAsia" w:ascii="宋体" w:hAnsi="宋体" w:cs="宋体"/>
            <w:szCs w:val="21"/>
          </w:rPr>
          <w:t>每</w:t>
        </w:r>
      </w:ins>
      <w:r>
        <w:rPr>
          <w:rFonts w:hint="eastAsia" w:ascii="宋体" w:hAnsi="宋体" w:cs="宋体"/>
          <w:szCs w:val="21"/>
        </w:rPr>
        <w:t>小时泄漏率≤0.05%；</w:t>
      </w:r>
    </w:p>
    <w:p w14:paraId="6CB07C32">
      <w:pPr>
        <w:spacing w:line="360" w:lineRule="auto"/>
        <w:ind w:firstLine="420" w:firstLineChars="200"/>
        <w:rPr>
          <w:rFonts w:hint="eastAsia" w:ascii="宋体" w:hAnsi="宋体" w:cs="宋体"/>
          <w:szCs w:val="21"/>
        </w:rPr>
      </w:pPr>
      <w:r>
        <w:rPr>
          <w:rFonts w:hint="eastAsia" w:ascii="宋体" w:hAnsi="宋体" w:cs="宋体"/>
          <w:color w:val="000000" w:themeColor="text1"/>
          <w:szCs w:val="21"/>
          <w:lang w:bidi="ar"/>
          <w14:textFill>
            <w14:solidFill>
              <w14:schemeClr w14:val="tx1"/>
            </w14:solidFill>
          </w14:textFill>
        </w:rPr>
        <w:t>▲</w:t>
      </w:r>
      <w:r>
        <w:rPr>
          <w:rFonts w:hint="eastAsia" w:ascii="宋体" w:hAnsi="宋体" w:cs="宋体"/>
          <w:szCs w:val="21"/>
        </w:rPr>
        <w:t>4.所有报警信号独立屏蔽双绞线传输，避免强电干扰误报警。</w:t>
      </w:r>
    </w:p>
    <w:p w14:paraId="499977A2">
      <w:pPr>
        <w:spacing w:line="360" w:lineRule="auto"/>
        <w:rPr>
          <w:rFonts w:hint="eastAsia" w:ascii="宋体" w:hAnsi="宋体" w:cs="宋体"/>
          <w:szCs w:val="21"/>
        </w:rPr>
      </w:pPr>
      <w:r>
        <w:rPr>
          <w:rFonts w:hint="eastAsia" w:ascii="宋体" w:hAnsi="宋体" w:cs="宋体"/>
          <w:b/>
          <w:bCs/>
          <w:szCs w:val="21"/>
        </w:rPr>
        <w:t>西区无油医用压缩空气系统专项规范（临床病房专用）</w:t>
      </w:r>
    </w:p>
    <w:p w14:paraId="1F8F6A3B">
      <w:pPr>
        <w:spacing w:line="360" w:lineRule="auto"/>
        <w:rPr>
          <w:rFonts w:hint="eastAsia" w:ascii="宋体" w:hAnsi="宋体" w:cs="宋体"/>
          <w:i/>
          <w:iCs/>
          <w:szCs w:val="21"/>
          <w:u w:val="single"/>
        </w:rPr>
      </w:pPr>
      <w:r>
        <w:rPr>
          <w:rFonts w:hint="eastAsia" w:ascii="宋体" w:hAnsi="宋体" w:cs="宋体"/>
          <w:b/>
          <w:bCs/>
          <w:i/>
          <w:iCs/>
          <w:szCs w:val="21"/>
          <w:u w:val="single"/>
        </w:rPr>
        <w:t>空压机核心指标（要求提供制造厂产品说明书复印件及实物照片，能应证参数要求）</w:t>
      </w:r>
    </w:p>
    <w:p w14:paraId="5BEB0DE2">
      <w:pPr>
        <w:spacing w:line="360" w:lineRule="auto"/>
        <w:ind w:firstLine="420" w:firstLineChars="200"/>
        <w:rPr>
          <w:rFonts w:hint="eastAsia" w:ascii="宋体" w:hAnsi="宋体" w:cs="宋体"/>
          <w:i/>
          <w:iCs/>
          <w:szCs w:val="21"/>
          <w:u w:val="single"/>
        </w:rPr>
      </w:pPr>
      <w:r>
        <w:rPr>
          <w:rFonts w:hint="eastAsia" w:ascii="宋体" w:hAnsi="宋体" w:cs="宋体"/>
          <w:i/>
          <w:iCs/>
          <w:szCs w:val="21"/>
          <w:u w:val="single"/>
          <w:lang w:bidi="ar"/>
        </w:rPr>
        <w:t>★</w:t>
      </w:r>
      <w:r>
        <w:rPr>
          <w:rFonts w:hint="eastAsia" w:ascii="宋体" w:hAnsi="宋体" w:cs="宋体"/>
          <w:i/>
          <w:iCs/>
          <w:szCs w:val="21"/>
          <w:u w:val="single"/>
        </w:rPr>
        <w:t>1.必须全无油涡旋机型，严禁微油螺杆替代；单台额定压力≥0.8MPa，额定流量≥2.48m³/min，单套空压机额定电机功率≥22kw；</w:t>
      </w:r>
    </w:p>
    <w:p w14:paraId="638076A2">
      <w:pPr>
        <w:spacing w:line="360" w:lineRule="auto"/>
        <w:ind w:firstLine="420" w:firstLineChars="200"/>
        <w:rPr>
          <w:rFonts w:hint="eastAsia" w:ascii="宋体" w:hAnsi="宋体" w:cs="宋体"/>
          <w:i/>
          <w:iCs/>
          <w:szCs w:val="21"/>
          <w:u w:val="single"/>
        </w:rPr>
      </w:pPr>
      <w:r>
        <w:rPr>
          <w:rFonts w:hint="eastAsia" w:ascii="宋体" w:hAnsi="宋体" w:cs="宋体"/>
          <w:i/>
          <w:iCs/>
          <w:szCs w:val="21"/>
          <w:u w:val="single"/>
          <w:lang w:bidi="ar"/>
        </w:rPr>
        <w:t>★</w:t>
      </w:r>
      <w:r>
        <w:rPr>
          <w:rFonts w:hint="eastAsia" w:ascii="宋体" w:hAnsi="宋体" w:cs="宋体"/>
          <w:i/>
          <w:iCs/>
          <w:szCs w:val="21"/>
          <w:u w:val="single"/>
        </w:rPr>
        <w:t>2.内置 4 套独立涡旋压缩模块，一体化整机</w:t>
      </w:r>
      <w:r>
        <w:rPr>
          <w:rStyle w:val="42"/>
          <w:rFonts w:hint="eastAsia" w:ascii="宋体" w:hAnsi="宋体" w:cs="宋体"/>
          <w:i/>
          <w:iCs/>
          <w:u w:val="single"/>
        </w:rPr>
        <w:t>；</w:t>
      </w:r>
    </w:p>
    <w:p w14:paraId="52541565">
      <w:pPr>
        <w:spacing w:line="360" w:lineRule="auto"/>
        <w:ind w:firstLine="420" w:firstLineChars="200"/>
        <w:rPr>
          <w:rFonts w:hint="eastAsia" w:ascii="宋体" w:hAnsi="宋体" w:cs="宋体"/>
          <w:i/>
          <w:iCs/>
          <w:szCs w:val="21"/>
          <w:u w:val="single"/>
        </w:rPr>
      </w:pPr>
      <w:r>
        <w:rPr>
          <w:rFonts w:hint="eastAsia" w:ascii="宋体" w:hAnsi="宋体" w:cs="宋体"/>
          <w:i/>
          <w:iCs/>
          <w:szCs w:val="21"/>
          <w:u w:val="single"/>
          <w:lang w:bidi="ar"/>
        </w:rPr>
        <w:t>★</w:t>
      </w:r>
      <w:r>
        <w:rPr>
          <w:rFonts w:hint="eastAsia" w:ascii="宋体" w:hAnsi="宋体" w:cs="宋体"/>
          <w:i/>
          <w:iCs/>
          <w:szCs w:val="21"/>
          <w:u w:val="single"/>
        </w:rPr>
        <w:t>3.与旧机组并联使用，双机组一用一备自动轮换，单一机组故障自动切换备用，不间断供气；具有手/自动运行切换功能。</w:t>
      </w:r>
      <w:r>
        <w:rPr>
          <w:rFonts w:ascii="宋体" w:hAnsi="宋体" w:cs="宋体"/>
          <w:i/>
          <w:iCs/>
          <w:szCs w:val="21"/>
          <w:u w:val="single"/>
        </w:rPr>
        <w:t>机组原厂控制器内置多机组并联联动控制逻辑，标配 Modbus RTU 通讯接口</w:t>
      </w:r>
      <w:r>
        <w:rPr>
          <w:rFonts w:hint="eastAsia" w:ascii="宋体" w:hAnsi="宋体" w:cs="宋体"/>
          <w:i/>
          <w:iCs/>
          <w:szCs w:val="21"/>
          <w:u w:val="single"/>
        </w:rPr>
        <w:t>；</w:t>
      </w:r>
      <w:r>
        <w:rPr>
          <w:rFonts w:hint="eastAsia" w:ascii="宋体" w:hAnsi="宋体" w:cs="宋体"/>
          <w:b/>
          <w:bCs/>
          <w:i/>
          <w:iCs/>
          <w:szCs w:val="21"/>
          <w:u w:val="single"/>
        </w:rPr>
        <w:t>（投标人</w:t>
      </w:r>
      <w:r>
        <w:rPr>
          <w:rFonts w:ascii="宋体" w:hAnsi="宋体" w:cs="宋体"/>
          <w:b/>
          <w:bCs/>
          <w:i/>
          <w:iCs/>
          <w:szCs w:val="21"/>
          <w:u w:val="single"/>
        </w:rPr>
        <w:t>提供控制逻辑方案，验证手 / 自动切换功能</w:t>
      </w:r>
      <w:r>
        <w:rPr>
          <w:rFonts w:hint="eastAsia" w:ascii="宋体" w:hAnsi="宋体" w:cs="宋体"/>
          <w:b/>
          <w:bCs/>
          <w:i/>
          <w:iCs/>
          <w:szCs w:val="21"/>
          <w:u w:val="single"/>
        </w:rPr>
        <w:t>）</w:t>
      </w:r>
    </w:p>
    <w:p w14:paraId="7EC596C9">
      <w:pPr>
        <w:spacing w:line="360" w:lineRule="auto"/>
        <w:ind w:firstLine="420" w:firstLineChars="200"/>
        <w:rPr>
          <w:rFonts w:hint="eastAsia" w:ascii="宋体" w:hAnsi="宋体" w:cs="宋体"/>
          <w:i/>
          <w:iCs/>
          <w:szCs w:val="21"/>
          <w:u w:val="single"/>
        </w:rPr>
      </w:pPr>
      <w:r>
        <w:rPr>
          <w:rFonts w:hint="eastAsia" w:ascii="宋体" w:hAnsi="宋体" w:cs="宋体"/>
          <w:i/>
          <w:iCs/>
          <w:szCs w:val="21"/>
          <w:u w:val="single"/>
          <w:lang w:bidi="ar"/>
        </w:rPr>
        <w:t>★</w:t>
      </w:r>
      <w:r>
        <w:rPr>
          <w:rFonts w:hint="eastAsia" w:ascii="宋体" w:hAnsi="宋体" w:cs="宋体"/>
          <w:i/>
          <w:iCs/>
          <w:szCs w:val="21"/>
          <w:u w:val="single"/>
        </w:rPr>
        <w:t>4.电控具备断电记忆、故障存储，断电恢复后自动重启运行；</w:t>
      </w:r>
    </w:p>
    <w:p w14:paraId="2F669570">
      <w:pPr>
        <w:spacing w:line="360" w:lineRule="auto"/>
        <w:ind w:firstLine="420" w:firstLineChars="200"/>
        <w:rPr>
          <w:rFonts w:hint="eastAsia" w:ascii="宋体" w:hAnsi="宋体" w:cs="宋体"/>
          <w:i/>
          <w:iCs/>
          <w:szCs w:val="21"/>
          <w:u w:val="single"/>
        </w:rPr>
      </w:pPr>
      <w:r>
        <w:rPr>
          <w:rFonts w:hint="eastAsia" w:ascii="宋体" w:hAnsi="宋体" w:cs="宋体"/>
          <w:i/>
          <w:iCs/>
          <w:szCs w:val="21"/>
          <w:u w:val="single"/>
          <w:lang w:bidi="ar"/>
        </w:rPr>
        <w:t>★</w:t>
      </w:r>
      <w:r>
        <w:rPr>
          <w:rFonts w:hint="eastAsia" w:ascii="宋体" w:hAnsi="宋体" w:cs="宋体"/>
          <w:i/>
          <w:iCs/>
          <w:szCs w:val="21"/>
          <w:u w:val="single"/>
        </w:rPr>
        <w:t>5.机组运行噪音≤72dB (A)，满足医院站房降噪要求。</w:t>
      </w:r>
    </w:p>
    <w:p w14:paraId="7D3687B7">
      <w:pPr>
        <w:spacing w:line="360" w:lineRule="auto"/>
        <w:ind w:firstLine="420" w:firstLineChars="200"/>
        <w:rPr>
          <w:rFonts w:hint="eastAsia" w:ascii="宋体" w:hAnsi="宋体" w:cs="宋体"/>
          <w:i/>
          <w:iCs/>
          <w:color w:val="auto"/>
          <w:szCs w:val="21"/>
          <w:u w:val="single"/>
        </w:rPr>
      </w:pPr>
      <w:r>
        <w:rPr>
          <w:rFonts w:ascii="宋体" w:hAnsi="宋体" w:eastAsia="宋体"/>
          <w:iCs/>
          <w:color w:val="auto"/>
          <w:sz w:val="21"/>
          <w:szCs w:val="21"/>
        </w:rPr>
        <w:t>▲6.</w:t>
      </w:r>
      <w:r>
        <w:rPr>
          <w:rFonts w:hint="eastAsia" w:ascii="宋体" w:hAnsi="宋体" w:eastAsia="宋体"/>
          <w:iCs/>
          <w:color w:val="auto"/>
          <w:sz w:val="21"/>
          <w:szCs w:val="21"/>
        </w:rPr>
        <w:t>医用空气压缩机（或医用压缩空气系统或医用空气集中供应系统）输出空气中的露点和固体颗粒物含量需符合GB/T13277.3-2015和GB/T13277.4-2015的标准要求。（</w:t>
      </w:r>
      <w:r>
        <w:rPr>
          <w:rFonts w:hint="eastAsia" w:ascii="宋体" w:hAnsi="宋体" w:eastAsia="宋体"/>
          <w:b/>
          <w:bCs/>
          <w:iCs/>
          <w:color w:val="auto"/>
          <w:sz w:val="21"/>
          <w:szCs w:val="21"/>
        </w:rPr>
        <w:t>投标人承诺提供的设备满足以上要求</w:t>
      </w:r>
      <w:r>
        <w:rPr>
          <w:rFonts w:hint="eastAsia" w:ascii="宋体" w:hAnsi="宋体" w:eastAsia="宋体"/>
          <w:iCs/>
          <w:color w:val="auto"/>
          <w:sz w:val="21"/>
          <w:szCs w:val="21"/>
        </w:rPr>
        <w:t>）</w:t>
      </w:r>
    </w:p>
    <w:p w14:paraId="71E92B2A">
      <w:pPr>
        <w:spacing w:line="360" w:lineRule="auto"/>
        <w:rPr>
          <w:rFonts w:hint="eastAsia" w:ascii="宋体" w:hAnsi="宋体" w:eastAsia="宋体"/>
          <w:iCs/>
          <w:color w:val="FF0000"/>
          <w:sz w:val="21"/>
          <w:szCs w:val="21"/>
        </w:rPr>
      </w:pPr>
      <w:r>
        <w:rPr>
          <w:rFonts w:hint="eastAsia" w:ascii="宋体" w:hAnsi="宋体" w:cs="宋体"/>
          <w:b/>
          <w:bCs/>
          <w:i/>
          <w:iCs/>
          <w:szCs w:val="21"/>
          <w:u w:val="single"/>
        </w:rPr>
        <w:t>干燥、四级过滤洁净标准（医用空气强制洁净度）（要求提供制造厂产品说明书复印件及实物照片，能应证参数要求）</w:t>
      </w:r>
    </w:p>
    <w:p w14:paraId="415F5D15">
      <w:pPr>
        <w:spacing w:line="360" w:lineRule="auto"/>
        <w:ind w:firstLine="420" w:firstLineChars="200"/>
        <w:rPr>
          <w:rFonts w:hint="eastAsia" w:ascii="宋体" w:hAnsi="宋体" w:cs="宋体"/>
          <w:b/>
          <w:bCs/>
          <w:i/>
          <w:iCs/>
          <w:szCs w:val="21"/>
          <w:u w:val="single"/>
        </w:rPr>
      </w:pPr>
      <w:r>
        <w:rPr>
          <w:rFonts w:hint="eastAsia" w:ascii="宋体" w:hAnsi="宋体" w:cs="宋体"/>
          <w:i/>
          <w:iCs/>
          <w:szCs w:val="21"/>
          <w:u w:val="single"/>
          <w:lang w:bidi="ar"/>
        </w:rPr>
        <w:t>★</w:t>
      </w:r>
      <w:r>
        <w:rPr>
          <w:rFonts w:hint="eastAsia" w:ascii="宋体" w:hAnsi="宋体" w:cs="宋体"/>
          <w:i/>
          <w:iCs/>
          <w:szCs w:val="21"/>
          <w:u w:val="single"/>
        </w:rPr>
        <w:t>1.冷冻干燥 + 微热再生双级干燥组合，满载连续运行条件下，稳定出口压力露点≤-40℃，单台排气量为≥3.5m³/min；</w:t>
      </w:r>
      <w:r>
        <w:rPr>
          <w:rFonts w:hint="eastAsia" w:ascii="宋体" w:hAnsi="宋体" w:cs="宋体"/>
          <w:b/>
          <w:bCs/>
          <w:i/>
          <w:iCs/>
          <w:szCs w:val="21"/>
          <w:u w:val="single"/>
        </w:rPr>
        <w:t>(要求提供制造厂产品说明书复印件及实物照片，能应证参数要求)</w:t>
      </w:r>
    </w:p>
    <w:p w14:paraId="0282CB65">
      <w:pPr>
        <w:spacing w:line="360" w:lineRule="auto"/>
        <w:ind w:firstLine="420" w:firstLineChars="200"/>
        <w:rPr>
          <w:rFonts w:hint="eastAsia" w:ascii="宋体" w:hAnsi="宋体" w:cs="宋体"/>
          <w:szCs w:val="21"/>
        </w:rPr>
      </w:pPr>
      <w:r>
        <w:rPr>
          <w:rFonts w:hint="eastAsia" w:ascii="宋体" w:hAnsi="宋体" w:cs="宋体"/>
          <w:i/>
          <w:iCs/>
          <w:szCs w:val="21"/>
          <w:u w:val="single"/>
          <w:lang w:bidi="ar"/>
        </w:rPr>
        <w:t>★</w:t>
      </w:r>
      <w:r>
        <w:rPr>
          <w:rFonts w:hint="eastAsia" w:ascii="宋体" w:hAnsi="宋体" w:cs="宋体"/>
          <w:i/>
          <w:iCs/>
          <w:szCs w:val="21"/>
          <w:u w:val="single"/>
        </w:rPr>
        <w:t>2.四级过滤依次：主路→普通→高效→除菌，终端压缩空气固体颗粒≤0.01μm，残油≤0.01ppm。</w:t>
      </w:r>
    </w:p>
    <w:p w14:paraId="6EC19038">
      <w:pPr>
        <w:spacing w:line="360" w:lineRule="auto"/>
        <w:rPr>
          <w:rFonts w:hint="eastAsia" w:ascii="宋体" w:hAnsi="宋体" w:cs="宋体"/>
          <w:b/>
          <w:bCs/>
          <w:szCs w:val="21"/>
        </w:rPr>
      </w:pPr>
      <w:r>
        <w:rPr>
          <w:rFonts w:hint="eastAsia" w:ascii="宋体" w:hAnsi="宋体" w:cs="宋体"/>
          <w:b/>
          <w:bCs/>
          <w:szCs w:val="21"/>
        </w:rPr>
        <w:t>储气、缓冲、减压系统要求</w:t>
      </w:r>
    </w:p>
    <w:p w14:paraId="12C6ACD5">
      <w:pPr>
        <w:spacing w:line="360" w:lineRule="auto"/>
        <w:ind w:firstLine="420" w:firstLineChars="200"/>
        <w:rPr>
          <w:rFonts w:hint="eastAsia" w:ascii="宋体" w:hAnsi="宋体" w:cs="宋体"/>
          <w:szCs w:val="21"/>
        </w:rPr>
      </w:pPr>
      <w:r>
        <w:rPr>
          <w:rFonts w:hint="eastAsia" w:ascii="宋体" w:hAnsi="宋体" w:cs="宋体"/>
          <w:szCs w:val="21"/>
        </w:rPr>
        <w:t>1. 2m³主储气罐 + 0.6m³ 缓冲罐两级稳压，消除用气压力波动；</w:t>
      </w:r>
    </w:p>
    <w:p w14:paraId="6AE134ED">
      <w:pPr>
        <w:spacing w:line="360" w:lineRule="auto"/>
        <w:ind w:firstLine="420" w:firstLineChars="200"/>
        <w:rPr>
          <w:rFonts w:hint="eastAsia" w:ascii="宋体" w:hAnsi="宋体" w:cs="宋体"/>
          <w:szCs w:val="21"/>
        </w:rPr>
      </w:pPr>
      <w:r>
        <w:rPr>
          <w:rFonts w:hint="eastAsia" w:ascii="宋体" w:hAnsi="宋体" w:cs="宋体"/>
          <w:szCs w:val="21"/>
        </w:rPr>
        <w:t>2.站房总出气进行减压，压力可调；</w:t>
      </w:r>
    </w:p>
    <w:p w14:paraId="5CB86839">
      <w:pPr>
        <w:spacing w:line="360" w:lineRule="auto"/>
        <w:rPr>
          <w:rFonts w:hint="eastAsia" w:ascii="宋体" w:hAnsi="宋体" w:cs="宋体"/>
          <w:szCs w:val="21"/>
        </w:rPr>
      </w:pPr>
      <w:r>
        <w:rPr>
          <w:rFonts w:hint="eastAsia" w:ascii="宋体" w:hAnsi="宋体" w:cs="宋体"/>
          <w:b/>
          <w:bCs/>
          <w:szCs w:val="21"/>
        </w:rPr>
        <w:t>西区供应室、洗衣房器械压缩空气强制隔离规范（GB50751-2012 第 4.1.1 强条）</w:t>
      </w:r>
    </w:p>
    <w:p w14:paraId="298343ED">
      <w:pPr>
        <w:spacing w:line="360" w:lineRule="auto"/>
        <w:ind w:firstLine="420" w:firstLineChars="200"/>
        <w:rPr>
          <w:rFonts w:hint="eastAsia" w:ascii="宋体" w:hAnsi="宋体" w:cs="宋体"/>
          <w:szCs w:val="21"/>
        </w:rPr>
      </w:pPr>
      <w:r>
        <w:rPr>
          <w:rFonts w:hint="eastAsia" w:ascii="宋体" w:hAnsi="宋体" w:cs="宋体"/>
          <w:color w:val="000000" w:themeColor="text1"/>
          <w:szCs w:val="21"/>
          <w:lang w:bidi="ar"/>
          <w14:textFill>
            <w14:solidFill>
              <w14:schemeClr w14:val="tx1"/>
            </w14:solidFill>
          </w14:textFill>
        </w:rPr>
        <w:t>▲</w:t>
      </w:r>
      <w:r>
        <w:rPr>
          <w:rFonts w:hint="eastAsia" w:ascii="宋体" w:hAnsi="宋体" w:cs="宋体"/>
          <w:szCs w:val="21"/>
        </w:rPr>
        <w:t>1.医疗空气严禁用于器械清洗、消毒，必须物理完全隔离两套独立管网；</w:t>
      </w:r>
    </w:p>
    <w:p w14:paraId="2BD1A02F">
      <w:pPr>
        <w:spacing w:line="360" w:lineRule="auto"/>
        <w:ind w:firstLine="420" w:firstLineChars="200"/>
        <w:rPr>
          <w:rFonts w:hint="eastAsia" w:ascii="宋体" w:hAnsi="宋体" w:cs="宋体"/>
          <w:szCs w:val="21"/>
        </w:rPr>
      </w:pPr>
      <w:r>
        <w:rPr>
          <w:rFonts w:hint="eastAsia" w:ascii="宋体" w:hAnsi="宋体" w:cs="宋体"/>
          <w:szCs w:val="21"/>
        </w:rPr>
        <w:t>2.器械用气管道统一黄色标识，医用空气蓝色标识，管路桥架分层分开敷设，间距≥30cm；</w:t>
      </w:r>
    </w:p>
    <w:p w14:paraId="23FAF0AF">
      <w:pPr>
        <w:spacing w:line="360" w:lineRule="auto"/>
        <w:ind w:firstLine="420" w:firstLineChars="200"/>
        <w:rPr>
          <w:rFonts w:hint="eastAsia" w:ascii="宋体" w:hAnsi="宋体" w:cs="宋体"/>
          <w:szCs w:val="21"/>
        </w:rPr>
      </w:pPr>
      <w:r>
        <w:rPr>
          <w:rFonts w:hint="eastAsia" w:ascii="宋体" w:hAnsi="宋体" w:cs="宋体"/>
          <w:color w:val="000000" w:themeColor="text1"/>
          <w:szCs w:val="21"/>
          <w:lang w:bidi="ar"/>
          <w14:textFill>
            <w14:solidFill>
              <w14:schemeClr w14:val="tx1"/>
            </w14:solidFill>
          </w14:textFill>
        </w:rPr>
        <w:t>▲</w:t>
      </w:r>
      <w:r>
        <w:rPr>
          <w:rFonts w:hint="eastAsia" w:ascii="宋体" w:hAnsi="宋体" w:cs="宋体"/>
          <w:szCs w:val="21"/>
        </w:rPr>
        <w:t>3.完工后全系统连通性打压测试，两套系统无互通、无串气方可验收；</w:t>
      </w:r>
    </w:p>
    <w:p w14:paraId="6CF03998">
      <w:pPr>
        <w:spacing w:line="360" w:lineRule="auto"/>
        <w:ind w:firstLine="420" w:firstLineChars="200"/>
        <w:rPr>
          <w:rFonts w:hint="eastAsia" w:ascii="宋体" w:hAnsi="宋体" w:cs="宋体"/>
          <w:szCs w:val="21"/>
        </w:rPr>
      </w:pPr>
      <w:r>
        <w:rPr>
          <w:rFonts w:hint="eastAsia" w:ascii="宋体" w:hAnsi="宋体" w:cs="宋体"/>
          <w:color w:val="000000" w:themeColor="text1"/>
          <w:szCs w:val="21"/>
          <w:lang w:bidi="ar"/>
          <w14:textFill>
            <w14:solidFill>
              <w14:schemeClr w14:val="tx1"/>
            </w14:solidFill>
          </w14:textFill>
        </w:rPr>
        <w:t>▲</w:t>
      </w:r>
      <w:r>
        <w:rPr>
          <w:rFonts w:hint="eastAsia" w:ascii="宋体" w:hAnsi="宋体" w:cs="宋体"/>
          <w:szCs w:val="21"/>
        </w:rPr>
        <w:t>4.器械空压机采用微油机型，配套完整干燥过滤，露点在线实时监测；</w:t>
      </w:r>
    </w:p>
    <w:p w14:paraId="56DE7C1F">
      <w:pPr>
        <w:spacing w:line="360" w:lineRule="auto"/>
        <w:rPr>
          <w:rFonts w:hint="eastAsia" w:ascii="宋体" w:hAnsi="宋体" w:cs="宋体"/>
          <w:szCs w:val="21"/>
        </w:rPr>
      </w:pPr>
      <w:r>
        <w:rPr>
          <w:rFonts w:hint="eastAsia" w:ascii="宋体" w:hAnsi="宋体" w:cs="宋体"/>
          <w:b/>
          <w:bCs/>
          <w:szCs w:val="21"/>
        </w:rPr>
        <w:t>站房安全接地、电气、CO₂/CO 报警、压缩空气流量计统一规范</w:t>
      </w:r>
    </w:p>
    <w:p w14:paraId="304C8D80">
      <w:pPr>
        <w:spacing w:line="360" w:lineRule="auto"/>
        <w:ind w:firstLine="420" w:firstLineChars="200"/>
        <w:rPr>
          <w:rFonts w:hint="eastAsia" w:ascii="宋体" w:hAnsi="宋体" w:cs="宋体"/>
          <w:szCs w:val="21"/>
        </w:rPr>
      </w:pPr>
      <w:r>
        <w:rPr>
          <w:rFonts w:hint="eastAsia" w:ascii="宋体" w:hAnsi="宋体" w:cs="宋体"/>
          <w:szCs w:val="21"/>
        </w:rPr>
        <w:t>1.全站房采用联合接地系统，接地电阻应≤1Ω（若分设则保护接地≤4Ω），等电位联结应符合GB50054要求；</w:t>
      </w:r>
    </w:p>
    <w:p w14:paraId="03DD31FC">
      <w:pPr>
        <w:spacing w:line="360" w:lineRule="auto"/>
        <w:ind w:firstLine="420" w:firstLineChars="200"/>
        <w:rPr>
          <w:rFonts w:hint="eastAsia" w:ascii="宋体" w:hAnsi="宋体" w:cs="宋体"/>
          <w:szCs w:val="21"/>
        </w:rPr>
      </w:pPr>
      <w:r>
        <w:rPr>
          <w:rFonts w:hint="eastAsia" w:ascii="宋体" w:hAnsi="宋体" w:cs="宋体"/>
          <w:szCs w:val="21"/>
        </w:rPr>
        <w:t>2.所有气体管道和金属支架之间加装橡胶绝缘垫片，防止电化学腐蚀穿孔；</w:t>
      </w:r>
    </w:p>
    <w:p w14:paraId="57D332CA">
      <w:pPr>
        <w:spacing w:line="360" w:lineRule="auto"/>
        <w:ind w:firstLine="420" w:firstLineChars="200"/>
        <w:rPr>
          <w:rFonts w:hint="eastAsia" w:ascii="宋体" w:hAnsi="宋体" w:cs="宋体"/>
          <w:szCs w:val="21"/>
        </w:rPr>
      </w:pPr>
      <w:r>
        <w:rPr>
          <w:rFonts w:hint="eastAsia" w:ascii="宋体" w:hAnsi="宋体" w:cs="宋体"/>
          <w:szCs w:val="21"/>
        </w:rPr>
        <w:t>3.报警器 1 米处声压≥55dB，报警器接入氧气班班组内，4 米距离清晰可视红色报警灯光，具备静音复位、故障自检功能；</w:t>
      </w:r>
    </w:p>
    <w:p w14:paraId="5C504998">
      <w:pPr>
        <w:spacing w:line="360" w:lineRule="auto"/>
        <w:ind w:firstLine="420" w:firstLineChars="200"/>
        <w:rPr>
          <w:rFonts w:hint="eastAsia" w:ascii="宋体" w:hAnsi="宋体" w:cs="宋体"/>
          <w:szCs w:val="21"/>
        </w:rPr>
      </w:pPr>
      <w:r>
        <w:rPr>
          <w:rFonts w:hint="eastAsia" w:ascii="宋体" w:hAnsi="宋体" w:cs="宋体"/>
          <w:szCs w:val="21"/>
        </w:rPr>
        <w:t>4.站内电缆全部金属穿管，严禁明线裸敷，动力电缆与信号通讯线缆分层桥架隔离；</w:t>
      </w:r>
    </w:p>
    <w:p w14:paraId="0F2440BC">
      <w:pPr>
        <w:spacing w:line="360" w:lineRule="auto"/>
        <w:ind w:firstLine="420" w:firstLineChars="200"/>
        <w:rPr>
          <w:rFonts w:hint="eastAsia" w:ascii="宋体" w:hAnsi="宋体" w:cs="宋体"/>
          <w:szCs w:val="21"/>
        </w:rPr>
      </w:pPr>
      <w:r>
        <w:rPr>
          <w:rFonts w:hint="eastAsia" w:ascii="宋体" w:hAnsi="宋体" w:cs="宋体"/>
          <w:szCs w:val="21"/>
        </w:rPr>
        <w:t>5.液氧站、空压机站配备 ABC 干粉、二氧化碳专用消防器材，施工期间由中标人配齐，工程竣工后，站房永久消防器材由院方负责配置；</w:t>
      </w:r>
    </w:p>
    <w:p w14:paraId="7CD43114">
      <w:pPr>
        <w:spacing w:line="360" w:lineRule="auto"/>
        <w:ind w:firstLine="420" w:firstLineChars="200"/>
        <w:rPr>
          <w:rFonts w:hint="eastAsia" w:ascii="宋体" w:hAnsi="宋体" w:cs="宋体"/>
          <w:szCs w:val="21"/>
        </w:rPr>
      </w:pPr>
      <w:r>
        <w:rPr>
          <w:rFonts w:hint="eastAsia" w:ascii="宋体" w:hAnsi="宋体" w:cs="宋体"/>
          <w:szCs w:val="21"/>
        </w:rPr>
        <w:t>6.压缩空气流量计装在干燥机 + 精密过滤器下游；避开弯头、调压阀出口；加装旁路三通，检修流量计不用停机供气；</w:t>
      </w:r>
    </w:p>
    <w:p w14:paraId="736BC2B9">
      <w:pPr>
        <w:spacing w:line="360" w:lineRule="auto"/>
        <w:ind w:firstLine="420" w:firstLineChars="200"/>
        <w:rPr>
          <w:rFonts w:hint="eastAsia" w:ascii="宋体" w:hAnsi="宋体" w:cs="宋体"/>
          <w:b/>
          <w:bCs/>
          <w:i/>
          <w:iCs/>
          <w:szCs w:val="21"/>
          <w:u w:val="single"/>
        </w:rPr>
      </w:pPr>
      <w:r>
        <w:rPr>
          <w:rFonts w:hint="eastAsia" w:ascii="宋体" w:hAnsi="宋体" w:cs="宋体"/>
          <w:i/>
          <w:iCs/>
          <w:szCs w:val="21"/>
          <w:u w:val="single"/>
          <w:lang w:bidi="ar"/>
        </w:rPr>
        <w:t>★7.本项目全部报警信号（一氧化碳、二氧化碳、液氧罐压力、氧气浓度等）均需接入氧气班班组现有监控平台，实现报警信号集中显示（原监控平台的接口免费开放，且中标单位可对软件进行更改；如不能满足使用需求，中标单位可自行提供能实现该功能的监控平台或报警器）。</w:t>
      </w:r>
      <w:r>
        <w:rPr>
          <w:rFonts w:hint="eastAsia" w:ascii="宋体" w:hAnsi="宋体" w:cs="宋体"/>
          <w:b/>
          <w:bCs/>
          <w:i/>
          <w:iCs/>
          <w:szCs w:val="21"/>
          <w:u w:val="single"/>
          <w:lang w:bidi="ar"/>
        </w:rPr>
        <w:t>（提供承诺书，格式自拟，加盖投标人公章。如投标人提供监控软件平台需额外提供软件制造商的软件著作权证书复印件加盖投标人公章）</w:t>
      </w:r>
    </w:p>
    <w:p w14:paraId="081A3A28">
      <w:pPr>
        <w:spacing w:line="360" w:lineRule="auto"/>
        <w:rPr>
          <w:rFonts w:hint="eastAsia" w:ascii="宋体" w:hAnsi="宋体" w:cs="宋体"/>
          <w:b/>
          <w:bCs/>
          <w:szCs w:val="21"/>
        </w:rPr>
      </w:pPr>
      <w:r>
        <w:rPr>
          <w:rFonts w:hint="eastAsia" w:ascii="宋体" w:hAnsi="宋体" w:cs="宋体"/>
          <w:b/>
          <w:bCs/>
          <w:szCs w:val="21"/>
        </w:rPr>
        <w:t>管道、焊接、脱脂、试压通用施工规范</w:t>
      </w:r>
    </w:p>
    <w:p w14:paraId="7135C940">
      <w:pPr>
        <w:spacing w:line="360" w:lineRule="auto"/>
        <w:ind w:firstLine="420" w:firstLineChars="200"/>
        <w:rPr>
          <w:rFonts w:hint="eastAsia" w:ascii="宋体" w:hAnsi="宋体" w:cs="宋体"/>
          <w:szCs w:val="21"/>
        </w:rPr>
      </w:pPr>
      <w:r>
        <w:rPr>
          <w:rFonts w:hint="eastAsia" w:ascii="宋体" w:hAnsi="宋体" w:cs="宋体"/>
          <w:szCs w:val="21"/>
        </w:rPr>
        <w:t>1.所有医用气体管道均为无缝铜管。机房内的医用压缩空气及器械用气管道应沿墙面敷设，不得地面明敷；管道支架固定于墙体，避让通道、设备操作检修空间；</w:t>
      </w:r>
    </w:p>
    <w:p w14:paraId="37768959">
      <w:pPr>
        <w:spacing w:line="360" w:lineRule="auto"/>
        <w:ind w:firstLine="420" w:firstLineChars="200"/>
        <w:rPr>
          <w:rFonts w:hint="eastAsia" w:ascii="宋体" w:hAnsi="宋体" w:cs="宋体"/>
          <w:szCs w:val="21"/>
        </w:rPr>
      </w:pPr>
      <w:r>
        <w:rPr>
          <w:rFonts w:hint="eastAsia" w:ascii="宋体" w:hAnsi="宋体" w:cs="宋体"/>
          <w:szCs w:val="21"/>
        </w:rPr>
        <w:t>2.管道支架应选用国标型钢支架，支架需做防腐处理；医用气体管道与金属支架之间必须加装绝缘垫片，杜绝电化学腐蚀；支架间距严格执行 GB50751 规范要求，管道转弯、分岔、阀门、设备接口处必须增设加固支架；支架不得直接焊接在设备壳体上。</w:t>
      </w:r>
    </w:p>
    <w:p w14:paraId="597FE0CA">
      <w:pPr>
        <w:spacing w:line="360" w:lineRule="auto"/>
        <w:ind w:firstLine="420" w:firstLineChars="200"/>
        <w:rPr>
          <w:rFonts w:hint="eastAsia" w:ascii="宋体" w:hAnsi="宋体" w:cs="宋体"/>
          <w:szCs w:val="21"/>
        </w:rPr>
      </w:pPr>
      <w:r>
        <w:rPr>
          <w:rFonts w:hint="eastAsia" w:ascii="宋体" w:hAnsi="宋体" w:cs="宋体"/>
          <w:szCs w:val="21"/>
        </w:rPr>
        <w:t>3.强度试验采用气压试验（试验压力为设计压力的1.15倍），严密性试验采用泄漏性试验（试验压力为设计压力），试验介质均为洁净干燥氮气，试验标准严格按GB 50751-2012执行；</w:t>
      </w:r>
    </w:p>
    <w:p w14:paraId="19DF8DD6">
      <w:pPr>
        <w:spacing w:line="360" w:lineRule="auto"/>
        <w:ind w:firstLine="420" w:firstLineChars="200"/>
        <w:rPr>
          <w:rFonts w:hint="eastAsia" w:ascii="宋体" w:hAnsi="宋体" w:cs="宋体"/>
          <w:szCs w:val="21"/>
        </w:rPr>
      </w:pPr>
      <w:r>
        <w:rPr>
          <w:rFonts w:hint="eastAsia" w:ascii="宋体" w:hAnsi="宋体" w:cs="宋体"/>
          <w:szCs w:val="21"/>
        </w:rPr>
        <w:t>4.全部管路完工后采用干燥大流量氮气吹扫，吹扫出口无粉尘、金属碎屑为合格。</w:t>
      </w:r>
    </w:p>
    <w:p w14:paraId="30510629">
      <w:pPr>
        <w:spacing w:line="360" w:lineRule="auto"/>
        <w:rPr>
          <w:rFonts w:hint="eastAsia" w:ascii="宋体" w:hAnsi="宋体" w:cs="宋体"/>
          <w:szCs w:val="21"/>
        </w:rPr>
      </w:pPr>
      <w:r>
        <w:rPr>
          <w:rFonts w:hint="eastAsia" w:ascii="宋体" w:hAnsi="宋体" w:cs="宋体"/>
          <w:szCs w:val="21"/>
          <w:lang w:bidi="ar"/>
        </w:rPr>
        <w:t>★</w:t>
      </w:r>
      <w:r>
        <w:rPr>
          <w:rFonts w:hint="eastAsia" w:ascii="宋体" w:hAnsi="宋体" w:cs="宋体"/>
          <w:b/>
          <w:bCs/>
          <w:szCs w:val="21"/>
        </w:rPr>
        <w:t>四、 投标人完整资质、人员、设备证书要求</w:t>
      </w:r>
    </w:p>
    <w:p w14:paraId="2F662E4F">
      <w:pPr>
        <w:spacing w:line="360" w:lineRule="auto"/>
        <w:rPr>
          <w:rFonts w:hint="eastAsia" w:ascii="宋体" w:hAnsi="宋体" w:cs="宋体"/>
          <w:b/>
          <w:bCs/>
          <w:szCs w:val="21"/>
        </w:rPr>
      </w:pPr>
      <w:r>
        <w:rPr>
          <w:rFonts w:hint="eastAsia" w:ascii="宋体" w:hAnsi="宋体" w:cs="宋体"/>
          <w:b/>
          <w:bCs/>
          <w:szCs w:val="21"/>
        </w:rPr>
        <w:t>投标人要求</w:t>
      </w:r>
    </w:p>
    <w:p w14:paraId="7E0B5740">
      <w:pPr>
        <w:spacing w:line="360" w:lineRule="auto"/>
        <w:ind w:firstLine="420" w:firstLineChars="200"/>
        <w:rPr>
          <w:rFonts w:hint="eastAsia" w:ascii="宋体" w:hAnsi="宋体" w:cs="宋体"/>
          <w:szCs w:val="21"/>
        </w:rPr>
      </w:pPr>
      <w:r>
        <w:rPr>
          <w:rFonts w:hint="eastAsia" w:ascii="宋体" w:hAnsi="宋体" w:cs="宋体"/>
          <w:szCs w:val="21"/>
        </w:rPr>
        <w:t>1.投标人须具备有效的《中华人民共和国特种设备生产许可证（工业管道，GC2 级及以上）》，原《中华人民共和国特种设备安装改造维修许可证（压力管道 GC2 级及以上）》在证书有效期内视为等效。</w:t>
      </w:r>
      <w:r>
        <w:rPr>
          <w:rFonts w:hint="eastAsia" w:ascii="宋体" w:hAnsi="宋体" w:cs="宋体"/>
          <w:i/>
          <w:iCs/>
          <w:szCs w:val="21"/>
          <w:u w:val="single"/>
        </w:rPr>
        <w:t>备注：投标时提供证书复印件；中标后进场施工前提供证书原件核验。</w:t>
      </w:r>
      <w:r>
        <w:rPr>
          <w:rFonts w:hint="eastAsia" w:ascii="宋体" w:hAnsi="宋体" w:cs="宋体"/>
          <w:b/>
          <w:bCs/>
          <w:i/>
          <w:iCs/>
          <w:szCs w:val="21"/>
          <w:u w:val="single"/>
        </w:rPr>
        <w:t>(提供承诺书，格式自拟，加盖投标人公章)</w:t>
      </w:r>
    </w:p>
    <w:p w14:paraId="141F2831">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2.医疗器械资质补充：</w:t>
      </w:r>
      <w:r>
        <w:rPr>
          <w:rFonts w:hint="eastAsia" w:ascii="宋体" w:hAnsi="宋体" w:cs="宋体"/>
          <w:i/>
          <w:iCs/>
          <w:color w:val="auto"/>
          <w:szCs w:val="21"/>
          <w:u w:val="single"/>
        </w:rPr>
        <w:t>投标人须具备医疗器械经营许可证（或第二类医疗器械经营备案凭证）；同时须具备医用空气压缩机或医用空气集中供应系统医疗器械注册证、医用中心供氧系统医疗器械注册证、医用中心吸引系统医疗器械注册证、医用气体报警系统医疗器械注册证。</w:t>
      </w:r>
      <w:r>
        <w:rPr>
          <w:rFonts w:hint="eastAsia" w:ascii="宋体" w:hAnsi="宋体" w:cs="宋体"/>
          <w:b/>
          <w:bCs/>
          <w:i/>
          <w:iCs/>
          <w:color w:val="auto"/>
          <w:szCs w:val="21"/>
          <w:u w:val="single"/>
        </w:rPr>
        <w:t>(提供承诺书，格式自拟，加盖投标人公章)</w:t>
      </w:r>
    </w:p>
    <w:p w14:paraId="0A558FAF">
      <w:pPr>
        <w:spacing w:line="360" w:lineRule="auto"/>
        <w:rPr>
          <w:rFonts w:hint="eastAsia" w:ascii="宋体" w:hAnsi="宋体" w:cs="宋体"/>
          <w:i/>
          <w:iCs/>
          <w:szCs w:val="21"/>
          <w:u w:val="single"/>
        </w:rPr>
      </w:pPr>
      <w:r>
        <w:rPr>
          <w:rFonts w:hint="eastAsia" w:ascii="宋体" w:hAnsi="宋体" w:cs="宋体"/>
          <w:b/>
          <w:bCs/>
          <w:i/>
          <w:iCs/>
          <w:szCs w:val="21"/>
          <w:u w:val="single"/>
        </w:rPr>
        <w:t>项目管理、技术、施工人员持证要求(提供证书复印件加盖投标人公章)</w:t>
      </w:r>
    </w:p>
    <w:p w14:paraId="0F75E2AD">
      <w:pPr>
        <w:spacing w:line="360" w:lineRule="auto"/>
        <w:ind w:firstLine="420" w:firstLineChars="200"/>
        <w:rPr>
          <w:rFonts w:hint="eastAsia" w:ascii="宋体" w:hAnsi="宋体" w:cs="宋体"/>
          <w:i/>
          <w:iCs/>
          <w:szCs w:val="21"/>
          <w:u w:val="single"/>
        </w:rPr>
      </w:pPr>
      <w:r>
        <w:rPr>
          <w:rFonts w:hint="eastAsia" w:ascii="宋体" w:hAnsi="宋体" w:cs="宋体"/>
          <w:i/>
          <w:iCs/>
          <w:szCs w:val="21"/>
          <w:u w:val="single"/>
        </w:rPr>
        <w:t>1.技术负责人：具有特种设备安全管理员证（代号 A），履行安全管理员职责；</w:t>
      </w:r>
    </w:p>
    <w:p w14:paraId="3885BFDE">
      <w:pPr>
        <w:spacing w:line="360" w:lineRule="auto"/>
        <w:ind w:firstLine="420" w:firstLineChars="200"/>
        <w:rPr>
          <w:rFonts w:hint="eastAsia" w:ascii="宋体" w:hAnsi="宋体" w:cs="宋体"/>
          <w:i/>
          <w:iCs/>
          <w:szCs w:val="21"/>
          <w:u w:val="single"/>
        </w:rPr>
      </w:pPr>
      <w:r>
        <w:rPr>
          <w:rFonts w:hint="eastAsia" w:ascii="宋体" w:hAnsi="宋体" w:cs="宋体"/>
          <w:i/>
          <w:iCs/>
          <w:szCs w:val="21"/>
          <w:u w:val="single"/>
        </w:rPr>
        <w:t>2.现场焊工：至少 2 名持有特种设备焊接作业证，证书在有效期。</w:t>
      </w:r>
    </w:p>
    <w:p w14:paraId="6EEEE065">
      <w:pPr>
        <w:spacing w:line="360" w:lineRule="auto"/>
        <w:rPr>
          <w:rFonts w:ascii="宋体" w:hAnsi="宋体" w:cs="宋体"/>
          <w:b/>
          <w:bCs/>
          <w:szCs w:val="21"/>
        </w:rPr>
      </w:pPr>
      <w:r>
        <w:rPr>
          <w:rFonts w:hint="eastAsia" w:ascii="宋体" w:hAnsi="宋体" w:cs="宋体"/>
          <w:b/>
          <w:bCs/>
          <w:szCs w:val="21"/>
        </w:rPr>
        <w:t>投标设备配套证明文件（承诺中标后提供以下材料，格式自拟，加盖投标人公章）</w:t>
      </w:r>
    </w:p>
    <w:p w14:paraId="74AABAF3">
      <w:pPr>
        <w:spacing w:line="360" w:lineRule="auto"/>
        <w:ind w:firstLine="420" w:firstLineChars="200"/>
        <w:rPr>
          <w:rFonts w:hint="eastAsia" w:ascii="宋体" w:hAnsi="宋体" w:cs="宋体"/>
          <w:i/>
          <w:iCs/>
          <w:szCs w:val="21"/>
          <w:u w:val="single"/>
        </w:rPr>
      </w:pPr>
      <w:r>
        <w:rPr>
          <w:rFonts w:hint="eastAsia" w:ascii="宋体" w:hAnsi="宋体" w:cs="宋体"/>
          <w:i/>
          <w:iCs/>
          <w:szCs w:val="21"/>
          <w:u w:val="single"/>
        </w:rPr>
        <w:t>1.空压机、干燥机、报警装置出厂检验报告、合格证；</w:t>
      </w:r>
    </w:p>
    <w:p w14:paraId="54D2E64D">
      <w:pPr>
        <w:spacing w:line="360" w:lineRule="auto"/>
        <w:ind w:firstLine="420" w:firstLineChars="200"/>
        <w:rPr>
          <w:rFonts w:hint="eastAsia" w:ascii="宋体" w:hAnsi="宋体" w:cs="宋体"/>
          <w:i/>
          <w:iCs/>
          <w:szCs w:val="21"/>
          <w:u w:val="single"/>
        </w:rPr>
      </w:pPr>
      <w:r>
        <w:rPr>
          <w:rFonts w:hint="eastAsia" w:ascii="宋体" w:hAnsi="宋体" w:cs="宋体"/>
          <w:i/>
          <w:iCs/>
          <w:szCs w:val="21"/>
          <w:u w:val="single"/>
        </w:rPr>
        <w:t>2.压力容器（储气罐、缓冲罐）特种设备制造许可证、出厂监检证书；</w:t>
      </w:r>
    </w:p>
    <w:p w14:paraId="39D9F2B6">
      <w:pPr>
        <w:spacing w:line="360" w:lineRule="auto"/>
        <w:ind w:firstLine="420" w:firstLineChars="200"/>
        <w:rPr>
          <w:rFonts w:hint="eastAsia" w:ascii="宋体" w:hAnsi="宋体" w:cs="宋体"/>
          <w:i/>
          <w:iCs/>
          <w:szCs w:val="21"/>
          <w:u w:val="single"/>
        </w:rPr>
      </w:pPr>
      <w:bookmarkStart w:id="110" w:name="OLE_LINK12"/>
      <w:r>
        <w:rPr>
          <w:rFonts w:hint="eastAsia" w:ascii="宋体" w:hAnsi="宋体" w:cs="宋体"/>
          <w:i/>
          <w:iCs/>
          <w:szCs w:val="21"/>
          <w:u w:val="single"/>
        </w:rPr>
        <w:t>3.氧气设备、管道第三方脱脂检测模板承诺；</w:t>
      </w:r>
    </w:p>
    <w:bookmarkEnd w:id="110"/>
    <w:p w14:paraId="794108AE">
      <w:pPr>
        <w:spacing w:line="360" w:lineRule="auto"/>
        <w:ind w:firstLine="420" w:firstLineChars="200"/>
        <w:rPr>
          <w:rFonts w:hint="eastAsia" w:ascii="宋体" w:hAnsi="宋体" w:cs="宋体"/>
          <w:i/>
          <w:iCs/>
          <w:szCs w:val="21"/>
          <w:u w:val="single"/>
        </w:rPr>
      </w:pPr>
      <w:r>
        <w:rPr>
          <w:rFonts w:hint="eastAsia" w:ascii="宋体" w:hAnsi="宋体" w:cs="宋体"/>
          <w:i/>
          <w:iCs/>
          <w:szCs w:val="21"/>
          <w:u w:val="single"/>
        </w:rPr>
        <w:t>4.特种设备报检、使用登记、首次检验全套办理承诺函，承诺中标后 30日内启动监检及登记流程，竣工前完成全部取证并移交登记证件、首检报告。</w:t>
      </w:r>
    </w:p>
    <w:p w14:paraId="4EF6EFE0">
      <w:pPr>
        <w:numPr>
          <w:ilvl w:val="0"/>
          <w:numId w:val="8"/>
        </w:numPr>
        <w:spacing w:line="360" w:lineRule="auto"/>
        <w:rPr>
          <w:rFonts w:hint="eastAsia" w:ascii="宋体" w:hAnsi="宋体" w:cs="宋体"/>
          <w:b/>
          <w:bCs/>
          <w:szCs w:val="21"/>
        </w:rPr>
      </w:pPr>
      <w:r>
        <w:rPr>
          <w:rFonts w:hint="eastAsia" w:ascii="宋体" w:hAnsi="宋体" w:cs="宋体"/>
          <w:b/>
          <w:bCs/>
          <w:szCs w:val="21"/>
        </w:rPr>
        <w:t>商务要求</w:t>
      </w:r>
    </w:p>
    <w:p w14:paraId="725D372B">
      <w:pPr>
        <w:spacing w:line="360" w:lineRule="auto"/>
        <w:rPr>
          <w:rFonts w:hint="eastAsia" w:ascii="宋体" w:hAnsi="宋体" w:cs="宋体"/>
          <w:szCs w:val="21"/>
        </w:rPr>
      </w:pPr>
      <w:r>
        <w:rPr>
          <w:rFonts w:hint="eastAsia" w:ascii="宋体" w:hAnsi="宋体" w:cs="宋体"/>
          <w:b/>
          <w:bCs/>
          <w:szCs w:val="21"/>
        </w:rPr>
        <w:t>工期约定</w:t>
      </w:r>
    </w:p>
    <w:p w14:paraId="7D1A61CE">
      <w:pPr>
        <w:spacing w:line="360" w:lineRule="auto"/>
        <w:ind w:firstLine="420" w:firstLineChars="200"/>
        <w:rPr>
          <w:rFonts w:hint="eastAsia" w:ascii="宋体" w:hAnsi="宋体" w:cs="宋体"/>
          <w:szCs w:val="21"/>
        </w:rPr>
      </w:pPr>
      <w:r>
        <w:rPr>
          <w:rFonts w:hint="eastAsia" w:ascii="宋体" w:hAnsi="宋体" w:cs="宋体"/>
          <w:szCs w:val="21"/>
        </w:rPr>
        <w:t>1.总工期：合同签订、医院进场许可下发之日起75个日历天内完成全部供货、安装、调试、第三方检测、整改、竣工验收、资料移交等工作。</w:t>
      </w:r>
    </w:p>
    <w:p w14:paraId="78271F55">
      <w:pPr>
        <w:spacing w:line="360" w:lineRule="auto"/>
        <w:ind w:firstLine="420" w:firstLineChars="200"/>
        <w:rPr>
          <w:rFonts w:hint="eastAsia" w:ascii="宋体" w:hAnsi="宋体" w:cs="宋体"/>
          <w:szCs w:val="21"/>
        </w:rPr>
      </w:pPr>
      <w:r>
        <w:rPr>
          <w:rFonts w:hint="eastAsia" w:ascii="宋体" w:hAnsi="宋体" w:cs="宋体"/>
          <w:szCs w:val="21"/>
        </w:rPr>
        <w:t>2.7 天宽限期：前 7 天逾期不计违约金；</w:t>
      </w:r>
    </w:p>
    <w:p w14:paraId="0FE9F7B1">
      <w:pPr>
        <w:spacing w:line="360" w:lineRule="auto"/>
        <w:ind w:firstLine="420" w:firstLineChars="200"/>
        <w:rPr>
          <w:rFonts w:hint="eastAsia" w:ascii="宋体" w:hAnsi="宋体" w:cs="宋体"/>
          <w:szCs w:val="21"/>
        </w:rPr>
      </w:pPr>
      <w:r>
        <w:rPr>
          <w:rFonts w:hint="eastAsia" w:ascii="宋体" w:hAnsi="宋体" w:cs="宋体"/>
          <w:szCs w:val="21"/>
        </w:rPr>
        <w:t>3.逾期 8~15 日历天：1000 元 / 天累计罚款；</w:t>
      </w:r>
    </w:p>
    <w:p w14:paraId="1DD005DD">
      <w:pPr>
        <w:spacing w:line="360" w:lineRule="auto"/>
        <w:ind w:firstLine="420" w:firstLineChars="200"/>
        <w:rPr>
          <w:rFonts w:hint="eastAsia" w:ascii="宋体" w:hAnsi="宋体" w:cs="宋体"/>
          <w:szCs w:val="21"/>
        </w:rPr>
      </w:pPr>
      <w:r>
        <w:rPr>
          <w:rFonts w:hint="eastAsia" w:ascii="宋体" w:hAnsi="宋体" w:cs="宋体"/>
          <w:szCs w:val="21"/>
        </w:rPr>
        <w:t>4.逾期 16~30 日历天：1500 元 / 天累计罚款；</w:t>
      </w:r>
    </w:p>
    <w:p w14:paraId="507DAA7A">
      <w:pPr>
        <w:spacing w:line="360" w:lineRule="auto"/>
        <w:ind w:firstLine="420" w:firstLineChars="200"/>
        <w:rPr>
          <w:rFonts w:hint="eastAsia" w:ascii="宋体" w:hAnsi="宋体" w:cs="宋体"/>
          <w:szCs w:val="21"/>
        </w:rPr>
      </w:pPr>
      <w:r>
        <w:rPr>
          <w:rFonts w:hint="eastAsia" w:ascii="宋体" w:hAnsi="宋体" w:cs="宋体"/>
          <w:szCs w:val="21"/>
        </w:rPr>
        <w:t>5.逾期超过 30 日历天：2000 元 / 天累计罚款；</w:t>
      </w:r>
    </w:p>
    <w:p w14:paraId="0001F732">
      <w:pPr>
        <w:spacing w:line="360" w:lineRule="auto"/>
        <w:ind w:firstLine="420" w:firstLineChars="200"/>
        <w:rPr>
          <w:rFonts w:hint="eastAsia" w:ascii="宋体" w:hAnsi="宋体" w:cs="宋体"/>
          <w:szCs w:val="21"/>
        </w:rPr>
      </w:pPr>
      <w:r>
        <w:rPr>
          <w:rFonts w:hint="eastAsia" w:ascii="宋体" w:hAnsi="宋体" w:cs="宋体"/>
          <w:szCs w:val="21"/>
        </w:rPr>
        <w:t>6.工期罚款累计总额上限为合同总价款 10%；</w:t>
      </w:r>
    </w:p>
    <w:p w14:paraId="6674E9B7">
      <w:pPr>
        <w:spacing w:line="360" w:lineRule="auto"/>
        <w:ind w:firstLine="420" w:firstLineChars="200"/>
        <w:rPr>
          <w:rFonts w:hint="eastAsia" w:ascii="宋体" w:hAnsi="宋体" w:cs="宋体"/>
          <w:szCs w:val="21"/>
        </w:rPr>
      </w:pPr>
      <w:r>
        <w:rPr>
          <w:rFonts w:hint="eastAsia" w:ascii="宋体" w:hAnsi="宋体" w:cs="宋体"/>
          <w:szCs w:val="21"/>
        </w:rPr>
        <w:t>7.工期顺延有效情形（需双方书面签证）：（1）不可抗力自然灾害、政府管控停工；（2）医院书面通知停工、调整施工窗口、场地移交滞后；（3）临床突发急救、手术室全天占用无法接驳改造；（4）因中标人资料提交滞后、报检不及时造成检测延误的，工期不予顺延；仅第三方机构客观排期、法定节假日停检，凭第三方书面证明签证后方可顺延。</w:t>
      </w:r>
    </w:p>
    <w:p w14:paraId="2E37064C">
      <w:pPr>
        <w:spacing w:line="360" w:lineRule="auto"/>
        <w:ind w:firstLine="420" w:firstLineChars="200"/>
        <w:rPr>
          <w:rFonts w:hint="eastAsia" w:ascii="宋体" w:hAnsi="宋体" w:cs="宋体"/>
          <w:szCs w:val="21"/>
        </w:rPr>
      </w:pPr>
      <w:r>
        <w:rPr>
          <w:rFonts w:hint="eastAsia" w:ascii="宋体" w:hAnsi="宋体" w:cs="宋体"/>
          <w:szCs w:val="21"/>
        </w:rPr>
        <w:t>8.扣款方式：全部违约金、整改罚款直接从当期进度款、竣工结算款、质保金中全额抵扣，无需中标人另行支付。</w:t>
      </w:r>
    </w:p>
    <w:p w14:paraId="0FF959C5">
      <w:pPr>
        <w:spacing w:line="360" w:lineRule="auto"/>
        <w:rPr>
          <w:rFonts w:hint="eastAsia" w:ascii="宋体" w:hAnsi="宋体" w:cs="宋体"/>
          <w:b/>
          <w:bCs/>
          <w:szCs w:val="21"/>
        </w:rPr>
      </w:pPr>
      <w:r>
        <w:rPr>
          <w:rFonts w:hint="eastAsia" w:ascii="宋体" w:hAnsi="宋体" w:cs="宋体"/>
          <w:b/>
          <w:bCs/>
          <w:szCs w:val="21"/>
        </w:rPr>
        <w:t>现场踏勘对接</w:t>
      </w:r>
    </w:p>
    <w:p w14:paraId="6BF58AF8">
      <w:pPr>
        <w:spacing w:line="360" w:lineRule="auto"/>
        <w:ind w:firstLine="420" w:firstLineChars="200"/>
        <w:rPr>
          <w:rFonts w:hint="eastAsia" w:ascii="宋体" w:hAnsi="宋体" w:cs="宋体"/>
          <w:szCs w:val="21"/>
        </w:rPr>
      </w:pPr>
      <w:r>
        <w:rPr>
          <w:rFonts w:hint="eastAsia" w:ascii="宋体" w:hAnsi="宋体" w:cs="宋体"/>
          <w:szCs w:val="21"/>
        </w:rPr>
        <w:t>1.西区对接人：李传杰 13773500672</w:t>
      </w:r>
    </w:p>
    <w:p w14:paraId="45E132F8">
      <w:pPr>
        <w:spacing w:line="360" w:lineRule="auto"/>
        <w:ind w:firstLine="420" w:firstLineChars="200"/>
        <w:rPr>
          <w:rFonts w:hint="eastAsia" w:ascii="宋体" w:hAnsi="宋体" w:cs="宋体"/>
          <w:szCs w:val="21"/>
        </w:rPr>
      </w:pPr>
      <w:r>
        <w:rPr>
          <w:rFonts w:hint="eastAsia" w:ascii="宋体" w:hAnsi="宋体" w:cs="宋体"/>
          <w:szCs w:val="21"/>
        </w:rPr>
        <w:t>2.投标人必须自行实地踏勘站房空间、原有管路、供电容量、消防、运输通道、夜间施工条件；踏勘产生人工、交通费用由投标人自行承担；</w:t>
      </w:r>
    </w:p>
    <w:p w14:paraId="6B6D3D11">
      <w:pPr>
        <w:spacing w:line="360" w:lineRule="auto"/>
        <w:ind w:firstLine="420" w:firstLineChars="200"/>
        <w:rPr>
          <w:rFonts w:hint="eastAsia" w:ascii="宋体" w:hAnsi="宋体" w:cs="宋体"/>
          <w:szCs w:val="21"/>
        </w:rPr>
      </w:pPr>
      <w:r>
        <w:rPr>
          <w:rFonts w:hint="eastAsia" w:ascii="宋体" w:hAnsi="宋体" w:cs="宋体"/>
          <w:szCs w:val="21"/>
        </w:rPr>
        <w:t>3.踏勘后所有工程量、施工难度、辅材增补、夜间人工降效全部包含在总价，中标后不得以踏勘不全、现场条件复杂申请加价或延长工期。</w:t>
      </w:r>
    </w:p>
    <w:p w14:paraId="58CCA15F">
      <w:pPr>
        <w:spacing w:line="360" w:lineRule="auto"/>
        <w:rPr>
          <w:rFonts w:hint="eastAsia" w:ascii="宋体" w:hAnsi="宋体" w:cs="宋体"/>
          <w:szCs w:val="21"/>
        </w:rPr>
      </w:pPr>
      <w:r>
        <w:rPr>
          <w:rFonts w:hint="eastAsia" w:ascii="宋体" w:hAnsi="宋体" w:cs="宋体"/>
          <w:b/>
          <w:bCs/>
          <w:szCs w:val="21"/>
        </w:rPr>
        <w:t>安全施工、临床供气保障硬性条款</w:t>
      </w:r>
    </w:p>
    <w:p w14:paraId="3D579E71">
      <w:pPr>
        <w:spacing w:line="360" w:lineRule="auto"/>
        <w:ind w:firstLine="420" w:firstLineChars="200"/>
        <w:rPr>
          <w:rFonts w:hint="eastAsia" w:ascii="宋体" w:hAnsi="宋体" w:cs="宋体"/>
          <w:szCs w:val="21"/>
        </w:rPr>
      </w:pPr>
      <w:r>
        <w:rPr>
          <w:rFonts w:hint="eastAsia" w:ascii="宋体" w:hAnsi="宋体" w:cs="宋体"/>
          <w:i/>
          <w:iCs/>
          <w:szCs w:val="21"/>
          <w:u w:val="single"/>
          <w:lang w:bidi="ar"/>
        </w:rPr>
        <w:t>★</w:t>
      </w:r>
      <w:r>
        <w:rPr>
          <w:rFonts w:hint="eastAsia" w:ascii="宋体" w:hAnsi="宋体" w:cs="宋体"/>
          <w:i/>
          <w:iCs/>
          <w:szCs w:val="21"/>
          <w:u w:val="single"/>
        </w:rPr>
        <w:t>1.施工前必须向医院提交《不停气改造专项施工方案》、动火作业专项方案、夜间施工方案，经采购方书面审批后方可进场；如因中标方施工组织不当造成临床供气中断，除工期罚款处，采购人有权追索由此造成的全部临床损失；</w:t>
      </w:r>
      <w:r>
        <w:rPr>
          <w:rFonts w:hint="eastAsia" w:ascii="宋体" w:hAnsi="宋体" w:cs="宋体"/>
          <w:b/>
          <w:bCs/>
          <w:i/>
          <w:iCs/>
          <w:szCs w:val="21"/>
          <w:u w:val="single"/>
        </w:rPr>
        <w:t>(提供承诺书，格式自拟，加盖投标人公章)</w:t>
      </w:r>
      <w:r>
        <w:rPr>
          <w:rFonts w:hint="eastAsia" w:ascii="宋体" w:hAnsi="宋体" w:cs="宋体"/>
          <w:i/>
          <w:iCs/>
          <w:szCs w:val="21"/>
          <w:u w:val="single"/>
        </w:rPr>
        <w:t>；</w:t>
      </w:r>
    </w:p>
    <w:p w14:paraId="6566223A">
      <w:pPr>
        <w:spacing w:line="360" w:lineRule="auto"/>
        <w:ind w:firstLine="420" w:firstLineChars="200"/>
        <w:rPr>
          <w:rFonts w:hint="eastAsia" w:ascii="宋体" w:hAnsi="宋体" w:cs="宋体"/>
          <w:szCs w:val="21"/>
        </w:rPr>
      </w:pPr>
      <w:r>
        <w:rPr>
          <w:rFonts w:hint="eastAsia" w:ascii="宋体" w:hAnsi="宋体" w:cs="宋体"/>
          <w:szCs w:val="21"/>
        </w:rPr>
        <w:t>2.液氧区域动火作业执行三级动火审批，作业前氮气置换、氧含量检测，现场监护人员 + 消防器材双配置，无手续严禁动火；</w:t>
      </w:r>
    </w:p>
    <w:p w14:paraId="1A3BE85C">
      <w:pPr>
        <w:spacing w:line="360" w:lineRule="auto"/>
        <w:ind w:firstLine="420" w:firstLineChars="200"/>
        <w:rPr>
          <w:rFonts w:hint="eastAsia" w:ascii="宋体" w:hAnsi="宋体" w:cs="宋体"/>
          <w:szCs w:val="21"/>
        </w:rPr>
      </w:pPr>
      <w:r>
        <w:rPr>
          <w:rFonts w:hint="eastAsia" w:ascii="宋体" w:hAnsi="宋体" w:cs="宋体"/>
          <w:szCs w:val="21"/>
        </w:rPr>
        <w:t>3.改造接驳仅允许每日24:00至次日5:00低负荷时段施工，白天ICU、手术室、产房供气100%不间断；如需短时切换必须提前24小时书面报备，配备临时备用供气措施；</w:t>
      </w:r>
    </w:p>
    <w:p w14:paraId="074DCA5F">
      <w:pPr>
        <w:spacing w:line="360" w:lineRule="auto"/>
        <w:ind w:firstLine="420" w:firstLineChars="200"/>
        <w:rPr>
          <w:rFonts w:hint="eastAsia" w:ascii="宋体" w:hAnsi="宋体" w:cs="宋体"/>
          <w:szCs w:val="21"/>
        </w:rPr>
      </w:pPr>
      <w:r>
        <w:rPr>
          <w:rFonts w:hint="eastAsia" w:ascii="宋体" w:hAnsi="宋体" w:cs="宋体"/>
          <w:szCs w:val="21"/>
        </w:rPr>
        <w:t>4.施工全过程保护院内原有设备及系统、墙面、地面、门窗、原有完好管线、医疗设备，造成划痕、破损、渗漏由中标人全额修复赔偿；</w:t>
      </w:r>
    </w:p>
    <w:p w14:paraId="4E5953C9">
      <w:pPr>
        <w:spacing w:line="360" w:lineRule="auto"/>
        <w:ind w:firstLine="420" w:firstLineChars="200"/>
        <w:rPr>
          <w:rFonts w:hint="eastAsia" w:ascii="宋体" w:hAnsi="宋体" w:cs="宋体"/>
          <w:szCs w:val="21"/>
        </w:rPr>
      </w:pPr>
      <w:r>
        <w:rPr>
          <w:rFonts w:hint="eastAsia" w:ascii="宋体" w:hAnsi="宋体" w:cs="宋体"/>
          <w:szCs w:val="21"/>
        </w:rPr>
        <w:t>5.每日施工结束清理现场废料、油污、金属碎屑，保持站房整洁，医院有权对脏乱现场停工整改；</w:t>
      </w:r>
    </w:p>
    <w:p w14:paraId="53F0257A">
      <w:pPr>
        <w:spacing w:line="360" w:lineRule="auto"/>
        <w:ind w:firstLine="420" w:firstLineChars="200"/>
        <w:rPr>
          <w:rFonts w:hint="eastAsia" w:ascii="宋体" w:hAnsi="宋体" w:cs="宋体"/>
          <w:szCs w:val="21"/>
        </w:rPr>
      </w:pPr>
      <w:r>
        <w:rPr>
          <w:rFonts w:hint="eastAsia" w:ascii="宋体" w:hAnsi="宋体" w:cs="宋体"/>
          <w:szCs w:val="21"/>
        </w:rPr>
        <w:t>6.施工人员统一工服、持证上岗，遵守医院门禁、感染控制、消防安全管理规定，违规人员医院有权清退出场；</w:t>
      </w:r>
    </w:p>
    <w:p w14:paraId="3EDAA2E5">
      <w:pPr>
        <w:spacing w:line="360" w:lineRule="auto"/>
        <w:ind w:firstLine="420" w:firstLineChars="200"/>
        <w:rPr>
          <w:rFonts w:hint="eastAsia" w:ascii="宋体" w:hAnsi="宋体" w:cs="宋体"/>
          <w:szCs w:val="21"/>
        </w:rPr>
      </w:pPr>
      <w:r>
        <w:rPr>
          <w:rFonts w:hint="eastAsia" w:ascii="宋体" w:hAnsi="宋体" w:cs="宋体"/>
          <w:szCs w:val="21"/>
        </w:rPr>
        <w:t>7.施工期间发生安全事故、人身伤害、火灾、气体泄漏爆炸，全部责任、经济损失、行政处罚由中标人独立承担，与采购人无关。</w:t>
      </w:r>
    </w:p>
    <w:p w14:paraId="64A80268">
      <w:pPr>
        <w:spacing w:line="360" w:lineRule="auto"/>
        <w:rPr>
          <w:rFonts w:hint="eastAsia" w:ascii="宋体" w:hAnsi="宋体" w:cs="宋体"/>
          <w:b/>
          <w:bCs/>
          <w:szCs w:val="21"/>
        </w:rPr>
      </w:pPr>
      <w:r>
        <w:rPr>
          <w:rFonts w:hint="eastAsia" w:ascii="宋体" w:hAnsi="宋体" w:cs="宋体"/>
          <w:b/>
          <w:bCs/>
          <w:szCs w:val="21"/>
        </w:rPr>
        <w:t>六、 二年全包质保、维保、故障响应、耗材免费完整细则</w:t>
      </w:r>
    </w:p>
    <w:p w14:paraId="1C713A1B">
      <w:pPr>
        <w:spacing w:line="360" w:lineRule="auto"/>
        <w:rPr>
          <w:rFonts w:hint="eastAsia" w:ascii="宋体" w:hAnsi="宋体" w:cs="宋体"/>
          <w:b/>
          <w:bCs/>
          <w:szCs w:val="21"/>
        </w:rPr>
      </w:pPr>
      <w:r>
        <w:rPr>
          <w:rFonts w:hint="eastAsia" w:ascii="宋体" w:hAnsi="宋体" w:cs="宋体"/>
          <w:b/>
          <w:bCs/>
          <w:szCs w:val="21"/>
        </w:rPr>
        <w:t>质保起算与覆盖范围</w:t>
      </w:r>
    </w:p>
    <w:p w14:paraId="3ECEEDFB">
      <w:pPr>
        <w:spacing w:line="360" w:lineRule="auto"/>
        <w:ind w:firstLine="420" w:firstLineChars="200"/>
        <w:rPr>
          <w:rFonts w:hint="eastAsia" w:ascii="宋体" w:hAnsi="宋体" w:cs="宋体"/>
          <w:szCs w:val="21"/>
        </w:rPr>
      </w:pPr>
      <w:r>
        <w:rPr>
          <w:rFonts w:hint="eastAsia" w:ascii="宋体" w:hAnsi="宋体" w:cs="宋体"/>
          <w:szCs w:val="21"/>
        </w:rPr>
        <w:t>1.质保期限：整体竣工验收合格、双方签署竣工移交单次日起 24 个月（二年全包质保）；</w:t>
      </w:r>
    </w:p>
    <w:p w14:paraId="238C9DA9">
      <w:pPr>
        <w:spacing w:line="360" w:lineRule="auto"/>
        <w:ind w:firstLine="420" w:firstLineChars="200"/>
        <w:rPr>
          <w:rFonts w:hint="eastAsia" w:ascii="宋体" w:hAnsi="宋体" w:cs="宋体"/>
          <w:szCs w:val="21"/>
        </w:rPr>
      </w:pPr>
      <w:r>
        <w:rPr>
          <w:rFonts w:hint="eastAsia" w:ascii="宋体" w:hAnsi="宋体" w:cs="宋体"/>
          <w:szCs w:val="21"/>
        </w:rPr>
        <w:t>2.质保覆盖全部内容：本项目所有设备、压力容器、管道、阀门、电控柜、报警传感器、保温、接地系统等；</w:t>
      </w:r>
    </w:p>
    <w:p w14:paraId="64893050">
      <w:pPr>
        <w:spacing w:line="360" w:lineRule="auto"/>
        <w:ind w:firstLine="420" w:firstLineChars="200"/>
        <w:rPr>
          <w:rFonts w:hint="eastAsia" w:ascii="宋体" w:hAnsi="宋体" w:cs="宋体"/>
          <w:szCs w:val="21"/>
        </w:rPr>
      </w:pPr>
      <w:r>
        <w:rPr>
          <w:rFonts w:hint="eastAsia" w:ascii="宋体" w:hAnsi="宋体" w:cs="宋体"/>
          <w:szCs w:val="21"/>
        </w:rPr>
        <w:t>3.质保界定：因设备原厂质量缺陷、安装焊接工艺、脱脂不到、管路泄漏、电控故障、传感器漂移等所有中标人责任问题，全部免费维修、免费更换原厂全新配件、免费上门人工，无任何上门费、维修费、配件费。</w:t>
      </w:r>
    </w:p>
    <w:p w14:paraId="7E0F57AF">
      <w:pPr>
        <w:spacing w:line="360" w:lineRule="auto"/>
        <w:ind w:firstLine="420" w:firstLineChars="200"/>
        <w:rPr>
          <w:rFonts w:hint="eastAsia" w:ascii="宋体" w:hAnsi="宋体" w:cs="宋体"/>
          <w:i/>
          <w:iCs/>
          <w:szCs w:val="21"/>
          <w:u w:val="single"/>
        </w:rPr>
      </w:pPr>
      <w:r>
        <w:rPr>
          <w:rFonts w:hint="eastAsia" w:ascii="宋体" w:hAnsi="宋体" w:cs="宋体"/>
          <w:i/>
          <w:iCs/>
          <w:szCs w:val="21"/>
          <w:u w:val="single"/>
          <w:lang w:bidi="ar"/>
        </w:rPr>
        <w:t>★</w:t>
      </w:r>
      <w:r>
        <w:rPr>
          <w:rFonts w:hint="eastAsia" w:ascii="宋体" w:hAnsi="宋体" w:cs="宋体"/>
          <w:b/>
          <w:bCs/>
          <w:i/>
          <w:iCs/>
          <w:szCs w:val="21"/>
          <w:u w:val="single"/>
        </w:rPr>
        <w:t>质保期内所有耗材免费更换：下表为主要免费耗材示例清单（包含但不限于下述清单），凡属于本项目系统设备正常保养、故障损坏产生的原厂配件、滤芯、密封件、传感器，无论是否列入下表，质保期内配套全部人工、拆装、调试等相关费用均由供方承担，实行耗材 + 人工全包，采购方无需承担任何费用。(提供承诺书，格式自拟，加盖投标人公章)</w:t>
      </w: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4"/>
        <w:gridCol w:w="2815"/>
        <w:gridCol w:w="4071"/>
      </w:tblGrid>
      <w:tr w14:paraId="51FD6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7" w:type="pct"/>
          </w:tcPr>
          <w:p w14:paraId="2DA3C09F">
            <w:pPr>
              <w:spacing w:line="360" w:lineRule="auto"/>
              <w:jc w:val="center"/>
              <w:rPr>
                <w:rFonts w:hint="eastAsia" w:ascii="宋体" w:hAnsi="宋体" w:cs="宋体"/>
                <w:b/>
                <w:bCs/>
                <w:szCs w:val="21"/>
              </w:rPr>
            </w:pPr>
            <w:r>
              <w:rPr>
                <w:rFonts w:hint="eastAsia" w:ascii="宋体" w:hAnsi="宋体" w:cs="宋体"/>
                <w:b/>
                <w:bCs/>
                <w:szCs w:val="21"/>
              </w:rPr>
              <w:t>系统分类</w:t>
            </w:r>
          </w:p>
        </w:tc>
        <w:tc>
          <w:tcPr>
            <w:tcW w:w="1698" w:type="pct"/>
          </w:tcPr>
          <w:p w14:paraId="7E216AE6">
            <w:pPr>
              <w:spacing w:line="360" w:lineRule="auto"/>
              <w:jc w:val="center"/>
              <w:rPr>
                <w:rFonts w:hint="eastAsia" w:ascii="宋体" w:hAnsi="宋体" w:cs="宋体"/>
                <w:b/>
                <w:bCs/>
                <w:szCs w:val="21"/>
              </w:rPr>
            </w:pPr>
            <w:r>
              <w:rPr>
                <w:rFonts w:hint="eastAsia" w:ascii="宋体" w:hAnsi="宋体" w:cs="宋体"/>
                <w:b/>
                <w:bCs/>
                <w:szCs w:val="21"/>
              </w:rPr>
              <w:t>免费耗材/服务项目</w:t>
            </w:r>
          </w:p>
        </w:tc>
        <w:tc>
          <w:tcPr>
            <w:tcW w:w="2455" w:type="pct"/>
          </w:tcPr>
          <w:p w14:paraId="630F0345">
            <w:pPr>
              <w:spacing w:line="360" w:lineRule="auto"/>
              <w:jc w:val="center"/>
              <w:rPr>
                <w:rFonts w:hint="eastAsia" w:ascii="宋体" w:hAnsi="宋体" w:cs="宋体"/>
                <w:b/>
                <w:bCs/>
                <w:szCs w:val="21"/>
              </w:rPr>
            </w:pPr>
            <w:r>
              <w:rPr>
                <w:rFonts w:hint="eastAsia" w:ascii="宋体" w:hAnsi="宋体" w:cs="宋体"/>
                <w:b/>
                <w:bCs/>
                <w:szCs w:val="21"/>
              </w:rPr>
              <w:t>质保免费更换/保养规则</w:t>
            </w:r>
          </w:p>
        </w:tc>
      </w:tr>
      <w:tr w14:paraId="0D7C9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restart"/>
            <w:vAlign w:val="center"/>
          </w:tcPr>
          <w:p w14:paraId="01AD280E">
            <w:pPr>
              <w:spacing w:line="360" w:lineRule="auto"/>
              <w:rPr>
                <w:rFonts w:hint="eastAsia" w:ascii="宋体" w:hAnsi="宋体" w:cs="宋体"/>
                <w:szCs w:val="21"/>
              </w:rPr>
            </w:pPr>
            <w:r>
              <w:rPr>
                <w:rFonts w:hint="eastAsia" w:ascii="宋体" w:hAnsi="宋体" w:cs="宋体"/>
                <w:b/>
                <w:szCs w:val="21"/>
              </w:rPr>
              <w:t>空压机系统</w:t>
            </w:r>
          </w:p>
        </w:tc>
        <w:tc>
          <w:tcPr>
            <w:tcW w:w="1698" w:type="pct"/>
            <w:vAlign w:val="center"/>
          </w:tcPr>
          <w:p w14:paraId="6AE649EB">
            <w:pPr>
              <w:spacing w:line="360" w:lineRule="auto"/>
              <w:rPr>
                <w:rFonts w:hint="eastAsia" w:ascii="宋体" w:hAnsi="宋体" w:cs="宋体"/>
                <w:szCs w:val="21"/>
              </w:rPr>
            </w:pPr>
            <w:r>
              <w:rPr>
                <w:rFonts w:hint="eastAsia" w:ascii="宋体" w:hAnsi="宋体" w:cs="宋体"/>
                <w:szCs w:val="21"/>
              </w:rPr>
              <w:t>机组进气滤芯</w:t>
            </w:r>
          </w:p>
        </w:tc>
        <w:tc>
          <w:tcPr>
            <w:tcW w:w="2455" w:type="pct"/>
            <w:vAlign w:val="center"/>
          </w:tcPr>
          <w:p w14:paraId="1FAEBC5A">
            <w:pPr>
              <w:spacing w:line="360" w:lineRule="auto"/>
              <w:rPr>
                <w:rFonts w:hint="eastAsia" w:ascii="宋体" w:hAnsi="宋体" w:cs="宋体"/>
                <w:szCs w:val="21"/>
              </w:rPr>
            </w:pPr>
            <w:r>
              <w:rPr>
                <w:rFonts w:hint="eastAsia" w:ascii="宋体" w:hAnsi="宋体" w:cs="宋体"/>
                <w:szCs w:val="21"/>
              </w:rPr>
              <w:t>设备每运行2000小时，免费更换</w:t>
            </w:r>
          </w:p>
        </w:tc>
      </w:tr>
      <w:tr w14:paraId="23D6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continue"/>
            <w:vAlign w:val="center"/>
          </w:tcPr>
          <w:p w14:paraId="008E3DCB">
            <w:pPr>
              <w:spacing w:line="360" w:lineRule="auto"/>
              <w:rPr>
                <w:rFonts w:hint="eastAsia" w:ascii="宋体" w:hAnsi="宋体" w:cs="宋体"/>
                <w:szCs w:val="21"/>
              </w:rPr>
            </w:pPr>
          </w:p>
        </w:tc>
        <w:tc>
          <w:tcPr>
            <w:tcW w:w="1698" w:type="pct"/>
            <w:vAlign w:val="center"/>
          </w:tcPr>
          <w:p w14:paraId="6BE5382F">
            <w:pPr>
              <w:spacing w:line="360" w:lineRule="auto"/>
              <w:rPr>
                <w:rFonts w:hint="eastAsia" w:ascii="宋体" w:hAnsi="宋体" w:cs="宋体"/>
                <w:szCs w:val="21"/>
              </w:rPr>
            </w:pPr>
            <w:r>
              <w:rPr>
                <w:rFonts w:hint="eastAsia" w:ascii="宋体" w:hAnsi="宋体" w:cs="宋体"/>
                <w:szCs w:val="21"/>
              </w:rPr>
              <w:t>机组皮带、电机润滑脂等易损保养件</w:t>
            </w:r>
          </w:p>
        </w:tc>
        <w:tc>
          <w:tcPr>
            <w:tcW w:w="2455" w:type="pct"/>
            <w:vAlign w:val="center"/>
          </w:tcPr>
          <w:p w14:paraId="53A9600E">
            <w:pPr>
              <w:spacing w:line="360" w:lineRule="auto"/>
              <w:rPr>
                <w:rFonts w:hint="eastAsia" w:ascii="宋体" w:hAnsi="宋体" w:cs="宋体"/>
                <w:szCs w:val="21"/>
              </w:rPr>
            </w:pPr>
            <w:r>
              <w:rPr>
                <w:rFonts w:hint="eastAsia" w:ascii="宋体" w:hAnsi="宋体" w:cs="宋体"/>
                <w:szCs w:val="21"/>
              </w:rPr>
              <w:t>每年开展预防性免费保养，质保期内至少免费更换2次</w:t>
            </w:r>
          </w:p>
        </w:tc>
      </w:tr>
      <w:tr w14:paraId="0AEB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continue"/>
            <w:vAlign w:val="center"/>
          </w:tcPr>
          <w:p w14:paraId="04FECD69">
            <w:pPr>
              <w:spacing w:line="360" w:lineRule="auto"/>
              <w:rPr>
                <w:rFonts w:hint="eastAsia" w:ascii="宋体" w:hAnsi="宋体" w:cs="宋体"/>
                <w:szCs w:val="21"/>
              </w:rPr>
            </w:pPr>
          </w:p>
        </w:tc>
        <w:tc>
          <w:tcPr>
            <w:tcW w:w="1698" w:type="pct"/>
            <w:vAlign w:val="center"/>
          </w:tcPr>
          <w:p w14:paraId="3E1ADE6E">
            <w:pPr>
              <w:spacing w:line="360" w:lineRule="auto"/>
              <w:rPr>
                <w:rFonts w:hint="eastAsia" w:ascii="宋体" w:hAnsi="宋体" w:cs="宋体"/>
                <w:szCs w:val="21"/>
              </w:rPr>
            </w:pPr>
            <w:r>
              <w:rPr>
                <w:rFonts w:hint="eastAsia" w:ascii="宋体" w:hAnsi="宋体" w:cs="宋体"/>
                <w:szCs w:val="21"/>
              </w:rPr>
              <w:t>电磁阀、压力开关、密封阀组、轴承密封件等配件</w:t>
            </w:r>
          </w:p>
        </w:tc>
        <w:tc>
          <w:tcPr>
            <w:tcW w:w="2455" w:type="pct"/>
            <w:vAlign w:val="center"/>
          </w:tcPr>
          <w:p w14:paraId="27D3FF06">
            <w:pPr>
              <w:spacing w:line="360" w:lineRule="auto"/>
              <w:rPr>
                <w:rFonts w:hint="eastAsia" w:ascii="宋体" w:hAnsi="宋体" w:cs="宋体"/>
                <w:szCs w:val="21"/>
              </w:rPr>
            </w:pPr>
            <w:r>
              <w:rPr>
                <w:rFonts w:hint="eastAsia" w:ascii="宋体" w:hAnsi="宋体" w:cs="宋体"/>
                <w:szCs w:val="21"/>
              </w:rPr>
              <w:t>设备出现泄漏故障时，即时免费更换</w:t>
            </w:r>
          </w:p>
        </w:tc>
      </w:tr>
      <w:tr w14:paraId="4509E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restart"/>
            <w:vAlign w:val="center"/>
          </w:tcPr>
          <w:p w14:paraId="00F26322">
            <w:pPr>
              <w:spacing w:line="360" w:lineRule="auto"/>
              <w:rPr>
                <w:rFonts w:hint="eastAsia" w:ascii="宋体" w:hAnsi="宋体" w:cs="宋体"/>
                <w:szCs w:val="21"/>
              </w:rPr>
            </w:pPr>
            <w:r>
              <w:rPr>
                <w:rFonts w:hint="eastAsia" w:ascii="宋体" w:hAnsi="宋体" w:cs="宋体"/>
                <w:b/>
                <w:szCs w:val="21"/>
              </w:rPr>
              <w:t>干燥、过滤系统</w:t>
            </w:r>
          </w:p>
        </w:tc>
        <w:tc>
          <w:tcPr>
            <w:tcW w:w="1698" w:type="pct"/>
            <w:vAlign w:val="center"/>
          </w:tcPr>
          <w:p w14:paraId="6DD1C752">
            <w:pPr>
              <w:spacing w:line="360" w:lineRule="auto"/>
              <w:rPr>
                <w:rFonts w:hint="eastAsia" w:ascii="宋体" w:hAnsi="宋体" w:cs="宋体"/>
                <w:szCs w:val="21"/>
              </w:rPr>
            </w:pPr>
            <w:r>
              <w:rPr>
                <w:rFonts w:hint="eastAsia" w:ascii="宋体" w:hAnsi="宋体" w:cs="宋体"/>
                <w:szCs w:val="21"/>
              </w:rPr>
              <w:t>除尘、主路、高效、除菌全套滤芯</w:t>
            </w:r>
          </w:p>
        </w:tc>
        <w:tc>
          <w:tcPr>
            <w:tcW w:w="2455" w:type="pct"/>
            <w:vAlign w:val="center"/>
          </w:tcPr>
          <w:p w14:paraId="23D888EE">
            <w:pPr>
              <w:spacing w:line="360" w:lineRule="auto"/>
              <w:rPr>
                <w:rFonts w:hint="eastAsia" w:ascii="宋体" w:hAnsi="宋体" w:cs="宋体"/>
                <w:szCs w:val="21"/>
              </w:rPr>
            </w:pPr>
            <w:r>
              <w:rPr>
                <w:rFonts w:hint="eastAsia" w:ascii="宋体" w:hAnsi="宋体" w:cs="宋体"/>
                <w:szCs w:val="21"/>
              </w:rPr>
              <w:t>按照设备保养手册规定周期免费更换；除菌过滤器在质保期内，当压差指示器达到报警值或使用满12个月时免费更换，以先到为准，严格按照设备制造商规定的最短更换周期执行，质保期内不限次数</w:t>
            </w:r>
          </w:p>
        </w:tc>
      </w:tr>
      <w:tr w14:paraId="515DE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continue"/>
            <w:vAlign w:val="center"/>
          </w:tcPr>
          <w:p w14:paraId="27D521FE">
            <w:pPr>
              <w:spacing w:line="360" w:lineRule="auto"/>
              <w:rPr>
                <w:rFonts w:hint="eastAsia" w:ascii="宋体" w:hAnsi="宋体" w:cs="宋体"/>
                <w:szCs w:val="21"/>
              </w:rPr>
            </w:pPr>
          </w:p>
        </w:tc>
        <w:tc>
          <w:tcPr>
            <w:tcW w:w="1698" w:type="pct"/>
            <w:vAlign w:val="center"/>
          </w:tcPr>
          <w:p w14:paraId="3685D714">
            <w:pPr>
              <w:spacing w:line="360" w:lineRule="auto"/>
              <w:rPr>
                <w:rFonts w:hint="eastAsia" w:ascii="宋体" w:hAnsi="宋体" w:cs="宋体"/>
                <w:szCs w:val="21"/>
              </w:rPr>
            </w:pPr>
            <w:r>
              <w:rPr>
                <w:rFonts w:hint="eastAsia" w:ascii="宋体" w:hAnsi="宋体" w:cs="宋体"/>
                <w:szCs w:val="21"/>
              </w:rPr>
              <w:t>吸附式干燥机分子筛、活性氧化铝</w:t>
            </w:r>
          </w:p>
        </w:tc>
        <w:tc>
          <w:tcPr>
            <w:tcW w:w="2455" w:type="pct"/>
            <w:vAlign w:val="center"/>
          </w:tcPr>
          <w:p w14:paraId="4798F0E2">
            <w:pPr>
              <w:spacing w:line="360" w:lineRule="auto"/>
              <w:rPr>
                <w:rFonts w:hint="eastAsia" w:ascii="宋体" w:hAnsi="宋体" w:cs="宋体"/>
                <w:szCs w:val="21"/>
              </w:rPr>
            </w:pPr>
            <w:r>
              <w:rPr>
                <w:rFonts w:hint="eastAsia" w:ascii="宋体" w:hAnsi="宋体" w:cs="宋体"/>
                <w:szCs w:val="21"/>
              </w:rPr>
              <w:t>运行满 12 个月开展露点专项检测，露点超标立即更换</w:t>
            </w:r>
          </w:p>
        </w:tc>
      </w:tr>
      <w:tr w14:paraId="15668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continue"/>
            <w:vAlign w:val="center"/>
          </w:tcPr>
          <w:p w14:paraId="1A755BC7">
            <w:pPr>
              <w:spacing w:line="360" w:lineRule="auto"/>
              <w:rPr>
                <w:rFonts w:hint="eastAsia" w:ascii="宋体" w:hAnsi="宋体" w:cs="宋体"/>
                <w:szCs w:val="21"/>
              </w:rPr>
            </w:pPr>
          </w:p>
        </w:tc>
        <w:tc>
          <w:tcPr>
            <w:tcW w:w="1698" w:type="pct"/>
            <w:vAlign w:val="center"/>
          </w:tcPr>
          <w:p w14:paraId="234E9F69">
            <w:pPr>
              <w:spacing w:line="360" w:lineRule="auto"/>
              <w:rPr>
                <w:rFonts w:hint="eastAsia" w:ascii="宋体" w:hAnsi="宋体" w:cs="宋体"/>
                <w:szCs w:val="21"/>
              </w:rPr>
            </w:pPr>
            <w:r>
              <w:rPr>
                <w:rFonts w:hint="eastAsia" w:ascii="宋体" w:hAnsi="宋体" w:cs="宋体"/>
                <w:szCs w:val="21"/>
              </w:rPr>
              <w:t>自动排水阀阀芯、密封组件</w:t>
            </w:r>
          </w:p>
        </w:tc>
        <w:tc>
          <w:tcPr>
            <w:tcW w:w="2455" w:type="pct"/>
            <w:vAlign w:val="center"/>
          </w:tcPr>
          <w:p w14:paraId="1A4648E0">
            <w:pPr>
              <w:spacing w:line="360" w:lineRule="auto"/>
              <w:rPr>
                <w:rFonts w:hint="eastAsia" w:ascii="宋体" w:hAnsi="宋体" w:cs="宋体"/>
                <w:szCs w:val="21"/>
              </w:rPr>
            </w:pPr>
            <w:r>
              <w:rPr>
                <w:rFonts w:hint="eastAsia" w:ascii="宋体" w:hAnsi="宋体" w:cs="宋体"/>
                <w:szCs w:val="21"/>
              </w:rPr>
              <w:t>每年预防性免费更换，出现故障即时免费更换</w:t>
            </w:r>
          </w:p>
        </w:tc>
      </w:tr>
      <w:tr w14:paraId="033B3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continue"/>
            <w:vAlign w:val="center"/>
          </w:tcPr>
          <w:p w14:paraId="19A3883E">
            <w:pPr>
              <w:spacing w:line="360" w:lineRule="auto"/>
              <w:rPr>
                <w:rFonts w:hint="eastAsia" w:ascii="宋体" w:hAnsi="宋体" w:cs="宋体"/>
                <w:szCs w:val="21"/>
              </w:rPr>
            </w:pPr>
          </w:p>
        </w:tc>
        <w:tc>
          <w:tcPr>
            <w:tcW w:w="1698" w:type="pct"/>
            <w:vAlign w:val="center"/>
          </w:tcPr>
          <w:p w14:paraId="31AE7CEE">
            <w:pPr>
              <w:spacing w:line="360" w:lineRule="auto"/>
              <w:rPr>
                <w:rFonts w:hint="eastAsia" w:ascii="宋体" w:hAnsi="宋体" w:cs="宋体"/>
                <w:szCs w:val="21"/>
              </w:rPr>
            </w:pPr>
            <w:r>
              <w:rPr>
                <w:rFonts w:hint="eastAsia" w:ascii="宋体" w:hAnsi="宋体" w:cs="宋体"/>
                <w:szCs w:val="21"/>
              </w:rPr>
              <w:t>干燥机切换电磁阀密封套件</w:t>
            </w:r>
          </w:p>
        </w:tc>
        <w:tc>
          <w:tcPr>
            <w:tcW w:w="2455" w:type="pct"/>
            <w:vAlign w:val="center"/>
          </w:tcPr>
          <w:p w14:paraId="0DFB781A">
            <w:pPr>
              <w:spacing w:line="360" w:lineRule="auto"/>
              <w:rPr>
                <w:rFonts w:hint="eastAsia" w:ascii="宋体" w:hAnsi="宋体" w:cs="宋体"/>
                <w:szCs w:val="21"/>
              </w:rPr>
            </w:pPr>
            <w:r>
              <w:rPr>
                <w:rFonts w:hint="eastAsia" w:ascii="宋体" w:hAnsi="宋体" w:cs="宋体"/>
                <w:szCs w:val="21"/>
              </w:rPr>
              <w:t>故障损坏或到期需更换时，免费更换</w:t>
            </w:r>
          </w:p>
        </w:tc>
      </w:tr>
      <w:tr w14:paraId="58FB2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restart"/>
            <w:vAlign w:val="center"/>
          </w:tcPr>
          <w:p w14:paraId="117D17A6">
            <w:pPr>
              <w:spacing w:line="360" w:lineRule="auto"/>
              <w:rPr>
                <w:rFonts w:hint="eastAsia" w:ascii="宋体" w:hAnsi="宋体" w:cs="宋体"/>
                <w:szCs w:val="21"/>
              </w:rPr>
            </w:pPr>
            <w:r>
              <w:rPr>
                <w:rFonts w:hint="eastAsia" w:ascii="宋体" w:hAnsi="宋体" w:cs="宋体"/>
                <w:b/>
                <w:szCs w:val="21"/>
              </w:rPr>
              <w:t>液氧站、减压、管路系统</w:t>
            </w:r>
          </w:p>
        </w:tc>
        <w:tc>
          <w:tcPr>
            <w:tcW w:w="1698" w:type="pct"/>
            <w:vAlign w:val="center"/>
          </w:tcPr>
          <w:p w14:paraId="0701039E">
            <w:pPr>
              <w:spacing w:line="360" w:lineRule="auto"/>
              <w:rPr>
                <w:rFonts w:hint="eastAsia" w:ascii="宋体" w:hAnsi="宋体" w:cs="宋体"/>
                <w:szCs w:val="21"/>
              </w:rPr>
            </w:pPr>
            <w:r>
              <w:rPr>
                <w:rFonts w:hint="eastAsia" w:ascii="宋体" w:hAnsi="宋体" w:cs="宋体"/>
                <w:szCs w:val="21"/>
              </w:rPr>
              <w:t>二级减压专用耐氧密封垫片</w:t>
            </w:r>
          </w:p>
        </w:tc>
        <w:tc>
          <w:tcPr>
            <w:tcW w:w="2455" w:type="pct"/>
            <w:vAlign w:val="center"/>
          </w:tcPr>
          <w:p w14:paraId="4CF47361">
            <w:pPr>
              <w:spacing w:line="360" w:lineRule="auto"/>
              <w:rPr>
                <w:rFonts w:hint="eastAsia" w:ascii="宋体" w:hAnsi="宋体" w:cs="宋体"/>
                <w:szCs w:val="21"/>
              </w:rPr>
            </w:pPr>
            <w:r>
              <w:rPr>
                <w:rFonts w:hint="eastAsia" w:ascii="宋体" w:hAnsi="宋体" w:cs="宋体"/>
                <w:szCs w:val="21"/>
              </w:rPr>
              <w:t>每年免费更换、校准</w:t>
            </w:r>
          </w:p>
        </w:tc>
      </w:tr>
      <w:tr w14:paraId="05FFC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continue"/>
            <w:vAlign w:val="center"/>
          </w:tcPr>
          <w:p w14:paraId="35E63A4F">
            <w:pPr>
              <w:spacing w:line="360" w:lineRule="auto"/>
              <w:rPr>
                <w:rFonts w:hint="eastAsia" w:ascii="宋体" w:hAnsi="宋体" w:cs="宋体"/>
                <w:szCs w:val="21"/>
              </w:rPr>
            </w:pPr>
          </w:p>
        </w:tc>
        <w:tc>
          <w:tcPr>
            <w:tcW w:w="1698" w:type="pct"/>
            <w:vAlign w:val="center"/>
          </w:tcPr>
          <w:p w14:paraId="5C57C6CF">
            <w:pPr>
              <w:spacing w:line="360" w:lineRule="auto"/>
              <w:rPr>
                <w:rFonts w:hint="eastAsia" w:ascii="宋体" w:hAnsi="宋体" w:cs="宋体"/>
                <w:szCs w:val="21"/>
              </w:rPr>
            </w:pPr>
            <w:r>
              <w:rPr>
                <w:rFonts w:hint="eastAsia" w:ascii="宋体" w:hAnsi="宋体" w:cs="宋体"/>
                <w:szCs w:val="21"/>
              </w:rPr>
              <w:t>低温阀门、截止阀内部密封组件</w:t>
            </w:r>
          </w:p>
        </w:tc>
        <w:tc>
          <w:tcPr>
            <w:tcW w:w="2455" w:type="pct"/>
            <w:vAlign w:val="center"/>
          </w:tcPr>
          <w:p w14:paraId="2E72D26F">
            <w:pPr>
              <w:spacing w:line="360" w:lineRule="auto"/>
              <w:rPr>
                <w:rFonts w:hint="eastAsia" w:ascii="宋体" w:hAnsi="宋体" w:cs="宋体"/>
                <w:szCs w:val="21"/>
              </w:rPr>
            </w:pPr>
            <w:r>
              <w:rPr>
                <w:rFonts w:hint="eastAsia" w:ascii="宋体" w:hAnsi="宋体" w:cs="宋体"/>
                <w:szCs w:val="21"/>
              </w:rPr>
              <w:t>设备出现泄漏故障时，即时免费更换</w:t>
            </w:r>
          </w:p>
        </w:tc>
      </w:tr>
      <w:tr w14:paraId="6FC5F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847" w:type="pct"/>
            <w:vMerge w:val="restart"/>
            <w:vAlign w:val="center"/>
          </w:tcPr>
          <w:p w14:paraId="3F9BB3DA">
            <w:pPr>
              <w:spacing w:line="360" w:lineRule="auto"/>
              <w:rPr>
                <w:rFonts w:hint="eastAsia" w:ascii="宋体" w:hAnsi="宋体" w:cs="宋体"/>
                <w:szCs w:val="21"/>
              </w:rPr>
            </w:pPr>
            <w:r>
              <w:rPr>
                <w:rFonts w:hint="eastAsia" w:ascii="宋体" w:hAnsi="宋体" w:cs="宋体"/>
                <w:b/>
                <w:szCs w:val="21"/>
              </w:rPr>
              <w:t>监测、电控系统</w:t>
            </w:r>
          </w:p>
        </w:tc>
        <w:tc>
          <w:tcPr>
            <w:tcW w:w="1698" w:type="pct"/>
            <w:vAlign w:val="center"/>
          </w:tcPr>
          <w:p w14:paraId="534F9B65">
            <w:pPr>
              <w:spacing w:line="360" w:lineRule="auto"/>
              <w:rPr>
                <w:rFonts w:hint="eastAsia" w:ascii="宋体" w:hAnsi="宋体" w:cs="宋体"/>
                <w:szCs w:val="21"/>
              </w:rPr>
            </w:pPr>
            <w:r>
              <w:rPr>
                <w:rFonts w:hint="eastAsia" w:ascii="宋体" w:hAnsi="宋体" w:cs="宋体"/>
                <w:szCs w:val="21"/>
              </w:rPr>
              <w:t>CO、CO₂、O₂、露点全部传感器</w:t>
            </w:r>
          </w:p>
        </w:tc>
        <w:tc>
          <w:tcPr>
            <w:tcW w:w="2455" w:type="pct"/>
            <w:vAlign w:val="center"/>
          </w:tcPr>
          <w:p w14:paraId="30094C6E">
            <w:pPr>
              <w:spacing w:line="360" w:lineRule="auto"/>
              <w:rPr>
                <w:rFonts w:hint="eastAsia" w:ascii="宋体" w:hAnsi="宋体" w:cs="宋体"/>
                <w:szCs w:val="21"/>
              </w:rPr>
            </w:pPr>
            <w:r>
              <w:rPr>
                <w:rFonts w:hint="eastAsia" w:ascii="宋体" w:hAnsi="宋体" w:cs="宋体"/>
                <w:szCs w:val="21"/>
              </w:rPr>
              <w:t>质保期内传感器校准、第三方计量校准费用全部由中标人承担；传感器校准不合格必须免费更换全新原厂探头</w:t>
            </w:r>
          </w:p>
        </w:tc>
      </w:tr>
      <w:tr w14:paraId="5AF0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continue"/>
          </w:tcPr>
          <w:p w14:paraId="17A93959">
            <w:pPr>
              <w:spacing w:line="360" w:lineRule="auto"/>
              <w:rPr>
                <w:rFonts w:hint="eastAsia" w:ascii="宋体" w:hAnsi="宋体" w:cs="宋体"/>
                <w:szCs w:val="21"/>
              </w:rPr>
            </w:pPr>
          </w:p>
        </w:tc>
        <w:tc>
          <w:tcPr>
            <w:tcW w:w="1698" w:type="pct"/>
            <w:vAlign w:val="center"/>
          </w:tcPr>
          <w:p w14:paraId="5209B7C4">
            <w:pPr>
              <w:spacing w:line="360" w:lineRule="auto"/>
              <w:rPr>
                <w:rFonts w:hint="eastAsia" w:ascii="宋体" w:hAnsi="宋体" w:cs="宋体"/>
                <w:szCs w:val="21"/>
              </w:rPr>
            </w:pPr>
            <w:r>
              <w:rPr>
                <w:rFonts w:hint="eastAsia" w:ascii="宋体" w:hAnsi="宋体" w:cs="宋体"/>
                <w:szCs w:val="21"/>
              </w:rPr>
              <w:t>电控柜散热风扇、继电器、熔断器、端子、通讯模块</w:t>
            </w:r>
          </w:p>
        </w:tc>
        <w:tc>
          <w:tcPr>
            <w:tcW w:w="2455" w:type="pct"/>
            <w:vAlign w:val="center"/>
          </w:tcPr>
          <w:p w14:paraId="59DBA907">
            <w:pPr>
              <w:spacing w:line="360" w:lineRule="auto"/>
              <w:rPr>
                <w:rFonts w:hint="eastAsia" w:ascii="宋体" w:hAnsi="宋体" w:cs="宋体"/>
                <w:szCs w:val="21"/>
              </w:rPr>
            </w:pPr>
            <w:r>
              <w:rPr>
                <w:rFonts w:hint="eastAsia" w:ascii="宋体" w:hAnsi="宋体" w:cs="宋体"/>
                <w:szCs w:val="21"/>
              </w:rPr>
              <w:t>出现故障、损坏时，免费更换原厂配件</w:t>
            </w:r>
          </w:p>
        </w:tc>
      </w:tr>
      <w:tr w14:paraId="7DBB4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continue"/>
          </w:tcPr>
          <w:p w14:paraId="50073A95">
            <w:pPr>
              <w:spacing w:line="360" w:lineRule="auto"/>
              <w:rPr>
                <w:rFonts w:hint="eastAsia" w:ascii="宋体" w:hAnsi="宋体" w:cs="宋体"/>
                <w:szCs w:val="21"/>
              </w:rPr>
            </w:pPr>
          </w:p>
        </w:tc>
        <w:tc>
          <w:tcPr>
            <w:tcW w:w="1698" w:type="pct"/>
            <w:vAlign w:val="center"/>
          </w:tcPr>
          <w:p w14:paraId="405F4A02">
            <w:pPr>
              <w:spacing w:line="360" w:lineRule="auto"/>
              <w:rPr>
                <w:rFonts w:hint="eastAsia" w:ascii="宋体" w:hAnsi="宋体" w:cs="宋体"/>
                <w:szCs w:val="21"/>
              </w:rPr>
            </w:pPr>
            <w:r>
              <w:rPr>
                <w:rFonts w:hint="eastAsia" w:ascii="宋体" w:hAnsi="宋体" w:cs="宋体"/>
                <w:szCs w:val="21"/>
              </w:rPr>
              <w:t>报警声光组件、数据采集模块</w:t>
            </w:r>
          </w:p>
        </w:tc>
        <w:tc>
          <w:tcPr>
            <w:tcW w:w="2455" w:type="pct"/>
            <w:vAlign w:val="center"/>
          </w:tcPr>
          <w:p w14:paraId="22A70D70">
            <w:pPr>
              <w:spacing w:line="360" w:lineRule="auto"/>
              <w:rPr>
                <w:rFonts w:hint="eastAsia" w:ascii="宋体" w:hAnsi="宋体" w:cs="宋体"/>
                <w:szCs w:val="21"/>
              </w:rPr>
            </w:pPr>
            <w:r>
              <w:rPr>
                <w:rFonts w:hint="eastAsia" w:ascii="宋体" w:hAnsi="宋体" w:cs="宋体"/>
                <w:szCs w:val="21"/>
              </w:rPr>
              <w:t>出现故障时，即时免费更换维修</w:t>
            </w:r>
          </w:p>
        </w:tc>
      </w:tr>
      <w:tr w14:paraId="34050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Pr>
          <w:p w14:paraId="155D369E">
            <w:pPr>
              <w:spacing w:line="360" w:lineRule="auto"/>
              <w:rPr>
                <w:rFonts w:hint="eastAsia" w:ascii="宋体" w:hAnsi="宋体" w:cs="宋体"/>
                <w:bCs/>
                <w:szCs w:val="21"/>
              </w:rPr>
            </w:pPr>
            <w:r>
              <w:rPr>
                <w:rFonts w:hint="eastAsia" w:ascii="宋体" w:hAnsi="宋体" w:cs="宋体"/>
                <w:b/>
                <w:szCs w:val="21"/>
              </w:rPr>
              <w:t>备注：</w:t>
            </w:r>
            <w:r>
              <w:rPr>
                <w:rFonts w:hint="eastAsia" w:ascii="宋体" w:hAnsi="宋体" w:cs="宋体"/>
                <w:bCs/>
                <w:szCs w:val="21"/>
              </w:rPr>
              <w:t>本清单所有耗材更换、保养、校准、维修工作均为质保期内免费服务，包含全部耗材成本、人工拆装、调试、校准、上门服务等所有相关费用，全包无任何额外收费；</w:t>
            </w:r>
            <w:r>
              <w:rPr>
                <w:rFonts w:hint="eastAsia" w:ascii="宋体" w:hAnsi="宋体" w:cs="宋体"/>
                <w:szCs w:val="21"/>
              </w:rPr>
              <w:t>机组保养手册有明确规定、本文件未列明的其余保养耗材，均免费更换保养</w:t>
            </w:r>
            <w:r>
              <w:rPr>
                <w:rFonts w:hint="eastAsia" w:ascii="宋体" w:hAnsi="宋体" w:cs="宋体"/>
                <w:bCs/>
                <w:szCs w:val="21"/>
              </w:rPr>
              <w:t>。</w:t>
            </w:r>
          </w:p>
        </w:tc>
      </w:tr>
    </w:tbl>
    <w:p w14:paraId="40A112CE">
      <w:pPr>
        <w:spacing w:line="360" w:lineRule="auto"/>
        <w:rPr>
          <w:rFonts w:hint="eastAsia" w:ascii="宋体" w:hAnsi="宋体" w:cs="宋体"/>
          <w:szCs w:val="21"/>
        </w:rPr>
      </w:pPr>
    </w:p>
    <w:p w14:paraId="7E5B2FF0">
      <w:pPr>
        <w:spacing w:line="360" w:lineRule="auto"/>
        <w:rPr>
          <w:rFonts w:hint="eastAsia" w:ascii="宋体" w:hAnsi="宋体" w:cs="宋体"/>
          <w:b/>
          <w:bCs/>
          <w:szCs w:val="21"/>
        </w:rPr>
      </w:pPr>
      <w:r>
        <w:rPr>
          <w:rFonts w:hint="eastAsia" w:ascii="宋体" w:hAnsi="宋体" w:cs="宋体"/>
          <w:b/>
          <w:bCs/>
          <w:szCs w:val="21"/>
        </w:rPr>
        <w:t>预防性巡检、年度系统校准标准</w:t>
      </w:r>
    </w:p>
    <w:p w14:paraId="0B4B18DB">
      <w:pPr>
        <w:numPr>
          <w:ilvl w:val="0"/>
          <w:numId w:val="9"/>
        </w:numPr>
        <w:spacing w:line="360" w:lineRule="auto"/>
        <w:ind w:left="0" w:firstLine="420" w:firstLineChars="200"/>
        <w:rPr>
          <w:rFonts w:hint="eastAsia" w:ascii="宋体" w:hAnsi="宋体" w:cs="宋体"/>
          <w:szCs w:val="21"/>
        </w:rPr>
      </w:pPr>
      <w:r>
        <w:rPr>
          <w:rFonts w:hint="eastAsia" w:ascii="宋体" w:hAnsi="宋体" w:cs="宋体"/>
          <w:szCs w:val="21"/>
        </w:rPr>
        <w:t>巡检频次：质保期内每季度 1 次全站全面巡检，每年 1 次全系统性能综合校准；</w:t>
      </w:r>
    </w:p>
    <w:p w14:paraId="5B05370A">
      <w:pPr>
        <w:numPr>
          <w:ilvl w:val="0"/>
          <w:numId w:val="9"/>
        </w:numPr>
        <w:spacing w:line="360" w:lineRule="auto"/>
        <w:ind w:left="0" w:firstLine="420" w:firstLineChars="200"/>
        <w:rPr>
          <w:rFonts w:hint="eastAsia" w:ascii="宋体" w:hAnsi="宋体" w:cs="宋体"/>
          <w:szCs w:val="21"/>
        </w:rPr>
      </w:pPr>
      <w:r>
        <w:rPr>
          <w:rFonts w:hint="eastAsia" w:ascii="宋体" w:hAnsi="宋体" w:cs="宋体"/>
          <w:szCs w:val="21"/>
        </w:rPr>
        <w:t>重大保障：春节、国庆等重大节假日前增加 1 次专项安全巡检；</w:t>
      </w:r>
    </w:p>
    <w:p w14:paraId="721D5E49">
      <w:pPr>
        <w:numPr>
          <w:ilvl w:val="0"/>
          <w:numId w:val="9"/>
        </w:numPr>
        <w:spacing w:line="360" w:lineRule="auto"/>
        <w:ind w:left="0" w:firstLine="420" w:firstLineChars="200"/>
        <w:rPr>
          <w:rFonts w:hint="eastAsia" w:ascii="宋体" w:hAnsi="宋体" w:cs="宋体"/>
          <w:szCs w:val="21"/>
        </w:rPr>
      </w:pPr>
      <w:r>
        <w:rPr>
          <w:rFonts w:hint="eastAsia" w:ascii="宋体" w:hAnsi="宋体" w:cs="宋体"/>
          <w:szCs w:val="21"/>
        </w:rPr>
        <w:t>每次巡检完成《医用气体系统维保报告》，列明压力、露点、浓度、设备运行时长、滤芯状态、泄漏检查记录，交于医院能动科签字存档；</w:t>
      </w:r>
    </w:p>
    <w:p w14:paraId="6BB706AF">
      <w:pPr>
        <w:numPr>
          <w:ilvl w:val="0"/>
          <w:numId w:val="9"/>
        </w:numPr>
        <w:spacing w:line="360" w:lineRule="auto"/>
        <w:ind w:left="0" w:firstLine="420" w:firstLineChars="200"/>
        <w:rPr>
          <w:rFonts w:hint="eastAsia" w:ascii="宋体" w:hAnsi="宋体" w:cs="宋体"/>
          <w:szCs w:val="21"/>
        </w:rPr>
      </w:pPr>
      <w:r>
        <w:rPr>
          <w:rFonts w:hint="eastAsia" w:ascii="宋体" w:hAnsi="宋体" w:cs="宋体"/>
          <w:szCs w:val="21"/>
        </w:rPr>
        <w:t>年度校准内容：全部压力传感器、氧气流量计、CO/CO₂/ 氧浓度报警器、露点仪第三方计量校准，校准费用中标人全额承担。校准过程中传感器精度超出标准允许误差的，中标人免费更换全新原厂传感器并重新校准，所有费用包干。</w:t>
      </w:r>
    </w:p>
    <w:p w14:paraId="678864A1">
      <w:pPr>
        <w:spacing w:line="360" w:lineRule="auto"/>
        <w:rPr>
          <w:rFonts w:hint="eastAsia" w:ascii="宋体" w:hAnsi="宋体" w:cs="宋体"/>
          <w:b/>
          <w:bCs/>
          <w:szCs w:val="21"/>
        </w:rPr>
      </w:pPr>
      <w:r>
        <w:rPr>
          <w:rFonts w:hint="eastAsia" w:ascii="宋体" w:hAnsi="宋体" w:cs="宋体"/>
          <w:b/>
          <w:bCs/>
          <w:szCs w:val="21"/>
        </w:rPr>
        <w:t>故障应急响应</w:t>
      </w:r>
    </w:p>
    <w:p w14:paraId="76895478">
      <w:pPr>
        <w:numPr>
          <w:ilvl w:val="0"/>
          <w:numId w:val="10"/>
        </w:numPr>
        <w:spacing w:line="360" w:lineRule="auto"/>
        <w:ind w:left="0" w:firstLine="420" w:firstLineChars="200"/>
        <w:rPr>
          <w:rFonts w:hint="eastAsia" w:ascii="宋体" w:hAnsi="宋体" w:cs="宋体"/>
          <w:szCs w:val="21"/>
        </w:rPr>
      </w:pPr>
      <w:r>
        <w:rPr>
          <w:rFonts w:hint="eastAsia" w:ascii="宋体" w:hAnsi="宋体" w:cs="宋体"/>
          <w:szCs w:val="21"/>
        </w:rPr>
        <w:t>报修渠道：提供固定维保专线、专属项目对接工程师微信、电话 7×24 小时在线；</w:t>
      </w:r>
    </w:p>
    <w:p w14:paraId="0D7A7396">
      <w:pPr>
        <w:numPr>
          <w:ilvl w:val="0"/>
          <w:numId w:val="10"/>
        </w:numPr>
        <w:spacing w:line="360" w:lineRule="auto"/>
        <w:ind w:left="0" w:firstLine="420" w:firstLineChars="200"/>
        <w:rPr>
          <w:rFonts w:hint="eastAsia" w:ascii="宋体" w:hAnsi="宋体" w:cs="宋体"/>
          <w:szCs w:val="21"/>
        </w:rPr>
      </w:pPr>
      <w:r>
        <w:rPr>
          <w:rFonts w:hint="eastAsia" w:ascii="宋体" w:hAnsi="宋体" w:cs="宋体"/>
          <w:szCs w:val="21"/>
        </w:rPr>
        <w:t>远程响应：接到故障报修 30 分钟内远程连线，指导院方临时处置、切换备用机组；</w:t>
      </w:r>
    </w:p>
    <w:p w14:paraId="2DB0FBDD">
      <w:pPr>
        <w:numPr>
          <w:ilvl w:val="0"/>
          <w:numId w:val="10"/>
        </w:numPr>
        <w:spacing w:line="360" w:lineRule="auto"/>
        <w:ind w:left="0" w:firstLine="420" w:firstLineChars="200"/>
        <w:rPr>
          <w:rFonts w:hint="eastAsia" w:ascii="宋体" w:hAnsi="宋体" w:cs="宋体"/>
          <w:szCs w:val="21"/>
        </w:rPr>
      </w:pPr>
      <w:r>
        <w:rPr>
          <w:rFonts w:hint="eastAsia" w:ascii="宋体" w:hAnsi="宋体" w:cs="宋体"/>
          <w:szCs w:val="21"/>
        </w:rPr>
        <w:t>到场时限：重大供气故障，维保人员 6 小时内抵达现场；一般故障，24 小时内抵达医院现场；</w:t>
      </w:r>
    </w:p>
    <w:p w14:paraId="79BB13DD">
      <w:pPr>
        <w:numPr>
          <w:ilvl w:val="0"/>
          <w:numId w:val="10"/>
        </w:numPr>
        <w:spacing w:line="360" w:lineRule="auto"/>
        <w:ind w:left="0" w:firstLine="420" w:firstLineChars="200"/>
        <w:rPr>
          <w:rFonts w:hint="eastAsia" w:ascii="宋体" w:hAnsi="宋体" w:cs="宋体"/>
          <w:szCs w:val="21"/>
        </w:rPr>
      </w:pPr>
      <w:r>
        <w:rPr>
          <w:rFonts w:hint="eastAsia" w:ascii="宋体" w:hAnsi="宋体" w:cs="宋体"/>
          <w:szCs w:val="21"/>
        </w:rPr>
        <w:t>修复时限：普通报警、滤芯、电气小故障 4 小时内修复；空压机、冷干机，吸附干燥机、储气罐、减压设备重大故障 24 小时内恢复供气；</w:t>
      </w:r>
    </w:p>
    <w:p w14:paraId="18F60989">
      <w:pPr>
        <w:spacing w:line="360" w:lineRule="auto"/>
        <w:rPr>
          <w:rFonts w:hint="eastAsia" w:ascii="宋体" w:hAnsi="宋体" w:cs="宋体"/>
          <w:szCs w:val="21"/>
        </w:rPr>
      </w:pPr>
      <w:r>
        <w:rPr>
          <w:rFonts w:hint="eastAsia" w:ascii="宋体" w:hAnsi="宋体" w:cs="宋体"/>
          <w:b/>
          <w:bCs/>
          <w:szCs w:val="21"/>
        </w:rPr>
        <w:t>质保责任划分</w:t>
      </w:r>
    </w:p>
    <w:p w14:paraId="31D8972D">
      <w:pPr>
        <w:numPr>
          <w:ilvl w:val="0"/>
          <w:numId w:val="11"/>
        </w:numPr>
        <w:spacing w:line="360" w:lineRule="auto"/>
        <w:ind w:left="0" w:firstLine="420" w:firstLineChars="200"/>
        <w:rPr>
          <w:rFonts w:hint="eastAsia" w:ascii="宋体" w:hAnsi="宋体" w:cs="宋体"/>
          <w:szCs w:val="21"/>
        </w:rPr>
      </w:pPr>
      <w:r>
        <w:rPr>
          <w:rFonts w:hint="eastAsia" w:ascii="宋体" w:hAnsi="宋体" w:cs="宋体"/>
          <w:szCs w:val="21"/>
        </w:rPr>
        <w:t>免费质保除外情形（仅提供成本价有偿维修，配件按批发价收取）：（1）院方人员违规拆解、改装设备、私自改动管路阀门；（2）外力撞击、洪水、雷击、火灾等不可抗力造成损坏。</w:t>
      </w:r>
    </w:p>
    <w:p w14:paraId="5D2C5AFC">
      <w:pPr>
        <w:numPr>
          <w:ilvl w:val="0"/>
          <w:numId w:val="11"/>
        </w:numPr>
        <w:spacing w:line="360" w:lineRule="auto"/>
        <w:ind w:left="0" w:firstLine="420" w:firstLineChars="200"/>
        <w:rPr>
          <w:rFonts w:hint="eastAsia" w:ascii="宋体" w:hAnsi="宋体" w:cs="宋体"/>
          <w:szCs w:val="21"/>
        </w:rPr>
      </w:pPr>
      <w:r>
        <w:rPr>
          <w:rFonts w:hint="eastAsia" w:ascii="宋体" w:hAnsi="宋体" w:cs="宋体"/>
          <w:szCs w:val="21"/>
        </w:rPr>
        <w:t>中标人未按期上门巡检、未按时更换保养耗材引发系统故障、供气中断，全部维修、临床损失由中标人承担。</w:t>
      </w:r>
    </w:p>
    <w:p w14:paraId="09AB53E3">
      <w:pPr>
        <w:spacing w:line="360" w:lineRule="auto"/>
        <w:rPr>
          <w:rFonts w:hint="eastAsia" w:ascii="宋体" w:hAnsi="宋体" w:cs="宋体"/>
          <w:b/>
          <w:bCs/>
          <w:szCs w:val="21"/>
        </w:rPr>
      </w:pPr>
      <w:r>
        <w:rPr>
          <w:rFonts w:hint="eastAsia" w:ascii="宋体" w:hAnsi="宋体" w:cs="宋体"/>
          <w:b/>
          <w:bCs/>
          <w:szCs w:val="21"/>
        </w:rPr>
        <w:t>七、分阶段完整验收流程（到货→隐蔽→联调→第三方→竣工资料）</w:t>
      </w:r>
    </w:p>
    <w:p w14:paraId="0CBDD2E1">
      <w:pPr>
        <w:spacing w:line="360" w:lineRule="auto"/>
        <w:rPr>
          <w:rFonts w:hint="eastAsia" w:ascii="宋体" w:hAnsi="宋体" w:cs="宋体"/>
          <w:szCs w:val="21"/>
        </w:rPr>
      </w:pPr>
      <w:r>
        <w:rPr>
          <w:rFonts w:hint="eastAsia" w:ascii="宋体" w:hAnsi="宋体" w:cs="宋体"/>
          <w:b/>
          <w:bCs/>
          <w:szCs w:val="21"/>
        </w:rPr>
        <w:t>第一阶段：到货开箱验收</w:t>
      </w:r>
    </w:p>
    <w:p w14:paraId="694FCA0B">
      <w:pPr>
        <w:numPr>
          <w:ilvl w:val="0"/>
          <w:numId w:val="12"/>
        </w:numPr>
        <w:spacing w:line="360" w:lineRule="auto"/>
        <w:ind w:left="0" w:firstLine="420" w:firstLineChars="200"/>
        <w:rPr>
          <w:rFonts w:hint="eastAsia" w:ascii="宋体" w:hAnsi="宋体" w:cs="宋体"/>
          <w:szCs w:val="21"/>
        </w:rPr>
      </w:pPr>
      <w:r>
        <w:rPr>
          <w:rFonts w:hint="eastAsia" w:ascii="宋体" w:hAnsi="宋体" w:cs="宋体"/>
          <w:szCs w:val="21"/>
        </w:rPr>
        <w:t>设备到货前 24 小时书面通知医院设备科共同到场开箱；</w:t>
      </w:r>
    </w:p>
    <w:p w14:paraId="3506ECB3">
      <w:pPr>
        <w:numPr>
          <w:ilvl w:val="0"/>
          <w:numId w:val="12"/>
        </w:numPr>
        <w:spacing w:line="360" w:lineRule="auto"/>
        <w:ind w:left="0" w:firstLine="420" w:firstLineChars="200"/>
        <w:rPr>
          <w:rFonts w:hint="eastAsia" w:ascii="宋体" w:hAnsi="宋体" w:cs="宋体"/>
          <w:szCs w:val="21"/>
        </w:rPr>
      </w:pPr>
      <w:r>
        <w:rPr>
          <w:rFonts w:hint="eastAsia" w:ascii="宋体" w:hAnsi="宋体" w:cs="宋体"/>
          <w:szCs w:val="21"/>
        </w:rPr>
        <w:t>核对内容：设备品牌、型号、规格、数量、原厂合格证、医疗器械注册证、压力容器监检证、脱脂报告、原厂质保书、配件清单；</w:t>
      </w:r>
    </w:p>
    <w:p w14:paraId="65B36DA9">
      <w:pPr>
        <w:numPr>
          <w:ilvl w:val="0"/>
          <w:numId w:val="12"/>
        </w:numPr>
        <w:spacing w:line="360" w:lineRule="auto"/>
        <w:ind w:left="0" w:firstLine="420" w:firstLineChars="200"/>
        <w:rPr>
          <w:rFonts w:hint="eastAsia" w:ascii="宋体" w:hAnsi="宋体" w:cs="宋体"/>
          <w:szCs w:val="21"/>
        </w:rPr>
      </w:pPr>
      <w:r>
        <w:rPr>
          <w:rFonts w:hint="eastAsia" w:ascii="宋体" w:hAnsi="宋体" w:cs="宋体"/>
          <w:szCs w:val="21"/>
        </w:rPr>
        <w:t>外观检查：壳体无磕碰、管路无锈蚀、仪表完好无损；</w:t>
      </w:r>
    </w:p>
    <w:p w14:paraId="2F82D60B">
      <w:pPr>
        <w:numPr>
          <w:ilvl w:val="0"/>
          <w:numId w:val="12"/>
        </w:numPr>
        <w:spacing w:line="360" w:lineRule="auto"/>
        <w:ind w:left="0" w:firstLine="420" w:firstLineChars="200"/>
        <w:rPr>
          <w:rFonts w:hint="eastAsia" w:ascii="宋体" w:hAnsi="宋体" w:cs="宋体"/>
          <w:szCs w:val="21"/>
        </w:rPr>
      </w:pPr>
      <w:r>
        <w:rPr>
          <w:rFonts w:hint="eastAsia" w:ascii="宋体" w:hAnsi="宋体" w:cs="宋体"/>
          <w:szCs w:val="21"/>
        </w:rPr>
        <w:t>缺件、型号不符、外观破损，中标人 7 日内无偿更换全新设备，工期不予顺延；</w:t>
      </w:r>
    </w:p>
    <w:p w14:paraId="495A422E">
      <w:pPr>
        <w:numPr>
          <w:ilvl w:val="0"/>
          <w:numId w:val="12"/>
        </w:numPr>
        <w:spacing w:line="360" w:lineRule="auto"/>
        <w:ind w:left="0" w:firstLine="420" w:firstLineChars="200"/>
        <w:rPr>
          <w:rFonts w:hint="eastAsia" w:ascii="宋体" w:hAnsi="宋体" w:cs="宋体"/>
          <w:szCs w:val="21"/>
        </w:rPr>
      </w:pPr>
      <w:r>
        <w:rPr>
          <w:rFonts w:hint="eastAsia" w:ascii="宋体" w:hAnsi="宋体" w:cs="宋体"/>
          <w:szCs w:val="21"/>
        </w:rPr>
        <w:t>双方签署《设备开箱验收单》，留存现场照片归档。</w:t>
      </w:r>
    </w:p>
    <w:p w14:paraId="26A9C4EA">
      <w:pPr>
        <w:spacing w:line="360" w:lineRule="auto"/>
        <w:rPr>
          <w:rFonts w:hint="eastAsia" w:ascii="宋体" w:hAnsi="宋体" w:cs="宋体"/>
          <w:szCs w:val="21"/>
        </w:rPr>
      </w:pPr>
      <w:r>
        <w:rPr>
          <w:rFonts w:hint="eastAsia" w:ascii="宋体" w:hAnsi="宋体" w:cs="宋体"/>
          <w:b/>
          <w:bCs/>
          <w:szCs w:val="21"/>
        </w:rPr>
        <w:t>第二阶段：隐蔽工程中间验收（管道焊接、脱脂、接地）</w:t>
      </w:r>
    </w:p>
    <w:p w14:paraId="59F4158E">
      <w:pPr>
        <w:spacing w:line="360" w:lineRule="auto"/>
        <w:ind w:firstLine="420" w:firstLineChars="200"/>
        <w:rPr>
          <w:rFonts w:hint="eastAsia" w:ascii="宋体" w:hAnsi="宋体" w:cs="宋体"/>
          <w:szCs w:val="21"/>
        </w:rPr>
      </w:pPr>
      <w:r>
        <w:rPr>
          <w:rFonts w:hint="eastAsia" w:ascii="宋体" w:hAnsi="宋体" w:cs="宋体"/>
          <w:szCs w:val="21"/>
        </w:rPr>
        <w:t>管道敷设、焊接、接地、保温封闭前，中标人提前 1 天通知院方到场验收，验收内容：</w:t>
      </w:r>
    </w:p>
    <w:p w14:paraId="03EBCC8B">
      <w:pPr>
        <w:numPr>
          <w:ilvl w:val="0"/>
          <w:numId w:val="13"/>
        </w:numPr>
        <w:spacing w:line="360" w:lineRule="auto"/>
        <w:ind w:left="0" w:firstLine="420" w:firstLineChars="200"/>
        <w:rPr>
          <w:rFonts w:hint="eastAsia" w:ascii="宋体" w:hAnsi="宋体" w:cs="宋体"/>
          <w:szCs w:val="21"/>
        </w:rPr>
      </w:pPr>
      <w:r>
        <w:rPr>
          <w:rFonts w:hint="eastAsia" w:ascii="宋体" w:hAnsi="宋体" w:cs="宋体"/>
          <w:szCs w:val="21"/>
        </w:rPr>
        <w:t>焊缝外观、无损探伤报告核查；</w:t>
      </w:r>
    </w:p>
    <w:p w14:paraId="0812AFD0">
      <w:pPr>
        <w:numPr>
          <w:ilvl w:val="0"/>
          <w:numId w:val="13"/>
        </w:numPr>
        <w:spacing w:line="360" w:lineRule="auto"/>
        <w:ind w:left="0" w:firstLine="420" w:firstLineChars="200"/>
        <w:rPr>
          <w:rFonts w:hint="eastAsia" w:ascii="宋体" w:hAnsi="宋体" w:cs="宋体"/>
          <w:szCs w:val="21"/>
        </w:rPr>
      </w:pPr>
      <w:r>
        <w:rPr>
          <w:rFonts w:hint="eastAsia" w:ascii="宋体" w:hAnsi="宋体" w:cs="宋体"/>
          <w:szCs w:val="21"/>
        </w:rPr>
        <w:t>管道脱脂记录、氮气吹扫记录；</w:t>
      </w:r>
    </w:p>
    <w:p w14:paraId="4FEF84B2">
      <w:pPr>
        <w:numPr>
          <w:ilvl w:val="0"/>
          <w:numId w:val="13"/>
        </w:numPr>
        <w:spacing w:line="360" w:lineRule="auto"/>
        <w:ind w:left="0" w:firstLine="420" w:firstLineChars="200"/>
        <w:rPr>
          <w:rFonts w:hint="eastAsia" w:ascii="宋体" w:hAnsi="宋体" w:cs="宋体"/>
          <w:szCs w:val="21"/>
        </w:rPr>
      </w:pPr>
      <w:r>
        <w:rPr>
          <w:rFonts w:hint="eastAsia" w:ascii="宋体" w:hAnsi="宋体" w:cs="宋体"/>
          <w:szCs w:val="21"/>
        </w:rPr>
        <w:t>等电位接地电阻现场实测数值；</w:t>
      </w:r>
    </w:p>
    <w:p w14:paraId="32C27B1B">
      <w:pPr>
        <w:numPr>
          <w:ilvl w:val="0"/>
          <w:numId w:val="13"/>
        </w:numPr>
        <w:spacing w:line="360" w:lineRule="auto"/>
        <w:ind w:left="0" w:firstLine="420" w:firstLineChars="200"/>
        <w:rPr>
          <w:rFonts w:hint="eastAsia" w:ascii="宋体" w:hAnsi="宋体" w:cs="宋体"/>
          <w:szCs w:val="21"/>
        </w:rPr>
      </w:pPr>
      <w:r>
        <w:rPr>
          <w:rFonts w:hint="eastAsia" w:ascii="宋体" w:hAnsi="宋体" w:cs="宋体"/>
          <w:szCs w:val="21"/>
        </w:rPr>
        <w:t>管道支架绝缘垫片安装检查记录；</w:t>
      </w:r>
    </w:p>
    <w:p w14:paraId="69F97780">
      <w:pPr>
        <w:numPr>
          <w:ilvl w:val="0"/>
          <w:numId w:val="13"/>
        </w:numPr>
        <w:spacing w:line="360" w:lineRule="auto"/>
        <w:ind w:left="0" w:firstLine="420" w:firstLineChars="200"/>
        <w:rPr>
          <w:rFonts w:hint="eastAsia" w:ascii="宋体" w:hAnsi="宋体" w:cs="宋体"/>
          <w:szCs w:val="21"/>
        </w:rPr>
      </w:pPr>
      <w:r>
        <w:rPr>
          <w:rFonts w:hint="eastAsia" w:ascii="宋体" w:hAnsi="宋体" w:cs="宋体"/>
          <w:szCs w:val="21"/>
        </w:rPr>
        <w:t>穿墙、穿楼板管道套管及防火/防鼠封堵检查记录。</w:t>
      </w:r>
    </w:p>
    <w:p w14:paraId="226A4849">
      <w:pPr>
        <w:spacing w:line="360" w:lineRule="auto"/>
        <w:rPr>
          <w:rFonts w:hint="eastAsia" w:ascii="宋体" w:hAnsi="宋体" w:cs="宋体"/>
          <w:b/>
          <w:bCs/>
          <w:szCs w:val="21"/>
        </w:rPr>
      </w:pPr>
      <w:r>
        <w:rPr>
          <w:rFonts w:hint="eastAsia" w:ascii="宋体" w:hAnsi="宋体" w:cs="宋体"/>
          <w:b/>
          <w:bCs/>
          <w:szCs w:val="21"/>
        </w:rPr>
        <w:t>第三阶段：系统单机 + 联动调试验收，全部设备安装完成后开展全系统调试测试，逐项测试：</w:t>
      </w:r>
    </w:p>
    <w:p w14:paraId="6263E9BD">
      <w:pPr>
        <w:numPr>
          <w:ilvl w:val="0"/>
          <w:numId w:val="14"/>
        </w:numPr>
        <w:spacing w:line="360" w:lineRule="auto"/>
        <w:ind w:left="0" w:firstLine="420" w:firstLineChars="200"/>
        <w:rPr>
          <w:rFonts w:hint="eastAsia" w:ascii="宋体" w:hAnsi="宋体" w:cs="宋体"/>
          <w:szCs w:val="21"/>
        </w:rPr>
      </w:pPr>
      <w:r>
        <w:rPr>
          <w:rFonts w:hint="eastAsia" w:ascii="宋体" w:hAnsi="宋体" w:cs="宋体"/>
          <w:szCs w:val="21"/>
        </w:rPr>
        <w:t>西区无油空压机主备轮换、故障自动投备用测试；</w:t>
      </w:r>
    </w:p>
    <w:p w14:paraId="2E0AF3F8">
      <w:pPr>
        <w:numPr>
          <w:ilvl w:val="0"/>
          <w:numId w:val="14"/>
        </w:numPr>
        <w:spacing w:line="360" w:lineRule="auto"/>
        <w:ind w:left="0" w:firstLine="420" w:firstLineChars="200"/>
        <w:rPr>
          <w:rFonts w:hint="eastAsia" w:ascii="宋体" w:hAnsi="宋体" w:cs="宋体"/>
          <w:szCs w:val="21"/>
        </w:rPr>
      </w:pPr>
      <w:r>
        <w:rPr>
          <w:rFonts w:hint="eastAsia" w:ascii="宋体" w:hAnsi="宋体" w:cs="宋体"/>
          <w:szCs w:val="21"/>
        </w:rPr>
        <w:t>四级过滤、干燥机组露点、空气洁净度实时检测；</w:t>
      </w:r>
    </w:p>
    <w:p w14:paraId="753E31AE">
      <w:pPr>
        <w:numPr>
          <w:ilvl w:val="0"/>
          <w:numId w:val="14"/>
        </w:numPr>
        <w:spacing w:line="360" w:lineRule="auto"/>
        <w:ind w:left="0" w:firstLine="420" w:firstLineChars="200"/>
        <w:rPr>
          <w:rFonts w:hint="eastAsia" w:ascii="宋体" w:hAnsi="宋体" w:cs="宋体"/>
          <w:szCs w:val="21"/>
        </w:rPr>
      </w:pPr>
      <w:r>
        <w:rPr>
          <w:rFonts w:hint="eastAsia" w:ascii="宋体" w:hAnsi="宋体" w:cs="宋体"/>
          <w:szCs w:val="21"/>
        </w:rPr>
        <w:t>所有 CO、CO₂、O₂、压力、流量报警模拟超限触发测试；</w:t>
      </w:r>
    </w:p>
    <w:p w14:paraId="6E04D014">
      <w:pPr>
        <w:numPr>
          <w:ilvl w:val="0"/>
          <w:numId w:val="14"/>
        </w:numPr>
        <w:spacing w:line="360" w:lineRule="auto"/>
        <w:ind w:left="0" w:firstLine="420" w:firstLineChars="200"/>
        <w:rPr>
          <w:rFonts w:hint="eastAsia" w:ascii="宋体" w:hAnsi="宋体" w:cs="宋体"/>
          <w:szCs w:val="21"/>
        </w:rPr>
      </w:pPr>
      <w:r>
        <w:rPr>
          <w:rFonts w:hint="eastAsia" w:ascii="宋体" w:hAnsi="宋体" w:cs="宋体"/>
          <w:szCs w:val="21"/>
        </w:rPr>
        <w:t>器械用气与医用空气管路连通性打压隔离测试；</w:t>
      </w:r>
    </w:p>
    <w:p w14:paraId="49AF7073">
      <w:pPr>
        <w:numPr>
          <w:ilvl w:val="0"/>
          <w:numId w:val="14"/>
        </w:numPr>
        <w:spacing w:line="360" w:lineRule="auto"/>
        <w:ind w:left="0" w:firstLine="420" w:firstLineChars="200"/>
        <w:rPr>
          <w:rFonts w:hint="eastAsia" w:ascii="宋体" w:hAnsi="宋体" w:cs="宋体"/>
          <w:szCs w:val="21"/>
        </w:rPr>
      </w:pPr>
      <w:r>
        <w:rPr>
          <w:rFonts w:hint="eastAsia" w:ascii="宋体" w:hAnsi="宋体" w:cs="宋体"/>
          <w:szCs w:val="21"/>
        </w:rPr>
        <w:t>24 小时系统连续空载 + 模拟高峰负荷运行，无泄漏、无停机、无报警为合格。</w:t>
      </w:r>
    </w:p>
    <w:p w14:paraId="6A79B5E1">
      <w:pPr>
        <w:spacing w:line="360" w:lineRule="auto"/>
        <w:rPr>
          <w:rFonts w:hint="eastAsia" w:ascii="宋体" w:hAnsi="宋体" w:cs="宋体"/>
          <w:b/>
          <w:bCs/>
          <w:szCs w:val="21"/>
        </w:rPr>
      </w:pPr>
      <w:r>
        <w:rPr>
          <w:rFonts w:hint="eastAsia" w:ascii="宋体" w:hAnsi="宋体" w:cs="宋体"/>
          <w:b/>
          <w:bCs/>
          <w:szCs w:val="21"/>
        </w:rPr>
        <w:t>第四阶段：第三方专项检测验收（中标人承担全部费用）</w:t>
      </w:r>
    </w:p>
    <w:p w14:paraId="5A436B3A">
      <w:pPr>
        <w:spacing w:line="360" w:lineRule="auto"/>
        <w:ind w:firstLine="420" w:firstLineChars="200"/>
        <w:rPr>
          <w:rFonts w:hint="eastAsia" w:ascii="宋体" w:hAnsi="宋体" w:cs="宋体"/>
          <w:szCs w:val="21"/>
        </w:rPr>
      </w:pPr>
      <w:r>
        <w:rPr>
          <w:rFonts w:hint="eastAsia" w:ascii="宋体" w:hAnsi="宋体" w:cs="宋体"/>
          <w:szCs w:val="21"/>
        </w:rPr>
        <w:t>安全阀、压力表委托具备特种设备校验资质机构完成校验，费用全部由中标人包干：</w:t>
      </w:r>
    </w:p>
    <w:p w14:paraId="67757EE3">
      <w:pPr>
        <w:numPr>
          <w:ilvl w:val="0"/>
          <w:numId w:val="15"/>
        </w:numPr>
        <w:spacing w:line="360" w:lineRule="auto"/>
        <w:ind w:left="0" w:firstLine="420" w:firstLineChars="200"/>
        <w:rPr>
          <w:rFonts w:hint="eastAsia" w:ascii="宋体" w:hAnsi="宋体" w:cs="宋体"/>
          <w:szCs w:val="21"/>
        </w:rPr>
      </w:pPr>
      <w:r>
        <w:rPr>
          <w:rFonts w:hint="eastAsia" w:ascii="宋体" w:hAnsi="宋体" w:cs="宋体"/>
          <w:szCs w:val="21"/>
        </w:rPr>
        <w:t>氧气系统气密性泄漏率、脱脂合格证明；</w:t>
      </w:r>
    </w:p>
    <w:p w14:paraId="2191BD1B">
      <w:pPr>
        <w:numPr>
          <w:ilvl w:val="0"/>
          <w:numId w:val="15"/>
        </w:numPr>
        <w:spacing w:line="360" w:lineRule="auto"/>
        <w:ind w:left="0" w:firstLine="420" w:firstLineChars="200"/>
        <w:rPr>
          <w:rFonts w:hint="eastAsia" w:ascii="宋体" w:hAnsi="宋体" w:cs="宋体"/>
          <w:szCs w:val="21"/>
        </w:rPr>
      </w:pPr>
      <w:r>
        <w:rPr>
          <w:rFonts w:hint="eastAsia"/>
          <w:color w:val="000000"/>
        </w:rPr>
        <w:t>提供能够证明其空压机组所产气体完全满足GB50751-2012《医用气体工程技术规范》中对医用空气的品质要求的第三方检测报告原件</w:t>
      </w:r>
      <w:r>
        <w:rPr>
          <w:rFonts w:hint="eastAsia" w:ascii="宋体" w:hAnsi="宋体" w:cs="宋体"/>
          <w:szCs w:val="21"/>
        </w:rPr>
        <w:t>；</w:t>
      </w:r>
    </w:p>
    <w:p w14:paraId="6F108B33">
      <w:pPr>
        <w:numPr>
          <w:ilvl w:val="0"/>
          <w:numId w:val="15"/>
        </w:numPr>
        <w:spacing w:line="360" w:lineRule="auto"/>
        <w:ind w:left="0" w:firstLine="420" w:firstLineChars="200"/>
        <w:rPr>
          <w:rFonts w:hint="eastAsia" w:ascii="宋体" w:hAnsi="宋体" w:cs="宋体"/>
          <w:szCs w:val="21"/>
        </w:rPr>
      </w:pPr>
      <w:r>
        <w:rPr>
          <w:rFonts w:hint="eastAsia"/>
          <w:color w:val="000000"/>
        </w:rPr>
        <w:t>报告内容包含：含油量、CO含量、CO2含量、NO和NO2含量、S02含量、气味、固体颗粒物、温度（露点）等内容</w:t>
      </w:r>
      <w:r>
        <w:rPr>
          <w:rFonts w:hint="eastAsia" w:ascii="宋体" w:hAnsi="宋体" w:cs="宋体"/>
          <w:szCs w:val="21"/>
        </w:rPr>
        <w:t>；</w:t>
      </w:r>
    </w:p>
    <w:p w14:paraId="68B90DEC">
      <w:pPr>
        <w:numPr>
          <w:ilvl w:val="0"/>
          <w:numId w:val="15"/>
        </w:numPr>
        <w:spacing w:line="360" w:lineRule="auto"/>
        <w:ind w:left="0" w:firstLine="420" w:firstLineChars="200"/>
        <w:rPr>
          <w:rFonts w:hint="eastAsia" w:ascii="宋体" w:hAnsi="宋体" w:cs="宋体"/>
          <w:szCs w:val="21"/>
        </w:rPr>
      </w:pPr>
      <w:r>
        <w:rPr>
          <w:rFonts w:hint="eastAsia" w:ascii="宋体" w:hAnsi="宋体" w:cs="宋体"/>
          <w:szCs w:val="21"/>
        </w:rPr>
        <w:t>全站等电位、设备保护接地电阻检测；</w:t>
      </w:r>
    </w:p>
    <w:p w14:paraId="1E58143E">
      <w:pPr>
        <w:numPr>
          <w:ilvl w:val="0"/>
          <w:numId w:val="15"/>
        </w:numPr>
        <w:spacing w:line="360" w:lineRule="auto"/>
        <w:ind w:left="0" w:firstLine="420" w:firstLineChars="200"/>
        <w:rPr>
          <w:rFonts w:hint="eastAsia" w:ascii="宋体" w:hAnsi="宋体" w:cs="宋体"/>
          <w:szCs w:val="21"/>
        </w:rPr>
      </w:pPr>
      <w:r>
        <w:rPr>
          <w:rFonts w:hint="eastAsia" w:ascii="宋体" w:hAnsi="宋体" w:cs="宋体"/>
          <w:szCs w:val="21"/>
        </w:rPr>
        <w:t>压力容器安全阀、压力表校验；</w:t>
      </w:r>
      <w:r>
        <w:rPr>
          <w:rFonts w:hint="eastAsia"/>
          <w:color w:val="000000"/>
        </w:rPr>
        <w:t>空气质量检测报告内容必须满足《GB 50751-2012医用气体工程技术规范》表3.0.1的要求后</w:t>
      </w:r>
      <w:r>
        <w:rPr>
          <w:rFonts w:hint="eastAsia" w:ascii="宋体" w:hAnsi="宋体" w:cs="宋体"/>
          <w:szCs w:val="21"/>
        </w:rPr>
        <w:t>方可进入最终竣工验收；检测不合格，全部整改、复测费用由中标人承担，工期不予顺延，多次复测不合格采购人有权解除合同并追责。</w:t>
      </w:r>
    </w:p>
    <w:p w14:paraId="340D4B84">
      <w:pPr>
        <w:spacing w:line="360" w:lineRule="auto"/>
        <w:rPr>
          <w:rFonts w:hint="eastAsia" w:ascii="宋体" w:hAnsi="宋体" w:cs="宋体"/>
          <w:b/>
          <w:bCs/>
          <w:szCs w:val="21"/>
        </w:rPr>
      </w:pPr>
      <w:r>
        <w:rPr>
          <w:rFonts w:hint="eastAsia" w:ascii="宋体" w:hAnsi="宋体" w:cs="宋体"/>
          <w:b/>
          <w:bCs/>
          <w:szCs w:val="21"/>
        </w:rPr>
        <w:t>第五阶段：整体竣工移交与资料完整交付</w:t>
      </w:r>
    </w:p>
    <w:p w14:paraId="7D16DB3E">
      <w:pPr>
        <w:spacing w:line="360" w:lineRule="auto"/>
        <w:ind w:firstLine="420" w:firstLineChars="200"/>
        <w:rPr>
          <w:rFonts w:hint="eastAsia" w:ascii="宋体" w:hAnsi="宋体" w:cs="宋体"/>
          <w:szCs w:val="21"/>
        </w:rPr>
      </w:pPr>
      <w:r>
        <w:rPr>
          <w:rFonts w:hint="eastAsia" w:ascii="宋体" w:hAnsi="宋体" w:cs="宋体"/>
          <w:szCs w:val="21"/>
        </w:rPr>
        <w:t>竣工验收合格前，中标人须移交全套纸质（3 套）+ 电子版竣工资料，缺一不予签署竣工单：</w:t>
      </w:r>
    </w:p>
    <w:p w14:paraId="70E5E6FC">
      <w:pPr>
        <w:numPr>
          <w:ilvl w:val="0"/>
          <w:numId w:val="16"/>
        </w:numPr>
        <w:spacing w:line="360" w:lineRule="auto"/>
        <w:ind w:left="0" w:firstLine="420" w:firstLineChars="200"/>
        <w:rPr>
          <w:rFonts w:hint="eastAsia" w:ascii="宋体" w:hAnsi="宋体" w:cs="宋体"/>
          <w:szCs w:val="21"/>
        </w:rPr>
      </w:pPr>
      <w:r>
        <w:rPr>
          <w:rFonts w:hint="eastAsia" w:ascii="宋体" w:hAnsi="宋体" w:cs="宋体"/>
          <w:szCs w:val="21"/>
        </w:rPr>
        <w:t>全套竣工 CAD 图纸（站房布局、管路走向、电气原理图、气体报警信号拓扑图）；</w:t>
      </w:r>
    </w:p>
    <w:p w14:paraId="3EDB4F5A">
      <w:pPr>
        <w:numPr>
          <w:ilvl w:val="0"/>
          <w:numId w:val="16"/>
        </w:numPr>
        <w:spacing w:line="360" w:lineRule="auto"/>
        <w:ind w:left="0" w:firstLine="420" w:firstLineChars="200"/>
        <w:rPr>
          <w:rFonts w:hint="eastAsia" w:ascii="宋体" w:hAnsi="宋体" w:cs="宋体"/>
          <w:szCs w:val="21"/>
        </w:rPr>
      </w:pPr>
      <w:r>
        <w:rPr>
          <w:rFonts w:hint="eastAsia" w:ascii="宋体" w:hAnsi="宋体" w:cs="宋体"/>
          <w:szCs w:val="21"/>
        </w:rPr>
        <w:t>所有设备原厂说明书、合格证、注册证、质保承诺书；</w:t>
      </w:r>
    </w:p>
    <w:p w14:paraId="7E8008A2">
      <w:pPr>
        <w:numPr>
          <w:ilvl w:val="0"/>
          <w:numId w:val="16"/>
        </w:numPr>
        <w:spacing w:line="360" w:lineRule="auto"/>
        <w:ind w:left="0" w:firstLine="420" w:firstLineChars="200"/>
        <w:rPr>
          <w:rFonts w:hint="eastAsia" w:ascii="宋体" w:hAnsi="宋体" w:cs="宋体"/>
          <w:szCs w:val="21"/>
        </w:rPr>
      </w:pPr>
      <w:r>
        <w:rPr>
          <w:rFonts w:hint="eastAsia" w:ascii="宋体" w:hAnsi="宋体" w:cs="宋体"/>
          <w:szCs w:val="21"/>
        </w:rPr>
        <w:t>压力容器制造监检证、探伤报告、脱脂报告、吹扫记录；</w:t>
      </w:r>
    </w:p>
    <w:p w14:paraId="10D81FFF">
      <w:pPr>
        <w:numPr>
          <w:ilvl w:val="0"/>
          <w:numId w:val="16"/>
        </w:numPr>
        <w:spacing w:line="360" w:lineRule="auto"/>
        <w:ind w:left="0" w:firstLine="420" w:firstLineChars="200"/>
        <w:rPr>
          <w:rFonts w:hint="eastAsia" w:ascii="宋体" w:hAnsi="宋体" w:cs="宋体"/>
          <w:szCs w:val="21"/>
        </w:rPr>
      </w:pPr>
      <w:r>
        <w:rPr>
          <w:rFonts w:hint="eastAsia" w:ascii="宋体" w:hAnsi="宋体" w:cs="宋体"/>
          <w:szCs w:val="21"/>
        </w:rPr>
        <w:t>分段试压、24h 气密性试验原始记录；</w:t>
      </w:r>
    </w:p>
    <w:p w14:paraId="4E5037E7">
      <w:pPr>
        <w:numPr>
          <w:ilvl w:val="0"/>
          <w:numId w:val="16"/>
        </w:numPr>
        <w:spacing w:line="360" w:lineRule="auto"/>
        <w:ind w:left="0" w:firstLine="420" w:firstLineChars="200"/>
        <w:rPr>
          <w:rFonts w:hint="eastAsia" w:ascii="宋体" w:hAnsi="宋体" w:cs="宋体"/>
          <w:szCs w:val="21"/>
        </w:rPr>
      </w:pPr>
      <w:r>
        <w:rPr>
          <w:rFonts w:hint="eastAsia"/>
          <w:color w:val="000000"/>
        </w:rPr>
        <w:t>空气质量检测报告</w:t>
      </w:r>
      <w:r>
        <w:rPr>
          <w:rFonts w:hint="eastAsia" w:ascii="宋体" w:hAnsi="宋体" w:cs="宋体"/>
          <w:szCs w:val="21"/>
        </w:rPr>
        <w:t>、接地电阻检测报告；</w:t>
      </w:r>
    </w:p>
    <w:p w14:paraId="767D7095">
      <w:pPr>
        <w:numPr>
          <w:ilvl w:val="0"/>
          <w:numId w:val="16"/>
        </w:numPr>
        <w:spacing w:line="360" w:lineRule="auto"/>
        <w:ind w:left="0" w:firstLine="420" w:firstLineChars="200"/>
        <w:rPr>
          <w:rFonts w:hint="eastAsia" w:ascii="宋体" w:hAnsi="宋体" w:cs="宋体"/>
          <w:szCs w:val="21"/>
        </w:rPr>
      </w:pPr>
      <w:r>
        <w:rPr>
          <w:rFonts w:hint="eastAsia" w:ascii="宋体" w:hAnsi="宋体" w:cs="宋体"/>
          <w:szCs w:val="21"/>
        </w:rPr>
        <w:t>每季度巡检样板、年度校准方案、二年维保计划表；</w:t>
      </w:r>
    </w:p>
    <w:p w14:paraId="4554F1E6">
      <w:pPr>
        <w:numPr>
          <w:ilvl w:val="0"/>
          <w:numId w:val="16"/>
        </w:numPr>
        <w:spacing w:line="360" w:lineRule="auto"/>
        <w:ind w:left="0" w:firstLine="420" w:firstLineChars="200"/>
        <w:rPr>
          <w:rFonts w:hint="eastAsia" w:ascii="宋体" w:hAnsi="宋体" w:cs="宋体"/>
          <w:szCs w:val="21"/>
        </w:rPr>
      </w:pPr>
      <w:r>
        <w:rPr>
          <w:rFonts w:hint="eastAsia" w:ascii="宋体" w:hAnsi="宋体" w:cs="宋体"/>
          <w:szCs w:val="21"/>
        </w:rPr>
        <w:t>设备台账、耗材更换周期清单、故障应急处置手册；</w:t>
      </w:r>
    </w:p>
    <w:p w14:paraId="66D0E270">
      <w:pPr>
        <w:numPr>
          <w:ilvl w:val="0"/>
          <w:numId w:val="16"/>
        </w:numPr>
        <w:spacing w:line="360" w:lineRule="auto"/>
        <w:ind w:left="0" w:firstLine="420" w:firstLineChars="200"/>
        <w:rPr>
          <w:rFonts w:hint="eastAsia" w:ascii="宋体" w:hAnsi="宋体" w:cs="宋体"/>
          <w:szCs w:val="21"/>
        </w:rPr>
      </w:pPr>
      <w:r>
        <w:rPr>
          <w:rFonts w:hint="eastAsia" w:ascii="宋体" w:hAnsi="宋体" w:cs="宋体"/>
          <w:szCs w:val="21"/>
        </w:rPr>
        <w:t>施工人员焊工证、特种设备管理员证复印件；</w:t>
      </w:r>
    </w:p>
    <w:p w14:paraId="768BD360">
      <w:pPr>
        <w:numPr>
          <w:ilvl w:val="0"/>
          <w:numId w:val="16"/>
        </w:numPr>
        <w:spacing w:line="360" w:lineRule="auto"/>
        <w:ind w:left="0" w:firstLine="420" w:firstLineChars="200"/>
        <w:rPr>
          <w:rFonts w:hint="eastAsia" w:ascii="宋体" w:hAnsi="宋体" w:cs="宋体"/>
          <w:szCs w:val="21"/>
        </w:rPr>
      </w:pPr>
      <w:r>
        <w:rPr>
          <w:rFonts w:hint="eastAsia" w:ascii="宋体" w:hAnsi="宋体" w:cs="宋体"/>
          <w:szCs w:val="21"/>
        </w:rPr>
        <w:t>施工全过程影像/照片资料（拆除、焊接、脱脂、试压、调试照片视频）。</w:t>
      </w:r>
    </w:p>
    <w:p w14:paraId="6D391145">
      <w:pPr>
        <w:numPr>
          <w:ilvl w:val="0"/>
          <w:numId w:val="16"/>
        </w:numPr>
        <w:spacing w:line="360" w:lineRule="auto"/>
        <w:ind w:left="0" w:firstLine="420" w:firstLineChars="200"/>
        <w:rPr>
          <w:rFonts w:hint="eastAsia" w:ascii="宋体" w:hAnsi="宋体" w:cs="宋体"/>
          <w:szCs w:val="21"/>
        </w:rPr>
      </w:pPr>
      <w:r>
        <w:rPr>
          <w:rFonts w:hint="eastAsia" w:ascii="宋体" w:hAnsi="宋体" w:cs="宋体"/>
          <w:szCs w:val="21"/>
        </w:rPr>
        <w:t>特种设备全套登记及检验档案：各压力容器特种设备使用登记证、注册登记表、首次使用检验报告、设备注册代码台账原件及电子版。</w:t>
      </w:r>
    </w:p>
    <w:p w14:paraId="41586699">
      <w:pPr>
        <w:pStyle w:val="44"/>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    11.中标人必须在竣工验收前完成全部新增压力容器使用登记，拿到《特种设备使用登记证》；旧压力容器注销全部手续、规费全部包含在合同总价;未完成取证不予竣工结算付款。</w:t>
      </w:r>
    </w:p>
    <w:p w14:paraId="7764D006">
      <w:pPr>
        <w:spacing w:line="360" w:lineRule="auto"/>
        <w:rPr>
          <w:rFonts w:hint="eastAsia" w:ascii="宋体" w:hAnsi="宋体" w:cs="宋体"/>
          <w:b/>
          <w:bCs/>
          <w:szCs w:val="21"/>
        </w:rPr>
      </w:pPr>
      <w:r>
        <w:rPr>
          <w:rFonts w:hint="eastAsia" w:ascii="宋体" w:hAnsi="宋体" w:cs="宋体"/>
          <w:b/>
          <w:bCs/>
          <w:szCs w:val="21"/>
        </w:rPr>
        <w:t>八、 人员培训、售后配套约定</w:t>
      </w:r>
    </w:p>
    <w:p w14:paraId="718D6B37">
      <w:pPr>
        <w:spacing w:line="360" w:lineRule="auto"/>
        <w:rPr>
          <w:rFonts w:hint="eastAsia" w:ascii="宋体" w:hAnsi="宋体" w:cs="宋体"/>
          <w:b/>
          <w:bCs/>
          <w:szCs w:val="21"/>
        </w:rPr>
      </w:pPr>
      <w:r>
        <w:rPr>
          <w:rFonts w:hint="eastAsia" w:ascii="宋体" w:hAnsi="宋体" w:cs="宋体"/>
          <w:b/>
          <w:bCs/>
          <w:szCs w:val="21"/>
        </w:rPr>
        <w:t>分层次专项培训（质保期内不少于 2 次完整线下实操培训）</w:t>
      </w:r>
    </w:p>
    <w:p w14:paraId="595712B1">
      <w:pPr>
        <w:numPr>
          <w:ilvl w:val="0"/>
          <w:numId w:val="17"/>
        </w:numPr>
        <w:spacing w:line="360" w:lineRule="auto"/>
        <w:ind w:left="0" w:firstLine="420" w:firstLineChars="200"/>
        <w:rPr>
          <w:rFonts w:hint="eastAsia" w:ascii="宋体" w:hAnsi="宋体" w:cs="宋体"/>
          <w:szCs w:val="21"/>
        </w:rPr>
      </w:pPr>
      <w:r>
        <w:rPr>
          <w:rFonts w:hint="eastAsia" w:ascii="宋体" w:hAnsi="宋体" w:cs="宋体"/>
          <w:szCs w:val="21"/>
        </w:rPr>
        <w:t>基础运维培训（面向医院氧气班成员）：设备启停、压力参数调整、报警识别、日常巡检操作；</w:t>
      </w:r>
    </w:p>
    <w:p w14:paraId="7C74F7EC">
      <w:pPr>
        <w:numPr>
          <w:ilvl w:val="0"/>
          <w:numId w:val="17"/>
        </w:numPr>
        <w:spacing w:line="360" w:lineRule="auto"/>
        <w:ind w:left="0" w:firstLine="420" w:firstLineChars="200"/>
        <w:rPr>
          <w:rFonts w:hint="eastAsia" w:ascii="宋体" w:hAnsi="宋体" w:cs="宋体"/>
          <w:szCs w:val="21"/>
        </w:rPr>
      </w:pPr>
      <w:r>
        <w:rPr>
          <w:rFonts w:hint="eastAsia" w:ascii="宋体" w:hAnsi="宋体" w:cs="宋体"/>
          <w:szCs w:val="21"/>
        </w:rPr>
        <w:t>深度故障处置培训：机组故障判断、备用设备手动切换、报警信号溯源、临时应急供气操作；</w:t>
      </w:r>
    </w:p>
    <w:p w14:paraId="2E5820F5">
      <w:pPr>
        <w:numPr>
          <w:ilvl w:val="0"/>
          <w:numId w:val="17"/>
        </w:numPr>
        <w:spacing w:line="360" w:lineRule="auto"/>
        <w:ind w:left="0" w:firstLine="420" w:firstLineChars="200"/>
        <w:rPr>
          <w:rFonts w:hint="eastAsia" w:ascii="宋体" w:hAnsi="宋体" w:cs="宋体"/>
          <w:szCs w:val="21"/>
        </w:rPr>
      </w:pPr>
      <w:r>
        <w:rPr>
          <w:rFonts w:hint="eastAsia" w:ascii="宋体" w:hAnsi="宋体" w:cs="宋体"/>
          <w:szCs w:val="21"/>
        </w:rPr>
        <w:t>安全专项培训：空压机防爆、静电接地安全规范；</w:t>
      </w:r>
    </w:p>
    <w:p w14:paraId="05F5132D">
      <w:pPr>
        <w:numPr>
          <w:ilvl w:val="0"/>
          <w:numId w:val="17"/>
        </w:numPr>
        <w:spacing w:line="360" w:lineRule="auto"/>
        <w:ind w:left="0" w:firstLine="420" w:firstLineChars="200"/>
        <w:rPr>
          <w:rFonts w:hint="eastAsia" w:ascii="宋体" w:hAnsi="宋体" w:cs="宋体"/>
          <w:szCs w:val="21"/>
        </w:rPr>
      </w:pPr>
      <w:r>
        <w:rPr>
          <w:rFonts w:hint="eastAsia" w:ascii="宋体" w:hAnsi="宋体" w:cs="宋体"/>
          <w:szCs w:val="21"/>
        </w:rPr>
        <w:t>监控系统培训：后台数据查询、报警记录导出、传感器校准操作、远程通讯排查。</w:t>
      </w:r>
    </w:p>
    <w:p w14:paraId="25ED535B">
      <w:pPr>
        <w:spacing w:line="360" w:lineRule="auto"/>
        <w:rPr>
          <w:rFonts w:hint="eastAsia" w:ascii="宋体" w:hAnsi="宋体" w:cs="宋体"/>
          <w:b/>
          <w:bCs/>
          <w:szCs w:val="21"/>
        </w:rPr>
      </w:pPr>
      <w:r>
        <w:rPr>
          <w:rFonts w:hint="eastAsia" w:ascii="宋体" w:hAnsi="宋体" w:cs="宋体"/>
          <w:b/>
          <w:bCs/>
          <w:szCs w:val="21"/>
        </w:rPr>
        <w:t>培训配套资料</w:t>
      </w:r>
    </w:p>
    <w:p w14:paraId="1CA391C4">
      <w:pPr>
        <w:spacing w:line="360" w:lineRule="auto"/>
        <w:ind w:firstLine="420" w:firstLineChars="200"/>
        <w:rPr>
          <w:rFonts w:hint="eastAsia" w:ascii="宋体" w:hAnsi="宋体" w:cs="宋体"/>
          <w:szCs w:val="21"/>
        </w:rPr>
      </w:pPr>
      <w:r>
        <w:rPr>
          <w:rFonts w:hint="eastAsia" w:ascii="宋体" w:hAnsi="宋体" w:cs="宋体"/>
          <w:szCs w:val="21"/>
        </w:rPr>
        <w:t>提供纸质与电子版《医用气体系统操作与维保手册》，包含系统原理图、故障对照表、耗材更换周期、安全操作禁令、关键操作步骤的演练视频资料，以及便于移动端查阅的电子版操作手册，留存医院后勤保障处能源动力与节能管理科。</w:t>
      </w:r>
    </w:p>
    <w:p w14:paraId="4A1BDF86">
      <w:pPr>
        <w:jc w:val="center"/>
        <w:rPr>
          <w:sz w:val="36"/>
        </w:rPr>
      </w:pPr>
      <w:bookmarkStart w:id="111" w:name="_Toc23859"/>
      <w:r>
        <w:rPr>
          <w:rFonts w:hint="eastAsia"/>
          <w:sz w:val="36"/>
        </w:rPr>
        <w:br w:type="page"/>
      </w:r>
      <w:r>
        <w:rPr>
          <w:rFonts w:hint="eastAsia"/>
          <w:b/>
          <w:bCs/>
          <w:sz w:val="36"/>
        </w:rPr>
        <w:t>第五章 评标方法及评标标准</w:t>
      </w:r>
      <w:bookmarkEnd w:id="95"/>
      <w:bookmarkEnd w:id="111"/>
    </w:p>
    <w:p w14:paraId="2A5AF0EC">
      <w:pPr>
        <w:pStyle w:val="311"/>
        <w:spacing w:before="0" w:after="0"/>
        <w:ind w:firstLine="422"/>
        <w:rPr>
          <w:rFonts w:ascii="Times New Roman" w:hAnsi="Times New Roman"/>
          <w:b/>
          <w:sz w:val="21"/>
          <w:szCs w:val="21"/>
        </w:rPr>
      </w:pPr>
      <w:r>
        <w:rPr>
          <w:rFonts w:hint="eastAsia" w:ascii="Times New Roman" w:hAnsi="Times New Roman"/>
          <w:b/>
          <w:sz w:val="21"/>
          <w:szCs w:val="21"/>
        </w:rPr>
        <w:t>一、评标方法</w:t>
      </w:r>
    </w:p>
    <w:p w14:paraId="7DD94E05">
      <w:pPr>
        <w:pStyle w:val="311"/>
        <w:spacing w:before="0" w:after="0"/>
        <w:ind w:firstLine="420"/>
        <w:rPr>
          <w:rFonts w:hint="eastAsia" w:ascii="宋体" w:hAnsi="宋体"/>
          <w:sz w:val="21"/>
          <w:szCs w:val="21"/>
        </w:rPr>
      </w:pPr>
      <w:bookmarkStart w:id="112" w:name="_Toc449017024"/>
      <w:bookmarkStart w:id="113" w:name="_Toc449016388"/>
      <w:r>
        <w:rPr>
          <w:rFonts w:hint="eastAsia" w:ascii="宋体" w:hAnsi="宋体"/>
          <w:sz w:val="21"/>
          <w:szCs w:val="21"/>
        </w:rPr>
        <w:t>本项目采用综合评分法，评委会将对确定为实质性响应采购文件要求的投标文件进行评价和比较。评审结果按综合得分由高到低顺序排列。得分相同的，按报价由低到高顺序排列。得分且报价相同的并列。投标文件满足采购文件全部实质性要求，且按照评审因素的量化指标评审得分最高的</w:t>
      </w:r>
      <w:ins w:id="2" w:author="李俊" w:date="2026-09-14T13:53:00Z">
        <w:r>
          <w:rPr>
            <w:rFonts w:hint="eastAsia" w:ascii="宋体" w:hAnsi="宋体"/>
            <w:sz w:val="21"/>
            <w:szCs w:val="21"/>
          </w:rPr>
          <w:t>第一</w:t>
        </w:r>
      </w:ins>
      <w:r>
        <w:rPr>
          <w:rFonts w:hint="eastAsia" w:ascii="宋体" w:hAnsi="宋体"/>
          <w:sz w:val="21"/>
          <w:szCs w:val="21"/>
        </w:rPr>
        <w:t>名供应商为中标候选人。</w:t>
      </w:r>
    </w:p>
    <w:tbl>
      <w:tblPr>
        <w:tblStyle w:val="36"/>
        <w:tblW w:w="49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06"/>
        <w:gridCol w:w="824"/>
        <w:gridCol w:w="5795"/>
        <w:gridCol w:w="642"/>
      </w:tblGrid>
      <w:tr w14:paraId="75658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jc w:val="center"/>
        </w:trPr>
        <w:tc>
          <w:tcPr>
            <w:tcW w:w="609"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493102D">
            <w:pPr>
              <w:tabs>
                <w:tab w:val="left" w:pos="900"/>
              </w:tabs>
              <w:adjustRightInd w:val="0"/>
              <w:snapToGrid w:val="0"/>
              <w:spacing w:line="440" w:lineRule="exact"/>
              <w:jc w:val="center"/>
              <w:rPr>
                <w:rFonts w:hint="eastAsia" w:ascii="宋体" w:hAnsi="宋体" w:cs="宋体"/>
                <w:b/>
                <w:bCs/>
                <w:snapToGrid w:val="0"/>
                <w:szCs w:val="21"/>
              </w:rPr>
            </w:pPr>
            <w:r>
              <w:rPr>
                <w:rFonts w:hint="eastAsia" w:ascii="宋体" w:hAnsi="宋体" w:cs="宋体"/>
                <w:b/>
                <w:bCs/>
                <w:snapToGrid w:val="0"/>
                <w:szCs w:val="21"/>
              </w:rPr>
              <w:t>评分项目</w:t>
            </w:r>
          </w:p>
        </w:tc>
        <w:tc>
          <w:tcPr>
            <w:tcW w:w="4002" w:type="pct"/>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8E059A6">
            <w:pPr>
              <w:tabs>
                <w:tab w:val="left" w:pos="900"/>
              </w:tabs>
              <w:adjustRightInd w:val="0"/>
              <w:snapToGrid w:val="0"/>
              <w:spacing w:line="440" w:lineRule="exact"/>
              <w:jc w:val="center"/>
              <w:rPr>
                <w:rFonts w:hint="eastAsia" w:ascii="宋体" w:hAnsi="宋体" w:cs="宋体"/>
                <w:b/>
                <w:bCs/>
                <w:snapToGrid w:val="0"/>
                <w:szCs w:val="21"/>
              </w:rPr>
            </w:pPr>
            <w:r>
              <w:rPr>
                <w:rFonts w:hint="eastAsia" w:ascii="宋体" w:hAnsi="宋体" w:cs="宋体"/>
                <w:b/>
                <w:bCs/>
                <w:snapToGrid w:val="0"/>
                <w:szCs w:val="21"/>
              </w:rPr>
              <w:t>评审内容</w:t>
            </w:r>
          </w:p>
        </w:tc>
        <w:tc>
          <w:tcPr>
            <w:tcW w:w="388" w:type="pct"/>
            <w:tcBorders>
              <w:top w:val="single" w:color="auto" w:sz="4" w:space="0"/>
              <w:left w:val="single" w:color="auto" w:sz="4" w:space="0"/>
              <w:bottom w:val="single" w:color="auto" w:sz="4" w:space="0"/>
              <w:right w:val="single" w:color="auto" w:sz="4" w:space="0"/>
            </w:tcBorders>
          </w:tcPr>
          <w:p w14:paraId="01DC2434">
            <w:pPr>
              <w:tabs>
                <w:tab w:val="left" w:pos="900"/>
              </w:tabs>
              <w:adjustRightInd w:val="0"/>
              <w:snapToGrid w:val="0"/>
              <w:spacing w:line="440" w:lineRule="exact"/>
              <w:jc w:val="center"/>
              <w:rPr>
                <w:rFonts w:hint="eastAsia" w:ascii="宋体" w:hAnsi="宋体" w:cs="宋体"/>
                <w:b/>
                <w:bCs/>
                <w:snapToGrid w:val="0"/>
                <w:szCs w:val="21"/>
              </w:rPr>
            </w:pPr>
            <w:r>
              <w:rPr>
                <w:rFonts w:hint="eastAsia" w:ascii="宋体" w:hAnsi="宋体" w:cs="宋体"/>
                <w:b/>
                <w:bCs/>
                <w:snapToGrid w:val="0"/>
                <w:szCs w:val="21"/>
              </w:rPr>
              <w:t>分值</w:t>
            </w:r>
          </w:p>
        </w:tc>
      </w:tr>
      <w:tr w14:paraId="46E1C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2" w:hRule="atLeast"/>
          <w:jc w:val="center"/>
        </w:trPr>
        <w:tc>
          <w:tcPr>
            <w:tcW w:w="609"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3AFFD34">
            <w:pPr>
              <w:tabs>
                <w:tab w:val="left" w:pos="900"/>
              </w:tabs>
              <w:adjustRightInd w:val="0"/>
              <w:snapToGrid w:val="0"/>
              <w:spacing w:line="440" w:lineRule="exact"/>
              <w:jc w:val="center"/>
              <w:rPr>
                <w:rFonts w:hint="eastAsia" w:ascii="宋体" w:hAnsi="宋体" w:cs="宋体"/>
                <w:snapToGrid w:val="0"/>
                <w:szCs w:val="21"/>
              </w:rPr>
            </w:pPr>
            <w:r>
              <w:rPr>
                <w:rFonts w:hint="eastAsia" w:ascii="宋体" w:hAnsi="宋体" w:cs="宋体"/>
                <w:snapToGrid w:val="0"/>
                <w:szCs w:val="21"/>
              </w:rPr>
              <w:t>价格分</w:t>
            </w:r>
          </w:p>
          <w:p w14:paraId="21918F61">
            <w:pPr>
              <w:tabs>
                <w:tab w:val="left" w:pos="900"/>
              </w:tabs>
              <w:adjustRightInd w:val="0"/>
              <w:snapToGrid w:val="0"/>
              <w:spacing w:line="440" w:lineRule="exact"/>
              <w:jc w:val="center"/>
              <w:rPr>
                <w:rFonts w:hint="eastAsia" w:ascii="宋体" w:hAnsi="宋体" w:cs="宋体"/>
                <w:snapToGrid w:val="0"/>
                <w:szCs w:val="21"/>
              </w:rPr>
            </w:pPr>
            <w:r>
              <w:rPr>
                <w:rFonts w:hint="eastAsia" w:ascii="宋体" w:hAnsi="宋体" w:cs="宋体"/>
                <w:snapToGrid w:val="0"/>
                <w:szCs w:val="21"/>
              </w:rPr>
              <w:t>(30分）</w:t>
            </w:r>
          </w:p>
        </w:tc>
        <w:tc>
          <w:tcPr>
            <w:tcW w:w="4002" w:type="pct"/>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8364DC2">
            <w:pPr>
              <w:tabs>
                <w:tab w:val="left" w:pos="900"/>
              </w:tabs>
              <w:adjustRightInd w:val="0"/>
              <w:snapToGrid w:val="0"/>
              <w:spacing w:line="440" w:lineRule="exact"/>
              <w:rPr>
                <w:rFonts w:hint="eastAsia" w:ascii="宋体" w:hAnsi="宋体" w:cs="宋体"/>
                <w:snapToGrid w:val="0"/>
                <w:szCs w:val="21"/>
              </w:rPr>
            </w:pPr>
            <w:r>
              <w:rPr>
                <w:rFonts w:hint="eastAsia" w:ascii="宋体" w:hAnsi="宋体" w:cs="宋体"/>
                <w:snapToGrid w:val="0"/>
                <w:szCs w:val="21"/>
              </w:rPr>
              <w:t>价格评审采用低价优先法计算，即满足采购文件要求且价格最低的报价为基准价，其价格分为满分30分。其他供应商的价格分按照下列公式计算＝（基准价/最终报价）×30×100％，保留两位小数。</w:t>
            </w:r>
          </w:p>
          <w:p w14:paraId="0651FD4C">
            <w:pPr>
              <w:tabs>
                <w:tab w:val="left" w:pos="900"/>
              </w:tabs>
              <w:adjustRightInd w:val="0"/>
              <w:snapToGrid w:val="0"/>
              <w:spacing w:line="440" w:lineRule="exact"/>
              <w:rPr>
                <w:rFonts w:hint="eastAsia" w:ascii="宋体" w:hAnsi="宋体" w:cs="宋体"/>
                <w:snapToGrid w:val="0"/>
                <w:szCs w:val="21"/>
              </w:rPr>
            </w:pPr>
            <w:r>
              <w:rPr>
                <w:rFonts w:hint="eastAsia" w:ascii="宋体" w:hAnsi="宋体" w:cs="宋体"/>
                <w:b/>
                <w:szCs w:val="21"/>
              </w:rPr>
              <w:t>注：评审时出现异常低价时应启动异常低价审查。具体详见本章第二条。</w:t>
            </w:r>
          </w:p>
        </w:tc>
        <w:tc>
          <w:tcPr>
            <w:tcW w:w="388" w:type="pct"/>
            <w:tcBorders>
              <w:top w:val="single" w:color="auto" w:sz="4" w:space="0"/>
              <w:left w:val="single" w:color="auto" w:sz="4" w:space="0"/>
              <w:bottom w:val="single" w:color="auto" w:sz="4" w:space="0"/>
              <w:right w:val="single" w:color="auto" w:sz="4" w:space="0"/>
            </w:tcBorders>
            <w:vAlign w:val="center"/>
          </w:tcPr>
          <w:p w14:paraId="126EFCB7">
            <w:pPr>
              <w:tabs>
                <w:tab w:val="left" w:pos="900"/>
              </w:tabs>
              <w:adjustRightInd w:val="0"/>
              <w:snapToGrid w:val="0"/>
              <w:spacing w:line="440" w:lineRule="exact"/>
              <w:jc w:val="center"/>
              <w:rPr>
                <w:rFonts w:hint="eastAsia" w:ascii="宋体" w:hAnsi="宋体" w:cs="宋体"/>
                <w:snapToGrid w:val="0"/>
                <w:szCs w:val="21"/>
              </w:rPr>
            </w:pPr>
            <w:r>
              <w:rPr>
                <w:rFonts w:hint="eastAsia" w:ascii="宋体" w:hAnsi="宋体" w:cs="宋体"/>
                <w:snapToGrid w:val="0"/>
                <w:szCs w:val="21"/>
              </w:rPr>
              <w:t>30</w:t>
            </w:r>
          </w:p>
        </w:tc>
      </w:tr>
      <w:tr w14:paraId="3D151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0" w:hRule="atLeast"/>
          <w:jc w:val="center"/>
        </w:trPr>
        <w:tc>
          <w:tcPr>
            <w:tcW w:w="609"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E153F11">
            <w:pPr>
              <w:tabs>
                <w:tab w:val="left" w:pos="900"/>
              </w:tabs>
              <w:adjustRightInd w:val="0"/>
              <w:snapToGrid w:val="0"/>
              <w:spacing w:line="440" w:lineRule="exact"/>
              <w:jc w:val="center"/>
              <w:rPr>
                <w:rFonts w:hint="eastAsia" w:ascii="宋体" w:hAnsi="宋体" w:cs="宋体"/>
                <w:snapToGrid w:val="0"/>
                <w:szCs w:val="21"/>
              </w:rPr>
            </w:pPr>
            <w:r>
              <w:rPr>
                <w:rFonts w:hint="eastAsia" w:ascii="宋体" w:hAnsi="宋体" w:cs="宋体"/>
                <w:snapToGrid w:val="0"/>
                <w:szCs w:val="21"/>
              </w:rPr>
              <w:t>技术指标</w:t>
            </w:r>
          </w:p>
          <w:p w14:paraId="702152E7">
            <w:pPr>
              <w:tabs>
                <w:tab w:val="left" w:pos="900"/>
              </w:tabs>
              <w:adjustRightInd w:val="0"/>
              <w:snapToGrid w:val="0"/>
              <w:spacing w:line="440" w:lineRule="exact"/>
              <w:jc w:val="center"/>
              <w:rPr>
                <w:rFonts w:hint="eastAsia" w:ascii="宋体" w:hAnsi="宋体" w:cs="宋体"/>
                <w:snapToGrid w:val="0"/>
                <w:szCs w:val="21"/>
              </w:rPr>
            </w:pPr>
            <w:r>
              <w:rPr>
                <w:rFonts w:hint="eastAsia" w:ascii="宋体" w:hAnsi="宋体" w:cs="宋体"/>
                <w:snapToGrid w:val="0"/>
                <w:szCs w:val="21"/>
              </w:rPr>
              <w:t>（</w:t>
            </w:r>
            <w:r>
              <w:rPr>
                <w:rFonts w:hint="eastAsia" w:ascii="宋体" w:hAnsi="宋体" w:cs="宋体"/>
                <w:snapToGrid w:val="0"/>
                <w:szCs w:val="21"/>
                <w:lang w:val="en-US" w:eastAsia="zh-CN"/>
              </w:rPr>
              <w:t>31</w:t>
            </w:r>
            <w:r>
              <w:rPr>
                <w:rFonts w:hint="eastAsia" w:ascii="宋体" w:hAnsi="宋体" w:cs="宋体"/>
                <w:snapToGrid w:val="0"/>
                <w:szCs w:val="21"/>
              </w:rPr>
              <w:t>分）</w:t>
            </w:r>
          </w:p>
        </w:tc>
        <w:tc>
          <w:tcPr>
            <w:tcW w:w="4002" w:type="pct"/>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9765F0E">
            <w:pPr>
              <w:spacing w:line="360" w:lineRule="auto"/>
              <w:rPr>
                <w:rFonts w:hint="eastAsia" w:ascii="宋体" w:hAnsi="宋体" w:cs="宋体"/>
                <w:bCs/>
                <w:szCs w:val="21"/>
              </w:rPr>
            </w:pPr>
            <w:r>
              <w:rPr>
                <w:rFonts w:hint="eastAsia" w:ascii="宋体" w:hAnsi="宋体" w:cs="宋体"/>
                <w:bCs/>
                <w:szCs w:val="21"/>
              </w:rPr>
              <w:t>由评委依据投标人对项目需求</w:t>
            </w:r>
            <w:r>
              <w:rPr>
                <w:rFonts w:hint="eastAsia" w:ascii="宋体" w:hAnsi="宋体" w:cs="宋体"/>
                <w:b/>
                <w:szCs w:val="21"/>
              </w:rPr>
              <w:t>“二、</w:t>
            </w:r>
            <w:r>
              <w:rPr>
                <w:rFonts w:hint="eastAsia" w:ascii="宋体" w:hAnsi="宋体" w:cs="宋体"/>
                <w:b/>
                <w:bCs/>
                <w:szCs w:val="21"/>
              </w:rPr>
              <w:t>设备及工程量明细”“三、分系统专项技术规范</w:t>
            </w:r>
            <w:r>
              <w:rPr>
                <w:rFonts w:hint="eastAsia" w:ascii="宋体" w:hAnsi="宋体" w:cs="宋体"/>
                <w:bCs/>
                <w:szCs w:val="21"/>
              </w:rPr>
              <w:t>”除</w:t>
            </w:r>
            <w:r>
              <w:rPr>
                <w:rFonts w:hint="eastAsia"/>
              </w:rPr>
              <w:t>“★”</w:t>
            </w:r>
            <w:r>
              <w:rPr>
                <w:rFonts w:hint="eastAsia" w:ascii="宋体" w:hAnsi="宋体" w:cs="宋体"/>
                <w:bCs/>
                <w:szCs w:val="21"/>
              </w:rPr>
              <w:t>符合项外响应情况进行综合评分：主要设备选型及技术指标达到国家相关技术标准的要求，并满足招标文件要求得</w:t>
            </w:r>
            <w:r>
              <w:rPr>
                <w:rFonts w:hint="eastAsia" w:ascii="宋体" w:hAnsi="宋体" w:cs="宋体"/>
                <w:bCs/>
                <w:szCs w:val="21"/>
                <w:lang w:val="en-US" w:eastAsia="zh-CN"/>
              </w:rPr>
              <w:t>31</w:t>
            </w:r>
            <w:r>
              <w:rPr>
                <w:rFonts w:hint="eastAsia" w:ascii="宋体" w:hAnsi="宋体" w:cs="宋体"/>
                <w:bCs/>
                <w:szCs w:val="21"/>
              </w:rPr>
              <w:t>分。</w:t>
            </w:r>
          </w:p>
          <w:p w14:paraId="5D296EBB">
            <w:pPr>
              <w:spacing w:line="360" w:lineRule="auto"/>
              <w:rPr>
                <w:rFonts w:hint="eastAsia" w:ascii="宋体" w:hAnsi="宋体" w:cs="宋体"/>
                <w:bCs/>
                <w:szCs w:val="21"/>
              </w:rPr>
            </w:pPr>
            <w:r>
              <w:rPr>
                <w:rFonts w:hint="eastAsia" w:ascii="宋体" w:hAnsi="宋体" w:cs="宋体"/>
                <w:szCs w:val="21"/>
              </w:rPr>
              <w:t>“</w:t>
            </w:r>
            <w:r>
              <w:rPr>
                <w:rFonts w:hint="eastAsia" w:ascii="宋体" w:hAnsi="宋体" w:cs="宋体"/>
                <w:snapToGrid w:val="0"/>
                <w:szCs w:val="21"/>
              </w:rPr>
              <w:t>▲</w:t>
            </w:r>
            <w:r>
              <w:rPr>
                <w:rFonts w:hint="eastAsia" w:ascii="宋体" w:hAnsi="宋体" w:cs="宋体"/>
                <w:szCs w:val="21"/>
              </w:rPr>
              <w:t>”共</w:t>
            </w:r>
            <w:r>
              <w:rPr>
                <w:rFonts w:hint="eastAsia" w:ascii="宋体" w:hAnsi="宋体" w:cs="宋体"/>
                <w:szCs w:val="21"/>
                <w:lang w:val="en-US" w:eastAsia="zh-CN"/>
              </w:rPr>
              <w:t>9</w:t>
            </w:r>
            <w:r>
              <w:rPr>
                <w:rFonts w:hint="eastAsia" w:ascii="宋体" w:hAnsi="宋体" w:cs="宋体"/>
                <w:szCs w:val="21"/>
              </w:rPr>
              <w:t>条，每有1条负偏离扣2分，总分1</w:t>
            </w:r>
            <w:r>
              <w:rPr>
                <w:rFonts w:hint="eastAsia" w:ascii="宋体" w:hAnsi="宋体" w:cs="宋体"/>
                <w:szCs w:val="21"/>
                <w:lang w:val="en-US" w:eastAsia="zh-CN"/>
              </w:rPr>
              <w:t>8</w:t>
            </w:r>
            <w:r>
              <w:rPr>
                <w:rFonts w:hint="eastAsia" w:ascii="宋体" w:hAnsi="宋体" w:cs="宋体"/>
                <w:szCs w:val="21"/>
              </w:rPr>
              <w:t>分。</w:t>
            </w:r>
            <w:r>
              <w:rPr>
                <w:rFonts w:hint="eastAsia" w:ascii="宋体" w:hAnsi="宋体" w:cs="宋体"/>
                <w:bCs/>
                <w:szCs w:val="21"/>
              </w:rPr>
              <w:t>其他非“▲”参数共130条，</w:t>
            </w:r>
            <w:r>
              <w:rPr>
                <w:rFonts w:hint="eastAsia" w:ascii="宋体" w:hAnsi="宋体" w:cs="宋体"/>
                <w:szCs w:val="21"/>
              </w:rPr>
              <w:t>每有1条负偏离扣0.1分</w:t>
            </w:r>
            <w:r>
              <w:rPr>
                <w:rFonts w:hint="eastAsia" w:ascii="宋体" w:hAnsi="宋体" w:cs="宋体"/>
                <w:bCs/>
                <w:szCs w:val="21"/>
              </w:rPr>
              <w:t>，</w:t>
            </w:r>
            <w:r>
              <w:rPr>
                <w:rFonts w:hint="eastAsia" w:ascii="宋体" w:hAnsi="宋体" w:cs="宋体"/>
                <w:szCs w:val="21"/>
              </w:rPr>
              <w:t>总分13分</w:t>
            </w:r>
            <w:r>
              <w:rPr>
                <w:rFonts w:hint="eastAsia" w:ascii="宋体" w:hAnsi="宋体" w:cs="宋体"/>
                <w:bCs/>
                <w:szCs w:val="21"/>
              </w:rPr>
              <w:t>。</w:t>
            </w:r>
          </w:p>
          <w:p w14:paraId="1989E330">
            <w:pPr>
              <w:spacing w:line="360" w:lineRule="auto"/>
              <w:ind w:firstLine="420"/>
              <w:rPr>
                <w:rFonts w:hint="eastAsia" w:ascii="宋体" w:hAnsi="宋体" w:cs="宋体"/>
                <w:bCs/>
                <w:szCs w:val="21"/>
              </w:rPr>
            </w:pPr>
            <w:r>
              <w:rPr>
                <w:rFonts w:hint="eastAsia" w:ascii="宋体" w:hAnsi="宋体" w:cs="宋体"/>
                <w:bCs/>
                <w:szCs w:val="21"/>
              </w:rPr>
              <w:t>投标人根据招标文件要求</w:t>
            </w:r>
            <w:r>
              <w:rPr>
                <w:rFonts w:hint="eastAsia" w:ascii="宋体" w:hAnsi="宋体" w:cs="宋体"/>
                <w:bCs/>
                <w:szCs w:val="21"/>
                <w:lang w:eastAsia="zh-CN"/>
              </w:rPr>
              <w:t>提供材料且</w:t>
            </w:r>
            <w:r>
              <w:rPr>
                <w:rFonts w:hint="eastAsia" w:ascii="宋体" w:hAnsi="宋体" w:cs="宋体"/>
                <w:szCs w:val="21"/>
              </w:rPr>
              <w:t>“</w:t>
            </w:r>
            <w:r>
              <w:rPr>
                <w:rFonts w:hint="eastAsia" w:ascii="宋体" w:hAnsi="宋体" w:cs="宋体"/>
                <w:snapToGrid w:val="0"/>
                <w:szCs w:val="21"/>
              </w:rPr>
              <w:t>▲</w:t>
            </w:r>
            <w:r>
              <w:rPr>
                <w:rFonts w:hint="eastAsia" w:ascii="宋体" w:hAnsi="宋体" w:cs="宋体"/>
                <w:szCs w:val="21"/>
              </w:rPr>
              <w:t>”项与非“</w:t>
            </w:r>
            <w:r>
              <w:rPr>
                <w:rFonts w:hint="eastAsia" w:ascii="宋体" w:hAnsi="宋体" w:cs="宋体"/>
                <w:snapToGrid w:val="0"/>
                <w:szCs w:val="21"/>
              </w:rPr>
              <w:t>▲</w:t>
            </w:r>
            <w:r>
              <w:rPr>
                <w:rFonts w:hint="eastAsia" w:ascii="宋体" w:hAnsi="宋体" w:cs="宋体"/>
                <w:szCs w:val="21"/>
              </w:rPr>
              <w:t>”项须在《技术参数响应及偏离表》中逐条应答，</w:t>
            </w:r>
            <w:r>
              <w:rPr>
                <w:rFonts w:hint="eastAsia" w:ascii="宋体" w:hAnsi="宋体" w:cs="宋体"/>
                <w:bCs/>
                <w:szCs w:val="21"/>
              </w:rPr>
              <w:t>否则评审小组有权不予认同该技术参数；</w:t>
            </w:r>
          </w:p>
          <w:p w14:paraId="59DD6773">
            <w:pPr>
              <w:spacing w:line="360" w:lineRule="auto"/>
              <w:ind w:firstLine="420"/>
              <w:rPr>
                <w:rFonts w:hint="eastAsia" w:ascii="宋体" w:hAnsi="宋体" w:cs="宋体"/>
                <w:bCs/>
                <w:szCs w:val="21"/>
              </w:rPr>
            </w:pPr>
            <w:r>
              <w:rPr>
                <w:rFonts w:hint="eastAsia" w:ascii="宋体" w:hAnsi="宋体" w:cs="宋体"/>
                <w:bCs/>
                <w:szCs w:val="21"/>
              </w:rPr>
              <w:t>投标人须对照招标技术要求逐条列出并对比，并详细说明投标产品的具体量化要求，如照抄招标文件要求或只写“完全响应“等字样的评审小组有权评定不得分。</w:t>
            </w:r>
          </w:p>
          <w:p w14:paraId="1DD69DC4">
            <w:pPr>
              <w:tabs>
                <w:tab w:val="left" w:pos="900"/>
              </w:tabs>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所有产品的产品性能、质量和配置必须如实填写，一经发现为故意虚假响应招标要求,将作无效标处理。如评标小组一致认为属实质性负偏离的亦为无效投标。</w:t>
            </w:r>
          </w:p>
        </w:tc>
        <w:tc>
          <w:tcPr>
            <w:tcW w:w="388" w:type="pct"/>
            <w:tcBorders>
              <w:top w:val="single" w:color="auto" w:sz="4" w:space="0"/>
              <w:left w:val="single" w:color="auto" w:sz="4" w:space="0"/>
              <w:bottom w:val="single" w:color="auto" w:sz="4" w:space="0"/>
              <w:right w:val="single" w:color="auto" w:sz="4" w:space="0"/>
            </w:tcBorders>
            <w:vAlign w:val="center"/>
          </w:tcPr>
          <w:p w14:paraId="4D6F2CC3">
            <w:pPr>
              <w:spacing w:line="360" w:lineRule="auto"/>
              <w:jc w:val="center"/>
              <w:rPr>
                <w:rFonts w:hint="default" w:ascii="宋体" w:hAnsi="宋体" w:eastAsia="宋体" w:cs="宋体"/>
                <w:bCs/>
                <w:szCs w:val="21"/>
                <w:lang w:val="en-US" w:eastAsia="zh-CN"/>
              </w:rPr>
            </w:pPr>
            <w:r>
              <w:rPr>
                <w:rFonts w:hint="eastAsia" w:ascii="宋体" w:hAnsi="宋体" w:cs="宋体"/>
                <w:bCs/>
                <w:szCs w:val="21"/>
                <w:lang w:val="en-US" w:eastAsia="zh-CN"/>
              </w:rPr>
              <w:t>31</w:t>
            </w:r>
          </w:p>
        </w:tc>
      </w:tr>
      <w:tr w14:paraId="4480A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609" w:type="pct"/>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D090D8F">
            <w:pPr>
              <w:tabs>
                <w:tab w:val="left" w:pos="900"/>
              </w:tabs>
              <w:adjustRightInd w:val="0"/>
              <w:snapToGrid w:val="0"/>
              <w:spacing w:line="440" w:lineRule="exact"/>
              <w:jc w:val="center"/>
              <w:rPr>
                <w:rFonts w:hint="eastAsia" w:ascii="宋体" w:hAnsi="宋体" w:cs="宋体"/>
                <w:snapToGrid w:val="0"/>
                <w:szCs w:val="21"/>
              </w:rPr>
            </w:pPr>
            <w:r>
              <w:rPr>
                <w:rFonts w:hint="eastAsia" w:ascii="宋体" w:hAnsi="宋体" w:cs="宋体"/>
                <w:snapToGrid w:val="0"/>
                <w:szCs w:val="21"/>
              </w:rPr>
              <w:t>商务指标</w:t>
            </w:r>
          </w:p>
          <w:p w14:paraId="0F5A243C">
            <w:pPr>
              <w:tabs>
                <w:tab w:val="left" w:pos="900"/>
              </w:tabs>
              <w:adjustRightInd w:val="0"/>
              <w:snapToGrid w:val="0"/>
              <w:spacing w:line="440" w:lineRule="exact"/>
              <w:jc w:val="center"/>
              <w:rPr>
                <w:rFonts w:hint="eastAsia" w:ascii="宋体" w:hAnsi="宋体" w:cs="宋体"/>
                <w:snapToGrid w:val="0"/>
                <w:szCs w:val="21"/>
              </w:rPr>
            </w:pPr>
            <w:r>
              <w:rPr>
                <w:rFonts w:hint="eastAsia" w:ascii="宋体" w:hAnsi="宋体" w:cs="宋体"/>
                <w:snapToGrid w:val="0"/>
                <w:szCs w:val="21"/>
              </w:rPr>
              <w:t>（</w:t>
            </w:r>
            <w:r>
              <w:rPr>
                <w:rFonts w:hint="eastAsia" w:ascii="宋体" w:hAnsi="宋体" w:cs="宋体"/>
                <w:snapToGrid w:val="0"/>
                <w:szCs w:val="21"/>
                <w:lang w:val="en-US" w:eastAsia="zh-CN"/>
              </w:rPr>
              <w:t>8</w:t>
            </w:r>
            <w:r>
              <w:rPr>
                <w:rFonts w:hint="eastAsia" w:ascii="宋体" w:hAnsi="宋体" w:cs="宋体"/>
                <w:snapToGrid w:val="0"/>
                <w:szCs w:val="21"/>
              </w:rPr>
              <w:t>分）</w:t>
            </w:r>
          </w:p>
        </w:tc>
        <w:tc>
          <w:tcPr>
            <w:tcW w:w="498"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02CB9E3">
            <w:pPr>
              <w:widowControl/>
              <w:jc w:val="center"/>
              <w:rPr>
                <w:rFonts w:hint="eastAsia" w:ascii="宋体" w:hAnsi="宋体" w:cs="宋体"/>
                <w:szCs w:val="21"/>
              </w:rPr>
            </w:pPr>
            <w:r>
              <w:rPr>
                <w:rFonts w:hint="eastAsia" w:ascii="宋体" w:hAnsi="宋体" w:cs="宋体"/>
                <w:szCs w:val="21"/>
                <w:lang w:bidi="ar"/>
              </w:rPr>
              <w:t>履约能力</w:t>
            </w:r>
          </w:p>
          <w:p w14:paraId="1EE3F3C3">
            <w:pPr>
              <w:adjustRightInd w:val="0"/>
              <w:snapToGrid w:val="0"/>
              <w:spacing w:line="360" w:lineRule="auto"/>
              <w:rPr>
                <w:rFonts w:hint="eastAsia" w:ascii="宋体" w:hAnsi="宋体" w:cs="宋体"/>
                <w:snapToGrid w:val="0"/>
                <w:szCs w:val="21"/>
              </w:rPr>
            </w:pPr>
            <w:r>
              <w:rPr>
                <w:rFonts w:hint="eastAsia" w:ascii="宋体" w:hAnsi="宋体" w:cs="宋体"/>
                <w:bCs/>
                <w:szCs w:val="21"/>
              </w:rPr>
              <w:t>（</w:t>
            </w:r>
            <w:r>
              <w:rPr>
                <w:rFonts w:hint="eastAsia" w:ascii="宋体" w:hAnsi="宋体" w:cs="宋体"/>
                <w:bCs/>
                <w:szCs w:val="21"/>
                <w:lang w:val="en-US" w:eastAsia="zh-CN"/>
              </w:rPr>
              <w:t>3</w:t>
            </w:r>
            <w:r>
              <w:rPr>
                <w:rFonts w:hint="eastAsia" w:ascii="宋体" w:hAnsi="宋体" w:cs="宋体"/>
                <w:bCs/>
                <w:szCs w:val="21"/>
              </w:rPr>
              <w:t>分）</w:t>
            </w:r>
          </w:p>
        </w:tc>
        <w:tc>
          <w:tcPr>
            <w:tcW w:w="3504" w:type="pct"/>
            <w:tcBorders>
              <w:top w:val="single" w:color="auto" w:sz="4" w:space="0"/>
              <w:left w:val="single" w:color="auto" w:sz="4" w:space="0"/>
              <w:bottom w:val="single" w:color="auto" w:sz="4" w:space="0"/>
              <w:right w:val="single" w:color="auto" w:sz="4" w:space="0"/>
            </w:tcBorders>
          </w:tcPr>
          <w:p w14:paraId="2A0B3F75">
            <w:pPr>
              <w:adjustRightInd w:val="0"/>
              <w:snapToGrid w:val="0"/>
              <w:spacing w:line="360" w:lineRule="auto"/>
              <w:rPr>
                <w:rFonts w:hint="eastAsia" w:ascii="宋体" w:hAnsi="宋体" w:cs="宋体"/>
                <w:b/>
                <w:bCs/>
                <w:szCs w:val="21"/>
                <w:lang w:bidi="ar"/>
              </w:rPr>
            </w:pPr>
            <w:r>
              <w:rPr>
                <w:rFonts w:hint="eastAsia" w:ascii="宋体" w:hAnsi="宋体" w:cs="宋体"/>
                <w:snapToGrid w:val="0"/>
                <w:szCs w:val="21"/>
              </w:rPr>
              <w:t>投标人具有有效期内的质量管理体系、职业健康安全管理体系、医疗器械质量管理体系认证证书；每份证书的认证范围须包含医用气体系统相关业务，证书可在发证机构官方渠道查询。每提供一份符合要求的证书得</w:t>
            </w:r>
            <w:ins w:id="3" w:author="李俊" w:date="2026-10-27T16:24:00Z">
              <w:r>
                <w:rPr>
                  <w:rFonts w:hint="eastAsia" w:ascii="宋体" w:hAnsi="宋体" w:cs="宋体"/>
                  <w:snapToGrid w:val="0"/>
                  <w:szCs w:val="21"/>
                </w:rPr>
                <w:t>1</w:t>
              </w:r>
            </w:ins>
            <w:r>
              <w:rPr>
                <w:rFonts w:hint="eastAsia" w:ascii="宋体" w:hAnsi="宋体" w:cs="宋体"/>
                <w:snapToGrid w:val="0"/>
                <w:szCs w:val="21"/>
              </w:rPr>
              <w:t>分，本项最高得</w:t>
            </w:r>
            <w:ins w:id="4" w:author="李俊" w:date="2026-10-27T16:24:00Z">
              <w:r>
                <w:rPr>
                  <w:rFonts w:hint="eastAsia" w:ascii="宋体" w:hAnsi="宋体" w:cs="宋体"/>
                  <w:snapToGrid w:val="0"/>
                  <w:szCs w:val="21"/>
                </w:rPr>
                <w:t>3</w:t>
              </w:r>
            </w:ins>
            <w:r>
              <w:rPr>
                <w:rFonts w:hint="eastAsia" w:ascii="宋体" w:hAnsi="宋体" w:cs="宋体"/>
                <w:snapToGrid w:val="0"/>
                <w:szCs w:val="21"/>
              </w:rPr>
              <w:t>分。</w:t>
            </w:r>
            <w:r>
              <w:rPr>
                <w:rFonts w:hint="eastAsia" w:ascii="宋体" w:hAnsi="宋体" w:cs="宋体"/>
                <w:b/>
                <w:bCs/>
                <w:szCs w:val="21"/>
                <w:lang w:bidi="ar"/>
              </w:rPr>
              <w:t>（提供国家市场监督管理总局全国认证认可信息公共服务平台或证书对应发证机构查询结果为有效截图及证书复印件加盖投标人公章）。</w:t>
            </w:r>
          </w:p>
        </w:tc>
        <w:tc>
          <w:tcPr>
            <w:tcW w:w="388" w:type="pct"/>
            <w:tcBorders>
              <w:top w:val="single" w:color="auto" w:sz="4" w:space="0"/>
              <w:left w:val="single" w:color="auto" w:sz="4" w:space="0"/>
              <w:bottom w:val="single" w:color="auto" w:sz="4" w:space="0"/>
              <w:right w:val="single" w:color="auto" w:sz="4" w:space="0"/>
            </w:tcBorders>
            <w:vAlign w:val="center"/>
          </w:tcPr>
          <w:p w14:paraId="0C8E2726">
            <w:pPr>
              <w:adjustRightInd w:val="0"/>
              <w:snapToGrid w:val="0"/>
              <w:spacing w:line="360" w:lineRule="auto"/>
              <w:jc w:val="center"/>
              <w:rPr>
                <w:rFonts w:hint="eastAsia" w:ascii="宋体" w:hAnsi="宋体" w:eastAsia="宋体" w:cs="宋体"/>
                <w:snapToGrid w:val="0"/>
                <w:szCs w:val="21"/>
                <w:lang w:eastAsia="zh-CN"/>
              </w:rPr>
            </w:pPr>
            <w:r>
              <w:rPr>
                <w:rFonts w:hint="eastAsia" w:ascii="宋体" w:hAnsi="宋体" w:cs="宋体"/>
                <w:snapToGrid w:val="0"/>
                <w:szCs w:val="21"/>
                <w:lang w:val="en-US" w:eastAsia="zh-CN"/>
              </w:rPr>
              <w:t>3</w:t>
            </w:r>
          </w:p>
        </w:tc>
      </w:tr>
      <w:tr w14:paraId="47146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68A4508">
            <w:pPr>
              <w:widowControl/>
              <w:rPr>
                <w:rFonts w:hint="eastAsia" w:ascii="宋体" w:hAnsi="宋体" w:cs="宋体"/>
                <w:snapToGrid w:val="0"/>
                <w:szCs w:val="21"/>
              </w:rPr>
            </w:pPr>
          </w:p>
        </w:tc>
        <w:tc>
          <w:tcPr>
            <w:tcW w:w="498"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187149A">
            <w:pPr>
              <w:widowControl/>
              <w:jc w:val="center"/>
              <w:rPr>
                <w:rFonts w:hint="eastAsia" w:ascii="宋体" w:hAnsi="宋体" w:cs="宋体"/>
                <w:szCs w:val="21"/>
              </w:rPr>
            </w:pPr>
            <w:r>
              <w:rPr>
                <w:rFonts w:hint="eastAsia" w:ascii="宋体" w:hAnsi="宋体" w:cs="宋体"/>
                <w:szCs w:val="21"/>
                <w:lang w:bidi="ar"/>
              </w:rPr>
              <w:t>项目组团队人员</w:t>
            </w:r>
          </w:p>
          <w:p w14:paraId="462E49D6">
            <w:pPr>
              <w:adjustRightInd w:val="0"/>
              <w:snapToGrid w:val="0"/>
              <w:spacing w:line="360" w:lineRule="auto"/>
              <w:rPr>
                <w:rFonts w:hint="eastAsia" w:ascii="宋体" w:hAnsi="宋体" w:cs="宋体"/>
                <w:snapToGrid w:val="0"/>
                <w:szCs w:val="21"/>
              </w:rPr>
            </w:pPr>
            <w:r>
              <w:rPr>
                <w:rFonts w:hint="eastAsia" w:ascii="宋体" w:hAnsi="宋体" w:cs="宋体"/>
                <w:bCs/>
                <w:szCs w:val="21"/>
              </w:rPr>
              <w:t>（</w:t>
            </w:r>
            <w:r>
              <w:rPr>
                <w:rFonts w:hint="eastAsia" w:ascii="宋体" w:hAnsi="宋体" w:cs="宋体"/>
                <w:bCs/>
                <w:szCs w:val="21"/>
                <w:lang w:val="en-US" w:eastAsia="zh-CN"/>
              </w:rPr>
              <w:t>2</w:t>
            </w:r>
            <w:r>
              <w:rPr>
                <w:rFonts w:hint="eastAsia" w:ascii="宋体" w:hAnsi="宋体" w:cs="宋体"/>
                <w:bCs/>
                <w:szCs w:val="21"/>
              </w:rPr>
              <w:t>分）</w:t>
            </w:r>
          </w:p>
        </w:tc>
        <w:tc>
          <w:tcPr>
            <w:tcW w:w="3504" w:type="pct"/>
            <w:tcBorders>
              <w:top w:val="single" w:color="auto" w:sz="4" w:space="0"/>
              <w:left w:val="single" w:color="auto" w:sz="4" w:space="0"/>
              <w:bottom w:val="single" w:color="auto" w:sz="4" w:space="0"/>
              <w:right w:val="single" w:color="auto" w:sz="4" w:space="0"/>
            </w:tcBorders>
          </w:tcPr>
          <w:p w14:paraId="78D3742D">
            <w:pPr>
              <w:widowControl/>
              <w:spacing w:line="360" w:lineRule="auto"/>
              <w:rPr>
                <w:rFonts w:hint="eastAsia" w:ascii="宋体" w:hAnsi="宋体" w:cs="宋体"/>
                <w:szCs w:val="21"/>
              </w:rPr>
            </w:pPr>
            <w:r>
              <w:rPr>
                <w:rFonts w:hint="eastAsia" w:ascii="宋体" w:hAnsi="宋体" w:cs="宋体"/>
                <w:szCs w:val="21"/>
              </w:rPr>
              <w:t>工程师：具有机电/机械相关专业中级工程师职称证书的得1分；具有机电/机械相关专业高级工程师及以上职称证书的得2分；本项最高得2分</w:t>
            </w:r>
            <w:r>
              <w:rPr>
                <w:rFonts w:hint="eastAsia" w:ascii="宋体" w:hAnsi="宋体" w:cs="宋体"/>
                <w:szCs w:val="21"/>
                <w:lang w:bidi="ar"/>
              </w:rPr>
              <w:t xml:space="preserve">。 </w:t>
            </w:r>
          </w:p>
          <w:p w14:paraId="6354CDC3">
            <w:pPr>
              <w:adjustRightInd w:val="0"/>
              <w:snapToGrid w:val="0"/>
              <w:spacing w:line="360" w:lineRule="auto"/>
              <w:rPr>
                <w:rFonts w:hint="eastAsia" w:ascii="宋体" w:hAnsi="宋体" w:cs="宋体"/>
                <w:snapToGrid w:val="0"/>
                <w:szCs w:val="21"/>
              </w:rPr>
            </w:pPr>
            <w:r>
              <w:rPr>
                <w:rFonts w:hint="eastAsia" w:ascii="宋体" w:hAnsi="宋体" w:cs="宋体"/>
                <w:b/>
                <w:bCs/>
                <w:szCs w:val="21"/>
              </w:rPr>
              <w:t>注：提供以上项目组成员相对应证书。上述人员同一人不得多次重复计分；以上人员为投标人在职员工，提供投标人为以上人员缴纳的近一年内任意一个月社保缴费证明。证明材料复印件加盖投标人公章；以上证书和社保缴费证明材料提供不全或未提供均不得分。</w:t>
            </w:r>
          </w:p>
        </w:tc>
        <w:tc>
          <w:tcPr>
            <w:tcW w:w="388" w:type="pct"/>
            <w:tcBorders>
              <w:top w:val="single" w:color="auto" w:sz="4" w:space="0"/>
              <w:left w:val="single" w:color="auto" w:sz="4" w:space="0"/>
              <w:bottom w:val="single" w:color="auto" w:sz="4" w:space="0"/>
              <w:right w:val="single" w:color="auto" w:sz="4" w:space="0"/>
            </w:tcBorders>
            <w:vAlign w:val="center"/>
          </w:tcPr>
          <w:p w14:paraId="47669FFC">
            <w:pPr>
              <w:widowControl/>
              <w:spacing w:line="360" w:lineRule="auto"/>
              <w:jc w:val="center"/>
              <w:rPr>
                <w:rFonts w:hint="eastAsia" w:ascii="宋体" w:hAnsi="宋体" w:eastAsia="宋体" w:cs="宋体"/>
                <w:szCs w:val="21"/>
                <w:lang w:eastAsia="zh-CN" w:bidi="ar"/>
              </w:rPr>
            </w:pPr>
            <w:r>
              <w:rPr>
                <w:rFonts w:hint="eastAsia" w:ascii="宋体" w:hAnsi="宋体" w:cs="宋体"/>
                <w:szCs w:val="21"/>
                <w:lang w:val="en-US" w:eastAsia="zh-CN" w:bidi="ar"/>
              </w:rPr>
              <w:t>2</w:t>
            </w:r>
          </w:p>
        </w:tc>
      </w:tr>
      <w:tr w14:paraId="0858B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11"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3D3C6DC">
            <w:pPr>
              <w:widowControl/>
              <w:rPr>
                <w:rFonts w:hint="eastAsia" w:ascii="宋体" w:hAnsi="宋体" w:cs="宋体"/>
                <w:snapToGrid w:val="0"/>
                <w:szCs w:val="21"/>
              </w:rPr>
            </w:pPr>
          </w:p>
        </w:tc>
        <w:tc>
          <w:tcPr>
            <w:tcW w:w="498"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E80CCF3">
            <w:pPr>
              <w:widowControl/>
              <w:jc w:val="center"/>
              <w:rPr>
                <w:rFonts w:hint="eastAsia" w:ascii="宋体" w:hAnsi="宋体" w:cs="宋体"/>
                <w:szCs w:val="21"/>
              </w:rPr>
            </w:pPr>
            <w:r>
              <w:rPr>
                <w:rFonts w:hint="eastAsia" w:ascii="宋体" w:hAnsi="宋体" w:cs="宋体"/>
                <w:szCs w:val="21"/>
                <w:lang w:bidi="ar"/>
              </w:rPr>
              <w:t>业绩</w:t>
            </w:r>
          </w:p>
          <w:p w14:paraId="4E4356D3">
            <w:pPr>
              <w:adjustRightInd w:val="0"/>
              <w:snapToGrid w:val="0"/>
              <w:spacing w:line="360" w:lineRule="auto"/>
              <w:rPr>
                <w:rFonts w:hint="eastAsia" w:ascii="宋体" w:hAnsi="宋体" w:cs="宋体"/>
                <w:snapToGrid w:val="0"/>
                <w:szCs w:val="21"/>
              </w:rPr>
            </w:pPr>
            <w:r>
              <w:rPr>
                <w:rFonts w:hint="eastAsia" w:ascii="宋体" w:hAnsi="宋体" w:cs="宋体"/>
                <w:bCs/>
                <w:szCs w:val="21"/>
              </w:rPr>
              <w:t>（3分）</w:t>
            </w:r>
          </w:p>
        </w:tc>
        <w:tc>
          <w:tcPr>
            <w:tcW w:w="3504" w:type="pct"/>
            <w:tcBorders>
              <w:top w:val="single" w:color="auto" w:sz="4" w:space="0"/>
              <w:left w:val="single" w:color="auto" w:sz="4" w:space="0"/>
              <w:bottom w:val="single" w:color="auto" w:sz="4" w:space="0"/>
              <w:right w:val="single" w:color="auto" w:sz="4" w:space="0"/>
            </w:tcBorders>
          </w:tcPr>
          <w:p w14:paraId="0866C09C">
            <w:pPr>
              <w:adjustRightInd w:val="0"/>
              <w:snapToGrid w:val="0"/>
              <w:spacing w:line="360" w:lineRule="auto"/>
              <w:rPr>
                <w:rFonts w:hint="eastAsia" w:ascii="宋体" w:hAnsi="宋体" w:cs="宋体"/>
                <w:snapToGrid w:val="0"/>
                <w:szCs w:val="21"/>
              </w:rPr>
            </w:pPr>
            <w:r>
              <w:rPr>
                <w:rFonts w:hint="eastAsia" w:ascii="宋体" w:hAnsi="宋体" w:cs="宋体"/>
                <w:szCs w:val="21"/>
                <w:lang w:bidi="ar"/>
              </w:rPr>
              <w:t>投标人须提供自2023年1月1日( 含）以来完成的类似项目业绩，类似项目业绩应为投标人承担过类似医用气体系统设备供货业绩或供货与安装业绩，提供一个业绩得1分，本项满分3分。</w:t>
            </w:r>
            <w:r>
              <w:rPr>
                <w:rFonts w:hint="eastAsia" w:ascii="宋体" w:hAnsi="宋体" w:cs="宋体"/>
                <w:b/>
                <w:bCs/>
                <w:szCs w:val="21"/>
                <w:lang w:eastAsia="zh-CN" w:bidi="ar"/>
              </w:rPr>
              <w:t>（</w:t>
            </w:r>
            <w:r>
              <w:rPr>
                <w:rFonts w:hint="eastAsia" w:ascii="宋体" w:hAnsi="宋体" w:cs="宋体"/>
                <w:b/>
                <w:bCs/>
                <w:szCs w:val="21"/>
                <w:lang w:bidi="ar"/>
              </w:rPr>
              <w:t>提供中标（成交）通知书、合同及其项下设备交货验收证明材料或竣工验收证明材料或完工证明,以上证明材料缺一不可。时间以设备交货验收证明材料或竣工验收证明材料或完工证明上载明的时间为准；提供的证明材料必须能体现与本项目相关的内容，否则视为未按要求提供不得分，证明材料复印件加盖</w:t>
            </w:r>
            <w:r>
              <w:rPr>
                <w:rFonts w:hint="eastAsia" w:ascii="宋体" w:hAnsi="宋体" w:cs="宋体"/>
                <w:b/>
                <w:bCs/>
                <w:szCs w:val="21"/>
              </w:rPr>
              <w:t>投标人</w:t>
            </w:r>
            <w:r>
              <w:rPr>
                <w:rFonts w:hint="eastAsia" w:ascii="宋体" w:hAnsi="宋体" w:cs="宋体"/>
                <w:b/>
                <w:bCs/>
                <w:szCs w:val="21"/>
                <w:lang w:bidi="ar"/>
              </w:rPr>
              <w:t>公章</w:t>
            </w:r>
            <w:r>
              <w:rPr>
                <w:rFonts w:hint="eastAsia" w:ascii="宋体" w:hAnsi="宋体" w:cs="宋体"/>
                <w:b/>
                <w:bCs/>
                <w:szCs w:val="21"/>
                <w:lang w:eastAsia="zh-CN" w:bidi="ar"/>
              </w:rPr>
              <w:t>）</w:t>
            </w:r>
          </w:p>
        </w:tc>
        <w:tc>
          <w:tcPr>
            <w:tcW w:w="388" w:type="pct"/>
            <w:tcBorders>
              <w:top w:val="single" w:color="auto" w:sz="4" w:space="0"/>
              <w:left w:val="single" w:color="auto" w:sz="4" w:space="0"/>
              <w:bottom w:val="single" w:color="auto" w:sz="4" w:space="0"/>
              <w:right w:val="single" w:color="auto" w:sz="4" w:space="0"/>
            </w:tcBorders>
            <w:vAlign w:val="center"/>
          </w:tcPr>
          <w:p w14:paraId="68F7DFFC">
            <w:pPr>
              <w:adjustRightInd w:val="0"/>
              <w:snapToGrid w:val="0"/>
              <w:spacing w:line="360" w:lineRule="auto"/>
              <w:jc w:val="center"/>
              <w:rPr>
                <w:rFonts w:hint="eastAsia" w:ascii="宋体" w:hAnsi="宋体" w:cs="宋体"/>
                <w:szCs w:val="21"/>
                <w:lang w:bidi="ar"/>
              </w:rPr>
            </w:pPr>
            <w:r>
              <w:rPr>
                <w:rFonts w:hint="eastAsia" w:ascii="宋体" w:hAnsi="宋体" w:cs="宋体"/>
                <w:szCs w:val="21"/>
                <w:lang w:bidi="ar"/>
              </w:rPr>
              <w:t>3</w:t>
            </w:r>
          </w:p>
        </w:tc>
      </w:tr>
      <w:tr w14:paraId="6D690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09"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DD9876F">
            <w:pPr>
              <w:tabs>
                <w:tab w:val="left" w:pos="900"/>
              </w:tabs>
              <w:adjustRightInd w:val="0"/>
              <w:snapToGrid w:val="0"/>
              <w:spacing w:line="440" w:lineRule="exact"/>
              <w:jc w:val="center"/>
              <w:rPr>
                <w:rFonts w:hint="eastAsia" w:ascii="宋体" w:hAnsi="宋体" w:cs="宋体"/>
                <w:snapToGrid w:val="0"/>
                <w:szCs w:val="21"/>
              </w:rPr>
            </w:pPr>
            <w:r>
              <w:rPr>
                <w:rFonts w:hint="eastAsia" w:ascii="宋体" w:hAnsi="宋体" w:cs="宋体"/>
                <w:snapToGrid w:val="0"/>
                <w:szCs w:val="21"/>
              </w:rPr>
              <w:t>售后服务方案</w:t>
            </w:r>
          </w:p>
          <w:p w14:paraId="2D2D9062">
            <w:pPr>
              <w:tabs>
                <w:tab w:val="left" w:pos="900"/>
              </w:tabs>
              <w:adjustRightInd w:val="0"/>
              <w:snapToGrid w:val="0"/>
              <w:spacing w:line="440" w:lineRule="exact"/>
              <w:jc w:val="center"/>
              <w:rPr>
                <w:rFonts w:hint="eastAsia" w:ascii="宋体" w:hAnsi="宋体" w:cs="宋体"/>
                <w:snapToGrid w:val="0"/>
                <w:szCs w:val="21"/>
              </w:rPr>
            </w:pPr>
            <w:r>
              <w:rPr>
                <w:rFonts w:hint="eastAsia" w:ascii="宋体" w:hAnsi="宋体" w:cs="宋体"/>
                <w:snapToGrid w:val="0"/>
                <w:szCs w:val="21"/>
              </w:rPr>
              <w:t>（</w:t>
            </w:r>
            <w:r>
              <w:rPr>
                <w:rFonts w:hint="eastAsia" w:ascii="宋体" w:hAnsi="宋体" w:cs="宋体"/>
                <w:snapToGrid w:val="0"/>
                <w:szCs w:val="21"/>
                <w:lang w:val="en-US" w:eastAsia="zh-CN"/>
              </w:rPr>
              <w:t>3</w:t>
            </w:r>
            <w:r>
              <w:rPr>
                <w:rFonts w:hint="eastAsia" w:ascii="宋体" w:hAnsi="宋体" w:cs="宋体"/>
                <w:snapToGrid w:val="0"/>
                <w:szCs w:val="21"/>
              </w:rPr>
              <w:t>分）</w:t>
            </w:r>
          </w:p>
        </w:tc>
        <w:tc>
          <w:tcPr>
            <w:tcW w:w="4002" w:type="pct"/>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7021ED1">
            <w:pPr>
              <w:tabs>
                <w:tab w:val="left" w:pos="900"/>
              </w:tabs>
              <w:adjustRightInd w:val="0"/>
              <w:snapToGrid w:val="0"/>
              <w:spacing w:line="440" w:lineRule="exact"/>
              <w:rPr>
                <w:rFonts w:hint="eastAsia" w:ascii="宋体" w:hAnsi="宋体" w:cs="宋体"/>
                <w:b/>
                <w:bCs/>
                <w:snapToGrid w:val="0"/>
                <w:szCs w:val="21"/>
              </w:rPr>
            </w:pPr>
            <w:r>
              <w:rPr>
                <w:rFonts w:hint="eastAsia" w:ascii="宋体" w:hAnsi="宋体" w:cs="宋体"/>
                <w:snapToGrid w:val="0"/>
                <w:szCs w:val="21"/>
              </w:rPr>
              <w:t>1、</w:t>
            </w:r>
            <w:r>
              <w:rPr>
                <w:rFonts w:hint="eastAsia" w:ascii="宋体" w:hAnsi="宋体" w:cs="宋体"/>
                <w:snapToGrid w:val="0"/>
                <w:color w:val="auto"/>
                <w:szCs w:val="21"/>
              </w:rPr>
              <w:t>具有五星级及以上商品售后服务评价体系认证证书的得1分。</w:t>
            </w:r>
            <w:r>
              <w:rPr>
                <w:rFonts w:hint="eastAsia" w:ascii="宋体" w:hAnsi="宋体" w:cs="宋体"/>
                <w:b/>
                <w:bCs/>
                <w:snapToGrid w:val="0"/>
                <w:color w:val="auto"/>
                <w:szCs w:val="21"/>
              </w:rPr>
              <w:t>（提供有效的证书复印件</w:t>
            </w:r>
            <w:r>
              <w:rPr>
                <w:rFonts w:hint="eastAsia" w:ascii="宋体" w:hAnsi="宋体" w:cs="宋体"/>
                <w:b/>
                <w:bCs/>
                <w:snapToGrid w:val="0"/>
                <w:color w:val="auto"/>
                <w:szCs w:val="21"/>
                <w:lang w:eastAsia="zh-CN"/>
              </w:rPr>
              <w:t>或</w:t>
            </w:r>
            <w:r>
              <w:rPr>
                <w:rFonts w:hint="eastAsia" w:ascii="宋体" w:hAnsi="宋体" w:cs="宋体"/>
                <w:b/>
                <w:bCs/>
                <w:snapToGrid w:val="0"/>
                <w:color w:val="auto"/>
                <w:szCs w:val="21"/>
              </w:rPr>
              <w:t>国家认监委网站查询“有效”的截图，未提供或未按要求提供不得分）</w:t>
            </w:r>
          </w:p>
          <w:p w14:paraId="11888F68">
            <w:pPr>
              <w:tabs>
                <w:tab w:val="left" w:pos="900"/>
              </w:tabs>
              <w:adjustRightInd w:val="0"/>
              <w:snapToGrid w:val="0"/>
              <w:spacing w:line="440" w:lineRule="exact"/>
              <w:rPr>
                <w:rFonts w:hint="eastAsia" w:ascii="宋体" w:hAnsi="宋体" w:cs="宋体"/>
                <w:snapToGrid w:val="0"/>
                <w:szCs w:val="21"/>
              </w:rPr>
            </w:pPr>
            <w:r>
              <w:rPr>
                <w:rFonts w:hint="eastAsia" w:ascii="宋体" w:hAnsi="宋体" w:cs="宋体"/>
                <w:snapToGrid w:val="0"/>
                <w:szCs w:val="21"/>
              </w:rPr>
              <w:t>2、方案详细完整，针对性强、可操作性强，符合项目实际情况的，得</w:t>
            </w:r>
            <w:r>
              <w:rPr>
                <w:rFonts w:hint="eastAsia" w:ascii="宋体" w:hAnsi="宋体" w:cs="宋体"/>
                <w:snapToGrid w:val="0"/>
                <w:szCs w:val="21"/>
                <w:lang w:val="en-US" w:eastAsia="zh-CN"/>
              </w:rPr>
              <w:t>2</w:t>
            </w:r>
            <w:r>
              <w:rPr>
                <w:rFonts w:hint="eastAsia" w:ascii="宋体" w:hAnsi="宋体" w:cs="宋体"/>
                <w:snapToGrid w:val="0"/>
                <w:szCs w:val="21"/>
              </w:rPr>
              <w:t>分；方案较详细，针对性、可操作性较强，基本符合项目实际情况的，得</w:t>
            </w:r>
            <w:r>
              <w:rPr>
                <w:rFonts w:hint="eastAsia" w:ascii="宋体" w:hAnsi="宋体" w:cs="宋体"/>
                <w:snapToGrid w:val="0"/>
                <w:szCs w:val="21"/>
                <w:lang w:val="en-US" w:eastAsia="zh-CN"/>
              </w:rPr>
              <w:t>1</w:t>
            </w:r>
            <w:r>
              <w:rPr>
                <w:rFonts w:hint="eastAsia" w:ascii="宋体" w:hAnsi="宋体" w:cs="宋体"/>
                <w:snapToGrid w:val="0"/>
                <w:szCs w:val="21"/>
              </w:rPr>
              <w:t>分；方案普通，针对性、可操作性一般，与项目实际情况符合度一般的，得</w:t>
            </w:r>
            <w:r>
              <w:rPr>
                <w:rFonts w:hint="eastAsia" w:ascii="宋体" w:hAnsi="宋体" w:cs="宋体"/>
                <w:snapToGrid w:val="0"/>
                <w:szCs w:val="21"/>
                <w:lang w:val="en-US" w:eastAsia="zh-CN"/>
              </w:rPr>
              <w:t>0.5</w:t>
            </w:r>
            <w:r>
              <w:rPr>
                <w:rFonts w:hint="eastAsia" w:ascii="宋体" w:hAnsi="宋体" w:cs="宋体"/>
                <w:snapToGrid w:val="0"/>
                <w:szCs w:val="21"/>
              </w:rPr>
              <w:t>分；方案无可操作性，不符合项目实际情况或未提供执行方案的，不得分。</w:t>
            </w:r>
          </w:p>
        </w:tc>
        <w:tc>
          <w:tcPr>
            <w:tcW w:w="388" w:type="pct"/>
            <w:tcBorders>
              <w:top w:val="single" w:color="auto" w:sz="4" w:space="0"/>
              <w:left w:val="single" w:color="auto" w:sz="4" w:space="0"/>
              <w:bottom w:val="single" w:color="auto" w:sz="4" w:space="0"/>
              <w:right w:val="single" w:color="auto" w:sz="4" w:space="0"/>
            </w:tcBorders>
            <w:vAlign w:val="center"/>
          </w:tcPr>
          <w:p w14:paraId="3EF2385C">
            <w:pPr>
              <w:widowControl/>
              <w:jc w:val="center"/>
              <w:rPr>
                <w:rFonts w:hint="eastAsia" w:ascii="宋体" w:hAnsi="宋体" w:eastAsia="宋体" w:cs="宋体"/>
                <w:szCs w:val="21"/>
                <w:lang w:eastAsia="zh-CN" w:bidi="ar"/>
              </w:rPr>
            </w:pPr>
            <w:r>
              <w:rPr>
                <w:rFonts w:hint="eastAsia" w:ascii="宋体" w:hAnsi="宋体" w:cs="宋体"/>
                <w:szCs w:val="21"/>
                <w:lang w:val="en-US" w:eastAsia="zh-CN" w:bidi="ar"/>
              </w:rPr>
              <w:t>3</w:t>
            </w:r>
          </w:p>
        </w:tc>
      </w:tr>
      <w:tr w14:paraId="42258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2" w:hRule="atLeast"/>
          <w:jc w:val="center"/>
        </w:trPr>
        <w:tc>
          <w:tcPr>
            <w:tcW w:w="609" w:type="pct"/>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1731461">
            <w:pPr>
              <w:widowControl/>
              <w:jc w:val="center"/>
              <w:rPr>
                <w:rFonts w:hint="eastAsia" w:ascii="宋体" w:hAnsi="宋体" w:cs="宋体"/>
                <w:szCs w:val="21"/>
                <w:lang w:bidi="ar"/>
              </w:rPr>
            </w:pPr>
            <w:r>
              <w:rPr>
                <w:rFonts w:hint="eastAsia" w:ascii="宋体" w:hAnsi="宋体" w:cs="宋体"/>
                <w:szCs w:val="21"/>
                <w:lang w:bidi="ar"/>
              </w:rPr>
              <w:t>实施方案</w:t>
            </w:r>
          </w:p>
          <w:p w14:paraId="66E1AE6B">
            <w:pPr>
              <w:widowControl/>
              <w:jc w:val="center"/>
              <w:rPr>
                <w:rFonts w:hint="eastAsia" w:ascii="宋体" w:hAnsi="宋体" w:cs="宋体"/>
                <w:szCs w:val="21"/>
              </w:rPr>
            </w:pPr>
            <w:r>
              <w:rPr>
                <w:rFonts w:hint="eastAsia" w:ascii="宋体" w:hAnsi="宋体" w:cs="宋体"/>
                <w:szCs w:val="21"/>
              </w:rPr>
              <w:t>（28分）</w:t>
            </w:r>
          </w:p>
        </w:tc>
        <w:tc>
          <w:tcPr>
            <w:tcW w:w="4002" w:type="pct"/>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AED2F56">
            <w:pPr>
              <w:widowControl/>
              <w:rPr>
                <w:rFonts w:hint="eastAsia" w:ascii="宋体" w:hAnsi="宋体" w:cs="宋体"/>
                <w:szCs w:val="21"/>
                <w:lang w:bidi="ar"/>
              </w:rPr>
            </w:pPr>
            <w:r>
              <w:rPr>
                <w:rFonts w:hint="eastAsia" w:ascii="宋体" w:hAnsi="宋体" w:cs="宋体"/>
                <w:bCs/>
                <w:szCs w:val="21"/>
              </w:rPr>
              <w:t>（1）</w:t>
            </w:r>
            <w:r>
              <w:rPr>
                <w:rFonts w:hint="eastAsia" w:ascii="宋体" w:hAnsi="宋体" w:cs="宋体"/>
                <w:szCs w:val="21"/>
                <w:lang w:bidi="ar"/>
              </w:rPr>
              <w:t>根据投标人设备材料现场组装方案与技术措施进行评审。</w:t>
            </w:r>
          </w:p>
          <w:p w14:paraId="783DE8BB">
            <w:pPr>
              <w:tabs>
                <w:tab w:val="left" w:pos="900"/>
              </w:tabs>
              <w:adjustRightInd w:val="0"/>
              <w:snapToGrid w:val="0"/>
              <w:spacing w:line="440" w:lineRule="exact"/>
              <w:rPr>
                <w:rFonts w:hint="eastAsia" w:ascii="宋体" w:hAnsi="宋体" w:cs="宋体"/>
                <w:snapToGrid w:val="0"/>
                <w:szCs w:val="21"/>
              </w:rPr>
            </w:pPr>
            <w:r>
              <w:rPr>
                <w:rFonts w:hint="eastAsia" w:ascii="宋体" w:hAnsi="宋体" w:cs="宋体"/>
                <w:szCs w:val="21"/>
                <w:lang w:bidi="ar"/>
              </w:rPr>
              <w:t>方案详细完整，针对性强、可操作性强，符合项目实际情况的，得4分；方案较详细，针对性、可操作性较强，基本符合项目实际情况的，得2分；方案普通，针对性、可操作性一般，与项目实际情况符合度一般的，得1分；方案无可操作性，不符合项目实际情况或未提供执行方案的，不得分。</w:t>
            </w:r>
          </w:p>
        </w:tc>
        <w:tc>
          <w:tcPr>
            <w:tcW w:w="388" w:type="pct"/>
            <w:tcBorders>
              <w:top w:val="single" w:color="auto" w:sz="4" w:space="0"/>
              <w:left w:val="single" w:color="auto" w:sz="4" w:space="0"/>
              <w:bottom w:val="single" w:color="auto" w:sz="4" w:space="0"/>
              <w:right w:val="single" w:color="auto" w:sz="4" w:space="0"/>
            </w:tcBorders>
            <w:vAlign w:val="center"/>
          </w:tcPr>
          <w:p w14:paraId="7A163CC0">
            <w:pPr>
              <w:widowControl/>
              <w:jc w:val="center"/>
              <w:rPr>
                <w:rFonts w:hint="eastAsia" w:ascii="宋体" w:hAnsi="宋体" w:cs="宋体"/>
                <w:bCs/>
                <w:szCs w:val="21"/>
              </w:rPr>
            </w:pPr>
            <w:r>
              <w:rPr>
                <w:rFonts w:hint="eastAsia" w:ascii="宋体" w:hAnsi="宋体" w:cs="宋体"/>
                <w:bCs/>
                <w:szCs w:val="21"/>
              </w:rPr>
              <w:t>4</w:t>
            </w:r>
          </w:p>
        </w:tc>
      </w:tr>
      <w:tr w14:paraId="77E51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457A6AB">
            <w:pPr>
              <w:widowControl/>
              <w:rPr>
                <w:rFonts w:hint="eastAsia" w:ascii="宋体" w:hAnsi="宋体" w:cs="宋体"/>
                <w:szCs w:val="21"/>
              </w:rPr>
            </w:pPr>
          </w:p>
        </w:tc>
        <w:tc>
          <w:tcPr>
            <w:tcW w:w="4002" w:type="pct"/>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1A1B501">
            <w:pPr>
              <w:tabs>
                <w:tab w:val="left" w:pos="900"/>
              </w:tabs>
              <w:adjustRightInd w:val="0"/>
              <w:snapToGrid w:val="0"/>
              <w:spacing w:line="440" w:lineRule="exact"/>
              <w:rPr>
                <w:rFonts w:hint="eastAsia" w:ascii="宋体" w:hAnsi="宋体" w:cs="宋体"/>
                <w:szCs w:val="21"/>
              </w:rPr>
            </w:pPr>
            <w:r>
              <w:rPr>
                <w:rFonts w:hint="eastAsia" w:ascii="宋体" w:hAnsi="宋体" w:cs="宋体"/>
                <w:bCs/>
                <w:szCs w:val="21"/>
              </w:rPr>
              <w:t>（2）</w:t>
            </w:r>
            <w:r>
              <w:rPr>
                <w:rFonts w:hint="eastAsia" w:ascii="宋体" w:hAnsi="宋体" w:cs="宋体"/>
                <w:szCs w:val="21"/>
              </w:rPr>
              <w:t>根据投标人对于</w:t>
            </w:r>
            <w:r>
              <w:rPr>
                <w:rFonts w:hint="eastAsia" w:ascii="宋体" w:hAnsi="宋体" w:cs="宋体"/>
                <w:snapToGrid w:val="0"/>
                <w:szCs w:val="21"/>
              </w:rPr>
              <w:t>不停气改造保障方案、动火作业专项方案、夜间施工方案</w:t>
            </w:r>
            <w:r>
              <w:rPr>
                <w:rFonts w:hint="eastAsia" w:ascii="宋体" w:hAnsi="宋体" w:cs="宋体"/>
                <w:szCs w:val="21"/>
              </w:rPr>
              <w:t>进行评审。</w:t>
            </w:r>
          </w:p>
          <w:p w14:paraId="53A9BAC2">
            <w:pPr>
              <w:tabs>
                <w:tab w:val="left" w:pos="900"/>
              </w:tabs>
              <w:adjustRightInd w:val="0"/>
              <w:snapToGrid w:val="0"/>
              <w:spacing w:line="440" w:lineRule="exact"/>
              <w:rPr>
                <w:rFonts w:hint="eastAsia" w:ascii="宋体" w:hAnsi="宋体" w:cs="宋体"/>
                <w:snapToGrid w:val="0"/>
                <w:szCs w:val="21"/>
              </w:rPr>
            </w:pPr>
            <w:r>
              <w:rPr>
                <w:rFonts w:hint="eastAsia" w:ascii="宋体" w:hAnsi="宋体" w:cs="宋体"/>
                <w:szCs w:val="21"/>
                <w:lang w:bidi="ar"/>
              </w:rPr>
              <w:t>方案详细完整，针对性强、可操作性强，符合项目实际情况的，得4分；方案较详细，针对性、可操作性较强，基本符合项目实际情况的，得2分；方案普通，针对性、可操作性一般，与项目实际情况符合度一般的，得1分；方案无可操作性，不符合项目实际情况或未提供执行方案的，不得分。</w:t>
            </w:r>
          </w:p>
        </w:tc>
        <w:tc>
          <w:tcPr>
            <w:tcW w:w="388" w:type="pct"/>
            <w:tcBorders>
              <w:top w:val="single" w:color="auto" w:sz="4" w:space="0"/>
              <w:left w:val="single" w:color="auto" w:sz="4" w:space="0"/>
              <w:bottom w:val="single" w:color="auto" w:sz="4" w:space="0"/>
              <w:right w:val="single" w:color="auto" w:sz="4" w:space="0"/>
            </w:tcBorders>
            <w:vAlign w:val="center"/>
          </w:tcPr>
          <w:p w14:paraId="316E84B0">
            <w:pPr>
              <w:tabs>
                <w:tab w:val="left" w:pos="900"/>
              </w:tabs>
              <w:adjustRightInd w:val="0"/>
              <w:snapToGrid w:val="0"/>
              <w:spacing w:line="440" w:lineRule="exact"/>
              <w:jc w:val="center"/>
              <w:rPr>
                <w:rFonts w:hint="eastAsia" w:ascii="宋体" w:hAnsi="宋体" w:cs="宋体"/>
                <w:bCs/>
                <w:szCs w:val="21"/>
              </w:rPr>
            </w:pPr>
            <w:r>
              <w:rPr>
                <w:rFonts w:hint="eastAsia" w:ascii="宋体" w:hAnsi="宋体" w:cs="宋体"/>
                <w:bCs/>
                <w:szCs w:val="21"/>
              </w:rPr>
              <w:t>4</w:t>
            </w:r>
          </w:p>
        </w:tc>
      </w:tr>
      <w:tr w14:paraId="56D09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2"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9A7B02E">
            <w:pPr>
              <w:widowControl/>
              <w:rPr>
                <w:rFonts w:hint="eastAsia" w:ascii="宋体" w:hAnsi="宋体" w:cs="宋体"/>
                <w:szCs w:val="21"/>
              </w:rPr>
            </w:pPr>
          </w:p>
        </w:tc>
        <w:tc>
          <w:tcPr>
            <w:tcW w:w="4002" w:type="pct"/>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11E9C92">
            <w:pPr>
              <w:spacing w:line="360" w:lineRule="auto"/>
              <w:rPr>
                <w:rFonts w:hint="eastAsia" w:ascii="宋体" w:hAnsi="宋体" w:cs="宋体"/>
                <w:szCs w:val="21"/>
              </w:rPr>
            </w:pPr>
            <w:r>
              <w:rPr>
                <w:rFonts w:hint="eastAsia" w:ascii="宋体" w:hAnsi="宋体" w:cs="宋体"/>
                <w:bCs/>
                <w:szCs w:val="21"/>
              </w:rPr>
              <w:t>（3）</w:t>
            </w:r>
            <w:r>
              <w:rPr>
                <w:rFonts w:hint="eastAsia" w:ascii="宋体" w:hAnsi="宋体" w:cs="宋体"/>
                <w:szCs w:val="21"/>
              </w:rPr>
              <w:t>根据投标人</w:t>
            </w:r>
            <w:r>
              <w:rPr>
                <w:rFonts w:hint="eastAsia" w:ascii="宋体" w:hAnsi="宋体" w:cs="宋体"/>
                <w:snapToGrid w:val="0"/>
                <w:szCs w:val="21"/>
              </w:rPr>
              <w:t>专项应急预案(临床供气中断应急处置、空压机故障备用切换、动火火灾应急处置)</w:t>
            </w:r>
            <w:r>
              <w:rPr>
                <w:rFonts w:hint="eastAsia" w:ascii="宋体" w:hAnsi="宋体" w:cs="宋体"/>
                <w:szCs w:val="21"/>
              </w:rPr>
              <w:t>进行评审。</w:t>
            </w:r>
          </w:p>
          <w:p w14:paraId="2E6947EF">
            <w:pPr>
              <w:spacing w:line="360" w:lineRule="auto"/>
              <w:rPr>
                <w:rFonts w:hint="eastAsia" w:ascii="宋体" w:hAnsi="宋体" w:cs="宋体"/>
                <w:szCs w:val="21"/>
              </w:rPr>
            </w:pPr>
            <w:r>
              <w:rPr>
                <w:rFonts w:hint="eastAsia" w:ascii="宋体" w:hAnsi="宋体" w:cs="宋体"/>
                <w:szCs w:val="21"/>
                <w:lang w:bidi="ar"/>
              </w:rPr>
              <w:t>方案详细完整，针对性强、可操作性强，符合项目实际情况的，得4分；方案较详细，针对性、可操作性较强，基本符合项目实际情况的，得2分；方案普通，针对性、可操作性一般，与项目实际情况符合度一般的，得1分；方案无可操作性，不符合项目实际情况或未提供执行方案的，不得分。</w:t>
            </w:r>
          </w:p>
        </w:tc>
        <w:tc>
          <w:tcPr>
            <w:tcW w:w="388" w:type="pct"/>
            <w:tcBorders>
              <w:top w:val="single" w:color="auto" w:sz="4" w:space="0"/>
              <w:left w:val="single" w:color="auto" w:sz="4" w:space="0"/>
              <w:bottom w:val="single" w:color="auto" w:sz="4" w:space="0"/>
              <w:right w:val="single" w:color="auto" w:sz="4" w:space="0"/>
            </w:tcBorders>
            <w:vAlign w:val="center"/>
          </w:tcPr>
          <w:p w14:paraId="17F96CD3">
            <w:pPr>
              <w:jc w:val="center"/>
              <w:rPr>
                <w:rFonts w:hint="eastAsia" w:ascii="宋体" w:hAnsi="宋体" w:cs="宋体"/>
                <w:bCs/>
                <w:szCs w:val="21"/>
              </w:rPr>
            </w:pPr>
            <w:r>
              <w:rPr>
                <w:rFonts w:hint="eastAsia" w:ascii="宋体" w:hAnsi="宋体" w:cs="宋体"/>
                <w:bCs/>
                <w:szCs w:val="21"/>
              </w:rPr>
              <w:t>4</w:t>
            </w:r>
          </w:p>
        </w:tc>
      </w:tr>
      <w:tr w14:paraId="108B1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2"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BF1A241">
            <w:pPr>
              <w:widowControl/>
              <w:rPr>
                <w:rFonts w:hint="eastAsia" w:ascii="宋体" w:hAnsi="宋体" w:cs="宋体"/>
                <w:szCs w:val="21"/>
              </w:rPr>
            </w:pPr>
          </w:p>
        </w:tc>
        <w:tc>
          <w:tcPr>
            <w:tcW w:w="4002" w:type="pct"/>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FEA5FFF">
            <w:pPr>
              <w:spacing w:line="360" w:lineRule="auto"/>
              <w:rPr>
                <w:rFonts w:hint="eastAsia" w:ascii="宋体" w:hAnsi="宋体" w:cs="宋体"/>
                <w:szCs w:val="21"/>
              </w:rPr>
            </w:pPr>
            <w:r>
              <w:rPr>
                <w:rFonts w:hint="eastAsia" w:ascii="宋体" w:hAnsi="宋体" w:cs="宋体"/>
                <w:bCs/>
                <w:szCs w:val="21"/>
              </w:rPr>
              <w:t>（4）</w:t>
            </w:r>
            <w:r>
              <w:rPr>
                <w:rFonts w:hint="eastAsia" w:ascii="宋体" w:hAnsi="宋体" w:cs="宋体"/>
                <w:szCs w:val="21"/>
              </w:rPr>
              <w:t>根据投标人设备材料现场组装方案的进度计划与措施（含</w:t>
            </w:r>
            <w:r>
              <w:rPr>
                <w:rFonts w:hint="eastAsia" w:ascii="宋体" w:hAnsi="宋体" w:cs="宋体"/>
                <w:snapToGrid w:val="0"/>
                <w:szCs w:val="21"/>
              </w:rPr>
              <w:t>特种设备报检及注销实施计划</w:t>
            </w:r>
            <w:r>
              <w:rPr>
                <w:rFonts w:hint="eastAsia" w:ascii="宋体" w:hAnsi="宋体" w:cs="宋体"/>
                <w:szCs w:val="21"/>
              </w:rPr>
              <w:t>）进行评审。</w:t>
            </w:r>
          </w:p>
          <w:p w14:paraId="7D717EF1">
            <w:pPr>
              <w:spacing w:line="360" w:lineRule="auto"/>
              <w:rPr>
                <w:rFonts w:hint="eastAsia" w:ascii="宋体" w:hAnsi="宋体" w:cs="宋体"/>
                <w:szCs w:val="21"/>
              </w:rPr>
            </w:pPr>
            <w:r>
              <w:rPr>
                <w:rFonts w:hint="eastAsia" w:ascii="宋体" w:hAnsi="宋体" w:cs="宋体"/>
                <w:szCs w:val="21"/>
                <w:lang w:bidi="ar"/>
              </w:rPr>
              <w:t>方案详细完整，针对性强、可操作性强，符合项目实际情况的，得4分；方案较详细，针对性、可操作性较强，基本符合项目实际情况的，得2分；方案普通，针对性、可操作性一般，与项目实际情况符合度一般的，得1分；方案无可操作性，不符合项目实际情况或未提供执行方案的，不得分。</w:t>
            </w:r>
          </w:p>
        </w:tc>
        <w:tc>
          <w:tcPr>
            <w:tcW w:w="388" w:type="pct"/>
            <w:tcBorders>
              <w:top w:val="single" w:color="auto" w:sz="4" w:space="0"/>
              <w:left w:val="single" w:color="auto" w:sz="4" w:space="0"/>
              <w:bottom w:val="single" w:color="auto" w:sz="4" w:space="0"/>
              <w:right w:val="single" w:color="auto" w:sz="4" w:space="0"/>
            </w:tcBorders>
            <w:vAlign w:val="center"/>
          </w:tcPr>
          <w:p w14:paraId="061FE46E">
            <w:pPr>
              <w:jc w:val="center"/>
              <w:rPr>
                <w:rFonts w:hint="eastAsia" w:ascii="宋体" w:hAnsi="宋体" w:cs="宋体"/>
                <w:bCs/>
                <w:szCs w:val="21"/>
              </w:rPr>
            </w:pPr>
            <w:r>
              <w:rPr>
                <w:rFonts w:hint="eastAsia" w:ascii="宋体" w:hAnsi="宋体" w:cs="宋体"/>
                <w:bCs/>
                <w:szCs w:val="21"/>
              </w:rPr>
              <w:t>4</w:t>
            </w:r>
          </w:p>
        </w:tc>
      </w:tr>
      <w:tr w14:paraId="20FCD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27C956D">
            <w:pPr>
              <w:widowControl/>
              <w:rPr>
                <w:rFonts w:hint="eastAsia" w:ascii="宋体" w:hAnsi="宋体" w:cs="宋体"/>
                <w:szCs w:val="21"/>
              </w:rPr>
            </w:pPr>
          </w:p>
        </w:tc>
        <w:tc>
          <w:tcPr>
            <w:tcW w:w="4002" w:type="pct"/>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07D4832">
            <w:pPr>
              <w:spacing w:line="360" w:lineRule="auto"/>
              <w:rPr>
                <w:rFonts w:hint="eastAsia" w:ascii="宋体" w:hAnsi="宋体" w:cs="宋体"/>
                <w:szCs w:val="21"/>
              </w:rPr>
            </w:pPr>
            <w:r>
              <w:rPr>
                <w:rFonts w:hint="eastAsia" w:ascii="宋体" w:hAnsi="宋体" w:cs="宋体"/>
                <w:bCs/>
                <w:szCs w:val="21"/>
              </w:rPr>
              <w:t>（5）</w:t>
            </w:r>
            <w:r>
              <w:rPr>
                <w:rFonts w:hint="eastAsia" w:ascii="宋体" w:hAnsi="宋体" w:cs="宋体"/>
                <w:szCs w:val="21"/>
              </w:rPr>
              <w:t>根据投标人质量管理体系与措施进行评审。</w:t>
            </w:r>
          </w:p>
          <w:p w14:paraId="21477896">
            <w:pPr>
              <w:spacing w:line="360" w:lineRule="auto"/>
              <w:rPr>
                <w:rFonts w:hint="eastAsia" w:ascii="宋体" w:hAnsi="宋体" w:cs="宋体"/>
                <w:szCs w:val="21"/>
              </w:rPr>
            </w:pPr>
            <w:r>
              <w:rPr>
                <w:rFonts w:hint="eastAsia" w:ascii="宋体" w:hAnsi="宋体" w:cs="宋体"/>
                <w:szCs w:val="21"/>
                <w:lang w:bidi="ar"/>
              </w:rPr>
              <w:t>方案详细完整，针对性强、可操作性强，符合项目实际情况的，得4分；方案较详细，针对性、可操作性较强，基本符合项目实际情况的，得2分；方案普通，针对性、可操作性一般，与项目实际情况符合度一般的，得1分；方案无可操作性，不符合项目实际情况或未提供执行方案的，不得分。</w:t>
            </w:r>
          </w:p>
        </w:tc>
        <w:tc>
          <w:tcPr>
            <w:tcW w:w="388" w:type="pct"/>
            <w:tcBorders>
              <w:top w:val="single" w:color="auto" w:sz="4" w:space="0"/>
              <w:left w:val="single" w:color="auto" w:sz="4" w:space="0"/>
              <w:bottom w:val="single" w:color="auto" w:sz="4" w:space="0"/>
              <w:right w:val="single" w:color="auto" w:sz="4" w:space="0"/>
            </w:tcBorders>
            <w:vAlign w:val="center"/>
          </w:tcPr>
          <w:p w14:paraId="4DE9E4D6">
            <w:pPr>
              <w:jc w:val="center"/>
              <w:rPr>
                <w:rFonts w:hint="eastAsia" w:ascii="宋体" w:hAnsi="宋体" w:cs="宋体"/>
                <w:bCs/>
                <w:szCs w:val="21"/>
              </w:rPr>
            </w:pPr>
            <w:r>
              <w:rPr>
                <w:rFonts w:hint="eastAsia" w:ascii="宋体" w:hAnsi="宋体" w:cs="宋体"/>
                <w:bCs/>
                <w:szCs w:val="21"/>
              </w:rPr>
              <w:t>4</w:t>
            </w:r>
          </w:p>
        </w:tc>
      </w:tr>
      <w:tr w14:paraId="47BE1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EE37F8C">
            <w:pPr>
              <w:widowControl/>
              <w:rPr>
                <w:rFonts w:hint="eastAsia" w:ascii="宋体" w:hAnsi="宋体" w:cs="宋体"/>
                <w:szCs w:val="21"/>
              </w:rPr>
            </w:pPr>
          </w:p>
        </w:tc>
        <w:tc>
          <w:tcPr>
            <w:tcW w:w="4002" w:type="pct"/>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8A0ECFD">
            <w:pPr>
              <w:spacing w:line="360" w:lineRule="auto"/>
              <w:rPr>
                <w:rFonts w:hint="eastAsia" w:ascii="宋体" w:hAnsi="宋体" w:cs="宋体"/>
                <w:szCs w:val="21"/>
              </w:rPr>
            </w:pPr>
            <w:r>
              <w:rPr>
                <w:rFonts w:hint="eastAsia" w:ascii="宋体" w:hAnsi="宋体" w:cs="宋体"/>
                <w:bCs/>
                <w:szCs w:val="21"/>
              </w:rPr>
              <w:t>（6）</w:t>
            </w:r>
            <w:r>
              <w:rPr>
                <w:rFonts w:hint="eastAsia" w:ascii="宋体" w:hAnsi="宋体" w:cs="宋体"/>
                <w:szCs w:val="21"/>
              </w:rPr>
              <w:t>根据投标人设备材料现场组装方案的安全文明管理体系与措施、环境保护管理体系与措施进行评审。</w:t>
            </w:r>
          </w:p>
          <w:p w14:paraId="70B05231">
            <w:pPr>
              <w:spacing w:line="360" w:lineRule="auto"/>
              <w:rPr>
                <w:rFonts w:hint="eastAsia" w:ascii="宋体" w:hAnsi="宋体" w:cs="宋体"/>
                <w:szCs w:val="21"/>
              </w:rPr>
            </w:pPr>
            <w:r>
              <w:rPr>
                <w:rFonts w:hint="eastAsia" w:ascii="宋体" w:hAnsi="宋体" w:cs="宋体"/>
                <w:szCs w:val="21"/>
                <w:lang w:bidi="ar"/>
              </w:rPr>
              <w:t>方案详细完整，针对性强、可操作性强，符合项目实际情况的，得4分；方案较详细，针对性、可操作性较强，基本符合项目实际情况的，得2分；方案普通，针对性、可操作性一般，与项目实际情况符合度一般的，得1分；方案无可操作性，不符合项目实际情况或未提供执行方案的，不得分。</w:t>
            </w:r>
          </w:p>
        </w:tc>
        <w:tc>
          <w:tcPr>
            <w:tcW w:w="388" w:type="pct"/>
            <w:tcBorders>
              <w:top w:val="single" w:color="auto" w:sz="4" w:space="0"/>
              <w:left w:val="single" w:color="auto" w:sz="4" w:space="0"/>
              <w:bottom w:val="single" w:color="auto" w:sz="4" w:space="0"/>
              <w:right w:val="single" w:color="auto" w:sz="4" w:space="0"/>
            </w:tcBorders>
            <w:vAlign w:val="center"/>
          </w:tcPr>
          <w:p w14:paraId="374E090E">
            <w:pPr>
              <w:jc w:val="center"/>
              <w:rPr>
                <w:rFonts w:hint="eastAsia" w:ascii="宋体" w:hAnsi="宋体" w:cs="宋体"/>
                <w:bCs/>
                <w:szCs w:val="21"/>
              </w:rPr>
            </w:pPr>
            <w:r>
              <w:rPr>
                <w:rFonts w:hint="eastAsia" w:ascii="宋体" w:hAnsi="宋体" w:cs="宋体"/>
                <w:bCs/>
                <w:szCs w:val="21"/>
              </w:rPr>
              <w:t>4</w:t>
            </w:r>
          </w:p>
        </w:tc>
      </w:tr>
      <w:tr w14:paraId="7B68B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374FECF">
            <w:pPr>
              <w:widowControl/>
              <w:rPr>
                <w:rFonts w:hint="eastAsia" w:ascii="宋体" w:hAnsi="宋体" w:cs="宋体"/>
                <w:szCs w:val="21"/>
              </w:rPr>
            </w:pPr>
          </w:p>
        </w:tc>
        <w:tc>
          <w:tcPr>
            <w:tcW w:w="4002" w:type="pct"/>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A602DE2">
            <w:pPr>
              <w:widowControl/>
              <w:spacing w:line="360" w:lineRule="auto"/>
              <w:rPr>
                <w:rFonts w:hint="eastAsia" w:ascii="宋体" w:hAnsi="宋体" w:cs="宋体"/>
                <w:szCs w:val="21"/>
              </w:rPr>
            </w:pPr>
            <w:r>
              <w:rPr>
                <w:rFonts w:hint="eastAsia" w:ascii="宋体" w:hAnsi="宋体" w:cs="宋体"/>
                <w:bCs/>
                <w:szCs w:val="21"/>
              </w:rPr>
              <w:t>（7）</w:t>
            </w:r>
            <w:r>
              <w:rPr>
                <w:rFonts w:hint="eastAsia" w:ascii="宋体" w:hAnsi="宋体" w:cs="宋体"/>
                <w:szCs w:val="21"/>
              </w:rPr>
              <w:t>根据投标人的培训计划及合理化建议进行打分。</w:t>
            </w:r>
          </w:p>
          <w:p w14:paraId="76CCF30B">
            <w:pPr>
              <w:spacing w:line="360" w:lineRule="auto"/>
              <w:rPr>
                <w:rFonts w:hint="eastAsia" w:ascii="宋体" w:hAnsi="宋体" w:cs="宋体"/>
                <w:snapToGrid w:val="0"/>
                <w:szCs w:val="21"/>
              </w:rPr>
            </w:pPr>
            <w:r>
              <w:rPr>
                <w:rFonts w:hint="eastAsia" w:ascii="宋体" w:hAnsi="宋体" w:cs="宋体"/>
                <w:szCs w:val="21"/>
                <w:lang w:bidi="ar"/>
              </w:rPr>
              <w:t>方案详细完整，针对性强、可操作性强，符合项目实际情况的，得4分；方案较详细，针对性、可操作性较强，基本符合项目实际情况的，得2分；方案普通，针对性、可操作性一般，与项目实际情况符合度一般的，得1分；方案无可操作性，不符合项目实际情况或未提供执行方案的，不得分。</w:t>
            </w:r>
          </w:p>
        </w:tc>
        <w:tc>
          <w:tcPr>
            <w:tcW w:w="388" w:type="pct"/>
            <w:tcBorders>
              <w:top w:val="single" w:color="auto" w:sz="4" w:space="0"/>
              <w:left w:val="single" w:color="auto" w:sz="4" w:space="0"/>
              <w:bottom w:val="single" w:color="auto" w:sz="4" w:space="0"/>
              <w:right w:val="single" w:color="auto" w:sz="4" w:space="0"/>
            </w:tcBorders>
            <w:vAlign w:val="center"/>
          </w:tcPr>
          <w:p w14:paraId="2F94D2D3">
            <w:pPr>
              <w:widowControl/>
              <w:jc w:val="center"/>
              <w:rPr>
                <w:rFonts w:hint="eastAsia" w:ascii="宋体" w:hAnsi="宋体" w:cs="宋体"/>
                <w:bCs/>
                <w:szCs w:val="21"/>
              </w:rPr>
            </w:pPr>
            <w:r>
              <w:rPr>
                <w:rFonts w:hint="eastAsia" w:ascii="宋体" w:hAnsi="宋体" w:cs="宋体"/>
                <w:bCs/>
                <w:szCs w:val="21"/>
              </w:rPr>
              <w:t>4</w:t>
            </w:r>
          </w:p>
        </w:tc>
      </w:tr>
      <w:tr w14:paraId="4AAB8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609"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C1FB745">
            <w:pPr>
              <w:tabs>
                <w:tab w:val="left" w:pos="900"/>
              </w:tabs>
              <w:adjustRightInd w:val="0"/>
              <w:snapToGrid w:val="0"/>
              <w:spacing w:line="440" w:lineRule="exact"/>
              <w:jc w:val="center"/>
              <w:rPr>
                <w:rFonts w:hint="eastAsia" w:ascii="宋体" w:hAnsi="宋体" w:cs="宋体"/>
                <w:snapToGrid w:val="0"/>
                <w:szCs w:val="21"/>
              </w:rPr>
            </w:pPr>
            <w:r>
              <w:rPr>
                <w:rFonts w:hint="eastAsia" w:ascii="宋体" w:hAnsi="宋体" w:cs="宋体"/>
                <w:snapToGrid w:val="0"/>
                <w:szCs w:val="21"/>
              </w:rPr>
              <w:t>合计</w:t>
            </w:r>
          </w:p>
        </w:tc>
        <w:tc>
          <w:tcPr>
            <w:tcW w:w="4002" w:type="pct"/>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7C6D843">
            <w:pPr>
              <w:tabs>
                <w:tab w:val="left" w:pos="900"/>
              </w:tabs>
              <w:adjustRightInd w:val="0"/>
              <w:snapToGrid w:val="0"/>
              <w:spacing w:line="440" w:lineRule="exact"/>
              <w:jc w:val="center"/>
              <w:rPr>
                <w:rFonts w:hint="eastAsia" w:ascii="宋体" w:hAnsi="宋体" w:cs="宋体"/>
                <w:snapToGrid w:val="0"/>
                <w:szCs w:val="21"/>
              </w:rPr>
            </w:pPr>
            <w:r>
              <w:rPr>
                <w:rFonts w:hint="eastAsia" w:ascii="宋体" w:hAnsi="宋体" w:cs="宋体"/>
                <w:snapToGrid w:val="0"/>
                <w:szCs w:val="21"/>
              </w:rPr>
              <w:t>100分</w:t>
            </w:r>
          </w:p>
        </w:tc>
        <w:tc>
          <w:tcPr>
            <w:tcW w:w="388" w:type="pct"/>
            <w:tcBorders>
              <w:top w:val="single" w:color="auto" w:sz="4" w:space="0"/>
              <w:left w:val="single" w:color="auto" w:sz="4" w:space="0"/>
              <w:bottom w:val="single" w:color="auto" w:sz="4" w:space="0"/>
              <w:right w:val="single" w:color="auto" w:sz="4" w:space="0"/>
            </w:tcBorders>
            <w:vAlign w:val="center"/>
          </w:tcPr>
          <w:p w14:paraId="52636877">
            <w:pPr>
              <w:tabs>
                <w:tab w:val="left" w:pos="900"/>
              </w:tabs>
              <w:adjustRightInd w:val="0"/>
              <w:snapToGrid w:val="0"/>
              <w:spacing w:line="440" w:lineRule="exact"/>
              <w:jc w:val="center"/>
              <w:rPr>
                <w:rFonts w:hint="eastAsia" w:ascii="宋体" w:hAnsi="宋体" w:cs="宋体"/>
                <w:snapToGrid w:val="0"/>
                <w:szCs w:val="21"/>
              </w:rPr>
            </w:pPr>
          </w:p>
        </w:tc>
      </w:tr>
    </w:tbl>
    <w:p w14:paraId="3253B910">
      <w:pPr>
        <w:spacing w:line="360" w:lineRule="auto"/>
        <w:ind w:firstLine="420"/>
        <w:rPr>
          <w:rFonts w:hint="eastAsia" w:ascii="宋体" w:hAnsi="宋体"/>
          <w:szCs w:val="21"/>
        </w:rPr>
      </w:pPr>
    </w:p>
    <w:bookmarkEnd w:id="112"/>
    <w:bookmarkEnd w:id="113"/>
    <w:p w14:paraId="50EF59C0">
      <w:pPr>
        <w:spacing w:line="360" w:lineRule="auto"/>
        <w:ind w:firstLine="422" w:firstLineChars="200"/>
        <w:rPr>
          <w:b/>
          <w:bCs/>
        </w:rPr>
      </w:pPr>
      <w:bookmarkStart w:id="114" w:name="_Toc497133123"/>
      <w:bookmarkStart w:id="115" w:name="_Toc29906"/>
      <w:r>
        <w:rPr>
          <w:rFonts w:hint="eastAsia"/>
          <w:b/>
          <w:bCs/>
        </w:rPr>
        <w:t>二、异常低价投标审查</w:t>
      </w:r>
    </w:p>
    <w:p w14:paraId="09530AC5">
      <w:pPr>
        <w:spacing w:line="360" w:lineRule="auto"/>
        <w:ind w:firstLine="420" w:firstLineChars="200"/>
      </w:pPr>
      <w:r>
        <w:rPr>
          <w:rFonts w:hint="eastAsia"/>
        </w:rPr>
        <w:t>评标过程中出现下列情形之一的，评标委员会应当启动异常低价投标审查程序：</w:t>
      </w:r>
    </w:p>
    <w:p w14:paraId="51D0F03F">
      <w:pPr>
        <w:spacing w:line="360" w:lineRule="auto"/>
        <w:ind w:firstLine="420" w:firstLineChars="200"/>
      </w:pPr>
      <w:r>
        <w:rPr>
          <w:rFonts w:hint="eastAsia"/>
        </w:rPr>
        <w:t xml:space="preserve">1.投标（响应）报价低于全部通过符合性审查供应商投标（响应）报价平均值50%的，即投标（响应）报价〈全部通过符合性审查供应商投标（响应）报价平均值×50%； </w:t>
      </w:r>
    </w:p>
    <w:p w14:paraId="579D8211">
      <w:pPr>
        <w:spacing w:line="360" w:lineRule="auto"/>
        <w:ind w:firstLine="420" w:firstLineChars="200"/>
      </w:pPr>
      <w:r>
        <w:rPr>
          <w:rFonts w:hint="eastAsia"/>
        </w:rPr>
        <w:t xml:space="preserve">2.投标（响应）报价低于通过符合性审查的次低报价供应商投标（响应）报价50%的，即投标（响应）报价〈通过符合性审查的次低报价供应商投标（响应）报价×50%； </w:t>
      </w:r>
    </w:p>
    <w:p w14:paraId="5093B691">
      <w:pPr>
        <w:spacing w:line="360" w:lineRule="auto"/>
        <w:ind w:firstLine="420" w:firstLineChars="200"/>
      </w:pPr>
      <w:r>
        <w:rPr>
          <w:rFonts w:hint="eastAsia"/>
        </w:rPr>
        <w:t xml:space="preserve">3.投标（响应）报价低于采购项目最高限价45%的，即投标（响应）报价〈采购项目最高限价×45%； </w:t>
      </w:r>
    </w:p>
    <w:p w14:paraId="4DCFC433">
      <w:pPr>
        <w:spacing w:line="360" w:lineRule="auto"/>
        <w:ind w:firstLine="420" w:firstLineChars="200"/>
      </w:pPr>
      <w:r>
        <w:rPr>
          <w:rFonts w:hint="eastAsia"/>
        </w:rPr>
        <w:t xml:space="preserve">4.评审委员会基于专业判断，认为供应商报价过低，有可能影响产品质量或者不能诚信履约的其他情形。 </w:t>
      </w:r>
    </w:p>
    <w:p w14:paraId="36A6A51B">
      <w:pPr>
        <w:spacing w:line="360" w:lineRule="auto"/>
        <w:ind w:firstLine="420" w:firstLineChars="200"/>
      </w:pPr>
      <w:r>
        <w:rPr>
          <w:rFonts w:hint="eastAsia"/>
        </w:rPr>
        <w:t xml:space="preserve">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不少于30分钟。其中，属于第3项情形，供应商已随投标（响应）文件一并提交相关书面说明及必要的证明材料的，在评审现场可不再重复提交。 </w:t>
      </w:r>
    </w:p>
    <w:p w14:paraId="3218C8B6">
      <w:pPr>
        <w:spacing w:line="360" w:lineRule="auto"/>
        <w:ind w:firstLine="420" w:firstLineChars="200"/>
      </w:pPr>
      <w:r>
        <w:rPr>
          <w:rFonts w:hint="eastAsi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BD8C807">
      <w:pPr>
        <w:pStyle w:val="311"/>
        <w:spacing w:before="0" w:after="0"/>
        <w:ind w:firstLine="422"/>
        <w:rPr>
          <w:rFonts w:ascii="Times New Roman" w:hAnsi="Times New Roman"/>
          <w:b/>
        </w:rPr>
      </w:pPr>
    </w:p>
    <w:p w14:paraId="467EB38C">
      <w:pPr>
        <w:rPr>
          <w:sz w:val="36"/>
        </w:rPr>
      </w:pPr>
    </w:p>
    <w:p w14:paraId="05BAD735">
      <w:pPr>
        <w:rPr>
          <w:sz w:val="36"/>
        </w:rPr>
      </w:pPr>
      <w:r>
        <w:rPr>
          <w:rFonts w:hint="eastAsia"/>
          <w:sz w:val="36"/>
        </w:rPr>
        <w:br w:type="page"/>
      </w:r>
    </w:p>
    <w:p w14:paraId="6BDEBB75">
      <w:pPr>
        <w:pStyle w:val="191"/>
        <w:spacing w:before="0" w:after="0" w:line="360" w:lineRule="auto"/>
        <w:jc w:val="center"/>
        <w:rPr>
          <w:sz w:val="36"/>
        </w:rPr>
      </w:pPr>
      <w:r>
        <w:rPr>
          <w:rFonts w:hint="eastAsia"/>
          <w:sz w:val="36"/>
        </w:rPr>
        <w:t>第六章 投标文件格式</w:t>
      </w:r>
      <w:bookmarkEnd w:id="114"/>
      <w:bookmarkEnd w:id="115"/>
    </w:p>
    <w:p w14:paraId="5ACA61FA">
      <w:pPr>
        <w:spacing w:line="360" w:lineRule="auto"/>
        <w:jc w:val="center"/>
        <w:rPr>
          <w:b/>
          <w:sz w:val="36"/>
        </w:rPr>
      </w:pPr>
    </w:p>
    <w:p w14:paraId="211D9202">
      <w:pPr>
        <w:spacing w:line="360" w:lineRule="auto"/>
        <w:jc w:val="right"/>
        <w:rPr>
          <w:b/>
          <w:szCs w:val="21"/>
        </w:rPr>
      </w:pPr>
      <w:r>
        <w:rPr>
          <w:rFonts w:hint="eastAsia"/>
          <w:b/>
          <w:szCs w:val="21"/>
        </w:rPr>
        <w:t>正（副）本</w:t>
      </w:r>
    </w:p>
    <w:p w14:paraId="06771692">
      <w:pPr>
        <w:spacing w:line="360" w:lineRule="auto"/>
        <w:jc w:val="center"/>
        <w:rPr>
          <w:b/>
          <w:sz w:val="22"/>
          <w:szCs w:val="21"/>
        </w:rPr>
      </w:pPr>
    </w:p>
    <w:p w14:paraId="21A9893A">
      <w:pPr>
        <w:spacing w:line="360" w:lineRule="auto"/>
        <w:jc w:val="center"/>
        <w:rPr>
          <w:b/>
          <w:sz w:val="72"/>
        </w:rPr>
      </w:pPr>
      <w:r>
        <w:rPr>
          <w:rFonts w:hint="eastAsia"/>
          <w:b/>
          <w:sz w:val="72"/>
        </w:rPr>
        <w:t>投  标  文  件</w:t>
      </w:r>
    </w:p>
    <w:p w14:paraId="000233AA">
      <w:pPr>
        <w:spacing w:line="360" w:lineRule="auto"/>
        <w:jc w:val="center"/>
        <w:rPr>
          <w:b/>
          <w:sz w:val="72"/>
        </w:rPr>
      </w:pPr>
    </w:p>
    <w:p w14:paraId="6F84C012">
      <w:pPr>
        <w:spacing w:line="360" w:lineRule="auto"/>
        <w:jc w:val="center"/>
        <w:rPr>
          <w:b/>
          <w:sz w:val="36"/>
        </w:rPr>
      </w:pPr>
    </w:p>
    <w:p w14:paraId="52C95F09">
      <w:pPr>
        <w:spacing w:line="360" w:lineRule="auto"/>
        <w:ind w:firstLine="1084"/>
        <w:rPr>
          <w:rFonts w:hint="eastAsia" w:eastAsia="宋体"/>
          <w:b/>
          <w:sz w:val="36"/>
          <w:u w:val="single"/>
          <w:lang w:eastAsia="zh-CN"/>
        </w:rPr>
      </w:pPr>
      <w:r>
        <w:rPr>
          <w:rFonts w:hint="eastAsia"/>
          <w:b/>
          <w:sz w:val="36"/>
        </w:rPr>
        <w:t>项目名称：</w:t>
      </w:r>
      <w:r>
        <w:rPr>
          <w:rFonts w:hint="eastAsia"/>
          <w:sz w:val="36"/>
          <w:szCs w:val="36"/>
          <w:u w:val="single"/>
          <w:lang w:eastAsia="zh-CN"/>
        </w:rPr>
        <w:t>扬州大学附属医院西区医院医气系统采购及改造项目（二次）</w:t>
      </w:r>
    </w:p>
    <w:p w14:paraId="124FC4A6">
      <w:pPr>
        <w:spacing w:line="360" w:lineRule="auto"/>
        <w:ind w:firstLine="1084"/>
        <w:rPr>
          <w:rFonts w:hint="eastAsia" w:eastAsia="宋体"/>
          <w:sz w:val="36"/>
          <w:szCs w:val="36"/>
          <w:lang w:eastAsia="zh-CN"/>
        </w:rPr>
      </w:pPr>
      <w:r>
        <w:rPr>
          <w:rFonts w:hint="eastAsia"/>
          <w:b/>
          <w:sz w:val="36"/>
        </w:rPr>
        <w:t>项目编号：</w:t>
      </w:r>
      <w:r>
        <w:rPr>
          <w:rFonts w:hint="eastAsia"/>
          <w:sz w:val="36"/>
          <w:szCs w:val="36"/>
          <w:u w:val="single"/>
          <w:lang w:eastAsia="zh-CN"/>
        </w:rPr>
        <w:t>YDFYSW-20260901-1号</w:t>
      </w:r>
    </w:p>
    <w:p w14:paraId="1937C8C2">
      <w:pPr>
        <w:spacing w:line="360" w:lineRule="auto"/>
        <w:rPr>
          <w:b/>
          <w:sz w:val="36"/>
          <w:u w:val="single"/>
        </w:rPr>
      </w:pPr>
      <w:r>
        <w:rPr>
          <w:rFonts w:hint="eastAsia"/>
          <w:b/>
          <w:sz w:val="36"/>
        </w:rPr>
        <w:t xml:space="preserve">      投标人名称 ：</w:t>
      </w:r>
      <w:r>
        <w:rPr>
          <w:rFonts w:hint="eastAsia"/>
          <w:b/>
          <w:sz w:val="36"/>
          <w:u w:val="single"/>
        </w:rPr>
        <w:t xml:space="preserve">               </w:t>
      </w:r>
    </w:p>
    <w:p w14:paraId="0C1D73A6">
      <w:pPr>
        <w:spacing w:line="360" w:lineRule="auto"/>
        <w:rPr>
          <w:b/>
          <w:sz w:val="36"/>
          <w:u w:val="single"/>
        </w:rPr>
      </w:pPr>
      <w:r>
        <w:rPr>
          <w:rFonts w:hint="eastAsia"/>
          <w:b/>
          <w:sz w:val="36"/>
        </w:rPr>
        <w:t xml:space="preserve">      投标人地址 ：</w:t>
      </w:r>
      <w:r>
        <w:rPr>
          <w:rFonts w:hint="eastAsia"/>
          <w:b/>
          <w:sz w:val="36"/>
          <w:u w:val="single"/>
        </w:rPr>
        <w:t xml:space="preserve">               </w:t>
      </w:r>
    </w:p>
    <w:p w14:paraId="60EA717B">
      <w:pPr>
        <w:spacing w:line="360" w:lineRule="auto"/>
        <w:ind w:firstLine="1084" w:firstLineChars="300"/>
        <w:rPr>
          <w:b/>
          <w:sz w:val="36"/>
        </w:rPr>
      </w:pPr>
      <w:r>
        <w:rPr>
          <w:rFonts w:hint="eastAsia"/>
          <w:b/>
          <w:sz w:val="36"/>
        </w:rPr>
        <w:t>日      期 ：</w:t>
      </w:r>
      <w:r>
        <w:rPr>
          <w:rFonts w:hint="eastAsia"/>
          <w:b/>
          <w:sz w:val="36"/>
          <w:u w:val="single"/>
        </w:rPr>
        <w:t xml:space="preserve">               </w:t>
      </w:r>
    </w:p>
    <w:p w14:paraId="1D107525">
      <w:pPr>
        <w:spacing w:line="360" w:lineRule="auto"/>
        <w:rPr>
          <w:sz w:val="24"/>
        </w:rPr>
      </w:pPr>
    </w:p>
    <w:p w14:paraId="1B6AD0C7">
      <w:pPr>
        <w:spacing w:line="360" w:lineRule="auto"/>
        <w:ind w:firstLine="480"/>
        <w:rPr>
          <w:sz w:val="24"/>
        </w:rPr>
      </w:pPr>
    </w:p>
    <w:p w14:paraId="6BD82EF1">
      <w:pPr>
        <w:spacing w:line="360" w:lineRule="auto"/>
        <w:rPr>
          <w:b/>
          <w:bCs/>
          <w:sz w:val="28"/>
          <w:szCs w:val="28"/>
        </w:rPr>
      </w:pPr>
      <w:r>
        <w:rPr>
          <w:rFonts w:hint="eastAsia" w:cs="宋体"/>
          <w:b/>
          <w:bCs/>
          <w:sz w:val="28"/>
          <w:szCs w:val="28"/>
          <w:lang w:val="zh-CN"/>
        </w:rPr>
        <w:t>说明：</w:t>
      </w:r>
    </w:p>
    <w:p w14:paraId="5F8DCCC8">
      <w:pPr>
        <w:spacing w:line="360" w:lineRule="auto"/>
        <w:ind w:firstLine="618"/>
        <w:rPr>
          <w:b/>
          <w:bCs/>
          <w:sz w:val="28"/>
          <w:szCs w:val="28"/>
        </w:rPr>
      </w:pPr>
      <w:r>
        <w:rPr>
          <w:rFonts w:hint="eastAsia" w:cs="宋体"/>
          <w:b/>
          <w:bCs/>
          <w:sz w:val="28"/>
          <w:szCs w:val="28"/>
          <w:lang w:val="zh-CN"/>
        </w:rPr>
        <w:t>对本章所有的投标文件格式 ，投标人可根据自身情况进行补充和修改，但补充和修改不得造成与本格式内容有实质性的违背。</w:t>
      </w:r>
    </w:p>
    <w:p w14:paraId="5DF610F6">
      <w:pPr>
        <w:rPr>
          <w:b/>
          <w:szCs w:val="21"/>
        </w:rPr>
      </w:pPr>
      <w:r>
        <w:rPr>
          <w:rFonts w:hint="eastAsia"/>
          <w:b/>
          <w:szCs w:val="21"/>
        </w:rPr>
        <w:br w:type="page"/>
      </w:r>
    </w:p>
    <w:p w14:paraId="43F59452">
      <w:pPr>
        <w:spacing w:line="360" w:lineRule="auto"/>
        <w:ind w:firstLine="480"/>
        <w:jc w:val="center"/>
        <w:rPr>
          <w:b/>
          <w:szCs w:val="21"/>
        </w:rPr>
      </w:pPr>
      <w:r>
        <w:rPr>
          <w:rFonts w:hint="eastAsia"/>
          <w:b/>
          <w:szCs w:val="21"/>
        </w:rPr>
        <w:t>评分索引表</w:t>
      </w:r>
    </w:p>
    <w:tbl>
      <w:tblPr>
        <w:tblStyle w:val="3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86"/>
        <w:gridCol w:w="3202"/>
      </w:tblGrid>
      <w:tr w14:paraId="29741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3068" w:type="pct"/>
            <w:tcBorders>
              <w:top w:val="single" w:color="auto" w:sz="4" w:space="0"/>
              <w:left w:val="single" w:color="auto" w:sz="4" w:space="0"/>
              <w:bottom w:val="single" w:color="auto" w:sz="4" w:space="0"/>
              <w:right w:val="single" w:color="auto" w:sz="4" w:space="0"/>
            </w:tcBorders>
          </w:tcPr>
          <w:p w14:paraId="3F47D74B">
            <w:pPr>
              <w:pStyle w:val="258"/>
              <w:shd w:val="clear" w:color="auto" w:fill="FFFFFF"/>
              <w:spacing w:line="360" w:lineRule="auto"/>
              <w:ind w:left="420" w:firstLine="422"/>
              <w:jc w:val="center"/>
              <w:rPr>
                <w:rFonts w:ascii="Times New Roman" w:hAnsi="Times New Roman"/>
                <w:b/>
                <w:bCs/>
                <w:sz w:val="21"/>
                <w:szCs w:val="21"/>
              </w:rPr>
            </w:pPr>
            <w:r>
              <w:rPr>
                <w:rFonts w:hint="eastAsia" w:ascii="Times New Roman" w:hAnsi="Times New Roman"/>
                <w:b/>
                <w:sz w:val="21"/>
                <w:szCs w:val="21"/>
              </w:rPr>
              <w:t>评分项目</w:t>
            </w:r>
          </w:p>
        </w:tc>
        <w:tc>
          <w:tcPr>
            <w:tcW w:w="1931" w:type="pct"/>
            <w:tcBorders>
              <w:top w:val="single" w:color="auto" w:sz="4" w:space="0"/>
              <w:left w:val="single" w:color="auto" w:sz="4" w:space="0"/>
              <w:bottom w:val="single" w:color="auto" w:sz="4" w:space="0"/>
              <w:right w:val="single" w:color="auto" w:sz="4" w:space="0"/>
            </w:tcBorders>
          </w:tcPr>
          <w:p w14:paraId="421B395A">
            <w:pPr>
              <w:spacing w:line="360" w:lineRule="auto"/>
              <w:ind w:firstLine="422"/>
              <w:jc w:val="center"/>
              <w:rPr>
                <w:b/>
                <w:szCs w:val="21"/>
              </w:rPr>
            </w:pPr>
            <w:r>
              <w:rPr>
                <w:rFonts w:hint="eastAsia"/>
                <w:b/>
                <w:szCs w:val="21"/>
                <w:lang w:bidi="en-US"/>
              </w:rPr>
              <w:t>在投标文件中的页码位置</w:t>
            </w:r>
          </w:p>
        </w:tc>
      </w:tr>
      <w:tr w14:paraId="6A60A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3068" w:type="pct"/>
            <w:tcBorders>
              <w:top w:val="single" w:color="auto" w:sz="4" w:space="0"/>
              <w:left w:val="single" w:color="auto" w:sz="4" w:space="0"/>
              <w:bottom w:val="single" w:color="auto" w:sz="4" w:space="0"/>
              <w:right w:val="single" w:color="auto" w:sz="4" w:space="0"/>
            </w:tcBorders>
          </w:tcPr>
          <w:p w14:paraId="66413D8A">
            <w:pPr>
              <w:pStyle w:val="258"/>
              <w:shd w:val="clear" w:color="auto" w:fill="FFFFFF"/>
              <w:spacing w:line="360" w:lineRule="auto"/>
              <w:ind w:left="420" w:firstLine="422"/>
              <w:rPr>
                <w:rFonts w:ascii="Times New Roman" w:hAnsi="Times New Roman"/>
                <w:b/>
                <w:sz w:val="21"/>
                <w:szCs w:val="22"/>
              </w:rPr>
            </w:pPr>
          </w:p>
        </w:tc>
        <w:tc>
          <w:tcPr>
            <w:tcW w:w="1931" w:type="pct"/>
            <w:tcBorders>
              <w:top w:val="single" w:color="auto" w:sz="4" w:space="0"/>
              <w:left w:val="single" w:color="auto" w:sz="4" w:space="0"/>
              <w:bottom w:val="single" w:color="auto" w:sz="4" w:space="0"/>
              <w:right w:val="single" w:color="auto" w:sz="4" w:space="0"/>
            </w:tcBorders>
          </w:tcPr>
          <w:p w14:paraId="6FE2C9B2">
            <w:pPr>
              <w:spacing w:line="360" w:lineRule="auto"/>
              <w:ind w:firstLine="482"/>
              <w:rPr>
                <w:b/>
                <w:sz w:val="24"/>
                <w:lang w:bidi="en-US"/>
              </w:rPr>
            </w:pPr>
          </w:p>
        </w:tc>
      </w:tr>
      <w:tr w14:paraId="69779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000" w:type="pct"/>
            <w:gridSpan w:val="2"/>
            <w:tcBorders>
              <w:top w:val="single" w:color="auto" w:sz="4" w:space="0"/>
              <w:left w:val="single" w:color="auto" w:sz="4" w:space="0"/>
              <w:bottom w:val="single" w:color="auto" w:sz="4" w:space="0"/>
              <w:right w:val="single" w:color="auto" w:sz="4" w:space="0"/>
            </w:tcBorders>
          </w:tcPr>
          <w:p w14:paraId="1904D54D">
            <w:pPr>
              <w:pStyle w:val="258"/>
              <w:shd w:val="clear" w:color="auto" w:fill="FFFFFF"/>
              <w:spacing w:line="360" w:lineRule="auto"/>
              <w:ind w:left="420" w:firstLine="420"/>
              <w:rPr>
                <w:rFonts w:ascii="Times New Roman" w:hAnsi="Times New Roman"/>
                <w:sz w:val="21"/>
                <w:szCs w:val="22"/>
              </w:rPr>
            </w:pPr>
          </w:p>
        </w:tc>
      </w:tr>
      <w:tr w14:paraId="4EDD5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68" w:type="pct"/>
            <w:tcBorders>
              <w:top w:val="single" w:color="auto" w:sz="4" w:space="0"/>
              <w:left w:val="single" w:color="auto" w:sz="4" w:space="0"/>
              <w:bottom w:val="single" w:color="auto" w:sz="4" w:space="0"/>
              <w:right w:val="single" w:color="auto" w:sz="4" w:space="0"/>
            </w:tcBorders>
          </w:tcPr>
          <w:p w14:paraId="2C9098C1">
            <w:pPr>
              <w:pStyle w:val="258"/>
              <w:shd w:val="clear" w:color="auto" w:fill="FFFFFF"/>
              <w:spacing w:line="360" w:lineRule="auto"/>
              <w:ind w:left="420" w:firstLine="420"/>
              <w:rPr>
                <w:rFonts w:ascii="Times New Roman" w:hAnsi="Times New Roman"/>
                <w:sz w:val="21"/>
                <w:szCs w:val="22"/>
              </w:rPr>
            </w:pPr>
          </w:p>
        </w:tc>
        <w:tc>
          <w:tcPr>
            <w:tcW w:w="1931" w:type="pct"/>
            <w:tcBorders>
              <w:top w:val="single" w:color="auto" w:sz="4" w:space="0"/>
              <w:left w:val="single" w:color="auto" w:sz="4" w:space="0"/>
              <w:bottom w:val="single" w:color="auto" w:sz="4" w:space="0"/>
              <w:right w:val="single" w:color="auto" w:sz="4" w:space="0"/>
            </w:tcBorders>
          </w:tcPr>
          <w:p w14:paraId="4240E6A6">
            <w:pPr>
              <w:spacing w:line="360" w:lineRule="auto"/>
            </w:pPr>
          </w:p>
        </w:tc>
      </w:tr>
      <w:tr w14:paraId="68AB2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068" w:type="pct"/>
            <w:tcBorders>
              <w:top w:val="single" w:color="auto" w:sz="4" w:space="0"/>
              <w:left w:val="single" w:color="auto" w:sz="4" w:space="0"/>
              <w:bottom w:val="single" w:color="auto" w:sz="4" w:space="0"/>
              <w:right w:val="single" w:color="auto" w:sz="4" w:space="0"/>
            </w:tcBorders>
          </w:tcPr>
          <w:p w14:paraId="1BDA7175">
            <w:pPr>
              <w:pStyle w:val="258"/>
              <w:shd w:val="clear" w:color="auto" w:fill="FFFFFF"/>
              <w:spacing w:line="360" w:lineRule="auto"/>
              <w:ind w:left="420" w:firstLine="420"/>
              <w:rPr>
                <w:rFonts w:ascii="Times New Roman" w:hAnsi="Times New Roman"/>
                <w:sz w:val="21"/>
                <w:szCs w:val="22"/>
              </w:rPr>
            </w:pPr>
          </w:p>
        </w:tc>
        <w:tc>
          <w:tcPr>
            <w:tcW w:w="1931" w:type="pct"/>
            <w:tcBorders>
              <w:top w:val="single" w:color="auto" w:sz="4" w:space="0"/>
              <w:left w:val="single" w:color="auto" w:sz="4" w:space="0"/>
              <w:bottom w:val="single" w:color="auto" w:sz="4" w:space="0"/>
              <w:right w:val="single" w:color="auto" w:sz="4" w:space="0"/>
            </w:tcBorders>
          </w:tcPr>
          <w:p w14:paraId="263F624F">
            <w:pPr>
              <w:spacing w:line="360" w:lineRule="auto"/>
            </w:pPr>
          </w:p>
        </w:tc>
      </w:tr>
      <w:tr w14:paraId="35983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3068" w:type="pct"/>
            <w:tcBorders>
              <w:top w:val="single" w:color="auto" w:sz="4" w:space="0"/>
              <w:left w:val="single" w:color="auto" w:sz="4" w:space="0"/>
              <w:bottom w:val="single" w:color="auto" w:sz="4" w:space="0"/>
              <w:right w:val="single" w:color="auto" w:sz="4" w:space="0"/>
            </w:tcBorders>
          </w:tcPr>
          <w:p w14:paraId="09A2F7FF">
            <w:pPr>
              <w:pStyle w:val="258"/>
              <w:shd w:val="clear" w:color="auto" w:fill="FFFFFF"/>
              <w:spacing w:line="360" w:lineRule="auto"/>
              <w:ind w:left="420" w:firstLine="420"/>
              <w:rPr>
                <w:rFonts w:ascii="Times New Roman" w:hAnsi="Times New Roman"/>
                <w:sz w:val="21"/>
                <w:szCs w:val="22"/>
              </w:rPr>
            </w:pPr>
          </w:p>
        </w:tc>
        <w:tc>
          <w:tcPr>
            <w:tcW w:w="1931" w:type="pct"/>
            <w:tcBorders>
              <w:top w:val="single" w:color="auto" w:sz="4" w:space="0"/>
              <w:left w:val="single" w:color="auto" w:sz="4" w:space="0"/>
              <w:bottom w:val="single" w:color="auto" w:sz="4" w:space="0"/>
              <w:right w:val="single" w:color="auto" w:sz="4" w:space="0"/>
            </w:tcBorders>
          </w:tcPr>
          <w:p w14:paraId="4C10A50A">
            <w:pPr>
              <w:spacing w:line="360" w:lineRule="auto"/>
            </w:pPr>
          </w:p>
        </w:tc>
      </w:tr>
      <w:tr w14:paraId="4FD8E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3068" w:type="pct"/>
            <w:tcBorders>
              <w:top w:val="single" w:color="auto" w:sz="4" w:space="0"/>
              <w:left w:val="single" w:color="auto" w:sz="4" w:space="0"/>
              <w:bottom w:val="single" w:color="auto" w:sz="4" w:space="0"/>
              <w:right w:val="single" w:color="auto" w:sz="4" w:space="0"/>
            </w:tcBorders>
          </w:tcPr>
          <w:p w14:paraId="2C292FC1">
            <w:pPr>
              <w:pStyle w:val="258"/>
              <w:shd w:val="clear" w:color="auto" w:fill="FFFFFF"/>
              <w:spacing w:line="360" w:lineRule="auto"/>
              <w:ind w:left="420" w:firstLine="420"/>
              <w:rPr>
                <w:rFonts w:ascii="Times New Roman" w:hAnsi="Times New Roman"/>
                <w:sz w:val="21"/>
                <w:szCs w:val="22"/>
              </w:rPr>
            </w:pPr>
          </w:p>
        </w:tc>
        <w:tc>
          <w:tcPr>
            <w:tcW w:w="1931" w:type="pct"/>
            <w:tcBorders>
              <w:top w:val="single" w:color="auto" w:sz="4" w:space="0"/>
              <w:left w:val="single" w:color="auto" w:sz="4" w:space="0"/>
              <w:bottom w:val="single" w:color="auto" w:sz="4" w:space="0"/>
              <w:right w:val="single" w:color="auto" w:sz="4" w:space="0"/>
            </w:tcBorders>
          </w:tcPr>
          <w:p w14:paraId="4319CCF7">
            <w:pPr>
              <w:spacing w:line="360" w:lineRule="auto"/>
            </w:pPr>
          </w:p>
        </w:tc>
      </w:tr>
      <w:tr w14:paraId="22B1F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068" w:type="pct"/>
            <w:tcBorders>
              <w:top w:val="single" w:color="auto" w:sz="4" w:space="0"/>
              <w:left w:val="single" w:color="auto" w:sz="4" w:space="0"/>
              <w:bottom w:val="single" w:color="auto" w:sz="4" w:space="0"/>
              <w:right w:val="single" w:color="auto" w:sz="4" w:space="0"/>
            </w:tcBorders>
          </w:tcPr>
          <w:p w14:paraId="5055D9F2">
            <w:pPr>
              <w:pStyle w:val="258"/>
              <w:shd w:val="clear" w:color="auto" w:fill="FFFFFF"/>
              <w:spacing w:line="360" w:lineRule="auto"/>
              <w:ind w:left="420" w:firstLine="420"/>
              <w:rPr>
                <w:rFonts w:ascii="Times New Roman" w:hAnsi="Times New Roman"/>
                <w:sz w:val="21"/>
                <w:szCs w:val="22"/>
              </w:rPr>
            </w:pPr>
          </w:p>
        </w:tc>
        <w:tc>
          <w:tcPr>
            <w:tcW w:w="1931" w:type="pct"/>
            <w:tcBorders>
              <w:top w:val="single" w:color="auto" w:sz="4" w:space="0"/>
              <w:left w:val="single" w:color="auto" w:sz="4" w:space="0"/>
              <w:bottom w:val="single" w:color="auto" w:sz="4" w:space="0"/>
              <w:right w:val="single" w:color="auto" w:sz="4" w:space="0"/>
            </w:tcBorders>
          </w:tcPr>
          <w:p w14:paraId="0896F7ED">
            <w:pPr>
              <w:spacing w:line="360" w:lineRule="auto"/>
            </w:pPr>
          </w:p>
        </w:tc>
      </w:tr>
      <w:tr w14:paraId="736B5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5000" w:type="pct"/>
            <w:gridSpan w:val="2"/>
            <w:tcBorders>
              <w:top w:val="single" w:color="auto" w:sz="4" w:space="0"/>
              <w:left w:val="single" w:color="auto" w:sz="4" w:space="0"/>
              <w:bottom w:val="single" w:color="auto" w:sz="4" w:space="0"/>
              <w:right w:val="single" w:color="auto" w:sz="4" w:space="0"/>
            </w:tcBorders>
          </w:tcPr>
          <w:p w14:paraId="218B2DDE">
            <w:pPr>
              <w:pStyle w:val="258"/>
              <w:shd w:val="clear" w:color="auto" w:fill="FFFFFF"/>
              <w:spacing w:line="360" w:lineRule="auto"/>
              <w:ind w:left="420" w:firstLine="420"/>
              <w:rPr>
                <w:rFonts w:ascii="Times New Roman" w:hAnsi="Times New Roman"/>
                <w:sz w:val="21"/>
                <w:szCs w:val="22"/>
              </w:rPr>
            </w:pPr>
          </w:p>
        </w:tc>
      </w:tr>
      <w:tr w14:paraId="3EAA5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3068" w:type="pct"/>
            <w:tcBorders>
              <w:top w:val="single" w:color="auto" w:sz="4" w:space="0"/>
              <w:left w:val="single" w:color="auto" w:sz="4" w:space="0"/>
              <w:bottom w:val="single" w:color="auto" w:sz="4" w:space="0"/>
              <w:right w:val="single" w:color="auto" w:sz="4" w:space="0"/>
            </w:tcBorders>
          </w:tcPr>
          <w:p w14:paraId="793631B9">
            <w:pPr>
              <w:pStyle w:val="258"/>
              <w:shd w:val="clear" w:color="auto" w:fill="FFFFFF"/>
              <w:spacing w:line="360" w:lineRule="auto"/>
              <w:ind w:left="420" w:firstLine="420"/>
              <w:rPr>
                <w:rFonts w:ascii="Times New Roman" w:hAnsi="Times New Roman"/>
                <w:sz w:val="21"/>
                <w:szCs w:val="22"/>
              </w:rPr>
            </w:pPr>
          </w:p>
        </w:tc>
        <w:tc>
          <w:tcPr>
            <w:tcW w:w="1931" w:type="pct"/>
            <w:tcBorders>
              <w:top w:val="single" w:color="auto" w:sz="4" w:space="0"/>
              <w:left w:val="single" w:color="auto" w:sz="4" w:space="0"/>
              <w:bottom w:val="single" w:color="auto" w:sz="4" w:space="0"/>
              <w:right w:val="single" w:color="auto" w:sz="4" w:space="0"/>
            </w:tcBorders>
          </w:tcPr>
          <w:p w14:paraId="2F1E763A">
            <w:pPr>
              <w:spacing w:line="360" w:lineRule="auto"/>
            </w:pPr>
          </w:p>
        </w:tc>
      </w:tr>
      <w:tr w14:paraId="258A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3068" w:type="pct"/>
            <w:tcBorders>
              <w:top w:val="single" w:color="auto" w:sz="4" w:space="0"/>
              <w:left w:val="single" w:color="auto" w:sz="4" w:space="0"/>
              <w:bottom w:val="single" w:color="auto" w:sz="4" w:space="0"/>
              <w:right w:val="single" w:color="auto" w:sz="4" w:space="0"/>
            </w:tcBorders>
          </w:tcPr>
          <w:p w14:paraId="27F821CE">
            <w:pPr>
              <w:pStyle w:val="258"/>
              <w:shd w:val="clear" w:color="auto" w:fill="FFFFFF"/>
              <w:spacing w:line="360" w:lineRule="auto"/>
              <w:ind w:left="420" w:firstLine="420"/>
              <w:rPr>
                <w:rFonts w:ascii="Times New Roman" w:hAnsi="Times New Roman"/>
                <w:sz w:val="21"/>
                <w:szCs w:val="22"/>
              </w:rPr>
            </w:pPr>
          </w:p>
        </w:tc>
        <w:tc>
          <w:tcPr>
            <w:tcW w:w="1931" w:type="pct"/>
            <w:tcBorders>
              <w:top w:val="single" w:color="auto" w:sz="4" w:space="0"/>
              <w:left w:val="single" w:color="auto" w:sz="4" w:space="0"/>
              <w:bottom w:val="single" w:color="auto" w:sz="4" w:space="0"/>
              <w:right w:val="single" w:color="auto" w:sz="4" w:space="0"/>
            </w:tcBorders>
          </w:tcPr>
          <w:p w14:paraId="7535A1BE">
            <w:pPr>
              <w:spacing w:line="360" w:lineRule="auto"/>
            </w:pPr>
          </w:p>
        </w:tc>
      </w:tr>
      <w:tr w14:paraId="4E467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3068" w:type="pct"/>
            <w:tcBorders>
              <w:top w:val="single" w:color="auto" w:sz="4" w:space="0"/>
              <w:left w:val="single" w:color="auto" w:sz="4" w:space="0"/>
              <w:bottom w:val="single" w:color="auto" w:sz="4" w:space="0"/>
              <w:right w:val="single" w:color="auto" w:sz="4" w:space="0"/>
            </w:tcBorders>
          </w:tcPr>
          <w:p w14:paraId="5C09E3CA">
            <w:pPr>
              <w:pStyle w:val="258"/>
              <w:shd w:val="clear" w:color="auto" w:fill="FFFFFF"/>
              <w:spacing w:line="360" w:lineRule="auto"/>
              <w:ind w:left="420" w:firstLine="420"/>
              <w:rPr>
                <w:rFonts w:ascii="Times New Roman" w:hAnsi="Times New Roman"/>
                <w:sz w:val="21"/>
                <w:szCs w:val="22"/>
              </w:rPr>
            </w:pPr>
          </w:p>
        </w:tc>
        <w:tc>
          <w:tcPr>
            <w:tcW w:w="1931" w:type="pct"/>
            <w:tcBorders>
              <w:top w:val="single" w:color="auto" w:sz="4" w:space="0"/>
              <w:left w:val="single" w:color="auto" w:sz="4" w:space="0"/>
              <w:bottom w:val="single" w:color="auto" w:sz="4" w:space="0"/>
              <w:right w:val="single" w:color="auto" w:sz="4" w:space="0"/>
            </w:tcBorders>
          </w:tcPr>
          <w:p w14:paraId="02749A0C">
            <w:pPr>
              <w:spacing w:line="360" w:lineRule="auto"/>
            </w:pPr>
          </w:p>
        </w:tc>
      </w:tr>
      <w:tr w14:paraId="1B114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3068" w:type="pct"/>
            <w:tcBorders>
              <w:top w:val="single" w:color="auto" w:sz="4" w:space="0"/>
              <w:left w:val="single" w:color="auto" w:sz="4" w:space="0"/>
              <w:bottom w:val="single" w:color="auto" w:sz="4" w:space="0"/>
              <w:right w:val="single" w:color="auto" w:sz="4" w:space="0"/>
            </w:tcBorders>
          </w:tcPr>
          <w:p w14:paraId="7FD4AD0D">
            <w:pPr>
              <w:pStyle w:val="258"/>
              <w:shd w:val="clear" w:color="auto" w:fill="FFFFFF"/>
              <w:spacing w:line="360" w:lineRule="auto"/>
              <w:ind w:left="420" w:firstLine="420"/>
              <w:rPr>
                <w:rFonts w:ascii="Times New Roman" w:hAnsi="Times New Roman"/>
                <w:sz w:val="21"/>
                <w:szCs w:val="22"/>
              </w:rPr>
            </w:pPr>
          </w:p>
        </w:tc>
        <w:tc>
          <w:tcPr>
            <w:tcW w:w="1931" w:type="pct"/>
            <w:tcBorders>
              <w:top w:val="single" w:color="auto" w:sz="4" w:space="0"/>
              <w:left w:val="single" w:color="auto" w:sz="4" w:space="0"/>
              <w:bottom w:val="single" w:color="auto" w:sz="4" w:space="0"/>
              <w:right w:val="single" w:color="auto" w:sz="4" w:space="0"/>
            </w:tcBorders>
          </w:tcPr>
          <w:p w14:paraId="1CFFC40F">
            <w:pPr>
              <w:spacing w:line="360" w:lineRule="auto"/>
            </w:pPr>
          </w:p>
        </w:tc>
      </w:tr>
      <w:tr w14:paraId="32F67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3068" w:type="pct"/>
            <w:tcBorders>
              <w:top w:val="single" w:color="auto" w:sz="4" w:space="0"/>
              <w:left w:val="single" w:color="auto" w:sz="4" w:space="0"/>
              <w:bottom w:val="single" w:color="auto" w:sz="4" w:space="0"/>
              <w:right w:val="single" w:color="auto" w:sz="4" w:space="0"/>
            </w:tcBorders>
          </w:tcPr>
          <w:p w14:paraId="0030F42F">
            <w:pPr>
              <w:pStyle w:val="258"/>
              <w:shd w:val="clear" w:color="auto" w:fill="FFFFFF"/>
              <w:spacing w:line="360" w:lineRule="auto"/>
              <w:ind w:left="420" w:firstLine="420"/>
              <w:rPr>
                <w:rFonts w:ascii="Times New Roman" w:hAnsi="Times New Roman"/>
                <w:sz w:val="21"/>
                <w:szCs w:val="22"/>
              </w:rPr>
            </w:pPr>
          </w:p>
        </w:tc>
        <w:tc>
          <w:tcPr>
            <w:tcW w:w="1931" w:type="pct"/>
            <w:tcBorders>
              <w:top w:val="single" w:color="auto" w:sz="4" w:space="0"/>
              <w:left w:val="single" w:color="auto" w:sz="4" w:space="0"/>
              <w:bottom w:val="single" w:color="auto" w:sz="4" w:space="0"/>
              <w:right w:val="single" w:color="auto" w:sz="4" w:space="0"/>
            </w:tcBorders>
          </w:tcPr>
          <w:p w14:paraId="71144DB8">
            <w:pPr>
              <w:spacing w:line="360" w:lineRule="auto"/>
            </w:pPr>
          </w:p>
        </w:tc>
      </w:tr>
      <w:tr w14:paraId="3C11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000" w:type="pct"/>
            <w:gridSpan w:val="2"/>
            <w:tcBorders>
              <w:top w:val="single" w:color="auto" w:sz="4" w:space="0"/>
              <w:left w:val="single" w:color="auto" w:sz="4" w:space="0"/>
              <w:bottom w:val="single" w:color="auto" w:sz="4" w:space="0"/>
              <w:right w:val="single" w:color="auto" w:sz="4" w:space="0"/>
            </w:tcBorders>
          </w:tcPr>
          <w:p w14:paraId="3354175D">
            <w:pPr>
              <w:pStyle w:val="258"/>
              <w:shd w:val="clear" w:color="auto" w:fill="FFFFFF"/>
              <w:spacing w:line="360" w:lineRule="auto"/>
              <w:ind w:left="420" w:firstLine="422"/>
              <w:rPr>
                <w:rFonts w:ascii="Times New Roman" w:hAnsi="Times New Roman"/>
                <w:b/>
                <w:sz w:val="21"/>
                <w:szCs w:val="22"/>
              </w:rPr>
            </w:pPr>
          </w:p>
        </w:tc>
      </w:tr>
      <w:tr w14:paraId="263D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68" w:type="pct"/>
            <w:tcBorders>
              <w:top w:val="single" w:color="auto" w:sz="4" w:space="0"/>
              <w:left w:val="single" w:color="auto" w:sz="4" w:space="0"/>
              <w:bottom w:val="single" w:color="auto" w:sz="4" w:space="0"/>
              <w:right w:val="single" w:color="auto" w:sz="4" w:space="0"/>
            </w:tcBorders>
          </w:tcPr>
          <w:p w14:paraId="77E5093C">
            <w:pPr>
              <w:pStyle w:val="258"/>
              <w:shd w:val="clear" w:color="auto" w:fill="FFFFFF"/>
              <w:spacing w:line="360" w:lineRule="auto"/>
              <w:ind w:left="420" w:firstLine="422"/>
              <w:rPr>
                <w:rFonts w:ascii="Times New Roman" w:hAnsi="Times New Roman"/>
                <w:b/>
                <w:bCs/>
                <w:sz w:val="21"/>
                <w:szCs w:val="22"/>
              </w:rPr>
            </w:pPr>
          </w:p>
        </w:tc>
        <w:tc>
          <w:tcPr>
            <w:tcW w:w="1931" w:type="pct"/>
            <w:tcBorders>
              <w:top w:val="single" w:color="auto" w:sz="4" w:space="0"/>
              <w:left w:val="single" w:color="auto" w:sz="4" w:space="0"/>
              <w:bottom w:val="single" w:color="auto" w:sz="4" w:space="0"/>
              <w:right w:val="single" w:color="auto" w:sz="4" w:space="0"/>
            </w:tcBorders>
          </w:tcPr>
          <w:p w14:paraId="28A03C7B">
            <w:pPr>
              <w:spacing w:line="360" w:lineRule="auto"/>
            </w:pPr>
          </w:p>
        </w:tc>
      </w:tr>
      <w:tr w14:paraId="6576D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068" w:type="pct"/>
            <w:tcBorders>
              <w:top w:val="single" w:color="auto" w:sz="4" w:space="0"/>
              <w:left w:val="single" w:color="auto" w:sz="4" w:space="0"/>
              <w:bottom w:val="single" w:color="auto" w:sz="4" w:space="0"/>
              <w:right w:val="single" w:color="auto" w:sz="4" w:space="0"/>
            </w:tcBorders>
          </w:tcPr>
          <w:p w14:paraId="10322B64">
            <w:pPr>
              <w:pStyle w:val="258"/>
              <w:shd w:val="clear" w:color="auto" w:fill="FFFFFF"/>
              <w:spacing w:line="360" w:lineRule="auto"/>
              <w:ind w:left="420" w:firstLine="420"/>
              <w:rPr>
                <w:rFonts w:ascii="Times New Roman" w:hAnsi="Times New Roman"/>
                <w:sz w:val="21"/>
                <w:szCs w:val="22"/>
              </w:rPr>
            </w:pPr>
          </w:p>
        </w:tc>
        <w:tc>
          <w:tcPr>
            <w:tcW w:w="1931" w:type="pct"/>
            <w:tcBorders>
              <w:top w:val="single" w:color="auto" w:sz="4" w:space="0"/>
              <w:left w:val="single" w:color="auto" w:sz="4" w:space="0"/>
              <w:bottom w:val="single" w:color="auto" w:sz="4" w:space="0"/>
              <w:right w:val="single" w:color="auto" w:sz="4" w:space="0"/>
            </w:tcBorders>
          </w:tcPr>
          <w:p w14:paraId="6FB748F5">
            <w:pPr>
              <w:spacing w:line="360" w:lineRule="auto"/>
            </w:pPr>
          </w:p>
        </w:tc>
      </w:tr>
      <w:tr w14:paraId="216EE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68" w:type="pct"/>
            <w:tcBorders>
              <w:top w:val="single" w:color="auto" w:sz="4" w:space="0"/>
              <w:left w:val="single" w:color="auto" w:sz="4" w:space="0"/>
              <w:bottom w:val="single" w:color="auto" w:sz="4" w:space="0"/>
              <w:right w:val="single" w:color="auto" w:sz="4" w:space="0"/>
            </w:tcBorders>
          </w:tcPr>
          <w:p w14:paraId="1A2D3F26">
            <w:pPr>
              <w:pStyle w:val="258"/>
              <w:shd w:val="clear" w:color="auto" w:fill="FFFFFF"/>
              <w:spacing w:line="360" w:lineRule="auto"/>
              <w:ind w:left="420" w:firstLine="422"/>
              <w:rPr>
                <w:rFonts w:ascii="Times New Roman" w:hAnsi="Times New Roman"/>
                <w:b/>
                <w:bCs/>
                <w:sz w:val="21"/>
                <w:szCs w:val="22"/>
              </w:rPr>
            </w:pPr>
          </w:p>
        </w:tc>
        <w:tc>
          <w:tcPr>
            <w:tcW w:w="1931" w:type="pct"/>
            <w:tcBorders>
              <w:top w:val="single" w:color="auto" w:sz="4" w:space="0"/>
              <w:left w:val="single" w:color="auto" w:sz="4" w:space="0"/>
              <w:bottom w:val="single" w:color="auto" w:sz="4" w:space="0"/>
              <w:right w:val="single" w:color="auto" w:sz="4" w:space="0"/>
            </w:tcBorders>
          </w:tcPr>
          <w:p w14:paraId="54DC45CF">
            <w:pPr>
              <w:spacing w:line="360" w:lineRule="auto"/>
            </w:pPr>
          </w:p>
        </w:tc>
      </w:tr>
      <w:tr w14:paraId="1D748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000" w:type="pct"/>
            <w:gridSpan w:val="2"/>
            <w:tcBorders>
              <w:top w:val="single" w:color="auto" w:sz="4" w:space="0"/>
              <w:left w:val="single" w:color="auto" w:sz="4" w:space="0"/>
              <w:bottom w:val="single" w:color="auto" w:sz="4" w:space="0"/>
              <w:right w:val="single" w:color="auto" w:sz="4" w:space="0"/>
            </w:tcBorders>
          </w:tcPr>
          <w:p w14:paraId="36CACF04">
            <w:pPr>
              <w:pStyle w:val="258"/>
              <w:shd w:val="clear" w:color="auto" w:fill="FFFFFF"/>
              <w:spacing w:line="360" w:lineRule="auto"/>
              <w:ind w:left="420" w:firstLine="422"/>
              <w:rPr>
                <w:rFonts w:ascii="Times New Roman" w:hAnsi="Times New Roman"/>
                <w:b/>
                <w:sz w:val="21"/>
                <w:szCs w:val="22"/>
              </w:rPr>
            </w:pPr>
          </w:p>
        </w:tc>
      </w:tr>
      <w:tr w14:paraId="7FCBD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3068" w:type="pct"/>
            <w:tcBorders>
              <w:top w:val="single" w:color="auto" w:sz="4" w:space="0"/>
              <w:left w:val="single" w:color="auto" w:sz="4" w:space="0"/>
              <w:bottom w:val="single" w:color="auto" w:sz="4" w:space="0"/>
              <w:right w:val="single" w:color="auto" w:sz="4" w:space="0"/>
            </w:tcBorders>
          </w:tcPr>
          <w:p w14:paraId="1B84864E">
            <w:pPr>
              <w:pStyle w:val="258"/>
              <w:shd w:val="clear" w:color="auto" w:fill="FFFFFF"/>
              <w:spacing w:line="360" w:lineRule="auto"/>
              <w:ind w:firstLine="420"/>
              <w:rPr>
                <w:rFonts w:ascii="Times New Roman" w:hAnsi="Times New Roman"/>
                <w:sz w:val="21"/>
                <w:szCs w:val="21"/>
              </w:rPr>
            </w:pPr>
          </w:p>
        </w:tc>
        <w:tc>
          <w:tcPr>
            <w:tcW w:w="1931" w:type="pct"/>
            <w:tcBorders>
              <w:top w:val="single" w:color="auto" w:sz="4" w:space="0"/>
              <w:left w:val="single" w:color="auto" w:sz="4" w:space="0"/>
              <w:bottom w:val="single" w:color="auto" w:sz="4" w:space="0"/>
              <w:right w:val="single" w:color="auto" w:sz="4" w:space="0"/>
            </w:tcBorders>
          </w:tcPr>
          <w:p w14:paraId="46211FC0">
            <w:pPr>
              <w:spacing w:line="360" w:lineRule="auto"/>
            </w:pPr>
          </w:p>
        </w:tc>
      </w:tr>
      <w:tr w14:paraId="225DE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3068" w:type="pct"/>
            <w:tcBorders>
              <w:top w:val="single" w:color="auto" w:sz="4" w:space="0"/>
              <w:left w:val="single" w:color="auto" w:sz="4" w:space="0"/>
              <w:bottom w:val="single" w:color="auto" w:sz="4" w:space="0"/>
              <w:right w:val="single" w:color="auto" w:sz="4" w:space="0"/>
            </w:tcBorders>
          </w:tcPr>
          <w:p w14:paraId="494B08D9">
            <w:pPr>
              <w:pStyle w:val="258"/>
              <w:shd w:val="clear" w:color="auto" w:fill="FFFFFF"/>
              <w:spacing w:line="360" w:lineRule="auto"/>
              <w:ind w:firstLine="420"/>
              <w:rPr>
                <w:rFonts w:ascii="Times New Roman" w:hAnsi="Times New Roman"/>
                <w:sz w:val="21"/>
                <w:szCs w:val="22"/>
              </w:rPr>
            </w:pPr>
          </w:p>
        </w:tc>
        <w:tc>
          <w:tcPr>
            <w:tcW w:w="1931" w:type="pct"/>
            <w:tcBorders>
              <w:top w:val="single" w:color="auto" w:sz="4" w:space="0"/>
              <w:left w:val="single" w:color="auto" w:sz="4" w:space="0"/>
              <w:bottom w:val="single" w:color="auto" w:sz="4" w:space="0"/>
              <w:right w:val="single" w:color="auto" w:sz="4" w:space="0"/>
            </w:tcBorders>
          </w:tcPr>
          <w:p w14:paraId="5E9F5A73">
            <w:pPr>
              <w:spacing w:line="360" w:lineRule="auto"/>
            </w:pPr>
          </w:p>
        </w:tc>
      </w:tr>
    </w:tbl>
    <w:p w14:paraId="0701390F">
      <w:pPr>
        <w:spacing w:line="360" w:lineRule="auto"/>
      </w:pPr>
    </w:p>
    <w:p w14:paraId="54F6B27D">
      <w:pPr>
        <w:spacing w:line="360" w:lineRule="auto"/>
        <w:jc w:val="center"/>
        <w:rPr>
          <w:b/>
          <w:bCs/>
          <w:szCs w:val="21"/>
        </w:rPr>
      </w:pPr>
      <w:r>
        <w:rPr>
          <w:rFonts w:hint="eastAsia"/>
          <w:b/>
          <w:sz w:val="36"/>
          <w:u w:val="single"/>
        </w:rPr>
        <w:br w:type="page" w:clear="all"/>
      </w:r>
      <w:r>
        <w:rPr>
          <w:rFonts w:hint="eastAsia"/>
          <w:b/>
          <w:bCs/>
          <w:szCs w:val="21"/>
        </w:rPr>
        <w:t>投标主要文件目录</w:t>
      </w:r>
    </w:p>
    <w:p w14:paraId="172A4E8A">
      <w:pPr>
        <w:spacing w:line="360" w:lineRule="auto"/>
        <w:ind w:firstLine="420"/>
        <w:rPr>
          <w:rFonts w:cs="宋体"/>
          <w:szCs w:val="21"/>
        </w:rPr>
      </w:pPr>
    </w:p>
    <w:p w14:paraId="4D13B18A">
      <w:pPr>
        <w:spacing w:line="360" w:lineRule="auto"/>
        <w:ind w:firstLine="420"/>
        <w:rPr>
          <w:rFonts w:cs="宋体"/>
          <w:szCs w:val="21"/>
        </w:rPr>
      </w:pPr>
    </w:p>
    <w:p w14:paraId="078ED7D3">
      <w:pPr>
        <w:spacing w:line="360" w:lineRule="auto"/>
        <w:ind w:firstLine="1134"/>
        <w:rPr>
          <w:rFonts w:cs="宋体"/>
          <w:szCs w:val="21"/>
        </w:rPr>
      </w:pPr>
      <w:r>
        <w:rPr>
          <w:rFonts w:hint="eastAsia" w:cs="宋体"/>
          <w:szCs w:val="21"/>
        </w:rPr>
        <w:t>一、资格审查响应对照表</w:t>
      </w:r>
    </w:p>
    <w:p w14:paraId="0DFA6138">
      <w:pPr>
        <w:spacing w:line="360" w:lineRule="auto"/>
        <w:ind w:firstLine="1134"/>
        <w:rPr>
          <w:rFonts w:cs="宋体"/>
          <w:szCs w:val="21"/>
        </w:rPr>
      </w:pPr>
      <w:r>
        <w:rPr>
          <w:rFonts w:hint="eastAsia" w:cs="宋体"/>
          <w:szCs w:val="21"/>
        </w:rPr>
        <w:t>二、开标一览表</w:t>
      </w:r>
    </w:p>
    <w:p w14:paraId="59705139">
      <w:pPr>
        <w:spacing w:line="360" w:lineRule="auto"/>
        <w:ind w:firstLine="1134"/>
        <w:rPr>
          <w:rFonts w:cs="宋体"/>
          <w:szCs w:val="21"/>
        </w:rPr>
      </w:pPr>
      <w:r>
        <w:rPr>
          <w:rFonts w:hint="eastAsia" w:cs="宋体"/>
          <w:szCs w:val="21"/>
        </w:rPr>
        <w:t>三、投标产品配置及分项报价表</w:t>
      </w:r>
    </w:p>
    <w:p w14:paraId="44E8D42B">
      <w:pPr>
        <w:spacing w:line="360" w:lineRule="auto"/>
        <w:ind w:firstLine="1134"/>
        <w:rPr>
          <w:rFonts w:cs="宋体"/>
          <w:szCs w:val="21"/>
        </w:rPr>
      </w:pPr>
      <w:r>
        <w:rPr>
          <w:rFonts w:hint="eastAsia" w:cs="宋体"/>
          <w:szCs w:val="21"/>
        </w:rPr>
        <w:t>四、供货一览表</w:t>
      </w:r>
    </w:p>
    <w:p w14:paraId="33205502">
      <w:pPr>
        <w:spacing w:line="360" w:lineRule="auto"/>
        <w:ind w:firstLine="1134"/>
        <w:rPr>
          <w:rFonts w:cs="宋体"/>
          <w:szCs w:val="21"/>
        </w:rPr>
      </w:pPr>
      <w:r>
        <w:rPr>
          <w:rFonts w:hint="eastAsia" w:cs="宋体"/>
          <w:szCs w:val="21"/>
        </w:rPr>
        <w:t>五、技术参数响应及偏离表</w:t>
      </w:r>
    </w:p>
    <w:p w14:paraId="7A69E9F7">
      <w:pPr>
        <w:spacing w:line="360" w:lineRule="auto"/>
        <w:ind w:firstLine="1134"/>
        <w:rPr>
          <w:rFonts w:cs="宋体"/>
          <w:szCs w:val="21"/>
        </w:rPr>
      </w:pPr>
      <w:r>
        <w:rPr>
          <w:rFonts w:hint="eastAsia" w:cs="宋体"/>
          <w:szCs w:val="21"/>
        </w:rPr>
        <w:t>六、商务条款响应及偏离表</w:t>
      </w:r>
    </w:p>
    <w:p w14:paraId="4C41AA6E">
      <w:pPr>
        <w:spacing w:line="360" w:lineRule="auto"/>
        <w:ind w:firstLine="1134"/>
        <w:rPr>
          <w:rFonts w:cs="宋体"/>
          <w:szCs w:val="21"/>
        </w:rPr>
      </w:pPr>
      <w:r>
        <w:rPr>
          <w:rFonts w:hint="eastAsia" w:cs="宋体"/>
          <w:szCs w:val="21"/>
        </w:rPr>
        <w:t>七、主要标的信息（中标后将公示）</w:t>
      </w:r>
    </w:p>
    <w:p w14:paraId="0E3427FD">
      <w:pPr>
        <w:spacing w:line="360" w:lineRule="auto"/>
        <w:ind w:firstLine="1134"/>
        <w:rPr>
          <w:rFonts w:cs="宋体"/>
          <w:szCs w:val="21"/>
        </w:rPr>
      </w:pPr>
      <w:r>
        <w:rPr>
          <w:rFonts w:hint="eastAsia" w:cs="宋体"/>
          <w:szCs w:val="21"/>
        </w:rPr>
        <w:t>八、其他 （投标人认为有必要提供的声明和文件，如有自拟并自行添加）</w:t>
      </w:r>
    </w:p>
    <w:p w14:paraId="01EEC937">
      <w:pPr>
        <w:spacing w:line="360" w:lineRule="auto"/>
        <w:ind w:firstLine="442"/>
        <w:jc w:val="left"/>
        <w:rPr>
          <w:b/>
          <w:sz w:val="22"/>
          <w:szCs w:val="21"/>
        </w:rPr>
      </w:pPr>
    </w:p>
    <w:p w14:paraId="40A9EE37">
      <w:pPr>
        <w:spacing w:line="360" w:lineRule="auto"/>
        <w:ind w:firstLine="422"/>
        <w:jc w:val="left"/>
        <w:rPr>
          <w:b/>
          <w:szCs w:val="21"/>
        </w:rPr>
      </w:pPr>
    </w:p>
    <w:p w14:paraId="52248667">
      <w:pPr>
        <w:spacing w:line="360" w:lineRule="auto"/>
        <w:ind w:firstLine="422"/>
        <w:jc w:val="left"/>
        <w:rPr>
          <w:b/>
          <w:szCs w:val="21"/>
        </w:rPr>
      </w:pPr>
    </w:p>
    <w:p w14:paraId="5E4506C4">
      <w:pPr>
        <w:spacing w:line="360" w:lineRule="auto"/>
        <w:ind w:firstLine="422"/>
        <w:jc w:val="left"/>
        <w:rPr>
          <w:b/>
          <w:szCs w:val="21"/>
        </w:rPr>
      </w:pPr>
    </w:p>
    <w:p w14:paraId="192175E1">
      <w:pPr>
        <w:spacing w:line="360" w:lineRule="auto"/>
        <w:ind w:firstLine="422"/>
        <w:jc w:val="left"/>
        <w:rPr>
          <w:b/>
          <w:szCs w:val="21"/>
        </w:rPr>
      </w:pPr>
    </w:p>
    <w:p w14:paraId="33B40910">
      <w:pPr>
        <w:spacing w:line="360" w:lineRule="auto"/>
        <w:ind w:firstLine="422"/>
        <w:jc w:val="left"/>
        <w:rPr>
          <w:b/>
          <w:szCs w:val="21"/>
        </w:rPr>
      </w:pPr>
    </w:p>
    <w:p w14:paraId="1CCC79DD">
      <w:pPr>
        <w:spacing w:line="360" w:lineRule="auto"/>
        <w:ind w:firstLine="422"/>
        <w:jc w:val="left"/>
        <w:rPr>
          <w:b/>
          <w:szCs w:val="21"/>
        </w:rPr>
      </w:pPr>
    </w:p>
    <w:p w14:paraId="6B6BDEF6">
      <w:pPr>
        <w:spacing w:line="360" w:lineRule="auto"/>
        <w:ind w:firstLine="422"/>
        <w:jc w:val="left"/>
        <w:rPr>
          <w:b/>
          <w:szCs w:val="21"/>
        </w:rPr>
      </w:pPr>
    </w:p>
    <w:p w14:paraId="24556EBE">
      <w:pPr>
        <w:pStyle w:val="2"/>
        <w:rPr>
          <w:b/>
          <w:szCs w:val="21"/>
        </w:rPr>
      </w:pPr>
    </w:p>
    <w:p w14:paraId="7C862DBC">
      <w:pPr>
        <w:pStyle w:val="2"/>
        <w:rPr>
          <w:b/>
          <w:szCs w:val="21"/>
        </w:rPr>
      </w:pPr>
    </w:p>
    <w:p w14:paraId="429586C6">
      <w:pPr>
        <w:pStyle w:val="2"/>
        <w:rPr>
          <w:b/>
          <w:szCs w:val="21"/>
        </w:rPr>
      </w:pPr>
    </w:p>
    <w:p w14:paraId="7D602EF8">
      <w:pPr>
        <w:pStyle w:val="2"/>
        <w:rPr>
          <w:b/>
          <w:szCs w:val="21"/>
        </w:rPr>
      </w:pPr>
    </w:p>
    <w:p w14:paraId="6DF6E683">
      <w:pPr>
        <w:pStyle w:val="2"/>
        <w:rPr>
          <w:b/>
          <w:szCs w:val="21"/>
        </w:rPr>
      </w:pPr>
    </w:p>
    <w:p w14:paraId="33F62AB3">
      <w:pPr>
        <w:pStyle w:val="2"/>
        <w:rPr>
          <w:b/>
          <w:szCs w:val="21"/>
        </w:rPr>
      </w:pPr>
    </w:p>
    <w:p w14:paraId="05D0D94A">
      <w:pPr>
        <w:pStyle w:val="2"/>
        <w:rPr>
          <w:b/>
          <w:szCs w:val="21"/>
        </w:rPr>
      </w:pPr>
    </w:p>
    <w:p w14:paraId="382CB191">
      <w:pPr>
        <w:pStyle w:val="2"/>
        <w:rPr>
          <w:b/>
          <w:szCs w:val="21"/>
        </w:rPr>
      </w:pPr>
    </w:p>
    <w:p w14:paraId="25A4DEAB">
      <w:pPr>
        <w:pStyle w:val="2"/>
        <w:rPr>
          <w:b/>
          <w:szCs w:val="21"/>
        </w:rPr>
      </w:pPr>
    </w:p>
    <w:p w14:paraId="40FF1B8A">
      <w:pPr>
        <w:spacing w:line="360" w:lineRule="auto"/>
        <w:ind w:firstLine="422"/>
        <w:jc w:val="left"/>
        <w:rPr>
          <w:b/>
          <w:szCs w:val="21"/>
        </w:rPr>
      </w:pPr>
    </w:p>
    <w:p w14:paraId="15D059AC">
      <w:pPr>
        <w:spacing w:line="360" w:lineRule="auto"/>
        <w:ind w:firstLine="422"/>
        <w:jc w:val="left"/>
        <w:rPr>
          <w:b/>
          <w:szCs w:val="21"/>
        </w:rPr>
      </w:pPr>
    </w:p>
    <w:p w14:paraId="750CDB78">
      <w:pPr>
        <w:spacing w:line="360" w:lineRule="auto"/>
        <w:ind w:firstLine="422"/>
        <w:jc w:val="left"/>
        <w:rPr>
          <w:b/>
          <w:szCs w:val="21"/>
        </w:rPr>
      </w:pPr>
    </w:p>
    <w:p w14:paraId="094C8F72">
      <w:pPr>
        <w:pStyle w:val="192"/>
        <w:numPr>
          <w:ilvl w:val="1"/>
          <w:numId w:val="0"/>
        </w:numPr>
        <w:ind w:left="284"/>
        <w:rPr>
          <w:rFonts w:hint="eastAsia" w:ascii="宋体" w:hAnsi="宋体" w:cs="宋体"/>
          <w:b w:val="0"/>
          <w:sz w:val="32"/>
          <w:szCs w:val="32"/>
        </w:rPr>
      </w:pPr>
      <w:bookmarkStart w:id="116" w:name="_Toc1107"/>
      <w:bookmarkStart w:id="117" w:name="_Toc26156"/>
      <w:bookmarkStart w:id="118" w:name="_Toc5792"/>
      <w:bookmarkStart w:id="119" w:name="_Toc20369"/>
      <w:bookmarkStart w:id="120" w:name="_Toc7268"/>
      <w:r>
        <w:rPr>
          <w:rFonts w:hint="eastAsia" w:ascii="宋体" w:hAnsi="宋体" w:cs="宋体"/>
          <w:sz w:val="32"/>
        </w:rPr>
        <w:t>一、资格审查响应对照表</w:t>
      </w:r>
      <w:bookmarkEnd w:id="116"/>
      <w:bookmarkEnd w:id="117"/>
      <w:bookmarkEnd w:id="118"/>
      <w:bookmarkEnd w:id="119"/>
      <w:bookmarkEnd w:id="120"/>
    </w:p>
    <w:tbl>
      <w:tblPr>
        <w:tblStyle w:val="36"/>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58"/>
        <w:gridCol w:w="5642"/>
        <w:gridCol w:w="1987"/>
      </w:tblGrid>
      <w:tr w14:paraId="61334F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7" w:hRule="atLeast"/>
        </w:trPr>
        <w:tc>
          <w:tcPr>
            <w:tcW w:w="397" w:type="pct"/>
            <w:vAlign w:val="center"/>
          </w:tcPr>
          <w:p w14:paraId="5927BDD6">
            <w:pPr>
              <w:spacing w:line="440" w:lineRule="exact"/>
              <w:jc w:val="center"/>
              <w:rPr>
                <w:rFonts w:hint="eastAsia" w:ascii="宋体" w:hAnsi="宋体" w:cs="宋体"/>
                <w:b/>
                <w:szCs w:val="21"/>
              </w:rPr>
            </w:pPr>
            <w:r>
              <w:rPr>
                <w:rFonts w:hint="eastAsia" w:ascii="宋体" w:hAnsi="宋体" w:cs="宋体"/>
                <w:b/>
                <w:szCs w:val="21"/>
              </w:rPr>
              <w:t>序号</w:t>
            </w:r>
          </w:p>
        </w:tc>
        <w:tc>
          <w:tcPr>
            <w:tcW w:w="3404" w:type="pct"/>
            <w:vAlign w:val="center"/>
          </w:tcPr>
          <w:p w14:paraId="64AAA823">
            <w:pPr>
              <w:spacing w:line="440" w:lineRule="exact"/>
              <w:jc w:val="center"/>
              <w:rPr>
                <w:rFonts w:hint="eastAsia" w:ascii="宋体" w:hAnsi="宋体" w:cs="宋体"/>
                <w:b/>
                <w:szCs w:val="21"/>
              </w:rPr>
            </w:pPr>
            <w:r>
              <w:rPr>
                <w:rFonts w:hint="eastAsia" w:ascii="宋体" w:hAnsi="宋体" w:cs="宋体"/>
                <w:b/>
                <w:szCs w:val="21"/>
              </w:rPr>
              <w:t>资格审查响应内容</w:t>
            </w:r>
          </w:p>
        </w:tc>
        <w:tc>
          <w:tcPr>
            <w:tcW w:w="1198" w:type="pct"/>
            <w:vAlign w:val="center"/>
          </w:tcPr>
          <w:p w14:paraId="0201280D">
            <w:pPr>
              <w:spacing w:line="440" w:lineRule="exact"/>
              <w:jc w:val="center"/>
              <w:rPr>
                <w:rFonts w:hint="eastAsia" w:ascii="宋体" w:hAnsi="宋体" w:cs="宋体"/>
                <w:b/>
                <w:szCs w:val="21"/>
              </w:rPr>
            </w:pPr>
            <w:r>
              <w:rPr>
                <w:rFonts w:hint="eastAsia" w:ascii="宋体" w:hAnsi="宋体" w:cs="宋体"/>
                <w:b/>
                <w:szCs w:val="21"/>
              </w:rPr>
              <w:t>是否响应</w:t>
            </w:r>
          </w:p>
          <w:p w14:paraId="016A2C54">
            <w:pPr>
              <w:spacing w:line="440" w:lineRule="exact"/>
              <w:jc w:val="center"/>
              <w:rPr>
                <w:rFonts w:hint="eastAsia" w:ascii="宋体" w:hAnsi="宋体" w:cs="宋体"/>
                <w:b/>
                <w:szCs w:val="21"/>
              </w:rPr>
            </w:pPr>
            <w:r>
              <w:rPr>
                <w:rFonts w:hint="eastAsia" w:ascii="宋体" w:hAnsi="宋体" w:cs="宋体"/>
                <w:b/>
                <w:szCs w:val="21"/>
              </w:rPr>
              <w:t>（填是或者否）</w:t>
            </w:r>
          </w:p>
        </w:tc>
      </w:tr>
      <w:tr w14:paraId="7A5F6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trPr>
        <w:tc>
          <w:tcPr>
            <w:tcW w:w="5000" w:type="pct"/>
            <w:gridSpan w:val="3"/>
            <w:vAlign w:val="center"/>
          </w:tcPr>
          <w:p w14:paraId="087B39A7">
            <w:pPr>
              <w:spacing w:line="440" w:lineRule="exact"/>
              <w:rPr>
                <w:rFonts w:hint="eastAsia" w:ascii="宋体" w:hAnsi="宋体" w:cs="宋体"/>
                <w:b/>
                <w:szCs w:val="21"/>
              </w:rPr>
            </w:pPr>
            <w:r>
              <w:rPr>
                <w:rFonts w:hint="eastAsia" w:ascii="宋体" w:hAnsi="宋体" w:cs="宋体"/>
                <w:b/>
                <w:szCs w:val="21"/>
              </w:rPr>
              <w:t>通用资格条件</w:t>
            </w:r>
          </w:p>
        </w:tc>
      </w:tr>
      <w:tr w14:paraId="7F299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1" w:hRule="atLeast"/>
        </w:trPr>
        <w:tc>
          <w:tcPr>
            <w:tcW w:w="397" w:type="pct"/>
            <w:vAlign w:val="center"/>
          </w:tcPr>
          <w:p w14:paraId="3899C2BD">
            <w:pPr>
              <w:spacing w:line="440" w:lineRule="exact"/>
              <w:jc w:val="center"/>
              <w:rPr>
                <w:rFonts w:hint="eastAsia" w:ascii="宋体" w:hAnsi="宋体" w:cs="宋体"/>
                <w:b/>
                <w:szCs w:val="21"/>
              </w:rPr>
            </w:pPr>
            <w:r>
              <w:rPr>
                <w:rFonts w:hint="eastAsia" w:ascii="宋体" w:hAnsi="宋体" w:cs="宋体"/>
                <w:szCs w:val="21"/>
              </w:rPr>
              <w:t>1</w:t>
            </w:r>
          </w:p>
        </w:tc>
        <w:tc>
          <w:tcPr>
            <w:tcW w:w="3404" w:type="pct"/>
            <w:vAlign w:val="center"/>
          </w:tcPr>
          <w:p w14:paraId="7DD091D1">
            <w:pPr>
              <w:spacing w:line="440" w:lineRule="exact"/>
              <w:rPr>
                <w:rFonts w:hint="eastAsia" w:ascii="宋体" w:hAnsi="宋体" w:cs="宋体"/>
                <w:iCs/>
                <w:szCs w:val="21"/>
              </w:rPr>
            </w:pPr>
            <w:r>
              <w:rPr>
                <w:rFonts w:hint="eastAsia" w:ascii="宋体" w:hAnsi="宋体" w:cs="宋体"/>
                <w:iCs/>
                <w:szCs w:val="21"/>
              </w:rPr>
              <w:t>法人或者其他组织的营业执照等证明文件，自然人的身份证明（复印件加盖投标人公章）</w:t>
            </w:r>
          </w:p>
        </w:tc>
        <w:tc>
          <w:tcPr>
            <w:tcW w:w="1198" w:type="pct"/>
            <w:vAlign w:val="center"/>
          </w:tcPr>
          <w:p w14:paraId="4576F1DE">
            <w:pPr>
              <w:spacing w:line="440" w:lineRule="exact"/>
              <w:rPr>
                <w:rFonts w:hint="eastAsia" w:ascii="宋体" w:hAnsi="宋体" w:cs="宋体"/>
                <w:b/>
                <w:szCs w:val="21"/>
              </w:rPr>
            </w:pPr>
          </w:p>
        </w:tc>
      </w:tr>
      <w:tr w14:paraId="346D8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397" w:type="pct"/>
            <w:vAlign w:val="center"/>
          </w:tcPr>
          <w:p w14:paraId="7A93C3E0">
            <w:pPr>
              <w:spacing w:line="440" w:lineRule="exact"/>
              <w:jc w:val="center"/>
              <w:rPr>
                <w:rFonts w:hint="eastAsia" w:ascii="宋体" w:hAnsi="宋体" w:cs="宋体"/>
                <w:szCs w:val="21"/>
              </w:rPr>
            </w:pPr>
            <w:r>
              <w:rPr>
                <w:rFonts w:hint="eastAsia" w:ascii="宋体" w:hAnsi="宋体" w:cs="宋体"/>
                <w:szCs w:val="21"/>
              </w:rPr>
              <w:t>2</w:t>
            </w:r>
          </w:p>
        </w:tc>
        <w:tc>
          <w:tcPr>
            <w:tcW w:w="3404" w:type="pct"/>
            <w:vAlign w:val="center"/>
          </w:tcPr>
          <w:p w14:paraId="11CE5F4A">
            <w:pPr>
              <w:spacing w:line="440" w:lineRule="exact"/>
              <w:rPr>
                <w:rFonts w:hint="eastAsia" w:ascii="宋体" w:hAnsi="宋体" w:cs="宋体"/>
                <w:iCs/>
                <w:szCs w:val="21"/>
              </w:rPr>
            </w:pPr>
            <w:r>
              <w:rPr>
                <w:rFonts w:hint="eastAsia" w:ascii="宋体" w:hAnsi="宋体" w:cs="宋体"/>
                <w:iCs/>
                <w:szCs w:val="21"/>
              </w:rPr>
              <w:t>依法缴纳税收和社会保障资金的相关材料（提供提交投标文件截止时间前一年内至少一个月依法缴纳税收及缴纳社会保障资金的证明材料。供应商依法享受缓缴、免缴税收、社会保障资金的提供证明材料。新成立企业距投标截止日不足30日的，可不提供，以新办企业营业执照发放日期为准）</w:t>
            </w:r>
          </w:p>
        </w:tc>
        <w:tc>
          <w:tcPr>
            <w:tcW w:w="1198" w:type="pct"/>
            <w:vAlign w:val="center"/>
          </w:tcPr>
          <w:p w14:paraId="352A578D">
            <w:pPr>
              <w:spacing w:line="440" w:lineRule="exact"/>
              <w:rPr>
                <w:rFonts w:hint="eastAsia" w:ascii="宋体" w:hAnsi="宋体" w:cs="宋体"/>
                <w:szCs w:val="21"/>
              </w:rPr>
            </w:pPr>
          </w:p>
        </w:tc>
      </w:tr>
      <w:tr w14:paraId="0D30A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397" w:type="pct"/>
            <w:vAlign w:val="center"/>
          </w:tcPr>
          <w:p w14:paraId="6834773C">
            <w:pPr>
              <w:spacing w:line="440" w:lineRule="exact"/>
              <w:jc w:val="center"/>
              <w:rPr>
                <w:rFonts w:hint="eastAsia" w:ascii="宋体" w:hAnsi="宋体" w:cs="宋体"/>
                <w:szCs w:val="21"/>
              </w:rPr>
            </w:pPr>
            <w:r>
              <w:rPr>
                <w:rFonts w:hint="eastAsia" w:ascii="宋体" w:hAnsi="宋体" w:cs="宋体"/>
                <w:szCs w:val="21"/>
              </w:rPr>
              <w:t>3</w:t>
            </w:r>
          </w:p>
        </w:tc>
        <w:tc>
          <w:tcPr>
            <w:tcW w:w="3404" w:type="pct"/>
            <w:vAlign w:val="center"/>
          </w:tcPr>
          <w:p w14:paraId="3FCF39F9">
            <w:pPr>
              <w:spacing w:line="440" w:lineRule="exact"/>
              <w:rPr>
                <w:rFonts w:hint="eastAsia" w:ascii="宋体" w:hAnsi="宋体" w:cs="宋体"/>
                <w:iCs/>
                <w:szCs w:val="21"/>
              </w:rPr>
            </w:pPr>
            <w:r>
              <w:rPr>
                <w:rFonts w:hint="eastAsia" w:ascii="宋体" w:hAnsi="宋体" w:cs="宋体"/>
                <w:iCs/>
                <w:szCs w:val="21"/>
              </w:rPr>
              <w:t>2025年度的财务状况报告（成立不满一年不需提供）</w:t>
            </w:r>
          </w:p>
        </w:tc>
        <w:tc>
          <w:tcPr>
            <w:tcW w:w="1198" w:type="pct"/>
            <w:vAlign w:val="center"/>
          </w:tcPr>
          <w:p w14:paraId="0BEFE4FE">
            <w:pPr>
              <w:spacing w:line="440" w:lineRule="exact"/>
              <w:rPr>
                <w:rFonts w:hint="eastAsia" w:ascii="宋体" w:hAnsi="宋体" w:cs="宋体"/>
                <w:szCs w:val="21"/>
              </w:rPr>
            </w:pPr>
          </w:p>
        </w:tc>
      </w:tr>
      <w:tr w14:paraId="226D5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397" w:type="pct"/>
            <w:vAlign w:val="center"/>
          </w:tcPr>
          <w:p w14:paraId="1FA16B3D">
            <w:pPr>
              <w:spacing w:line="440" w:lineRule="exact"/>
              <w:jc w:val="center"/>
              <w:rPr>
                <w:rFonts w:hint="eastAsia" w:ascii="宋体" w:hAnsi="宋体" w:cs="宋体"/>
                <w:szCs w:val="21"/>
              </w:rPr>
            </w:pPr>
            <w:r>
              <w:rPr>
                <w:rFonts w:hint="eastAsia" w:ascii="宋体" w:hAnsi="宋体" w:cs="宋体"/>
                <w:szCs w:val="21"/>
              </w:rPr>
              <w:t>4</w:t>
            </w:r>
          </w:p>
        </w:tc>
        <w:tc>
          <w:tcPr>
            <w:tcW w:w="3404" w:type="pct"/>
            <w:vAlign w:val="center"/>
          </w:tcPr>
          <w:p w14:paraId="0E9BC780">
            <w:pPr>
              <w:spacing w:line="440" w:lineRule="exact"/>
              <w:rPr>
                <w:rFonts w:hint="eastAsia" w:ascii="宋体" w:hAnsi="宋体" w:cs="宋体"/>
                <w:iCs/>
                <w:szCs w:val="21"/>
              </w:rPr>
            </w:pPr>
            <w:r>
              <w:rPr>
                <w:rFonts w:hint="eastAsia" w:ascii="宋体" w:hAnsi="宋体" w:cs="宋体"/>
                <w:iCs/>
                <w:szCs w:val="21"/>
              </w:rPr>
              <w:t>具备履行合同所必需的设备和专业技术能力的证明材料（原件）</w:t>
            </w:r>
          </w:p>
        </w:tc>
        <w:tc>
          <w:tcPr>
            <w:tcW w:w="1198" w:type="pct"/>
            <w:vAlign w:val="center"/>
          </w:tcPr>
          <w:p w14:paraId="09411FCB">
            <w:pPr>
              <w:spacing w:line="440" w:lineRule="exact"/>
              <w:rPr>
                <w:rFonts w:hint="eastAsia" w:ascii="宋体" w:hAnsi="宋体" w:cs="宋体"/>
                <w:szCs w:val="21"/>
              </w:rPr>
            </w:pPr>
          </w:p>
        </w:tc>
      </w:tr>
      <w:tr w14:paraId="11583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397" w:type="pct"/>
            <w:vAlign w:val="center"/>
          </w:tcPr>
          <w:p w14:paraId="5852A268">
            <w:pPr>
              <w:spacing w:line="440" w:lineRule="exact"/>
              <w:jc w:val="center"/>
              <w:rPr>
                <w:rFonts w:hint="eastAsia" w:ascii="宋体" w:hAnsi="宋体" w:cs="宋体"/>
                <w:szCs w:val="21"/>
              </w:rPr>
            </w:pPr>
            <w:r>
              <w:rPr>
                <w:rFonts w:hint="eastAsia" w:ascii="宋体" w:hAnsi="宋体" w:cs="宋体"/>
                <w:szCs w:val="21"/>
              </w:rPr>
              <w:t>5</w:t>
            </w:r>
          </w:p>
        </w:tc>
        <w:tc>
          <w:tcPr>
            <w:tcW w:w="3404" w:type="pct"/>
            <w:vAlign w:val="center"/>
          </w:tcPr>
          <w:p w14:paraId="752D48CB">
            <w:pPr>
              <w:spacing w:line="440" w:lineRule="exact"/>
              <w:rPr>
                <w:rFonts w:hint="eastAsia" w:ascii="宋体" w:hAnsi="宋体" w:cs="宋体"/>
                <w:iCs/>
                <w:szCs w:val="21"/>
              </w:rPr>
            </w:pPr>
            <w:r>
              <w:rPr>
                <w:rFonts w:hint="eastAsia" w:ascii="宋体" w:hAnsi="宋体" w:cs="宋体"/>
                <w:iCs/>
                <w:szCs w:val="21"/>
              </w:rPr>
              <w:t>参加本次采购活动前3年内在经营活动中没有重大违法记录的书面声明（原件）</w:t>
            </w:r>
          </w:p>
        </w:tc>
        <w:tc>
          <w:tcPr>
            <w:tcW w:w="1198" w:type="pct"/>
            <w:vAlign w:val="center"/>
          </w:tcPr>
          <w:p w14:paraId="654E8BDB">
            <w:pPr>
              <w:spacing w:line="440" w:lineRule="exact"/>
              <w:rPr>
                <w:rFonts w:hint="eastAsia" w:ascii="宋体" w:hAnsi="宋体" w:cs="宋体"/>
                <w:szCs w:val="21"/>
              </w:rPr>
            </w:pPr>
          </w:p>
        </w:tc>
      </w:tr>
      <w:tr w14:paraId="196ADE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397" w:type="pct"/>
            <w:vAlign w:val="center"/>
          </w:tcPr>
          <w:p w14:paraId="7F5C5158">
            <w:pPr>
              <w:spacing w:line="440" w:lineRule="exact"/>
              <w:jc w:val="center"/>
              <w:rPr>
                <w:rFonts w:hint="eastAsia" w:ascii="宋体" w:hAnsi="宋体" w:cs="宋体"/>
                <w:szCs w:val="21"/>
              </w:rPr>
            </w:pPr>
            <w:r>
              <w:rPr>
                <w:rFonts w:hint="eastAsia" w:ascii="宋体" w:hAnsi="宋体" w:cs="宋体"/>
                <w:szCs w:val="21"/>
              </w:rPr>
              <w:t>6</w:t>
            </w:r>
          </w:p>
        </w:tc>
        <w:tc>
          <w:tcPr>
            <w:tcW w:w="3404" w:type="pct"/>
            <w:vAlign w:val="center"/>
          </w:tcPr>
          <w:p w14:paraId="13A98B57">
            <w:pPr>
              <w:spacing w:line="440" w:lineRule="exact"/>
              <w:rPr>
                <w:rFonts w:hint="eastAsia" w:ascii="宋体" w:hAnsi="宋体" w:cs="宋体"/>
                <w:iCs/>
                <w:szCs w:val="21"/>
              </w:rPr>
            </w:pPr>
            <w:r>
              <w:rPr>
                <w:rFonts w:hint="eastAsia" w:ascii="宋体" w:hAnsi="宋体" w:cs="宋体"/>
                <w:iCs/>
                <w:szCs w:val="21"/>
              </w:rPr>
              <w:t>未被“信用中国”网站（www.creditchina.gov.cn）、“中国政府采购网”（www.ccgp.gov.cn）列入失信被执行人、重大税收违法案件当事人名单、政府采购严重违法失信行为记录名单及其他不符合《中华人民共和国政府采购法》第二十二条规定条件的信用记录。（投标文件中无需提供证明材料）</w:t>
            </w:r>
          </w:p>
        </w:tc>
        <w:tc>
          <w:tcPr>
            <w:tcW w:w="1198" w:type="pct"/>
            <w:vAlign w:val="center"/>
          </w:tcPr>
          <w:p w14:paraId="6A535182">
            <w:pPr>
              <w:spacing w:line="440" w:lineRule="exact"/>
              <w:rPr>
                <w:rFonts w:hint="eastAsia" w:ascii="宋体" w:hAnsi="宋体" w:cs="宋体"/>
                <w:szCs w:val="21"/>
              </w:rPr>
            </w:pPr>
          </w:p>
        </w:tc>
      </w:tr>
      <w:tr w14:paraId="7A0EB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5" w:hRule="atLeast"/>
        </w:trPr>
        <w:tc>
          <w:tcPr>
            <w:tcW w:w="397" w:type="pct"/>
            <w:vAlign w:val="center"/>
          </w:tcPr>
          <w:p w14:paraId="33DF8718">
            <w:pPr>
              <w:spacing w:line="440" w:lineRule="exact"/>
              <w:jc w:val="center"/>
              <w:rPr>
                <w:rFonts w:hint="eastAsia" w:ascii="宋体" w:hAnsi="宋体" w:cs="宋体"/>
                <w:szCs w:val="21"/>
              </w:rPr>
            </w:pPr>
            <w:r>
              <w:rPr>
                <w:rFonts w:hint="eastAsia" w:ascii="宋体" w:hAnsi="宋体" w:cs="宋体"/>
                <w:szCs w:val="21"/>
              </w:rPr>
              <w:t>7</w:t>
            </w:r>
          </w:p>
        </w:tc>
        <w:tc>
          <w:tcPr>
            <w:tcW w:w="3404" w:type="pct"/>
            <w:vAlign w:val="center"/>
          </w:tcPr>
          <w:p w14:paraId="214E6A01">
            <w:pPr>
              <w:spacing w:line="440" w:lineRule="exact"/>
              <w:rPr>
                <w:rFonts w:hint="eastAsia" w:ascii="宋体" w:hAnsi="宋体" w:cs="宋体"/>
                <w:szCs w:val="21"/>
              </w:rPr>
            </w:pPr>
            <w:r>
              <w:rPr>
                <w:rFonts w:hint="eastAsia" w:ascii="宋体" w:hAnsi="宋体" w:cs="宋体"/>
                <w:szCs w:val="21"/>
              </w:rPr>
              <w:t>供应商信用承诺函（原件）</w:t>
            </w:r>
          </w:p>
        </w:tc>
        <w:tc>
          <w:tcPr>
            <w:tcW w:w="1198" w:type="pct"/>
            <w:vAlign w:val="center"/>
          </w:tcPr>
          <w:p w14:paraId="58456A60">
            <w:pPr>
              <w:spacing w:line="440" w:lineRule="exact"/>
              <w:rPr>
                <w:rFonts w:hint="eastAsia" w:ascii="宋体" w:hAnsi="宋体" w:cs="宋体"/>
                <w:szCs w:val="21"/>
              </w:rPr>
            </w:pPr>
          </w:p>
        </w:tc>
      </w:tr>
      <w:tr w14:paraId="78F09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6" w:hRule="atLeast"/>
        </w:trPr>
        <w:tc>
          <w:tcPr>
            <w:tcW w:w="5000" w:type="pct"/>
            <w:gridSpan w:val="3"/>
            <w:vAlign w:val="center"/>
          </w:tcPr>
          <w:p w14:paraId="22DCA279">
            <w:pPr>
              <w:spacing w:line="360" w:lineRule="auto"/>
              <w:ind w:firstLine="420"/>
              <w:rPr>
                <w:rFonts w:hint="eastAsia" w:ascii="宋体" w:hAnsi="宋体" w:cs="宋体"/>
                <w:b/>
                <w:bCs/>
                <w:szCs w:val="21"/>
              </w:rPr>
            </w:pPr>
            <w:r>
              <w:rPr>
                <w:rFonts w:hint="eastAsia" w:ascii="宋体" w:hAnsi="宋体" w:cs="宋体"/>
                <w:b/>
                <w:bCs/>
                <w:szCs w:val="21"/>
              </w:rPr>
              <w:t>本项目的特定资格要求：</w:t>
            </w:r>
          </w:p>
          <w:p w14:paraId="2D2DDFAF">
            <w:pPr>
              <w:spacing w:line="360" w:lineRule="auto"/>
              <w:ind w:firstLine="420"/>
              <w:rPr>
                <w:rFonts w:hint="eastAsia" w:ascii="宋体" w:hAnsi="宋体" w:cs="宋体"/>
                <w:b/>
                <w:bCs/>
                <w:i/>
                <w:iCs/>
                <w:szCs w:val="21"/>
                <w:u w:val="single"/>
              </w:rPr>
            </w:pPr>
            <w:r>
              <w:rPr>
                <w:rFonts w:hint="eastAsia" w:ascii="宋体" w:hAnsi="宋体" w:cs="宋体"/>
                <w:b/>
                <w:bCs/>
                <w:i/>
                <w:iCs/>
                <w:szCs w:val="21"/>
                <w:u w:val="single"/>
              </w:rPr>
              <w:t>2.1投标供应商为代理商的，须具有药监部门颁发的《医疗器械经营许可证》或医疗器械经营备案凭证；投标供应商为生产商的，须具有药监局颁发的《医疗器械生产许可证》或生产备案凭证（医疗器械生产许可证如有医疗器械生产产品登记表的须一并提供）。</w:t>
            </w:r>
          </w:p>
          <w:p w14:paraId="53EAFCC9">
            <w:pPr>
              <w:spacing w:line="360" w:lineRule="auto"/>
              <w:ind w:firstLine="420"/>
              <w:rPr>
                <w:rFonts w:hint="eastAsia" w:ascii="宋体" w:hAnsi="宋体" w:cs="宋体"/>
                <w:b/>
                <w:bCs/>
                <w:i/>
                <w:iCs/>
                <w:szCs w:val="21"/>
                <w:highlight w:val="yellow"/>
                <w:u w:val="single"/>
              </w:rPr>
            </w:pPr>
            <w:r>
              <w:rPr>
                <w:rFonts w:hint="eastAsia" w:ascii="宋体" w:hAnsi="宋体" w:cs="宋体"/>
                <w:b/>
                <w:bCs/>
                <w:i/>
                <w:iCs/>
                <w:szCs w:val="21"/>
                <w:u w:val="single"/>
              </w:rPr>
              <w:t>2.2投标人须具备有效的《中华人民共和国特种设备生产许可证（工业管道，GC2 级及以上）》，原《中华人民共和国特种设备安装改造维修许可证（压力管道 GC2 级及以上）》在证书有效期内视为等效;</w:t>
            </w:r>
          </w:p>
        </w:tc>
      </w:tr>
      <w:tr w14:paraId="2CB256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trPr>
        <w:tc>
          <w:tcPr>
            <w:tcW w:w="5000" w:type="pct"/>
            <w:gridSpan w:val="3"/>
            <w:vAlign w:val="center"/>
          </w:tcPr>
          <w:p w14:paraId="41F9F17E">
            <w:pPr>
              <w:spacing w:line="440" w:lineRule="exact"/>
              <w:rPr>
                <w:rFonts w:hint="eastAsia" w:ascii="宋体" w:hAnsi="宋体" w:cs="宋体"/>
                <w:szCs w:val="21"/>
              </w:rPr>
            </w:pPr>
            <w:r>
              <w:rPr>
                <w:rFonts w:hint="eastAsia" w:ascii="宋体" w:hAnsi="宋体" w:cs="宋体"/>
                <w:b/>
                <w:szCs w:val="21"/>
              </w:rPr>
              <w:t>其他资格条件</w:t>
            </w:r>
          </w:p>
        </w:tc>
      </w:tr>
      <w:tr w14:paraId="36D38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trPr>
        <w:tc>
          <w:tcPr>
            <w:tcW w:w="397" w:type="pct"/>
            <w:vAlign w:val="center"/>
          </w:tcPr>
          <w:p w14:paraId="50A968E9">
            <w:pPr>
              <w:spacing w:line="440" w:lineRule="exact"/>
              <w:jc w:val="center"/>
              <w:rPr>
                <w:rFonts w:hint="eastAsia" w:ascii="宋体" w:hAnsi="宋体" w:cs="宋体"/>
                <w:szCs w:val="21"/>
              </w:rPr>
            </w:pPr>
            <w:r>
              <w:rPr>
                <w:rFonts w:hint="eastAsia" w:ascii="宋体" w:hAnsi="宋体" w:cs="宋体"/>
                <w:szCs w:val="21"/>
              </w:rPr>
              <w:t>8</w:t>
            </w:r>
          </w:p>
        </w:tc>
        <w:tc>
          <w:tcPr>
            <w:tcW w:w="3404" w:type="pct"/>
            <w:vAlign w:val="center"/>
          </w:tcPr>
          <w:p w14:paraId="0E2A9507">
            <w:pPr>
              <w:spacing w:line="440" w:lineRule="exact"/>
              <w:jc w:val="left"/>
              <w:rPr>
                <w:rFonts w:hint="eastAsia" w:ascii="宋体" w:hAnsi="宋体" w:cs="宋体"/>
                <w:iCs/>
                <w:szCs w:val="21"/>
              </w:rPr>
            </w:pPr>
            <w:r>
              <w:rPr>
                <w:rFonts w:hint="eastAsia" w:ascii="宋体" w:hAnsi="宋体" w:cs="宋体"/>
                <w:iCs/>
                <w:szCs w:val="21"/>
              </w:rPr>
              <w:t>投标函</w:t>
            </w:r>
          </w:p>
        </w:tc>
        <w:tc>
          <w:tcPr>
            <w:tcW w:w="1198" w:type="pct"/>
            <w:vAlign w:val="center"/>
          </w:tcPr>
          <w:p w14:paraId="12A3F3FB">
            <w:pPr>
              <w:spacing w:line="440" w:lineRule="exact"/>
              <w:rPr>
                <w:rFonts w:hint="eastAsia" w:ascii="宋体" w:hAnsi="宋体" w:cs="宋体"/>
                <w:szCs w:val="21"/>
              </w:rPr>
            </w:pPr>
          </w:p>
        </w:tc>
      </w:tr>
      <w:tr w14:paraId="3BCBF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2" w:hRule="atLeast"/>
        </w:trPr>
        <w:tc>
          <w:tcPr>
            <w:tcW w:w="397" w:type="pct"/>
            <w:vAlign w:val="center"/>
          </w:tcPr>
          <w:p w14:paraId="6CF29123">
            <w:pPr>
              <w:spacing w:line="440" w:lineRule="exact"/>
              <w:jc w:val="center"/>
              <w:rPr>
                <w:rFonts w:hint="eastAsia" w:ascii="宋体" w:hAnsi="宋体" w:cs="宋体"/>
                <w:szCs w:val="21"/>
              </w:rPr>
            </w:pPr>
            <w:r>
              <w:rPr>
                <w:rFonts w:hint="eastAsia" w:ascii="宋体" w:hAnsi="宋体" w:cs="宋体"/>
                <w:szCs w:val="21"/>
              </w:rPr>
              <w:t>9</w:t>
            </w:r>
          </w:p>
        </w:tc>
        <w:tc>
          <w:tcPr>
            <w:tcW w:w="3404" w:type="pct"/>
            <w:vAlign w:val="center"/>
          </w:tcPr>
          <w:p w14:paraId="30B6CC00">
            <w:pPr>
              <w:spacing w:line="440" w:lineRule="exact"/>
              <w:jc w:val="left"/>
              <w:rPr>
                <w:rFonts w:hint="eastAsia" w:ascii="宋体" w:hAnsi="宋体" w:cs="宋体"/>
                <w:iCs/>
                <w:szCs w:val="21"/>
              </w:rPr>
            </w:pPr>
            <w:r>
              <w:rPr>
                <w:rFonts w:hint="eastAsia" w:ascii="宋体" w:hAnsi="宋体" w:cs="宋体"/>
                <w:iCs/>
                <w:szCs w:val="21"/>
              </w:rPr>
              <w:t>法人授权书</w:t>
            </w:r>
          </w:p>
        </w:tc>
        <w:tc>
          <w:tcPr>
            <w:tcW w:w="1198" w:type="pct"/>
            <w:vAlign w:val="center"/>
          </w:tcPr>
          <w:p w14:paraId="6FBCDF35">
            <w:pPr>
              <w:spacing w:line="440" w:lineRule="exact"/>
              <w:rPr>
                <w:rFonts w:hint="eastAsia" w:ascii="宋体" w:hAnsi="宋体" w:cs="宋体"/>
                <w:szCs w:val="21"/>
              </w:rPr>
            </w:pPr>
          </w:p>
        </w:tc>
      </w:tr>
      <w:tr w14:paraId="69C301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2" w:hRule="atLeast"/>
        </w:trPr>
        <w:tc>
          <w:tcPr>
            <w:tcW w:w="397" w:type="pct"/>
            <w:vAlign w:val="center"/>
          </w:tcPr>
          <w:p w14:paraId="1A0962B4">
            <w:pPr>
              <w:spacing w:line="440" w:lineRule="exact"/>
              <w:jc w:val="center"/>
              <w:rPr>
                <w:rFonts w:hint="eastAsia" w:ascii="宋体" w:hAnsi="宋体" w:cs="宋体"/>
                <w:szCs w:val="21"/>
              </w:rPr>
            </w:pPr>
            <w:r>
              <w:rPr>
                <w:rFonts w:hint="eastAsia" w:ascii="宋体" w:hAnsi="宋体" w:cs="宋体"/>
                <w:szCs w:val="21"/>
              </w:rPr>
              <w:t>10</w:t>
            </w:r>
          </w:p>
        </w:tc>
        <w:tc>
          <w:tcPr>
            <w:tcW w:w="3404" w:type="pct"/>
            <w:vAlign w:val="center"/>
          </w:tcPr>
          <w:p w14:paraId="751C6390">
            <w:pPr>
              <w:spacing w:line="360" w:lineRule="auto"/>
              <w:rPr>
                <w:szCs w:val="21"/>
              </w:rPr>
            </w:pPr>
            <w:r>
              <w:rPr>
                <w:rFonts w:hint="eastAsia"/>
                <w:szCs w:val="21"/>
              </w:rPr>
              <w:t>1供应商单位负责人为同一人或者存在直接控股、管理关系的不同供应商，不得参加同一合同项下的政府采购活动。</w:t>
            </w:r>
          </w:p>
          <w:p w14:paraId="5D2472C9">
            <w:pPr>
              <w:spacing w:line="360" w:lineRule="auto"/>
              <w:rPr>
                <w:szCs w:val="21"/>
              </w:rPr>
            </w:pPr>
            <w:r>
              <w:rPr>
                <w:rFonts w:hint="eastAsia"/>
                <w:szCs w:val="21"/>
              </w:rPr>
              <w:t>2凡为采购项目提供整体设计、规范编制或者项目管理、监理、检测等服务的供应商，不得再参加该项目的其他采购活动。</w:t>
            </w:r>
          </w:p>
          <w:p w14:paraId="5A548360">
            <w:pPr>
              <w:spacing w:line="360" w:lineRule="auto"/>
              <w:rPr>
                <w:szCs w:val="21"/>
              </w:rPr>
            </w:pPr>
            <w:r>
              <w:rPr>
                <w:rFonts w:hint="eastAsia"/>
                <w:szCs w:val="21"/>
              </w:rPr>
              <w:t>3供应商被“信用中国”网站（www.creditchina.gov.cn）、中国政府采购网”（www.ccgp.gov.cn）列入失信被执行人、重大税收违法案件当事人名单、政府采购严重违法失信行为记录名单。</w:t>
            </w:r>
          </w:p>
          <w:p w14:paraId="7740EB77">
            <w:pPr>
              <w:spacing w:line="440" w:lineRule="exact"/>
              <w:jc w:val="left"/>
              <w:rPr>
                <w:rFonts w:hint="eastAsia" w:ascii="宋体" w:hAnsi="宋体" w:cs="宋体"/>
                <w:iCs/>
                <w:szCs w:val="21"/>
              </w:rPr>
            </w:pPr>
            <w:r>
              <w:rPr>
                <w:rFonts w:hint="eastAsia"/>
                <w:b/>
                <w:bCs/>
              </w:rPr>
              <w:t>针对本项提供承诺书加盖投标人公章，承诺书内容需包含上述要求，格式自拟。</w:t>
            </w:r>
          </w:p>
        </w:tc>
        <w:tc>
          <w:tcPr>
            <w:tcW w:w="1198" w:type="pct"/>
            <w:vAlign w:val="center"/>
          </w:tcPr>
          <w:p w14:paraId="10961C29">
            <w:pPr>
              <w:spacing w:line="440" w:lineRule="exact"/>
              <w:rPr>
                <w:rFonts w:hint="eastAsia" w:ascii="宋体" w:hAnsi="宋体" w:cs="宋体"/>
                <w:szCs w:val="21"/>
              </w:rPr>
            </w:pPr>
          </w:p>
        </w:tc>
      </w:tr>
    </w:tbl>
    <w:p w14:paraId="792F8652">
      <w:pPr>
        <w:spacing w:before="156" w:after="156" w:line="360" w:lineRule="auto"/>
        <w:ind w:firstLine="1476"/>
        <w:rPr>
          <w:rFonts w:hint="eastAsia" w:ascii="宋体" w:hAnsi="宋体" w:cs="宋体"/>
          <w:b/>
          <w:bCs/>
          <w:szCs w:val="21"/>
        </w:rPr>
        <w:sectPr>
          <w:headerReference r:id="rId6" w:type="default"/>
          <w:footerReference r:id="rId7" w:type="default"/>
          <w:pgSz w:w="11906" w:h="16838"/>
          <w:pgMar w:top="1440" w:right="1803" w:bottom="1440" w:left="1803" w:header="851" w:footer="992" w:gutter="0"/>
          <w:cols w:space="0" w:num="1"/>
          <w:docGrid w:linePitch="360" w:charSpace="0"/>
        </w:sectPr>
      </w:pPr>
    </w:p>
    <w:p w14:paraId="2F40E1F7">
      <w:pPr>
        <w:spacing w:before="156" w:after="156" w:line="360" w:lineRule="auto"/>
        <w:ind w:firstLine="1476"/>
        <w:rPr>
          <w:rFonts w:hint="eastAsia" w:ascii="宋体" w:hAnsi="宋体" w:cs="宋体"/>
          <w:b/>
          <w:bCs/>
          <w:szCs w:val="21"/>
        </w:rPr>
      </w:pPr>
      <w:r>
        <w:rPr>
          <w:rFonts w:hint="eastAsia" w:ascii="宋体" w:hAnsi="宋体" w:cs="宋体"/>
          <w:b/>
          <w:bCs/>
          <w:szCs w:val="21"/>
        </w:rPr>
        <w:t>具备履行合同所必需的设备和专业技术能力的书面声明</w:t>
      </w:r>
    </w:p>
    <w:p w14:paraId="6729830A">
      <w:pPr>
        <w:spacing w:line="460" w:lineRule="exact"/>
        <w:ind w:firstLine="492"/>
        <w:rPr>
          <w:rFonts w:hint="eastAsia" w:ascii="宋体" w:hAnsi="宋体" w:cs="宋体"/>
          <w:bCs/>
          <w:szCs w:val="21"/>
        </w:rPr>
      </w:pPr>
      <w:r>
        <w:rPr>
          <w:rFonts w:hint="eastAsia" w:ascii="宋体" w:hAnsi="宋体" w:cs="宋体"/>
          <w:bCs/>
          <w:szCs w:val="21"/>
        </w:rPr>
        <w:t>我单位郑重声明：我单位具备履行本项采购合同所必需的设备和专业技术能力，为履行本项采购合同我公司具备如下主要设备和主要专业技术能力：</w:t>
      </w:r>
    </w:p>
    <w:p w14:paraId="3E950D52">
      <w:pPr>
        <w:spacing w:line="460" w:lineRule="exact"/>
        <w:ind w:firstLine="492"/>
        <w:rPr>
          <w:rFonts w:hint="eastAsia" w:ascii="宋体" w:hAnsi="宋体" w:cs="宋体"/>
          <w:bCs/>
          <w:szCs w:val="21"/>
        </w:rPr>
      </w:pPr>
      <w:r>
        <w:rPr>
          <w:rFonts w:hint="eastAsia" w:ascii="宋体" w:hAnsi="宋体" w:cs="宋体"/>
          <w:bCs/>
          <w:szCs w:val="21"/>
        </w:rPr>
        <w:t>主要设备有：</w:t>
      </w:r>
    </w:p>
    <w:p w14:paraId="772CD1D6">
      <w:pPr>
        <w:spacing w:line="460" w:lineRule="exact"/>
        <w:ind w:firstLine="492"/>
        <w:rPr>
          <w:rFonts w:hint="eastAsia" w:ascii="宋体" w:hAnsi="宋体" w:cs="宋体"/>
          <w:bCs/>
          <w:szCs w:val="21"/>
        </w:rPr>
      </w:pPr>
      <w:r>
        <w:rPr>
          <w:rFonts w:hint="eastAsia" w:ascii="宋体" w:hAnsi="宋体" w:cs="宋体"/>
          <w:bCs/>
          <w:szCs w:val="21"/>
        </w:rPr>
        <w:t>主要专业技术能力有：</w:t>
      </w:r>
    </w:p>
    <w:p w14:paraId="0D7AF0C9">
      <w:pPr>
        <w:spacing w:line="600" w:lineRule="exact"/>
        <w:contextualSpacing/>
        <w:rPr>
          <w:rFonts w:hint="eastAsia" w:ascii="宋体" w:hAnsi="宋体" w:cs="宋体"/>
          <w:b/>
          <w:szCs w:val="21"/>
        </w:rPr>
      </w:pPr>
    </w:p>
    <w:p w14:paraId="4074142E">
      <w:pPr>
        <w:spacing w:line="360" w:lineRule="auto"/>
        <w:rPr>
          <w:rFonts w:hint="eastAsia" w:ascii="宋体" w:hAnsi="宋体" w:cs="宋体"/>
          <w:bCs/>
          <w:szCs w:val="21"/>
        </w:rPr>
      </w:pPr>
      <w:r>
        <w:rPr>
          <w:rFonts w:hint="eastAsia"/>
          <w:bCs/>
          <w:szCs w:val="21"/>
        </w:rPr>
        <w:t xml:space="preserve">                               </w:t>
      </w:r>
      <w:r>
        <w:rPr>
          <w:rFonts w:hint="eastAsia" w:ascii="宋体" w:hAnsi="宋体" w:cs="宋体"/>
          <w:bCs/>
          <w:szCs w:val="21"/>
        </w:rPr>
        <w:t>投标人名称（公章）：</w:t>
      </w:r>
    </w:p>
    <w:p w14:paraId="4036F54A">
      <w:pPr>
        <w:spacing w:line="360" w:lineRule="auto"/>
        <w:rPr>
          <w:rFonts w:hint="eastAsia" w:ascii="宋体" w:hAnsi="宋体" w:cs="宋体"/>
          <w:bCs/>
          <w:szCs w:val="21"/>
        </w:rPr>
      </w:pPr>
      <w:r>
        <w:rPr>
          <w:rFonts w:hint="eastAsia" w:ascii="宋体" w:hAnsi="宋体" w:cs="宋体"/>
          <w:bCs/>
          <w:szCs w:val="21"/>
        </w:rPr>
        <w:t xml:space="preserve">                               法定代表人</w:t>
      </w:r>
      <w:r>
        <w:rPr>
          <w:rFonts w:hint="eastAsia" w:ascii="宋体" w:hAnsi="宋体" w:cs="宋体"/>
          <w:szCs w:val="21"/>
        </w:rPr>
        <w:t>或委托代理人</w:t>
      </w:r>
      <w:r>
        <w:rPr>
          <w:rFonts w:hint="eastAsia" w:ascii="宋体" w:hAnsi="宋体" w:cs="宋体"/>
          <w:bCs/>
          <w:szCs w:val="21"/>
        </w:rPr>
        <w:t>（签字或盖章）：</w:t>
      </w:r>
    </w:p>
    <w:p w14:paraId="176CE3CA">
      <w:pPr>
        <w:spacing w:line="360" w:lineRule="auto"/>
        <w:rPr>
          <w:rFonts w:hint="eastAsia" w:ascii="宋体" w:hAnsi="宋体" w:cs="宋体"/>
          <w:bCs/>
          <w:szCs w:val="21"/>
        </w:rPr>
      </w:pPr>
      <w:r>
        <w:rPr>
          <w:rFonts w:hint="eastAsia" w:ascii="宋体" w:hAnsi="宋体" w:cs="宋体"/>
          <w:bCs/>
          <w:szCs w:val="21"/>
        </w:rPr>
        <w:t xml:space="preserve">                               日期：  年  月  日</w:t>
      </w:r>
    </w:p>
    <w:p w14:paraId="476B6FEF">
      <w:pPr>
        <w:spacing w:line="360" w:lineRule="auto"/>
        <w:rPr>
          <w:bCs/>
          <w:szCs w:val="21"/>
        </w:rPr>
        <w:sectPr>
          <w:pgSz w:w="11906" w:h="16838"/>
          <w:pgMar w:top="1440" w:right="1800" w:bottom="1440" w:left="1800" w:header="851" w:footer="992" w:gutter="0"/>
          <w:cols w:space="720" w:num="1"/>
          <w:docGrid w:type="lines" w:linePitch="312" w:charSpace="0"/>
        </w:sectPr>
      </w:pPr>
    </w:p>
    <w:p w14:paraId="7FB1FC76">
      <w:pPr>
        <w:spacing w:line="360" w:lineRule="auto"/>
        <w:jc w:val="center"/>
        <w:rPr>
          <w:rFonts w:hint="eastAsia" w:ascii="宋体" w:hAnsi="宋体" w:cs="宋体"/>
          <w:b/>
          <w:bCs/>
          <w:szCs w:val="21"/>
        </w:rPr>
      </w:pPr>
      <w:r>
        <w:rPr>
          <w:rFonts w:hint="eastAsia" w:ascii="宋体" w:hAnsi="宋体" w:cs="宋体"/>
          <w:b/>
          <w:bCs/>
          <w:szCs w:val="21"/>
        </w:rPr>
        <w:t>参加本次采购活动前 3 年内在经营活动中没有重大违法记录的书面声明</w:t>
      </w:r>
    </w:p>
    <w:p w14:paraId="6A2F367F">
      <w:pPr>
        <w:spacing w:line="360" w:lineRule="auto"/>
        <w:rPr>
          <w:rFonts w:hint="eastAsia" w:ascii="宋体" w:hAnsi="宋体" w:cs="宋体"/>
          <w:szCs w:val="21"/>
        </w:rPr>
      </w:pPr>
    </w:p>
    <w:p w14:paraId="304A9B40">
      <w:pPr>
        <w:spacing w:after="312" w:line="360" w:lineRule="auto"/>
        <w:jc w:val="center"/>
        <w:rPr>
          <w:rFonts w:hint="eastAsia" w:ascii="宋体" w:hAnsi="宋体" w:cs="宋体"/>
          <w:b/>
          <w:bCs/>
          <w:szCs w:val="21"/>
        </w:rPr>
      </w:pPr>
      <w:r>
        <w:rPr>
          <w:rFonts w:hint="eastAsia" w:ascii="宋体" w:hAnsi="宋体" w:cs="宋体"/>
          <w:b/>
          <w:bCs/>
          <w:szCs w:val="21"/>
        </w:rPr>
        <w:t>声  明</w:t>
      </w:r>
    </w:p>
    <w:p w14:paraId="3932BC6B">
      <w:pPr>
        <w:spacing w:line="360" w:lineRule="auto"/>
        <w:ind w:firstLine="420" w:firstLineChars="200"/>
        <w:rPr>
          <w:rFonts w:hint="eastAsia" w:ascii="宋体" w:hAnsi="宋体" w:cs="宋体"/>
          <w:bCs/>
          <w:szCs w:val="21"/>
        </w:rPr>
      </w:pPr>
      <w:r>
        <w:rPr>
          <w:rFonts w:hint="eastAsia" w:ascii="宋体" w:hAnsi="宋体" w:cs="宋体"/>
          <w:bCs/>
          <w:szCs w:val="21"/>
        </w:rPr>
        <w:t>我公司郑重声明：参加本次采购活动前 3 年内，我公司在经营活动中没有因违法经营受到刑事处罚或者责令停产停业、吊销许可证或者执照、较大数额罚款等行政处罚。</w:t>
      </w:r>
    </w:p>
    <w:p w14:paraId="6A732A5D">
      <w:pPr>
        <w:spacing w:line="360" w:lineRule="auto"/>
        <w:rPr>
          <w:rFonts w:hint="eastAsia" w:ascii="宋体" w:hAnsi="宋体" w:cs="宋体"/>
          <w:bCs/>
          <w:szCs w:val="21"/>
        </w:rPr>
      </w:pPr>
      <w:r>
        <w:rPr>
          <w:rFonts w:hint="eastAsia" w:ascii="宋体" w:hAnsi="宋体" w:cs="宋体"/>
          <w:bCs/>
          <w:szCs w:val="21"/>
        </w:rPr>
        <w:t xml:space="preserve">                           </w:t>
      </w:r>
      <w:r>
        <w:rPr>
          <w:rFonts w:hint="eastAsia"/>
          <w:bCs/>
          <w:szCs w:val="21"/>
        </w:rPr>
        <w:t xml:space="preserve">    投标人名称（公章）：</w:t>
      </w:r>
    </w:p>
    <w:p w14:paraId="5F2D154A">
      <w:pPr>
        <w:spacing w:line="360" w:lineRule="auto"/>
        <w:rPr>
          <w:rFonts w:hint="eastAsia" w:ascii="宋体" w:hAnsi="宋体" w:cs="宋体"/>
          <w:bCs/>
          <w:szCs w:val="21"/>
        </w:rPr>
      </w:pPr>
      <w:r>
        <w:rPr>
          <w:rFonts w:hint="eastAsia" w:ascii="宋体" w:hAnsi="宋体" w:cs="宋体"/>
          <w:bCs/>
          <w:szCs w:val="21"/>
        </w:rPr>
        <w:t xml:space="preserve">                               法定代表人</w:t>
      </w:r>
      <w:r>
        <w:rPr>
          <w:rFonts w:hint="eastAsia" w:ascii="宋体" w:hAnsi="宋体" w:cs="宋体"/>
          <w:szCs w:val="21"/>
        </w:rPr>
        <w:t>或委托代理人</w:t>
      </w:r>
      <w:r>
        <w:rPr>
          <w:rFonts w:hint="eastAsia" w:ascii="宋体" w:hAnsi="宋体" w:cs="宋体"/>
          <w:bCs/>
          <w:szCs w:val="21"/>
        </w:rPr>
        <w:t>（签字或盖章）：</w:t>
      </w:r>
    </w:p>
    <w:p w14:paraId="5F969A1D">
      <w:pPr>
        <w:spacing w:line="360" w:lineRule="auto"/>
        <w:rPr>
          <w:rFonts w:hint="eastAsia" w:ascii="宋体" w:hAnsi="宋体" w:cs="宋体"/>
          <w:bCs/>
          <w:szCs w:val="21"/>
        </w:rPr>
      </w:pPr>
      <w:r>
        <w:rPr>
          <w:rFonts w:hint="eastAsia" w:ascii="宋体" w:hAnsi="宋体" w:cs="宋体"/>
          <w:bCs/>
          <w:szCs w:val="21"/>
        </w:rPr>
        <w:t xml:space="preserve">                               日期：  年  月  日</w:t>
      </w:r>
    </w:p>
    <w:p w14:paraId="2FA32965">
      <w:pPr>
        <w:spacing w:line="360" w:lineRule="auto"/>
        <w:rPr>
          <w:rFonts w:hint="eastAsia" w:ascii="宋体" w:hAnsi="宋体" w:cs="宋体"/>
          <w:bCs/>
          <w:szCs w:val="21"/>
        </w:rPr>
      </w:pPr>
    </w:p>
    <w:p w14:paraId="2177DFE2">
      <w:pPr>
        <w:spacing w:line="360" w:lineRule="auto"/>
        <w:jc w:val="center"/>
        <w:rPr>
          <w:rFonts w:hint="eastAsia" w:ascii="宋体" w:hAnsi="宋体" w:cs="宋体"/>
          <w:b/>
          <w:bCs/>
          <w:szCs w:val="21"/>
        </w:rPr>
      </w:pPr>
    </w:p>
    <w:p w14:paraId="0ED4B2ED">
      <w:pPr>
        <w:spacing w:line="360" w:lineRule="auto"/>
        <w:jc w:val="center"/>
        <w:rPr>
          <w:rFonts w:hint="eastAsia" w:ascii="宋体" w:hAnsi="宋体" w:cs="宋体"/>
          <w:b/>
          <w:bCs/>
          <w:szCs w:val="21"/>
        </w:rPr>
      </w:pPr>
    </w:p>
    <w:p w14:paraId="10E0EF10">
      <w:pPr>
        <w:spacing w:line="360" w:lineRule="auto"/>
        <w:jc w:val="center"/>
        <w:rPr>
          <w:rFonts w:hint="eastAsia" w:ascii="宋体" w:hAnsi="宋体" w:cs="宋体"/>
          <w:b/>
          <w:bCs/>
          <w:szCs w:val="21"/>
        </w:rPr>
      </w:pPr>
    </w:p>
    <w:p w14:paraId="203FFECC">
      <w:pPr>
        <w:spacing w:line="360" w:lineRule="auto"/>
        <w:jc w:val="center"/>
        <w:rPr>
          <w:rFonts w:hint="eastAsia" w:ascii="宋体" w:hAnsi="宋体" w:cs="宋体"/>
          <w:b/>
          <w:bCs/>
          <w:szCs w:val="21"/>
        </w:rPr>
      </w:pPr>
    </w:p>
    <w:p w14:paraId="521EA49C">
      <w:pPr>
        <w:spacing w:line="360" w:lineRule="auto"/>
        <w:jc w:val="center"/>
        <w:rPr>
          <w:rFonts w:hint="eastAsia" w:ascii="宋体" w:hAnsi="宋体" w:cs="宋体"/>
          <w:b/>
          <w:bCs/>
          <w:szCs w:val="21"/>
        </w:rPr>
      </w:pPr>
    </w:p>
    <w:p w14:paraId="7C9DDFF7">
      <w:pPr>
        <w:spacing w:line="360" w:lineRule="auto"/>
        <w:jc w:val="center"/>
        <w:rPr>
          <w:rFonts w:hint="eastAsia" w:ascii="宋体" w:hAnsi="宋体" w:cs="宋体"/>
          <w:b/>
          <w:bCs/>
          <w:szCs w:val="21"/>
        </w:rPr>
      </w:pPr>
    </w:p>
    <w:p w14:paraId="4FA60B21">
      <w:pPr>
        <w:spacing w:line="360" w:lineRule="auto"/>
        <w:jc w:val="center"/>
        <w:rPr>
          <w:rFonts w:hint="eastAsia" w:ascii="宋体" w:hAnsi="宋体" w:cs="宋体"/>
          <w:szCs w:val="21"/>
        </w:rPr>
      </w:pPr>
      <w:r>
        <w:rPr>
          <w:rFonts w:hint="eastAsia" w:ascii="宋体" w:hAnsi="宋体" w:cs="宋体"/>
          <w:b/>
          <w:bCs/>
          <w:szCs w:val="21"/>
        </w:rPr>
        <w:br w:type="page" w:clear="all"/>
      </w:r>
    </w:p>
    <w:p w14:paraId="3005C954">
      <w:pPr>
        <w:spacing w:line="360" w:lineRule="auto"/>
        <w:jc w:val="center"/>
        <w:rPr>
          <w:rFonts w:hint="eastAsia" w:ascii="宋体" w:hAnsi="宋体" w:cs="宋体"/>
          <w:b/>
          <w:bCs/>
          <w:szCs w:val="21"/>
        </w:rPr>
      </w:pPr>
      <w:r>
        <w:rPr>
          <w:rFonts w:hint="eastAsia" w:ascii="宋体" w:hAnsi="宋体" w:cs="宋体"/>
          <w:b/>
          <w:bCs/>
          <w:szCs w:val="21"/>
        </w:rPr>
        <w:t>投标函</w:t>
      </w:r>
    </w:p>
    <w:p w14:paraId="69097B46">
      <w:pPr>
        <w:pStyle w:val="311"/>
        <w:spacing w:before="0" w:after="0"/>
        <w:ind w:firstLine="0"/>
        <w:rPr>
          <w:rFonts w:hint="eastAsia" w:ascii="宋体" w:hAnsi="宋体" w:cs="宋体"/>
          <w:sz w:val="21"/>
          <w:szCs w:val="21"/>
        </w:rPr>
      </w:pPr>
      <w:r>
        <w:rPr>
          <w:rFonts w:hint="eastAsia" w:ascii="宋体" w:hAnsi="宋体" w:cs="宋体"/>
          <w:sz w:val="21"/>
          <w:szCs w:val="21"/>
        </w:rPr>
        <w:t>致：江苏苏维工程管理有限公司</w:t>
      </w:r>
    </w:p>
    <w:p w14:paraId="2BCB0B84">
      <w:pPr>
        <w:pStyle w:val="311"/>
        <w:spacing w:before="0" w:after="0"/>
        <w:ind w:firstLine="420"/>
        <w:rPr>
          <w:rFonts w:hint="eastAsia" w:ascii="宋体" w:hAnsi="宋体" w:cs="宋体"/>
          <w:sz w:val="21"/>
          <w:szCs w:val="21"/>
        </w:rPr>
      </w:pPr>
      <w:r>
        <w:rPr>
          <w:rFonts w:hint="eastAsia" w:ascii="宋体" w:hAnsi="宋体" w:cs="宋体"/>
          <w:sz w:val="21"/>
          <w:szCs w:val="21"/>
        </w:rPr>
        <w:t>根据贵方的（）号招标文件，正式授权下述签字人_________________（姓名）代表我方______________（投标人的名称），全权处理本次项目投标的有关事宜。</w:t>
      </w:r>
    </w:p>
    <w:p w14:paraId="27858DB0">
      <w:pPr>
        <w:pStyle w:val="311"/>
        <w:spacing w:before="0" w:after="0"/>
        <w:ind w:firstLine="420"/>
        <w:rPr>
          <w:rFonts w:hint="eastAsia" w:ascii="宋体" w:hAnsi="宋体" w:cs="宋体"/>
          <w:sz w:val="21"/>
          <w:szCs w:val="21"/>
        </w:rPr>
      </w:pPr>
      <w:r>
        <w:rPr>
          <w:rFonts w:hint="eastAsia" w:ascii="宋体" w:hAnsi="宋体" w:cs="宋体"/>
          <w:sz w:val="21"/>
          <w:szCs w:val="21"/>
        </w:rPr>
        <w:t>据此函，__________签字人（姓名）兹宣布同意如下：</w:t>
      </w:r>
    </w:p>
    <w:p w14:paraId="49995E65">
      <w:pPr>
        <w:pStyle w:val="311"/>
        <w:spacing w:before="0" w:after="0"/>
        <w:ind w:firstLine="420"/>
        <w:rPr>
          <w:rFonts w:hint="eastAsia" w:ascii="宋体" w:hAnsi="宋体" w:cs="宋体"/>
          <w:sz w:val="21"/>
          <w:szCs w:val="21"/>
        </w:rPr>
      </w:pPr>
      <w:r>
        <w:rPr>
          <w:rFonts w:hint="eastAsia" w:ascii="宋体" w:hAnsi="宋体" w:cs="宋体"/>
          <w:sz w:val="21"/>
          <w:szCs w:val="21"/>
        </w:rPr>
        <w:t>1.按照招标文件规定的各项要求，向买方提供所需货物与服务。</w:t>
      </w:r>
    </w:p>
    <w:p w14:paraId="1BC73125">
      <w:pPr>
        <w:pStyle w:val="311"/>
        <w:spacing w:before="0" w:after="0"/>
        <w:ind w:firstLine="420"/>
        <w:rPr>
          <w:rFonts w:hint="eastAsia" w:ascii="宋体" w:hAnsi="宋体" w:cs="宋体"/>
          <w:sz w:val="21"/>
          <w:szCs w:val="21"/>
        </w:rPr>
      </w:pPr>
      <w:r>
        <w:rPr>
          <w:rFonts w:hint="eastAsia" w:ascii="宋体" w:hAnsi="宋体" w:cs="宋体"/>
          <w:sz w:val="21"/>
          <w:szCs w:val="21"/>
        </w:rPr>
        <w:t>2.我们完全理解贵方不一定将合同授予最低报价的投标人。</w:t>
      </w:r>
    </w:p>
    <w:p w14:paraId="43B513DC">
      <w:pPr>
        <w:pStyle w:val="311"/>
        <w:spacing w:before="0" w:after="0"/>
        <w:ind w:firstLine="420"/>
        <w:rPr>
          <w:rFonts w:hint="eastAsia" w:ascii="宋体" w:hAnsi="宋体" w:cs="宋体"/>
          <w:sz w:val="21"/>
          <w:szCs w:val="21"/>
        </w:rPr>
      </w:pPr>
      <w:r>
        <w:rPr>
          <w:rFonts w:hint="eastAsia" w:ascii="宋体" w:hAnsi="宋体" w:cs="宋体"/>
          <w:sz w:val="21"/>
          <w:szCs w:val="21"/>
        </w:rPr>
        <w:t>3.我们已详细审核全部招标文件及其有效补充文件，我们知道必须放弃提出含糊不清或误解问题的权利。</w:t>
      </w:r>
    </w:p>
    <w:p w14:paraId="14C7BA56">
      <w:pPr>
        <w:pStyle w:val="311"/>
        <w:spacing w:before="0" w:after="0"/>
        <w:rPr>
          <w:rFonts w:hint="eastAsia" w:ascii="宋体" w:hAnsi="宋体" w:cs="宋体"/>
          <w:sz w:val="21"/>
          <w:szCs w:val="21"/>
        </w:rPr>
      </w:pPr>
      <w:r>
        <w:rPr>
          <w:rFonts w:hint="eastAsia" w:ascii="宋体" w:hAnsi="宋体" w:cs="宋体"/>
          <w:sz w:val="21"/>
          <w:szCs w:val="21"/>
        </w:rPr>
        <w:t>4.我们同意从规定的开标日期起遵循本投标文件，并在规定的投标有效期期满之前均具有约束力。</w:t>
      </w:r>
    </w:p>
    <w:p w14:paraId="4D443FCC">
      <w:pPr>
        <w:pStyle w:val="311"/>
        <w:spacing w:before="0" w:after="0"/>
        <w:rPr>
          <w:rFonts w:hint="eastAsia" w:ascii="宋体" w:hAnsi="宋体" w:cs="宋体"/>
          <w:sz w:val="21"/>
          <w:szCs w:val="21"/>
        </w:rPr>
      </w:pPr>
      <w:r>
        <w:rPr>
          <w:rFonts w:hint="eastAsia" w:ascii="宋体" w:hAnsi="宋体" w:cs="宋体"/>
          <w:sz w:val="21"/>
          <w:szCs w:val="21"/>
        </w:rPr>
        <w:t>5.同意向贵方提供贵方可能另外要求的与投标有关的任何证据或资料，并保证我方已提供和将要提供的文件是真实的、准确的。</w:t>
      </w:r>
    </w:p>
    <w:p w14:paraId="4E5044AF">
      <w:pPr>
        <w:pStyle w:val="311"/>
        <w:spacing w:before="0" w:after="0"/>
        <w:rPr>
          <w:rFonts w:hint="eastAsia" w:ascii="宋体" w:hAnsi="宋体" w:cs="宋体"/>
          <w:sz w:val="21"/>
          <w:szCs w:val="21"/>
        </w:rPr>
      </w:pPr>
      <w:r>
        <w:rPr>
          <w:rFonts w:hint="eastAsia" w:ascii="宋体" w:hAnsi="宋体" w:cs="宋体"/>
          <w:sz w:val="21"/>
          <w:szCs w:val="21"/>
        </w:rPr>
        <w:t>6.一旦我方中标，我方将根据招标文件的规定，严格履行合同的责任和义务，并保证在招标文件规定的时间内完成项目，交付买方验收、使用。</w:t>
      </w:r>
    </w:p>
    <w:p w14:paraId="7867C3AA">
      <w:pPr>
        <w:pStyle w:val="311"/>
        <w:spacing w:before="0" w:after="0"/>
        <w:ind w:left="425" w:firstLine="105"/>
        <w:rPr>
          <w:rFonts w:hint="eastAsia" w:ascii="宋体" w:hAnsi="宋体" w:cs="宋体"/>
          <w:sz w:val="21"/>
          <w:szCs w:val="21"/>
        </w:rPr>
      </w:pPr>
      <w:r>
        <w:rPr>
          <w:rFonts w:hint="eastAsia" w:ascii="宋体" w:hAnsi="宋体" w:cs="宋体"/>
          <w:sz w:val="21"/>
          <w:szCs w:val="21"/>
        </w:rPr>
        <w:t>7.与本投标有关的正式通讯地址为：</w:t>
      </w:r>
    </w:p>
    <w:p w14:paraId="3FCA45A5">
      <w:pPr>
        <w:pStyle w:val="311"/>
        <w:spacing w:before="0" w:after="0"/>
        <w:ind w:firstLine="478"/>
        <w:rPr>
          <w:rFonts w:hint="eastAsia" w:ascii="宋体" w:hAnsi="宋体" w:cs="宋体"/>
          <w:sz w:val="21"/>
          <w:szCs w:val="21"/>
        </w:rPr>
      </w:pPr>
      <w:r>
        <w:rPr>
          <w:rFonts w:hint="eastAsia" w:ascii="宋体" w:hAnsi="宋体" w:cs="宋体"/>
          <w:sz w:val="21"/>
          <w:szCs w:val="21"/>
        </w:rPr>
        <w:t>地 址：</w:t>
      </w:r>
    </w:p>
    <w:p w14:paraId="4DDEB291">
      <w:pPr>
        <w:pStyle w:val="311"/>
        <w:spacing w:before="0" w:after="0"/>
        <w:ind w:firstLine="478"/>
        <w:rPr>
          <w:rFonts w:hint="eastAsia" w:ascii="宋体" w:hAnsi="宋体" w:cs="宋体"/>
          <w:sz w:val="21"/>
          <w:szCs w:val="21"/>
        </w:rPr>
      </w:pPr>
      <w:r>
        <w:rPr>
          <w:rFonts w:hint="eastAsia" w:ascii="宋体" w:hAnsi="宋体" w:cs="宋体"/>
          <w:sz w:val="21"/>
          <w:szCs w:val="21"/>
        </w:rPr>
        <w:t>邮 编：</w:t>
      </w:r>
    </w:p>
    <w:p w14:paraId="73754688">
      <w:pPr>
        <w:pStyle w:val="311"/>
        <w:spacing w:before="0" w:after="0"/>
        <w:ind w:firstLine="478"/>
        <w:rPr>
          <w:rFonts w:hint="eastAsia" w:ascii="宋体" w:hAnsi="宋体" w:cs="宋体"/>
          <w:sz w:val="21"/>
          <w:szCs w:val="21"/>
        </w:rPr>
      </w:pPr>
      <w:r>
        <w:rPr>
          <w:rFonts w:hint="eastAsia" w:ascii="宋体" w:hAnsi="宋体" w:cs="宋体"/>
          <w:sz w:val="21"/>
          <w:szCs w:val="21"/>
        </w:rPr>
        <w:t xml:space="preserve">电 话： </w:t>
      </w:r>
    </w:p>
    <w:p w14:paraId="751FB1C9">
      <w:pPr>
        <w:pStyle w:val="311"/>
        <w:spacing w:before="0" w:after="0"/>
        <w:ind w:firstLine="478"/>
        <w:rPr>
          <w:rFonts w:hint="eastAsia" w:ascii="宋体" w:hAnsi="宋体" w:cs="宋体"/>
          <w:sz w:val="21"/>
          <w:szCs w:val="21"/>
        </w:rPr>
      </w:pPr>
      <w:r>
        <w:rPr>
          <w:rFonts w:hint="eastAsia" w:ascii="宋体" w:hAnsi="宋体" w:cs="宋体"/>
          <w:sz w:val="21"/>
          <w:szCs w:val="21"/>
        </w:rPr>
        <w:t xml:space="preserve">传 真： </w:t>
      </w:r>
    </w:p>
    <w:p w14:paraId="5BF458E4">
      <w:pPr>
        <w:pStyle w:val="311"/>
        <w:spacing w:before="0" w:after="0"/>
        <w:ind w:firstLine="478"/>
        <w:rPr>
          <w:rFonts w:hint="eastAsia" w:ascii="宋体" w:hAnsi="宋体" w:cs="宋体"/>
          <w:sz w:val="21"/>
          <w:szCs w:val="21"/>
        </w:rPr>
      </w:pPr>
      <w:r>
        <w:rPr>
          <w:rFonts w:hint="eastAsia" w:ascii="宋体" w:hAnsi="宋体" w:cs="宋体"/>
          <w:sz w:val="21"/>
          <w:szCs w:val="21"/>
        </w:rPr>
        <w:t>投标人开户行：</w:t>
      </w:r>
    </w:p>
    <w:p w14:paraId="4802F9D2">
      <w:pPr>
        <w:pStyle w:val="311"/>
        <w:spacing w:before="0" w:after="0"/>
        <w:ind w:firstLine="478"/>
        <w:rPr>
          <w:rFonts w:hint="eastAsia" w:ascii="宋体" w:hAnsi="宋体" w:cs="宋体"/>
          <w:sz w:val="21"/>
          <w:szCs w:val="21"/>
        </w:rPr>
      </w:pPr>
      <w:r>
        <w:rPr>
          <w:rFonts w:hint="eastAsia" w:ascii="宋体" w:hAnsi="宋体" w:cs="宋体"/>
          <w:sz w:val="21"/>
          <w:szCs w:val="21"/>
        </w:rPr>
        <w:t xml:space="preserve">账 户： </w:t>
      </w:r>
    </w:p>
    <w:p w14:paraId="3536C2B5">
      <w:pPr>
        <w:pStyle w:val="311"/>
        <w:spacing w:before="0" w:after="0"/>
        <w:ind w:firstLine="478"/>
        <w:rPr>
          <w:rFonts w:hint="eastAsia" w:ascii="宋体" w:hAnsi="宋体" w:cs="宋体"/>
          <w:sz w:val="21"/>
          <w:szCs w:val="21"/>
        </w:rPr>
      </w:pPr>
      <w:r>
        <w:rPr>
          <w:rFonts w:hint="eastAsia" w:ascii="宋体" w:hAnsi="宋体" w:cs="宋体"/>
          <w:sz w:val="21"/>
          <w:szCs w:val="21"/>
        </w:rPr>
        <w:t>行 号：</w:t>
      </w:r>
    </w:p>
    <w:p w14:paraId="10D8764B">
      <w:pPr>
        <w:pStyle w:val="311"/>
        <w:spacing w:before="0" w:after="0"/>
        <w:ind w:firstLine="478" w:firstLineChars="228"/>
        <w:rPr>
          <w:rFonts w:ascii="Times New Roman" w:hAnsi="Times New Roman"/>
          <w:kern w:val="2"/>
          <w:sz w:val="21"/>
          <w:szCs w:val="21"/>
        </w:rPr>
      </w:pPr>
      <w:r>
        <w:rPr>
          <w:rFonts w:hint="eastAsia" w:ascii="Times New Roman" w:hAnsi="Times New Roman"/>
          <w:kern w:val="2"/>
          <w:sz w:val="21"/>
          <w:szCs w:val="21"/>
        </w:rPr>
        <w:t xml:space="preserve">法定代表人或授权代表（签字或盖章）： </w:t>
      </w:r>
    </w:p>
    <w:p w14:paraId="5B3EDB3C">
      <w:pPr>
        <w:pStyle w:val="311"/>
        <w:spacing w:before="0" w:after="0"/>
        <w:ind w:firstLine="478" w:firstLineChars="228"/>
        <w:rPr>
          <w:rFonts w:ascii="Times New Roman" w:hAnsi="Times New Roman"/>
          <w:kern w:val="2"/>
          <w:sz w:val="21"/>
          <w:szCs w:val="21"/>
        </w:rPr>
      </w:pPr>
      <w:r>
        <w:rPr>
          <w:rFonts w:hint="eastAsia" w:ascii="Times New Roman" w:hAnsi="Times New Roman"/>
          <w:kern w:val="2"/>
          <w:sz w:val="21"/>
          <w:szCs w:val="21"/>
        </w:rPr>
        <w:t xml:space="preserve">投标人名称（公章）： </w:t>
      </w:r>
    </w:p>
    <w:p w14:paraId="156D6B49">
      <w:pPr>
        <w:pStyle w:val="311"/>
        <w:spacing w:before="0" w:after="0"/>
        <w:ind w:firstLine="478" w:firstLineChars="228"/>
        <w:rPr>
          <w:rFonts w:ascii="Times New Roman" w:hAnsi="Times New Roman"/>
          <w:kern w:val="2"/>
          <w:sz w:val="21"/>
          <w:szCs w:val="21"/>
        </w:rPr>
      </w:pPr>
      <w:r>
        <w:rPr>
          <w:rFonts w:hint="eastAsia" w:ascii="Times New Roman" w:hAnsi="Times New Roman"/>
          <w:kern w:val="2"/>
          <w:sz w:val="21"/>
          <w:szCs w:val="21"/>
        </w:rPr>
        <w:t>日 期：________年____月____日</w:t>
      </w:r>
    </w:p>
    <w:p w14:paraId="21B984DF">
      <w:pPr>
        <w:pStyle w:val="311"/>
        <w:spacing w:before="0" w:after="0"/>
        <w:ind w:firstLine="478"/>
        <w:rPr>
          <w:rFonts w:hint="eastAsia" w:ascii="宋体" w:hAnsi="宋体" w:cs="宋体"/>
          <w:sz w:val="21"/>
          <w:szCs w:val="21"/>
        </w:rPr>
      </w:pPr>
    </w:p>
    <w:p w14:paraId="652B1F13">
      <w:pPr>
        <w:spacing w:line="600" w:lineRule="exact"/>
        <w:contextualSpacing/>
        <w:rPr>
          <w:rFonts w:hint="eastAsia" w:ascii="宋体" w:hAnsi="宋体" w:cs="宋体"/>
          <w:b/>
          <w:bCs/>
          <w:szCs w:val="21"/>
        </w:rPr>
      </w:pPr>
    </w:p>
    <w:p w14:paraId="4254015B">
      <w:pPr>
        <w:jc w:val="center"/>
        <w:rPr>
          <w:rFonts w:hint="eastAsia" w:ascii="宋体" w:hAnsi="宋体" w:cs="宋体"/>
          <w:b/>
          <w:szCs w:val="21"/>
        </w:rPr>
      </w:pPr>
      <w:r>
        <w:rPr>
          <w:rFonts w:hint="eastAsia" w:ascii="宋体" w:hAnsi="宋体" w:cs="宋体"/>
          <w:b/>
          <w:szCs w:val="21"/>
        </w:rPr>
        <w:br w:type="page" w:clear="all"/>
      </w:r>
      <w:r>
        <w:rPr>
          <w:rFonts w:hint="eastAsia" w:ascii="宋体" w:hAnsi="宋体" w:cs="宋体"/>
          <w:b/>
          <w:szCs w:val="21"/>
        </w:rPr>
        <w:t>法人授权书</w:t>
      </w:r>
    </w:p>
    <w:p w14:paraId="2BC4D7A7">
      <w:pPr>
        <w:pStyle w:val="329"/>
        <w:spacing w:line="360" w:lineRule="auto"/>
        <w:ind w:firstLine="420"/>
        <w:rPr>
          <w:rFonts w:hint="eastAsia" w:ascii="宋体" w:hAnsi="宋体" w:cs="宋体"/>
          <w:sz w:val="21"/>
          <w:szCs w:val="21"/>
        </w:rPr>
      </w:pPr>
    </w:p>
    <w:p w14:paraId="3991E21B">
      <w:pPr>
        <w:pStyle w:val="329"/>
        <w:spacing w:line="360" w:lineRule="auto"/>
        <w:ind w:firstLine="420"/>
        <w:rPr>
          <w:rFonts w:hint="eastAsia" w:ascii="宋体" w:hAnsi="宋体" w:cs="宋体"/>
          <w:sz w:val="21"/>
          <w:szCs w:val="21"/>
        </w:rPr>
      </w:pPr>
      <w:r>
        <w:rPr>
          <w:rFonts w:hint="eastAsia" w:ascii="宋体" w:hAnsi="宋体" w:cs="宋体"/>
          <w:sz w:val="21"/>
          <w:szCs w:val="21"/>
        </w:rPr>
        <w:t>本授权书声明：________________（投标人名称）授权________________（被授权人的姓名）为我方就</w:t>
      </w:r>
      <w:r>
        <w:rPr>
          <w:rFonts w:hint="eastAsia" w:ascii="宋体" w:hAnsi="宋体" w:cs="宋体"/>
          <w:sz w:val="21"/>
          <w:szCs w:val="21"/>
          <w:u w:val="single"/>
        </w:rPr>
        <w:t>（项目编号）（项目名称）</w:t>
      </w:r>
      <w:r>
        <w:rPr>
          <w:rFonts w:hint="eastAsia" w:ascii="宋体" w:hAnsi="宋体" w:cs="宋体"/>
          <w:sz w:val="21"/>
          <w:szCs w:val="21"/>
        </w:rPr>
        <w:t>项目采购活动的合法代理人，以本公司名义全权处理一切与该项目采购有关的事务。</w:t>
      </w:r>
    </w:p>
    <w:p w14:paraId="2C9C07BE">
      <w:pPr>
        <w:pStyle w:val="329"/>
        <w:spacing w:line="360" w:lineRule="auto"/>
        <w:ind w:firstLine="420"/>
        <w:rPr>
          <w:rFonts w:hint="eastAsia" w:ascii="宋体" w:hAnsi="宋体" w:cs="宋体"/>
          <w:sz w:val="21"/>
          <w:szCs w:val="21"/>
        </w:rPr>
      </w:pPr>
      <w:r>
        <w:rPr>
          <w:rFonts w:hint="eastAsia" w:ascii="宋体" w:hAnsi="宋体" w:cs="宋体"/>
          <w:sz w:val="21"/>
          <w:szCs w:val="21"/>
        </w:rPr>
        <w:t>本授权书于______年____月____日起生效，特此声明。</w:t>
      </w:r>
    </w:p>
    <w:p w14:paraId="78E1C702">
      <w:pPr>
        <w:pStyle w:val="329"/>
        <w:spacing w:line="360" w:lineRule="auto"/>
        <w:ind w:firstLine="0"/>
        <w:rPr>
          <w:rFonts w:hint="eastAsia" w:ascii="宋体" w:hAnsi="宋体" w:cs="宋体"/>
          <w:sz w:val="21"/>
          <w:szCs w:val="21"/>
        </w:rPr>
      </w:pPr>
    </w:p>
    <w:p w14:paraId="089C8068">
      <w:pPr>
        <w:pStyle w:val="329"/>
        <w:spacing w:line="360" w:lineRule="auto"/>
        <w:ind w:firstLine="420"/>
        <w:rPr>
          <w:sz w:val="21"/>
          <w:szCs w:val="21"/>
        </w:rPr>
      </w:pPr>
      <w:r>
        <w:rPr>
          <w:rFonts w:hint="eastAsia"/>
          <w:sz w:val="21"/>
          <w:szCs w:val="21"/>
        </w:rPr>
        <w:t>被授权人签字：</w:t>
      </w:r>
      <w:r>
        <w:rPr>
          <w:sz w:val="21"/>
          <w:szCs w:val="21"/>
        </w:rPr>
        <w:t>_____________________</w:t>
      </w:r>
      <w:r>
        <w:rPr>
          <w:rFonts w:hint="eastAsia"/>
          <w:sz w:val="21"/>
          <w:szCs w:val="21"/>
          <w:u w:val="single"/>
        </w:rPr>
        <w:t xml:space="preserve">         </w:t>
      </w:r>
      <w:r>
        <w:rPr>
          <w:sz w:val="21"/>
          <w:szCs w:val="21"/>
        </w:rPr>
        <w:t>__</w:t>
      </w:r>
      <w:r>
        <w:rPr>
          <w:rFonts w:hint="eastAsia"/>
          <w:sz w:val="21"/>
          <w:szCs w:val="21"/>
        </w:rPr>
        <w:t xml:space="preserve">     </w:t>
      </w:r>
    </w:p>
    <w:p w14:paraId="76F6BFD0">
      <w:pPr>
        <w:pStyle w:val="329"/>
        <w:spacing w:line="360" w:lineRule="auto"/>
        <w:ind w:firstLine="420"/>
        <w:rPr>
          <w:sz w:val="21"/>
          <w:szCs w:val="21"/>
          <w:u w:val="single"/>
        </w:rPr>
      </w:pPr>
      <w:r>
        <w:rPr>
          <w:rFonts w:hint="eastAsia"/>
          <w:sz w:val="21"/>
          <w:szCs w:val="21"/>
        </w:rPr>
        <w:t>联系电话（手机）：</w:t>
      </w:r>
      <w:r>
        <w:rPr>
          <w:rFonts w:hint="eastAsia"/>
          <w:sz w:val="21"/>
          <w:szCs w:val="21"/>
          <w:u w:val="single"/>
        </w:rPr>
        <w:t xml:space="preserve">                             </w:t>
      </w:r>
    </w:p>
    <w:p w14:paraId="73298AF1">
      <w:pPr>
        <w:pStyle w:val="329"/>
        <w:spacing w:line="360" w:lineRule="auto"/>
        <w:ind w:firstLine="0"/>
        <w:rPr>
          <w:sz w:val="21"/>
          <w:szCs w:val="21"/>
        </w:rPr>
      </w:pPr>
      <w:r>
        <w:rPr>
          <w:sz w:val="21"/>
          <w:szCs w:val="21"/>
        </w:rPr>
        <w:t xml:space="preserve">    </w:t>
      </w:r>
      <w:r>
        <w:rPr>
          <w:rFonts w:hint="eastAsia"/>
          <w:sz w:val="21"/>
          <w:szCs w:val="21"/>
        </w:rPr>
        <w:t>单位名称：</w:t>
      </w:r>
      <w:r>
        <w:rPr>
          <w:sz w:val="21"/>
          <w:szCs w:val="21"/>
        </w:rPr>
        <w:t>____________________________________</w:t>
      </w:r>
    </w:p>
    <w:p w14:paraId="1BC42D79">
      <w:pPr>
        <w:pStyle w:val="329"/>
        <w:spacing w:line="360" w:lineRule="auto"/>
        <w:ind w:firstLine="0"/>
        <w:rPr>
          <w:sz w:val="21"/>
          <w:szCs w:val="21"/>
        </w:rPr>
      </w:pPr>
      <w:r>
        <w:rPr>
          <w:sz w:val="21"/>
          <w:szCs w:val="21"/>
        </w:rPr>
        <w:t xml:space="preserve">  </w:t>
      </w:r>
      <w:r>
        <w:rPr>
          <w:rFonts w:hint="eastAsia"/>
          <w:sz w:val="21"/>
          <w:szCs w:val="21"/>
        </w:rPr>
        <w:t xml:space="preserve"> </w:t>
      </w:r>
      <w:r>
        <w:rPr>
          <w:sz w:val="21"/>
          <w:szCs w:val="21"/>
        </w:rPr>
        <w:t xml:space="preserve"> </w:t>
      </w:r>
      <w:r>
        <w:rPr>
          <w:rFonts w:hint="eastAsia"/>
          <w:sz w:val="21"/>
          <w:szCs w:val="21"/>
        </w:rPr>
        <w:t>授权单位盖章：</w:t>
      </w:r>
      <w:r>
        <w:rPr>
          <w:sz w:val="21"/>
          <w:szCs w:val="21"/>
        </w:rPr>
        <w:t>_________________________________</w:t>
      </w:r>
    </w:p>
    <w:p w14:paraId="5011406A">
      <w:pPr>
        <w:pStyle w:val="329"/>
        <w:spacing w:line="360" w:lineRule="auto"/>
        <w:ind w:firstLine="420"/>
        <w:rPr>
          <w:sz w:val="21"/>
          <w:szCs w:val="21"/>
          <w:u w:val="single"/>
        </w:rPr>
      </w:pPr>
      <w:r>
        <w:rPr>
          <w:rFonts w:hint="eastAsia"/>
          <w:sz w:val="21"/>
          <w:szCs w:val="21"/>
        </w:rPr>
        <w:t>地址：</w:t>
      </w:r>
      <w:r>
        <w:rPr>
          <w:sz w:val="21"/>
          <w:szCs w:val="21"/>
          <w:u w:val="single"/>
        </w:rPr>
        <w:t xml:space="preserve">                                         </w:t>
      </w:r>
    </w:p>
    <w:p w14:paraId="40E10AF5">
      <w:pPr>
        <w:pStyle w:val="329"/>
        <w:spacing w:line="360" w:lineRule="auto"/>
        <w:ind w:firstLine="420"/>
        <w:rPr>
          <w:sz w:val="21"/>
          <w:szCs w:val="21"/>
        </w:rPr>
      </w:pPr>
      <w:r>
        <w:rPr>
          <w:rFonts w:hint="eastAsia"/>
          <w:sz w:val="21"/>
          <w:szCs w:val="21"/>
        </w:rPr>
        <w:t>日期：</w:t>
      </w:r>
      <w:r>
        <w:rPr>
          <w:sz w:val="21"/>
          <w:szCs w:val="21"/>
          <w:u w:val="single"/>
        </w:rPr>
        <w:t xml:space="preserve">                                         </w:t>
      </w:r>
      <w:r>
        <w:rPr>
          <w:sz w:val="21"/>
          <w:szCs w:val="21"/>
        </w:rPr>
        <w:t xml:space="preserve"> </w:t>
      </w:r>
    </w:p>
    <w:p w14:paraId="146E3ACA">
      <w:pPr>
        <w:spacing w:line="460" w:lineRule="exact"/>
        <w:rPr>
          <w:rFonts w:hint="eastAsia" w:ascii="宋体" w:hAnsi="宋体" w:cs="宋体"/>
          <w:bCs/>
          <w:szCs w:val="21"/>
        </w:rPr>
      </w:pPr>
    </w:p>
    <w:p w14:paraId="63D20C6E">
      <w:pPr>
        <w:spacing w:line="460" w:lineRule="exact"/>
        <w:rPr>
          <w:rFonts w:hint="eastAsia" w:ascii="宋体" w:hAnsi="宋体" w:cs="宋体"/>
          <w:bCs/>
          <w:szCs w:val="21"/>
        </w:rPr>
      </w:pPr>
    </w:p>
    <w:p w14:paraId="0C33C8E2">
      <w:pPr>
        <w:spacing w:line="460" w:lineRule="exact"/>
        <w:ind w:firstLine="420"/>
        <w:rPr>
          <w:rFonts w:hint="eastAsia" w:ascii="宋体" w:hAnsi="宋体" w:cs="宋体"/>
          <w:bCs/>
          <w:szCs w:val="21"/>
        </w:rPr>
      </w:pPr>
      <w:r>
        <w:rPr>
          <w:rFonts w:hint="eastAsia" w:ascii="宋体" w:hAnsi="宋体" w:cs="宋体"/>
          <w:bCs/>
          <w:szCs w:val="21"/>
        </w:rPr>
        <w:t>法定代表人身份证复印件、被授权人身份证复印件</w:t>
      </w:r>
    </w:p>
    <w:p w14:paraId="39AE2F50">
      <w:pPr>
        <w:pStyle w:val="3"/>
        <w:rPr>
          <w:rFonts w:hint="eastAsia" w:ascii="宋体" w:hAnsi="宋体" w:eastAsia="宋体" w:cs="宋体"/>
          <w:bCs/>
          <w:sz w:val="21"/>
          <w:szCs w:val="21"/>
        </w:rPr>
      </w:pPr>
    </w:p>
    <w:p w14:paraId="6A59E627">
      <w:pPr>
        <w:pStyle w:val="3"/>
        <w:rPr>
          <w:rFonts w:hint="eastAsia" w:ascii="宋体" w:hAnsi="宋体" w:eastAsia="宋体" w:cs="宋体"/>
          <w:bCs/>
          <w:sz w:val="21"/>
          <w:szCs w:val="21"/>
        </w:rPr>
      </w:pPr>
    </w:p>
    <w:p w14:paraId="15DF5B0F">
      <w:pPr>
        <w:pStyle w:val="3"/>
        <w:rPr>
          <w:rFonts w:hint="eastAsia" w:ascii="宋体" w:hAnsi="宋体" w:eastAsia="宋体" w:cs="宋体"/>
          <w:bCs/>
          <w:sz w:val="21"/>
          <w:szCs w:val="21"/>
        </w:rPr>
      </w:pPr>
    </w:p>
    <w:p w14:paraId="34B50FB6">
      <w:pPr>
        <w:pStyle w:val="3"/>
        <w:rPr>
          <w:rFonts w:hint="eastAsia" w:ascii="宋体" w:hAnsi="宋体" w:eastAsia="宋体" w:cs="宋体"/>
          <w:bCs/>
          <w:sz w:val="21"/>
          <w:szCs w:val="21"/>
        </w:rPr>
      </w:pPr>
    </w:p>
    <w:p w14:paraId="21289AFA">
      <w:pPr>
        <w:pStyle w:val="3"/>
        <w:rPr>
          <w:rFonts w:hint="eastAsia" w:ascii="宋体" w:hAnsi="宋体" w:eastAsia="宋体" w:cs="宋体"/>
          <w:bCs/>
          <w:sz w:val="21"/>
          <w:szCs w:val="21"/>
        </w:rPr>
      </w:pPr>
    </w:p>
    <w:p w14:paraId="2DCE24D7">
      <w:pPr>
        <w:spacing w:line="460" w:lineRule="exact"/>
        <w:ind w:firstLine="420"/>
        <w:rPr>
          <w:rFonts w:hint="eastAsia" w:ascii="宋体" w:hAnsi="宋体" w:cs="宋体"/>
          <w:b/>
          <w:i/>
          <w:iCs/>
          <w:szCs w:val="21"/>
          <w:u w:val="single"/>
        </w:rPr>
      </w:pPr>
      <w:r>
        <w:rPr>
          <w:rFonts w:hint="eastAsia" w:ascii="宋体" w:hAnsi="宋体" w:cs="宋体"/>
          <w:b/>
          <w:i/>
          <w:iCs/>
          <w:szCs w:val="21"/>
          <w:u w:val="single"/>
        </w:rPr>
        <w:t>投标人为被授权人缴纳的近一年内任意一个月的社保证明材料</w:t>
      </w:r>
    </w:p>
    <w:p w14:paraId="58681289">
      <w:pPr>
        <w:pStyle w:val="2"/>
        <w:rPr>
          <w:rFonts w:ascii="宋体" w:hAnsi="宋体" w:cs="宋体"/>
          <w:bCs/>
        </w:rPr>
      </w:pPr>
    </w:p>
    <w:p w14:paraId="2B9C0815">
      <w:pPr>
        <w:rPr>
          <w:rFonts w:hint="eastAsia" w:ascii="宋体" w:hAnsi="宋体" w:cs="宋体"/>
          <w:b/>
          <w:szCs w:val="21"/>
        </w:rPr>
      </w:pPr>
      <w:r>
        <w:rPr>
          <w:rFonts w:hint="eastAsia" w:ascii="宋体" w:hAnsi="宋体" w:cs="宋体"/>
          <w:b/>
          <w:szCs w:val="21"/>
        </w:rPr>
        <w:br w:type="page"/>
      </w:r>
    </w:p>
    <w:p w14:paraId="1BEEE034">
      <w:pPr>
        <w:spacing w:line="500" w:lineRule="exact"/>
        <w:jc w:val="center"/>
        <w:rPr>
          <w:rFonts w:hint="eastAsia" w:ascii="宋体" w:hAnsi="宋体" w:cs="宋体"/>
          <w:b/>
          <w:szCs w:val="21"/>
        </w:rPr>
      </w:pPr>
      <w:r>
        <w:rPr>
          <w:rFonts w:hint="eastAsia" w:ascii="宋体" w:hAnsi="宋体" w:cs="宋体"/>
          <w:b/>
          <w:szCs w:val="21"/>
        </w:rPr>
        <w:t>供应商信用承诺函</w:t>
      </w:r>
    </w:p>
    <w:p w14:paraId="361BE4D0">
      <w:pPr>
        <w:spacing w:line="360" w:lineRule="auto"/>
        <w:rPr>
          <w:rFonts w:hint="eastAsia" w:ascii="宋体" w:hAnsi="宋体" w:cs="宋体"/>
          <w:szCs w:val="21"/>
        </w:rPr>
      </w:pPr>
      <w:r>
        <w:rPr>
          <w:rFonts w:hint="eastAsia" w:ascii="宋体" w:hAnsi="宋体" w:cs="宋体"/>
          <w:szCs w:val="21"/>
        </w:rPr>
        <w:t>承诺主体名称：</w:t>
      </w:r>
    </w:p>
    <w:p w14:paraId="6725C2B2">
      <w:pPr>
        <w:spacing w:line="360" w:lineRule="auto"/>
        <w:rPr>
          <w:rFonts w:hint="eastAsia" w:ascii="宋体" w:hAnsi="宋体" w:cs="宋体"/>
          <w:szCs w:val="21"/>
        </w:rPr>
      </w:pPr>
      <w:r>
        <w:rPr>
          <w:rFonts w:hint="eastAsia" w:ascii="宋体" w:hAnsi="宋体" w:cs="宋体"/>
          <w:szCs w:val="21"/>
        </w:rPr>
        <w:t>统一社会信用代码：</w:t>
      </w:r>
    </w:p>
    <w:p w14:paraId="2EAB1D47">
      <w:pPr>
        <w:spacing w:line="360" w:lineRule="auto"/>
        <w:ind w:firstLine="420"/>
        <w:rPr>
          <w:rFonts w:hint="eastAsia" w:ascii="宋体" w:hAnsi="宋体" w:cs="宋体"/>
          <w:szCs w:val="21"/>
        </w:rPr>
      </w:pPr>
      <w:r>
        <w:rPr>
          <w:rFonts w:hint="eastAsia" w:ascii="宋体" w:hAnsi="宋体" w:cs="宋体"/>
          <w:szCs w:val="21"/>
        </w:rPr>
        <w:t>为维护公平竞争、规范有序的市场秩序，营造诚实守信的信用环境，共同推进社会信用体系建设完善，树立企业诚信守法形象，本企业对________________________项目政府采购活动郑重承诺如下：</w:t>
      </w:r>
    </w:p>
    <w:p w14:paraId="758EF4DF">
      <w:pPr>
        <w:spacing w:line="360" w:lineRule="auto"/>
        <w:ind w:firstLine="420"/>
        <w:rPr>
          <w:rFonts w:hint="eastAsia" w:ascii="宋体" w:hAnsi="宋体" w:cs="宋体"/>
          <w:szCs w:val="21"/>
        </w:rPr>
      </w:pPr>
      <w:r>
        <w:rPr>
          <w:rFonts w:hint="eastAsia" w:ascii="宋体" w:hAnsi="宋体" w:cs="宋体"/>
          <w:szCs w:val="21"/>
        </w:rPr>
        <w:t>一、对提供给注册登记部门、行业管理部门、司法部门、行业组织以及在政府采购活动中提交的所有资料的合法性、真实性、准确性和有效性负责；</w:t>
      </w:r>
    </w:p>
    <w:p w14:paraId="0855052D">
      <w:pPr>
        <w:spacing w:line="360" w:lineRule="auto"/>
        <w:ind w:firstLine="420"/>
        <w:rPr>
          <w:rFonts w:hint="eastAsia" w:ascii="宋体" w:hAnsi="宋体" w:cs="宋体"/>
          <w:szCs w:val="21"/>
        </w:rPr>
      </w:pPr>
      <w:r>
        <w:rPr>
          <w:rFonts w:hint="eastAsia" w:ascii="宋体" w:hAnsi="宋体" w:cs="宋体"/>
          <w:szCs w:val="21"/>
        </w:rPr>
        <w:t>二、严格按照国家法律法规和规章开展采购活动，全面履行应尽的责任和义务，全面做到履约守信，具备《中华人民共和国政府采购法》第二十二条第一款规定的条件；</w:t>
      </w:r>
    </w:p>
    <w:p w14:paraId="40B4540F">
      <w:pPr>
        <w:spacing w:line="360" w:lineRule="auto"/>
        <w:ind w:firstLine="420"/>
        <w:rPr>
          <w:rFonts w:hint="eastAsia" w:ascii="宋体" w:hAnsi="宋体" w:cs="宋体"/>
          <w:szCs w:val="21"/>
        </w:rPr>
      </w:pPr>
      <w:r>
        <w:rPr>
          <w:rFonts w:hint="eastAsia" w:ascii="宋体" w:hAnsi="宋体" w:cs="宋体"/>
          <w:szCs w:val="21"/>
        </w:rPr>
        <w:t>三、严格依法开展生产经营活动，主动接受行业监管，自愿接受依法开展的日常检查；违法失信经营后将自愿接受约束和惩戒，并依法承担相应责任；</w:t>
      </w:r>
    </w:p>
    <w:p w14:paraId="61098C94">
      <w:pPr>
        <w:spacing w:line="360" w:lineRule="auto"/>
        <w:ind w:firstLine="420"/>
        <w:rPr>
          <w:rFonts w:hint="eastAsia" w:ascii="宋体" w:hAnsi="宋体" w:cs="宋体"/>
          <w:szCs w:val="21"/>
        </w:rPr>
      </w:pPr>
      <w:r>
        <w:rPr>
          <w:rFonts w:hint="eastAsia" w:ascii="宋体" w:hAnsi="宋体" w:cs="宋体"/>
          <w:szCs w:val="21"/>
        </w:rPr>
        <w:t>四、自觉接受行政管理部门、行业组织、社会公众、新闻舆论的监督；</w:t>
      </w:r>
    </w:p>
    <w:p w14:paraId="4662EE65">
      <w:pPr>
        <w:spacing w:line="360" w:lineRule="auto"/>
        <w:ind w:firstLine="420"/>
        <w:rPr>
          <w:rFonts w:hint="eastAsia" w:ascii="宋体" w:hAnsi="宋体" w:cs="宋体"/>
          <w:szCs w:val="21"/>
        </w:rPr>
      </w:pPr>
      <w:r>
        <w:rPr>
          <w:rFonts w:hint="eastAsia" w:ascii="宋体" w:hAnsi="宋体" w:cs="宋体"/>
          <w:szCs w:val="21"/>
        </w:rPr>
        <w:t>五、自觉做到自我约束、自我管理，不制假售假、商标侵权、虚假宣传、违约毁约、恶意逃债、偷税漏税、垄断和不正当竞争，维护经营者、消费者的合法权益；</w:t>
      </w:r>
    </w:p>
    <w:p w14:paraId="5C60705B">
      <w:pPr>
        <w:spacing w:line="360" w:lineRule="auto"/>
        <w:ind w:firstLine="420"/>
        <w:rPr>
          <w:rFonts w:hint="eastAsia" w:ascii="宋体" w:hAnsi="宋体" w:cs="宋体"/>
          <w:szCs w:val="21"/>
        </w:rPr>
      </w:pPr>
      <w:r>
        <w:rPr>
          <w:rFonts w:hint="eastAsia" w:ascii="宋体" w:hAnsi="宋体" w:cs="宋体"/>
          <w:szCs w:val="21"/>
        </w:rPr>
        <w:t>六、提出政府采购质疑和投诉坚持依法依规、诚实信用原则，在全国范围12个月内没有三次以上查无实据的政府采购投诉；</w:t>
      </w:r>
    </w:p>
    <w:p w14:paraId="7AC340D3">
      <w:pPr>
        <w:spacing w:line="360" w:lineRule="auto"/>
        <w:ind w:firstLine="420"/>
        <w:rPr>
          <w:rFonts w:hint="eastAsia" w:ascii="宋体" w:hAnsi="宋体" w:cs="宋体"/>
          <w:szCs w:val="21"/>
        </w:rPr>
      </w:pPr>
      <w:r>
        <w:rPr>
          <w:rFonts w:hint="eastAsia" w:ascii="宋体" w:hAnsi="宋体" w:cs="宋体"/>
          <w:szCs w:val="21"/>
        </w:rPr>
        <w:t>七、严格遵守信用信息公示相关规定，向社会公示信用信息；</w:t>
      </w:r>
    </w:p>
    <w:p w14:paraId="2F9AE2D4">
      <w:pPr>
        <w:spacing w:line="360" w:lineRule="auto"/>
        <w:ind w:firstLine="420"/>
        <w:rPr>
          <w:rFonts w:hint="eastAsia" w:ascii="宋体" w:hAnsi="宋体" w:cs="宋体"/>
          <w:szCs w:val="21"/>
        </w:rPr>
      </w:pPr>
      <w:r>
        <w:rPr>
          <w:rFonts w:hint="eastAsia" w:ascii="宋体" w:hAnsi="宋体" w:cs="宋体"/>
          <w:szCs w:val="21"/>
        </w:rPr>
        <w:t>八、在“信用中国”和“中国政府采购网”网站中无违法违规、较重或严重失信记录；</w:t>
      </w:r>
    </w:p>
    <w:p w14:paraId="63FCA260">
      <w:pPr>
        <w:spacing w:line="360" w:lineRule="auto"/>
        <w:ind w:firstLine="420"/>
        <w:rPr>
          <w:rFonts w:hint="eastAsia" w:ascii="宋体" w:hAnsi="宋体" w:cs="宋体"/>
          <w:szCs w:val="21"/>
        </w:rPr>
      </w:pPr>
      <w:r>
        <w:rPr>
          <w:rFonts w:hint="eastAsia" w:ascii="宋体" w:hAnsi="宋体" w:cs="宋体"/>
          <w:szCs w:val="21"/>
        </w:rPr>
        <w:t>九、如违反承诺，自愿接受管理部门依法给予的行政处罚，同意将违反承诺的行为作为不良记录记入信用档案，依法依规进行信息公示，并承担所产生的一切法律责任和经济损失。</w:t>
      </w:r>
    </w:p>
    <w:p w14:paraId="6DEE2207">
      <w:pPr>
        <w:spacing w:line="360" w:lineRule="auto"/>
        <w:ind w:firstLine="420"/>
        <w:rPr>
          <w:rFonts w:hint="eastAsia" w:ascii="宋体" w:hAnsi="宋体" w:cs="宋体"/>
          <w:szCs w:val="21"/>
        </w:rPr>
      </w:pPr>
      <w:r>
        <w:rPr>
          <w:rFonts w:hint="eastAsia" w:ascii="宋体" w:hAnsi="宋体" w:cs="宋体"/>
          <w:szCs w:val="21"/>
        </w:rPr>
        <w:t>十、本承诺书自签订之日起生效。</w:t>
      </w:r>
    </w:p>
    <w:p w14:paraId="639C489F">
      <w:pPr>
        <w:spacing w:line="360" w:lineRule="auto"/>
        <w:ind w:firstLine="420"/>
        <w:rPr>
          <w:rFonts w:hint="eastAsia" w:ascii="宋体" w:hAnsi="宋体" w:cs="宋体"/>
          <w:szCs w:val="21"/>
        </w:rPr>
      </w:pPr>
      <w:r>
        <w:rPr>
          <w:rFonts w:hint="eastAsia" w:ascii="宋体" w:hAnsi="宋体" w:cs="宋体"/>
          <w:szCs w:val="21"/>
        </w:rPr>
        <w:t> （注：法定代表人或负责人、主体名称发生变更的应当重新作出承诺。）</w:t>
      </w:r>
    </w:p>
    <w:p w14:paraId="7D9AF31E">
      <w:pPr>
        <w:spacing w:line="360" w:lineRule="auto"/>
        <w:rPr>
          <w:rFonts w:hint="eastAsia" w:ascii="宋体" w:hAnsi="宋体" w:cs="宋体"/>
          <w:bCs/>
          <w:szCs w:val="21"/>
        </w:rPr>
      </w:pPr>
      <w:r>
        <w:rPr>
          <w:rFonts w:hint="eastAsia" w:ascii="宋体" w:hAnsi="宋体" w:cs="宋体"/>
          <w:szCs w:val="21"/>
        </w:rPr>
        <w:t xml:space="preserve">　　　　　　　　　　      </w:t>
      </w:r>
      <w:r>
        <w:rPr>
          <w:rFonts w:hint="eastAsia" w:cs="宋体"/>
          <w:szCs w:val="32"/>
        </w:rPr>
        <w:t xml:space="preserve">     </w:t>
      </w:r>
      <w:r>
        <w:rPr>
          <w:rFonts w:hint="eastAsia"/>
          <w:bCs/>
          <w:szCs w:val="21"/>
        </w:rPr>
        <w:t>投标人名称（公章）：</w:t>
      </w:r>
    </w:p>
    <w:p w14:paraId="3C6DD3AA">
      <w:pPr>
        <w:spacing w:line="360" w:lineRule="auto"/>
        <w:rPr>
          <w:rFonts w:hint="eastAsia" w:ascii="宋体" w:hAnsi="宋体" w:cs="宋体"/>
          <w:bCs/>
          <w:szCs w:val="21"/>
        </w:rPr>
      </w:pPr>
      <w:r>
        <w:rPr>
          <w:rFonts w:hint="eastAsia" w:ascii="宋体" w:hAnsi="宋体" w:cs="宋体"/>
          <w:bCs/>
          <w:szCs w:val="21"/>
        </w:rPr>
        <w:t xml:space="preserve">                               法定代表人（签字）：</w:t>
      </w:r>
    </w:p>
    <w:p w14:paraId="5C5DEDB5">
      <w:pPr>
        <w:spacing w:line="360" w:lineRule="auto"/>
        <w:rPr>
          <w:rFonts w:hint="eastAsia" w:ascii="宋体" w:hAnsi="宋体" w:cs="宋体"/>
          <w:bCs/>
          <w:szCs w:val="21"/>
        </w:rPr>
      </w:pPr>
      <w:r>
        <w:rPr>
          <w:rFonts w:hint="eastAsia" w:ascii="宋体" w:hAnsi="宋体" w:cs="宋体"/>
          <w:bCs/>
          <w:szCs w:val="21"/>
        </w:rPr>
        <w:t xml:space="preserve">                               日期：  年  月  日</w:t>
      </w:r>
    </w:p>
    <w:p w14:paraId="1A752780">
      <w:pPr>
        <w:spacing w:line="360" w:lineRule="auto"/>
        <w:jc w:val="right"/>
        <w:rPr>
          <w:rFonts w:cs="宋体"/>
          <w:szCs w:val="32"/>
        </w:rPr>
      </w:pPr>
    </w:p>
    <w:p w14:paraId="1B791ED0">
      <w:pPr>
        <w:spacing w:line="360" w:lineRule="auto"/>
        <w:jc w:val="center"/>
        <w:rPr>
          <w:rFonts w:hint="eastAsia" w:ascii="宋体" w:hAnsi="宋体" w:cs="宋体"/>
          <w:szCs w:val="21"/>
        </w:rPr>
      </w:pPr>
    </w:p>
    <w:p w14:paraId="109FC5B7">
      <w:pPr>
        <w:jc w:val="center"/>
        <w:rPr>
          <w:rFonts w:hint="eastAsia" w:ascii="宋体" w:hAnsi="宋体" w:cs="宋体"/>
          <w:sz w:val="32"/>
        </w:rPr>
      </w:pPr>
      <w:bookmarkStart w:id="121" w:name="_Toc25382"/>
      <w:bookmarkStart w:id="122" w:name="_Toc19910"/>
      <w:r>
        <w:rPr>
          <w:rFonts w:hint="eastAsia" w:ascii="宋体" w:hAnsi="宋体" w:cs="宋体"/>
          <w:b/>
          <w:bCs/>
          <w:sz w:val="32"/>
          <w:szCs w:val="44"/>
        </w:rPr>
        <w:t>二、开标一览表</w:t>
      </w:r>
      <w:bookmarkEnd w:id="121"/>
      <w:bookmarkEnd w:id="122"/>
    </w:p>
    <w:p w14:paraId="5C70C124">
      <w:pPr>
        <w:spacing w:line="360" w:lineRule="auto"/>
        <w:ind w:firstLine="480"/>
        <w:rPr>
          <w:rFonts w:hint="eastAsia" w:ascii="宋体" w:hAnsi="宋体" w:cs="宋体"/>
          <w:szCs w:val="21"/>
        </w:rPr>
      </w:pPr>
      <w:r>
        <w:rPr>
          <w:rFonts w:hint="eastAsia" w:ascii="宋体" w:hAnsi="宋体" w:cs="宋体"/>
          <w:szCs w:val="21"/>
        </w:rPr>
        <w:t>项目名称：</w:t>
      </w:r>
    </w:p>
    <w:p w14:paraId="6CAE5CBD">
      <w:pPr>
        <w:spacing w:line="360" w:lineRule="auto"/>
        <w:ind w:firstLine="480"/>
        <w:rPr>
          <w:rFonts w:hint="eastAsia" w:ascii="宋体" w:hAnsi="宋体" w:cs="宋体"/>
          <w:szCs w:val="21"/>
        </w:rPr>
      </w:pPr>
      <w:r>
        <w:rPr>
          <w:rFonts w:hint="eastAsia" w:ascii="宋体" w:hAnsi="宋体" w:cs="宋体"/>
          <w:szCs w:val="21"/>
        </w:rPr>
        <w:t>项目编号：</w:t>
      </w:r>
    </w:p>
    <w:p w14:paraId="7828B69E">
      <w:pPr>
        <w:ind w:firstLine="480"/>
        <w:rPr>
          <w:rFonts w:hint="eastAsia" w:ascii="宋体" w:hAnsi="宋体" w:cs="宋体"/>
          <w:szCs w:val="21"/>
        </w:rPr>
      </w:pPr>
    </w:p>
    <w:tbl>
      <w:tblPr>
        <w:tblStyle w:val="36"/>
        <w:tblW w:w="4771" w:type="pct"/>
        <w:tblInd w:w="18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464"/>
        <w:gridCol w:w="5452"/>
      </w:tblGrid>
      <w:tr w14:paraId="33BB71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98" w:hRule="atLeast"/>
        </w:trPr>
        <w:tc>
          <w:tcPr>
            <w:tcW w:w="1556" w:type="pct"/>
            <w:vAlign w:val="center"/>
          </w:tcPr>
          <w:p w14:paraId="4CF2C442">
            <w:pPr>
              <w:pStyle w:val="340"/>
              <w:spacing w:line="300" w:lineRule="auto"/>
              <w:rPr>
                <w:rFonts w:hint="eastAsia" w:ascii="宋体" w:hAnsi="宋体" w:eastAsia="宋体" w:cs="宋体"/>
                <w:sz w:val="21"/>
                <w:szCs w:val="21"/>
              </w:rPr>
            </w:pPr>
            <w:r>
              <w:rPr>
                <w:rFonts w:hint="eastAsia" w:ascii="宋体" w:hAnsi="宋体" w:eastAsia="宋体" w:cs="宋体"/>
                <w:sz w:val="21"/>
                <w:szCs w:val="21"/>
              </w:rPr>
              <w:t xml:space="preserve">  投标货物及服务名称</w:t>
            </w:r>
          </w:p>
        </w:tc>
        <w:tc>
          <w:tcPr>
            <w:tcW w:w="3443" w:type="pct"/>
            <w:vAlign w:val="center"/>
          </w:tcPr>
          <w:p w14:paraId="185FF15E">
            <w:pPr>
              <w:jc w:val="center"/>
              <w:rPr>
                <w:rFonts w:hint="eastAsia" w:ascii="宋体" w:hAnsi="宋体" w:cs="宋体"/>
                <w:szCs w:val="21"/>
              </w:rPr>
            </w:pPr>
            <w:r>
              <w:rPr>
                <w:rFonts w:hint="eastAsia" w:ascii="宋体" w:hAnsi="宋体" w:cs="宋体"/>
                <w:szCs w:val="21"/>
              </w:rPr>
              <w:t>投标总报价</w:t>
            </w:r>
          </w:p>
        </w:tc>
      </w:tr>
      <w:tr w14:paraId="4CC3F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697" w:hRule="atLeast"/>
        </w:trPr>
        <w:tc>
          <w:tcPr>
            <w:tcW w:w="1556" w:type="pct"/>
            <w:vAlign w:val="center"/>
          </w:tcPr>
          <w:p w14:paraId="38F93BA1">
            <w:pPr>
              <w:pStyle w:val="340"/>
              <w:spacing w:line="300" w:lineRule="auto"/>
              <w:jc w:val="center"/>
              <w:rPr>
                <w:rFonts w:hint="eastAsia" w:ascii="宋体" w:hAnsi="宋体" w:eastAsia="宋体" w:cs="宋体"/>
                <w:sz w:val="21"/>
                <w:szCs w:val="21"/>
              </w:rPr>
            </w:pPr>
          </w:p>
        </w:tc>
        <w:tc>
          <w:tcPr>
            <w:tcW w:w="3443" w:type="pct"/>
            <w:vAlign w:val="center"/>
          </w:tcPr>
          <w:p w14:paraId="4C715B77">
            <w:pPr>
              <w:pStyle w:val="311"/>
              <w:spacing w:before="0" w:after="0" w:line="500" w:lineRule="exact"/>
              <w:ind w:firstLine="0"/>
              <w:rPr>
                <w:rFonts w:hint="eastAsia" w:ascii="宋体" w:hAnsi="宋体" w:cs="宋体"/>
                <w:sz w:val="21"/>
                <w:szCs w:val="21"/>
              </w:rPr>
            </w:pPr>
            <w:r>
              <w:rPr>
                <w:rFonts w:hint="eastAsia" w:ascii="宋体" w:hAnsi="宋体" w:cs="宋体"/>
                <w:sz w:val="21"/>
                <w:szCs w:val="21"/>
              </w:rPr>
              <w:t>大写：</w:t>
            </w:r>
          </w:p>
          <w:p w14:paraId="33CEC51D">
            <w:pPr>
              <w:pStyle w:val="311"/>
              <w:spacing w:before="0" w:after="0" w:line="500" w:lineRule="exact"/>
              <w:ind w:firstLine="0"/>
              <w:rPr>
                <w:rFonts w:hint="eastAsia" w:ascii="宋体" w:hAnsi="宋体" w:cs="宋体"/>
                <w:sz w:val="21"/>
                <w:szCs w:val="21"/>
              </w:rPr>
            </w:pPr>
            <w:r>
              <w:rPr>
                <w:rFonts w:hint="eastAsia" w:ascii="宋体" w:hAnsi="宋体" w:cs="宋体"/>
                <w:sz w:val="21"/>
                <w:szCs w:val="21"/>
              </w:rPr>
              <w:t>小写：                             （人民币：元）</w:t>
            </w:r>
          </w:p>
          <w:p w14:paraId="1E6CBE0F">
            <w:pPr>
              <w:pStyle w:val="311"/>
              <w:spacing w:before="0" w:after="0" w:line="500" w:lineRule="exact"/>
              <w:ind w:firstLine="0"/>
              <w:rPr>
                <w:rFonts w:hint="eastAsia" w:ascii="宋体" w:hAnsi="宋体" w:cs="宋体"/>
                <w:sz w:val="21"/>
                <w:szCs w:val="21"/>
              </w:rPr>
            </w:pPr>
          </w:p>
        </w:tc>
      </w:tr>
      <w:tr w14:paraId="7F1FB4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697" w:hRule="atLeast"/>
        </w:trPr>
        <w:tc>
          <w:tcPr>
            <w:tcW w:w="1556" w:type="pct"/>
            <w:vAlign w:val="center"/>
          </w:tcPr>
          <w:p w14:paraId="14907504">
            <w:pPr>
              <w:pStyle w:val="3"/>
              <w:spacing w:line="360" w:lineRule="auto"/>
              <w:jc w:val="center"/>
              <w:rPr>
                <w:rFonts w:hint="eastAsia" w:ascii="宋体" w:hAnsi="宋体" w:eastAsia="宋体" w:cs="宋体"/>
                <w:sz w:val="21"/>
                <w:szCs w:val="21"/>
              </w:rPr>
            </w:pPr>
          </w:p>
        </w:tc>
        <w:tc>
          <w:tcPr>
            <w:tcW w:w="3443" w:type="pct"/>
            <w:vAlign w:val="center"/>
          </w:tcPr>
          <w:p w14:paraId="04E5CE15">
            <w:pPr>
              <w:pStyle w:val="311"/>
              <w:spacing w:before="0" w:after="0" w:line="500" w:lineRule="exact"/>
              <w:ind w:firstLine="0"/>
              <w:rPr>
                <w:rFonts w:hint="eastAsia" w:ascii="宋体" w:hAnsi="宋体" w:cs="宋体"/>
                <w:sz w:val="21"/>
                <w:szCs w:val="21"/>
              </w:rPr>
            </w:pPr>
          </w:p>
        </w:tc>
      </w:tr>
    </w:tbl>
    <w:p w14:paraId="7E6AC685">
      <w:pPr>
        <w:rPr>
          <w:rFonts w:hint="eastAsia" w:ascii="宋体" w:hAnsi="宋体" w:cs="宋体"/>
          <w:szCs w:val="21"/>
        </w:rPr>
      </w:pPr>
    </w:p>
    <w:p w14:paraId="614ED1BA">
      <w:pPr>
        <w:spacing w:line="360" w:lineRule="auto"/>
        <w:ind w:firstLine="420" w:firstLineChars="200"/>
        <w:rPr>
          <w:rFonts w:hint="eastAsia" w:ascii="宋体" w:hAnsi="宋体" w:cs="宋体"/>
          <w:szCs w:val="21"/>
        </w:rPr>
      </w:pPr>
      <w:r>
        <w:rPr>
          <w:rFonts w:hint="eastAsia" w:ascii="宋体" w:hAnsi="宋体" w:cs="宋体"/>
          <w:szCs w:val="21"/>
        </w:rPr>
        <w:t>投标人：               （投标人名称、盖单位章）</w:t>
      </w:r>
    </w:p>
    <w:p w14:paraId="27D0BEB0">
      <w:pPr>
        <w:spacing w:line="360" w:lineRule="auto"/>
        <w:ind w:firstLine="420" w:firstLineChars="200"/>
        <w:rPr>
          <w:rFonts w:hint="eastAsia" w:ascii="宋体" w:hAnsi="宋体" w:cs="宋体"/>
          <w:szCs w:val="21"/>
        </w:rPr>
      </w:pPr>
      <w:r>
        <w:rPr>
          <w:rFonts w:hint="eastAsia" w:ascii="宋体" w:hAnsi="宋体" w:cs="宋体"/>
          <w:szCs w:val="21"/>
        </w:rPr>
        <w:t>法定代表人或委托代理人：         （签字或盖章）</w:t>
      </w:r>
    </w:p>
    <w:p w14:paraId="0E3031EB">
      <w:pPr>
        <w:spacing w:line="360" w:lineRule="auto"/>
        <w:ind w:firstLine="420" w:firstLineChars="200"/>
        <w:rPr>
          <w:rFonts w:hint="eastAsia" w:ascii="宋体" w:hAnsi="宋体" w:cs="宋体"/>
          <w:szCs w:val="21"/>
        </w:rPr>
      </w:pPr>
      <w:r>
        <w:rPr>
          <w:rFonts w:hint="eastAsia" w:ascii="宋体" w:hAnsi="宋体" w:cs="宋体"/>
          <w:szCs w:val="21"/>
        </w:rPr>
        <w:t>日期：       年    月    日</w:t>
      </w:r>
    </w:p>
    <w:p w14:paraId="69F7BEE3">
      <w:pPr>
        <w:spacing w:line="360" w:lineRule="auto"/>
        <w:ind w:firstLine="420" w:firstLineChars="200"/>
        <w:rPr>
          <w:rFonts w:hint="eastAsia" w:ascii="宋体" w:hAnsi="宋体" w:cs="宋体"/>
          <w:szCs w:val="21"/>
        </w:rPr>
      </w:pPr>
      <w:r>
        <w:rPr>
          <w:rFonts w:hint="eastAsia" w:ascii="宋体" w:hAnsi="宋体" w:cs="宋体"/>
          <w:szCs w:val="21"/>
        </w:rPr>
        <w:t>填写说明：</w:t>
      </w:r>
    </w:p>
    <w:p w14:paraId="60630558">
      <w:pPr>
        <w:numPr>
          <w:ilvl w:val="0"/>
          <w:numId w:val="18"/>
        </w:numPr>
        <w:spacing w:line="360" w:lineRule="auto"/>
        <w:ind w:firstLine="480"/>
        <w:rPr>
          <w:rFonts w:hint="eastAsia" w:ascii="宋体" w:hAnsi="宋体" w:cs="宋体"/>
          <w:bCs/>
          <w:szCs w:val="21"/>
        </w:rPr>
      </w:pPr>
      <w:r>
        <w:rPr>
          <w:rFonts w:hint="eastAsia" w:ascii="宋体" w:hAnsi="宋体" w:cs="宋体"/>
          <w:bCs/>
          <w:szCs w:val="21"/>
        </w:rPr>
        <w:t>开标一览表中的价格应与投标文件中投标配置与分项报价表中的价格一致，如不一致，不作为无效投标处理，但评标时按开标一览表中价格为准。</w:t>
      </w:r>
    </w:p>
    <w:p w14:paraId="51D0FCF9">
      <w:pPr>
        <w:pStyle w:val="6"/>
        <w:rPr>
          <w:rFonts w:hint="eastAsia" w:ascii="宋体" w:hAnsi="宋体" w:eastAsia="宋体" w:cs="宋体"/>
          <w:b/>
          <w:i/>
          <w:iCs/>
          <w:sz w:val="21"/>
          <w:szCs w:val="21"/>
          <w:u w:val="single"/>
        </w:rPr>
      </w:pPr>
    </w:p>
    <w:p w14:paraId="5985CDE6">
      <w:pPr>
        <w:rPr>
          <w:rFonts w:hint="eastAsia" w:ascii="宋体" w:hAnsi="宋体" w:cs="宋体"/>
          <w:b/>
          <w:i/>
          <w:iCs/>
          <w:szCs w:val="21"/>
          <w:u w:val="single"/>
        </w:rPr>
      </w:pPr>
    </w:p>
    <w:p w14:paraId="7D38CA8A">
      <w:pPr>
        <w:rPr>
          <w:rFonts w:hint="eastAsia" w:ascii="宋体" w:hAnsi="宋体" w:cs="宋体"/>
          <w:b/>
          <w:i/>
          <w:iCs/>
          <w:szCs w:val="21"/>
          <w:u w:val="single"/>
        </w:rPr>
      </w:pPr>
    </w:p>
    <w:p w14:paraId="06BF161C">
      <w:pPr>
        <w:rPr>
          <w:rFonts w:hint="eastAsia" w:ascii="宋体" w:hAnsi="宋体" w:cs="宋体"/>
          <w:b/>
          <w:i/>
          <w:iCs/>
          <w:szCs w:val="21"/>
          <w:u w:val="single"/>
        </w:rPr>
      </w:pPr>
    </w:p>
    <w:p w14:paraId="6BBFDAF4">
      <w:pPr>
        <w:rPr>
          <w:rFonts w:hint="eastAsia" w:ascii="宋体" w:hAnsi="宋体" w:cs="宋体"/>
          <w:b/>
          <w:i/>
          <w:iCs/>
          <w:szCs w:val="21"/>
          <w:u w:val="single"/>
        </w:rPr>
      </w:pPr>
    </w:p>
    <w:p w14:paraId="3A3FB7FB">
      <w:pPr>
        <w:rPr>
          <w:rFonts w:hint="eastAsia" w:ascii="宋体" w:hAnsi="宋体" w:cs="宋体"/>
          <w:b/>
          <w:i/>
          <w:iCs/>
          <w:szCs w:val="21"/>
          <w:u w:val="single"/>
        </w:rPr>
      </w:pPr>
    </w:p>
    <w:p w14:paraId="3981DD0B">
      <w:pPr>
        <w:jc w:val="center"/>
        <w:rPr>
          <w:rFonts w:hint="eastAsia" w:ascii="宋体" w:hAnsi="宋体" w:cs="宋体"/>
          <w:b/>
          <w:bCs/>
          <w:sz w:val="32"/>
          <w:szCs w:val="44"/>
        </w:rPr>
      </w:pPr>
    </w:p>
    <w:p w14:paraId="4609C610">
      <w:pPr>
        <w:jc w:val="center"/>
        <w:rPr>
          <w:rFonts w:hint="eastAsia" w:ascii="宋体" w:hAnsi="宋体" w:cs="宋体"/>
          <w:b/>
          <w:bCs/>
          <w:sz w:val="32"/>
          <w:szCs w:val="44"/>
        </w:rPr>
      </w:pPr>
    </w:p>
    <w:p w14:paraId="00003034">
      <w:pPr>
        <w:jc w:val="center"/>
        <w:rPr>
          <w:rFonts w:hint="eastAsia" w:ascii="宋体" w:hAnsi="宋体" w:cs="宋体"/>
          <w:b/>
          <w:bCs/>
          <w:sz w:val="32"/>
          <w:szCs w:val="44"/>
        </w:rPr>
      </w:pPr>
    </w:p>
    <w:p w14:paraId="2245ECF2">
      <w:pPr>
        <w:jc w:val="center"/>
        <w:rPr>
          <w:rFonts w:cs="宋体"/>
          <w:szCs w:val="21"/>
        </w:rPr>
      </w:pPr>
      <w:r>
        <w:rPr>
          <w:rFonts w:hint="eastAsia" w:ascii="宋体" w:hAnsi="宋体" w:cs="宋体"/>
          <w:b/>
          <w:bCs/>
          <w:sz w:val="32"/>
          <w:szCs w:val="44"/>
        </w:rPr>
        <w:t>三、投标产品配置及分项报价表</w:t>
      </w:r>
    </w:p>
    <w:p w14:paraId="6F9FC047">
      <w:pPr>
        <w:spacing w:line="360" w:lineRule="auto"/>
        <w:rPr>
          <w:rFonts w:cs="宋体"/>
          <w:szCs w:val="21"/>
        </w:rPr>
      </w:pPr>
      <w:r>
        <w:rPr>
          <w:rFonts w:hint="eastAsia" w:cs="宋体"/>
          <w:szCs w:val="21"/>
        </w:rPr>
        <w:t>投标人名称（公章）：</w:t>
      </w:r>
    </w:p>
    <w:p w14:paraId="5EA04C8B">
      <w:pPr>
        <w:spacing w:line="360" w:lineRule="auto"/>
        <w:rPr>
          <w:rFonts w:hint="eastAsia" w:eastAsia="宋体" w:cs="宋体"/>
          <w:szCs w:val="21"/>
          <w:lang w:eastAsia="zh-CN"/>
        </w:rPr>
      </w:pPr>
      <w:r>
        <w:rPr>
          <w:rFonts w:hint="eastAsia" w:cs="宋体"/>
          <w:szCs w:val="21"/>
        </w:rPr>
        <w:t>项目名称：</w:t>
      </w:r>
      <w:r>
        <w:rPr>
          <w:rFonts w:hint="eastAsia" w:cs="宋体"/>
          <w:szCs w:val="21"/>
          <w:lang w:eastAsia="zh-CN"/>
        </w:rPr>
        <w:t>扬州大学附属医院西区医院医气系统采购及改造项目（二次）</w:t>
      </w:r>
    </w:p>
    <w:p w14:paraId="46A547F0">
      <w:pPr>
        <w:spacing w:line="360" w:lineRule="auto"/>
        <w:rPr>
          <w:szCs w:val="21"/>
        </w:rPr>
      </w:pPr>
      <w:r>
        <w:rPr>
          <w:rFonts w:hint="eastAsia" w:cs="宋体"/>
          <w:szCs w:val="21"/>
        </w:rPr>
        <w:t>项目编号：</w:t>
      </w:r>
      <w:r>
        <w:rPr>
          <w:rFonts w:hint="eastAsia" w:cs="宋体"/>
          <w:szCs w:val="21"/>
          <w:lang w:eastAsia="zh-CN"/>
        </w:rPr>
        <w:t>YDFYSW-20260901-1号</w:t>
      </w:r>
      <w:r>
        <w:rPr>
          <w:rFonts w:hint="eastAsia" w:cs="宋体"/>
          <w:szCs w:val="21"/>
        </w:rPr>
        <w:t xml:space="preserve"> </w:t>
      </w:r>
      <w:r>
        <w:rPr>
          <w:rFonts w:hint="eastAsia"/>
          <w:szCs w:val="21"/>
        </w:rPr>
        <w:t xml:space="preserve"> </w:t>
      </w:r>
    </w:p>
    <w:tbl>
      <w:tblPr>
        <w:tblStyle w:val="36"/>
        <w:tblW w:w="95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3"/>
        <w:gridCol w:w="1958"/>
        <w:gridCol w:w="1853"/>
        <w:gridCol w:w="2781"/>
      </w:tblGrid>
      <w:tr w14:paraId="76A49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93" w:type="dxa"/>
            <w:vAlign w:val="center"/>
          </w:tcPr>
          <w:p w14:paraId="4DC59B0D">
            <w:pPr>
              <w:adjustRightInd w:val="0"/>
              <w:snapToGrid w:val="0"/>
              <w:spacing w:after="200" w:line="220" w:lineRule="atLeast"/>
              <w:jc w:val="center"/>
              <w:rPr>
                <w:rFonts w:ascii="宋体" w:cs="宋体"/>
                <w:szCs w:val="21"/>
              </w:rPr>
            </w:pPr>
            <w:r>
              <w:rPr>
                <w:rFonts w:hint="eastAsia" w:ascii="宋体" w:hAnsi="宋体" w:cs="宋体"/>
                <w:szCs w:val="21"/>
              </w:rPr>
              <w:t>货物名称及规格、型号</w:t>
            </w:r>
          </w:p>
        </w:tc>
        <w:tc>
          <w:tcPr>
            <w:tcW w:w="1958" w:type="dxa"/>
            <w:vAlign w:val="center"/>
          </w:tcPr>
          <w:p w14:paraId="30DA2BE6">
            <w:pPr>
              <w:adjustRightInd w:val="0"/>
              <w:snapToGrid w:val="0"/>
              <w:spacing w:after="200" w:line="220" w:lineRule="atLeast"/>
              <w:jc w:val="center"/>
              <w:rPr>
                <w:rFonts w:ascii="宋体" w:cs="宋体"/>
                <w:szCs w:val="21"/>
              </w:rPr>
            </w:pPr>
            <w:r>
              <w:rPr>
                <w:rFonts w:hint="eastAsia" w:ascii="宋体" w:hAnsi="宋体" w:cs="宋体"/>
                <w:szCs w:val="21"/>
              </w:rPr>
              <w:t>数量</w:t>
            </w:r>
          </w:p>
        </w:tc>
        <w:tc>
          <w:tcPr>
            <w:tcW w:w="1853" w:type="dxa"/>
            <w:vAlign w:val="center"/>
          </w:tcPr>
          <w:p w14:paraId="3CD2D8CB">
            <w:pPr>
              <w:adjustRightInd w:val="0"/>
              <w:snapToGrid w:val="0"/>
              <w:spacing w:after="200" w:line="220" w:lineRule="atLeast"/>
              <w:jc w:val="center"/>
              <w:rPr>
                <w:rFonts w:ascii="宋体" w:cs="宋体"/>
                <w:szCs w:val="21"/>
              </w:rPr>
            </w:pPr>
            <w:r>
              <w:rPr>
                <w:rFonts w:hint="eastAsia" w:ascii="宋体" w:hAnsi="宋体" w:cs="宋体"/>
                <w:szCs w:val="21"/>
              </w:rPr>
              <w:t>单价</w:t>
            </w:r>
          </w:p>
        </w:tc>
        <w:tc>
          <w:tcPr>
            <w:tcW w:w="2781" w:type="dxa"/>
            <w:vAlign w:val="center"/>
          </w:tcPr>
          <w:p w14:paraId="7FD3AD19">
            <w:pPr>
              <w:adjustRightInd w:val="0"/>
              <w:snapToGrid w:val="0"/>
              <w:spacing w:after="200" w:line="220" w:lineRule="atLeast"/>
              <w:jc w:val="center"/>
              <w:rPr>
                <w:rFonts w:ascii="宋体" w:cs="宋体"/>
                <w:szCs w:val="21"/>
              </w:rPr>
            </w:pPr>
            <w:r>
              <w:rPr>
                <w:rFonts w:hint="eastAsia" w:ascii="宋体" w:hAnsi="宋体" w:cs="宋体"/>
                <w:szCs w:val="21"/>
              </w:rPr>
              <w:t>总价</w:t>
            </w:r>
          </w:p>
        </w:tc>
      </w:tr>
      <w:tr w14:paraId="03314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jc w:val="center"/>
        </w:trPr>
        <w:tc>
          <w:tcPr>
            <w:tcW w:w="2993" w:type="dxa"/>
            <w:vAlign w:val="center"/>
          </w:tcPr>
          <w:p w14:paraId="227325DA">
            <w:pPr>
              <w:adjustRightInd w:val="0"/>
              <w:snapToGrid w:val="0"/>
              <w:spacing w:after="200" w:line="220" w:lineRule="atLeast"/>
              <w:jc w:val="center"/>
              <w:rPr>
                <w:rFonts w:ascii="宋体" w:cs="宋体"/>
                <w:sz w:val="24"/>
                <w:szCs w:val="24"/>
              </w:rPr>
            </w:pPr>
          </w:p>
        </w:tc>
        <w:tc>
          <w:tcPr>
            <w:tcW w:w="1958" w:type="dxa"/>
            <w:vAlign w:val="center"/>
          </w:tcPr>
          <w:p w14:paraId="367FF2BD">
            <w:pPr>
              <w:adjustRightInd w:val="0"/>
              <w:snapToGrid w:val="0"/>
              <w:spacing w:after="200" w:line="220" w:lineRule="atLeast"/>
              <w:jc w:val="center"/>
              <w:rPr>
                <w:rFonts w:ascii="宋体" w:cs="宋体"/>
                <w:sz w:val="24"/>
                <w:szCs w:val="24"/>
              </w:rPr>
            </w:pPr>
          </w:p>
        </w:tc>
        <w:tc>
          <w:tcPr>
            <w:tcW w:w="1853" w:type="dxa"/>
            <w:vAlign w:val="center"/>
          </w:tcPr>
          <w:p w14:paraId="65900EA1">
            <w:pPr>
              <w:adjustRightInd w:val="0"/>
              <w:snapToGrid w:val="0"/>
              <w:spacing w:after="200" w:line="220" w:lineRule="atLeast"/>
              <w:jc w:val="center"/>
              <w:rPr>
                <w:rFonts w:ascii="宋体" w:cs="宋体"/>
                <w:sz w:val="24"/>
                <w:szCs w:val="24"/>
              </w:rPr>
            </w:pPr>
          </w:p>
        </w:tc>
        <w:tc>
          <w:tcPr>
            <w:tcW w:w="2781" w:type="dxa"/>
            <w:vAlign w:val="center"/>
          </w:tcPr>
          <w:p w14:paraId="628E2BC0">
            <w:pPr>
              <w:adjustRightInd w:val="0"/>
              <w:snapToGrid w:val="0"/>
              <w:spacing w:after="200" w:line="220" w:lineRule="atLeast"/>
              <w:jc w:val="center"/>
              <w:rPr>
                <w:rFonts w:ascii="宋体" w:cs="宋体"/>
                <w:sz w:val="24"/>
                <w:szCs w:val="24"/>
              </w:rPr>
            </w:pPr>
          </w:p>
        </w:tc>
      </w:tr>
      <w:tr w14:paraId="5AB69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jc w:val="center"/>
        </w:trPr>
        <w:tc>
          <w:tcPr>
            <w:tcW w:w="2993" w:type="dxa"/>
            <w:vAlign w:val="center"/>
          </w:tcPr>
          <w:p w14:paraId="14C4C6D0">
            <w:pPr>
              <w:adjustRightInd w:val="0"/>
              <w:snapToGrid w:val="0"/>
              <w:spacing w:after="200" w:line="220" w:lineRule="atLeast"/>
              <w:jc w:val="center"/>
              <w:rPr>
                <w:rFonts w:ascii="宋体" w:cs="宋体"/>
                <w:sz w:val="24"/>
                <w:szCs w:val="24"/>
              </w:rPr>
            </w:pPr>
          </w:p>
        </w:tc>
        <w:tc>
          <w:tcPr>
            <w:tcW w:w="1958" w:type="dxa"/>
            <w:vAlign w:val="center"/>
          </w:tcPr>
          <w:p w14:paraId="5C0BD774">
            <w:pPr>
              <w:adjustRightInd w:val="0"/>
              <w:snapToGrid w:val="0"/>
              <w:spacing w:after="200" w:line="220" w:lineRule="atLeast"/>
              <w:jc w:val="center"/>
              <w:rPr>
                <w:rFonts w:ascii="宋体" w:cs="宋体"/>
                <w:sz w:val="24"/>
                <w:szCs w:val="24"/>
              </w:rPr>
            </w:pPr>
          </w:p>
        </w:tc>
        <w:tc>
          <w:tcPr>
            <w:tcW w:w="1853" w:type="dxa"/>
            <w:vAlign w:val="center"/>
          </w:tcPr>
          <w:p w14:paraId="4D556F55">
            <w:pPr>
              <w:adjustRightInd w:val="0"/>
              <w:snapToGrid w:val="0"/>
              <w:spacing w:after="200" w:line="220" w:lineRule="atLeast"/>
              <w:jc w:val="center"/>
              <w:rPr>
                <w:rFonts w:ascii="宋体" w:cs="宋体"/>
                <w:sz w:val="24"/>
                <w:szCs w:val="24"/>
              </w:rPr>
            </w:pPr>
          </w:p>
        </w:tc>
        <w:tc>
          <w:tcPr>
            <w:tcW w:w="2781" w:type="dxa"/>
            <w:vAlign w:val="center"/>
          </w:tcPr>
          <w:p w14:paraId="619CE2D3">
            <w:pPr>
              <w:adjustRightInd w:val="0"/>
              <w:snapToGrid w:val="0"/>
              <w:spacing w:after="200" w:line="220" w:lineRule="atLeast"/>
              <w:jc w:val="center"/>
              <w:rPr>
                <w:rFonts w:ascii="宋体" w:cs="宋体"/>
                <w:sz w:val="24"/>
                <w:szCs w:val="24"/>
              </w:rPr>
            </w:pPr>
          </w:p>
        </w:tc>
      </w:tr>
      <w:tr w14:paraId="032E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jc w:val="center"/>
        </w:trPr>
        <w:tc>
          <w:tcPr>
            <w:tcW w:w="2993" w:type="dxa"/>
            <w:vAlign w:val="center"/>
          </w:tcPr>
          <w:p w14:paraId="298ED867">
            <w:pPr>
              <w:adjustRightInd w:val="0"/>
              <w:snapToGrid w:val="0"/>
              <w:spacing w:after="200" w:line="220" w:lineRule="atLeast"/>
              <w:jc w:val="center"/>
              <w:rPr>
                <w:rFonts w:ascii="宋体" w:cs="宋体"/>
                <w:sz w:val="24"/>
                <w:szCs w:val="24"/>
              </w:rPr>
            </w:pPr>
          </w:p>
        </w:tc>
        <w:tc>
          <w:tcPr>
            <w:tcW w:w="1958" w:type="dxa"/>
            <w:vAlign w:val="center"/>
          </w:tcPr>
          <w:p w14:paraId="6810B98A">
            <w:pPr>
              <w:adjustRightInd w:val="0"/>
              <w:snapToGrid w:val="0"/>
              <w:spacing w:after="200" w:line="220" w:lineRule="atLeast"/>
              <w:jc w:val="center"/>
              <w:rPr>
                <w:rFonts w:ascii="宋体" w:cs="宋体"/>
                <w:sz w:val="24"/>
                <w:szCs w:val="24"/>
              </w:rPr>
            </w:pPr>
          </w:p>
        </w:tc>
        <w:tc>
          <w:tcPr>
            <w:tcW w:w="1853" w:type="dxa"/>
            <w:vAlign w:val="center"/>
          </w:tcPr>
          <w:p w14:paraId="64AABFF8">
            <w:pPr>
              <w:adjustRightInd w:val="0"/>
              <w:snapToGrid w:val="0"/>
              <w:spacing w:after="200" w:line="220" w:lineRule="atLeast"/>
              <w:jc w:val="center"/>
              <w:rPr>
                <w:rFonts w:ascii="宋体" w:cs="宋体"/>
                <w:sz w:val="24"/>
                <w:szCs w:val="24"/>
              </w:rPr>
            </w:pPr>
          </w:p>
        </w:tc>
        <w:tc>
          <w:tcPr>
            <w:tcW w:w="2781" w:type="dxa"/>
            <w:vAlign w:val="center"/>
          </w:tcPr>
          <w:p w14:paraId="059368F6">
            <w:pPr>
              <w:adjustRightInd w:val="0"/>
              <w:snapToGrid w:val="0"/>
              <w:spacing w:after="200" w:line="220" w:lineRule="atLeast"/>
              <w:jc w:val="center"/>
              <w:rPr>
                <w:rFonts w:ascii="宋体" w:cs="宋体"/>
                <w:sz w:val="24"/>
                <w:szCs w:val="24"/>
              </w:rPr>
            </w:pPr>
          </w:p>
        </w:tc>
      </w:tr>
      <w:tr w14:paraId="22A96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2993" w:type="dxa"/>
            <w:vAlign w:val="center"/>
          </w:tcPr>
          <w:p w14:paraId="224CFC94">
            <w:pPr>
              <w:adjustRightInd w:val="0"/>
              <w:snapToGrid w:val="0"/>
              <w:spacing w:after="200" w:line="220" w:lineRule="atLeast"/>
              <w:jc w:val="center"/>
              <w:rPr>
                <w:rFonts w:ascii="宋体" w:cs="宋体"/>
                <w:sz w:val="24"/>
                <w:szCs w:val="24"/>
              </w:rPr>
            </w:pPr>
          </w:p>
        </w:tc>
        <w:tc>
          <w:tcPr>
            <w:tcW w:w="1958" w:type="dxa"/>
            <w:vAlign w:val="center"/>
          </w:tcPr>
          <w:p w14:paraId="7E826BBE">
            <w:pPr>
              <w:adjustRightInd w:val="0"/>
              <w:snapToGrid w:val="0"/>
              <w:spacing w:after="200" w:line="220" w:lineRule="atLeast"/>
              <w:jc w:val="center"/>
              <w:rPr>
                <w:rFonts w:ascii="宋体" w:cs="宋体"/>
                <w:sz w:val="24"/>
                <w:szCs w:val="24"/>
              </w:rPr>
            </w:pPr>
          </w:p>
        </w:tc>
        <w:tc>
          <w:tcPr>
            <w:tcW w:w="1853" w:type="dxa"/>
            <w:vAlign w:val="center"/>
          </w:tcPr>
          <w:p w14:paraId="6C6C4EC8">
            <w:pPr>
              <w:adjustRightInd w:val="0"/>
              <w:snapToGrid w:val="0"/>
              <w:spacing w:after="200" w:line="220" w:lineRule="atLeast"/>
              <w:jc w:val="center"/>
              <w:rPr>
                <w:rFonts w:ascii="宋体" w:cs="宋体"/>
                <w:sz w:val="24"/>
                <w:szCs w:val="24"/>
              </w:rPr>
            </w:pPr>
          </w:p>
        </w:tc>
        <w:tc>
          <w:tcPr>
            <w:tcW w:w="2781" w:type="dxa"/>
            <w:vAlign w:val="center"/>
          </w:tcPr>
          <w:p w14:paraId="12174B1E">
            <w:pPr>
              <w:adjustRightInd w:val="0"/>
              <w:snapToGrid w:val="0"/>
              <w:spacing w:after="200" w:line="220" w:lineRule="atLeast"/>
              <w:jc w:val="center"/>
              <w:rPr>
                <w:rFonts w:ascii="宋体" w:cs="宋体"/>
                <w:sz w:val="24"/>
                <w:szCs w:val="24"/>
              </w:rPr>
            </w:pPr>
          </w:p>
        </w:tc>
      </w:tr>
      <w:tr w14:paraId="6778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3" w:hRule="atLeast"/>
          <w:jc w:val="center"/>
        </w:trPr>
        <w:tc>
          <w:tcPr>
            <w:tcW w:w="2993" w:type="dxa"/>
            <w:vAlign w:val="center"/>
          </w:tcPr>
          <w:p w14:paraId="57C014F2">
            <w:pPr>
              <w:adjustRightInd w:val="0"/>
              <w:snapToGrid w:val="0"/>
              <w:spacing w:after="200" w:line="220" w:lineRule="atLeast"/>
              <w:jc w:val="center"/>
              <w:rPr>
                <w:rFonts w:ascii="宋体" w:cs="宋体"/>
                <w:szCs w:val="21"/>
              </w:rPr>
            </w:pPr>
            <w:r>
              <w:rPr>
                <w:rFonts w:hint="eastAsia" w:ascii="宋体" w:hAnsi="宋体" w:cs="宋体"/>
                <w:szCs w:val="21"/>
              </w:rPr>
              <w:t>合计</w:t>
            </w:r>
          </w:p>
        </w:tc>
        <w:tc>
          <w:tcPr>
            <w:tcW w:w="6592" w:type="dxa"/>
            <w:gridSpan w:val="3"/>
            <w:vAlign w:val="center"/>
          </w:tcPr>
          <w:p w14:paraId="7EF065A5">
            <w:pPr>
              <w:adjustRightInd w:val="0"/>
              <w:snapToGrid w:val="0"/>
              <w:spacing w:after="200" w:line="220" w:lineRule="atLeast"/>
              <w:jc w:val="center"/>
              <w:rPr>
                <w:rFonts w:ascii="宋体" w:cs="宋体"/>
                <w:szCs w:val="21"/>
              </w:rPr>
            </w:pPr>
          </w:p>
        </w:tc>
      </w:tr>
    </w:tbl>
    <w:p w14:paraId="13094CE0">
      <w:pPr>
        <w:spacing w:line="360" w:lineRule="auto"/>
        <w:rPr>
          <w:szCs w:val="21"/>
        </w:rPr>
      </w:pPr>
    </w:p>
    <w:p w14:paraId="66D6F6A7">
      <w:pPr>
        <w:spacing w:line="540" w:lineRule="atLeast"/>
        <w:jc w:val="left"/>
        <w:rPr>
          <w:rFonts w:hint="eastAsia" w:ascii="宋体" w:hAnsi="宋体" w:cs="宋体"/>
          <w:b/>
          <w:szCs w:val="21"/>
        </w:rPr>
      </w:pPr>
      <w:r>
        <w:rPr>
          <w:rFonts w:hint="eastAsia" w:ascii="宋体" w:hAnsi="宋体" w:cs="宋体"/>
          <w:b/>
          <w:szCs w:val="21"/>
        </w:rPr>
        <w:t>备注：</w:t>
      </w:r>
    </w:p>
    <w:p w14:paraId="5FC1573B">
      <w:pPr>
        <w:spacing w:line="400" w:lineRule="exact"/>
        <w:jc w:val="left"/>
      </w:pPr>
      <w:r>
        <w:rPr>
          <w:rFonts w:hint="eastAsia"/>
        </w:rPr>
        <w:t>1、</w:t>
      </w:r>
      <w:r>
        <w:rPr>
          <w:rFonts w:hint="eastAsia" w:ascii="宋体" w:hAnsi="宋体" w:cs="宋体"/>
          <w:szCs w:val="21"/>
        </w:rPr>
        <w:t xml:space="preserve">各供应商可以根据实际情况合理安排，对上述项目适当予以调整。  </w:t>
      </w:r>
    </w:p>
    <w:p w14:paraId="173C6839">
      <w:pPr>
        <w:pStyle w:val="3"/>
        <w:spacing w:line="360" w:lineRule="auto"/>
        <w:rPr>
          <w:rFonts w:hint="eastAsia" w:ascii="宋体" w:hAnsi="宋体" w:eastAsia="宋体" w:cs="宋体"/>
          <w:sz w:val="21"/>
          <w:szCs w:val="21"/>
        </w:rPr>
      </w:pPr>
      <w:r>
        <w:rPr>
          <w:rFonts w:hint="eastAsia" w:ascii="宋体" w:hAnsi="宋体" w:eastAsia="宋体" w:cs="宋体"/>
          <w:sz w:val="21"/>
          <w:szCs w:val="21"/>
        </w:rPr>
        <w:t>2、所有报价（含各分项报价）必须符合国家法律法规及本次招标文件要求。</w:t>
      </w:r>
    </w:p>
    <w:p w14:paraId="03771ADE">
      <w:pPr>
        <w:pStyle w:val="14"/>
      </w:pPr>
    </w:p>
    <w:p w14:paraId="0B4E670E">
      <w:pPr>
        <w:spacing w:line="360" w:lineRule="auto"/>
        <w:rPr>
          <w:rFonts w:cs="宋体"/>
          <w:szCs w:val="21"/>
        </w:rPr>
      </w:pPr>
      <w:r>
        <w:rPr>
          <w:rFonts w:hint="eastAsia" w:cs="宋体"/>
          <w:szCs w:val="21"/>
        </w:rPr>
        <w:t>法定代表人或授权代表（签字或盖章）：</w:t>
      </w:r>
    </w:p>
    <w:p w14:paraId="59D44499">
      <w:pPr>
        <w:pStyle w:val="3"/>
        <w:spacing w:line="360" w:lineRule="auto"/>
        <w:rPr>
          <w:rFonts w:ascii="Times New Roman" w:hAnsi="Times New Roman" w:eastAsia="宋体" w:cs="宋体"/>
          <w:kern w:val="2"/>
          <w:sz w:val="21"/>
          <w:szCs w:val="21"/>
        </w:rPr>
        <w:sectPr>
          <w:pgSz w:w="11906" w:h="16838"/>
          <w:pgMar w:top="1440" w:right="1800" w:bottom="1440" w:left="1800" w:header="851" w:footer="992" w:gutter="0"/>
          <w:cols w:space="720" w:num="1"/>
          <w:docGrid w:type="lines" w:linePitch="312" w:charSpace="0"/>
        </w:sectPr>
      </w:pPr>
      <w:r>
        <w:rPr>
          <w:rFonts w:hint="eastAsia" w:ascii="Times New Roman" w:hAnsi="Times New Roman" w:eastAsia="宋体" w:cs="宋体"/>
          <w:kern w:val="2"/>
          <w:sz w:val="21"/>
          <w:szCs w:val="21"/>
        </w:rPr>
        <w:t>日期：     年   月   日</w:t>
      </w:r>
    </w:p>
    <w:p w14:paraId="3F588A7B">
      <w:pPr>
        <w:jc w:val="center"/>
        <w:rPr>
          <w:ins w:id="5" w:author="李俊" w:date="2026-09-14T13:55:00Z"/>
          <w:rFonts w:hint="eastAsia" w:ascii="宋体" w:hAnsi="宋体" w:cs="宋体"/>
          <w:b/>
          <w:bCs/>
          <w:sz w:val="32"/>
          <w:szCs w:val="44"/>
        </w:rPr>
      </w:pPr>
      <w:r>
        <w:rPr>
          <w:rFonts w:hint="eastAsia" w:ascii="宋体" w:hAnsi="宋体" w:cs="宋体"/>
          <w:b/>
          <w:bCs/>
          <w:sz w:val="32"/>
          <w:szCs w:val="44"/>
        </w:rPr>
        <w:t>四、供货一览表</w:t>
      </w:r>
    </w:p>
    <w:p w14:paraId="42C575E9">
      <w:pPr>
        <w:jc w:val="center"/>
        <w:rPr>
          <w:rFonts w:hint="eastAsia" w:ascii="宋体" w:hAnsi="宋体" w:cs="宋体"/>
          <w:b/>
          <w:bCs/>
          <w:sz w:val="32"/>
          <w:szCs w:val="44"/>
        </w:rPr>
      </w:pPr>
    </w:p>
    <w:tbl>
      <w:tblPr>
        <w:tblStyle w:val="36"/>
        <w:tblW w:w="89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4"/>
        <w:gridCol w:w="1933"/>
        <w:gridCol w:w="1574"/>
        <w:gridCol w:w="1679"/>
        <w:gridCol w:w="1365"/>
      </w:tblGrid>
      <w:tr w14:paraId="4B976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7" w:hRule="atLeast"/>
        </w:trPr>
        <w:tc>
          <w:tcPr>
            <w:tcW w:w="2374" w:type="dxa"/>
            <w:vAlign w:val="center"/>
          </w:tcPr>
          <w:p w14:paraId="2C4954B2">
            <w:pPr>
              <w:adjustRightInd w:val="0"/>
              <w:snapToGrid w:val="0"/>
              <w:spacing w:after="200" w:line="220" w:lineRule="atLeast"/>
              <w:jc w:val="center"/>
              <w:rPr>
                <w:rFonts w:ascii="宋体" w:cs="宋体"/>
                <w:szCs w:val="21"/>
              </w:rPr>
            </w:pPr>
            <w:r>
              <w:rPr>
                <w:rFonts w:hint="eastAsia" w:ascii="宋体" w:hAnsi="宋体" w:cs="宋体"/>
                <w:szCs w:val="21"/>
              </w:rPr>
              <w:t>货物名称</w:t>
            </w:r>
          </w:p>
        </w:tc>
        <w:tc>
          <w:tcPr>
            <w:tcW w:w="1933" w:type="dxa"/>
            <w:vAlign w:val="center"/>
          </w:tcPr>
          <w:p w14:paraId="1442FD78">
            <w:pPr>
              <w:adjustRightInd w:val="0"/>
              <w:snapToGrid w:val="0"/>
              <w:spacing w:after="200" w:line="220" w:lineRule="atLeast"/>
              <w:jc w:val="center"/>
              <w:rPr>
                <w:rFonts w:ascii="宋体" w:cs="宋体"/>
                <w:szCs w:val="21"/>
              </w:rPr>
            </w:pPr>
            <w:r>
              <w:rPr>
                <w:rFonts w:hint="eastAsia" w:ascii="宋体" w:hAnsi="宋体" w:cs="宋体"/>
                <w:szCs w:val="21"/>
              </w:rPr>
              <w:t>品牌及型号</w:t>
            </w:r>
          </w:p>
        </w:tc>
        <w:tc>
          <w:tcPr>
            <w:tcW w:w="1574" w:type="dxa"/>
            <w:vAlign w:val="center"/>
          </w:tcPr>
          <w:p w14:paraId="69029F09">
            <w:pPr>
              <w:adjustRightInd w:val="0"/>
              <w:snapToGrid w:val="0"/>
              <w:spacing w:after="200" w:line="220" w:lineRule="atLeast"/>
              <w:jc w:val="center"/>
              <w:rPr>
                <w:rFonts w:ascii="宋体" w:cs="宋体"/>
                <w:szCs w:val="21"/>
              </w:rPr>
            </w:pPr>
            <w:r>
              <w:rPr>
                <w:rFonts w:hint="eastAsia" w:ascii="宋体" w:hAnsi="宋体" w:cs="宋体"/>
                <w:szCs w:val="21"/>
              </w:rPr>
              <w:t>产地</w:t>
            </w:r>
          </w:p>
        </w:tc>
        <w:tc>
          <w:tcPr>
            <w:tcW w:w="1679" w:type="dxa"/>
            <w:vAlign w:val="center"/>
          </w:tcPr>
          <w:p w14:paraId="249C1030">
            <w:pPr>
              <w:adjustRightInd w:val="0"/>
              <w:snapToGrid w:val="0"/>
              <w:spacing w:after="200" w:line="220" w:lineRule="atLeast"/>
              <w:jc w:val="center"/>
              <w:rPr>
                <w:rFonts w:ascii="宋体" w:cs="宋体"/>
                <w:szCs w:val="21"/>
              </w:rPr>
            </w:pPr>
            <w:r>
              <w:rPr>
                <w:rFonts w:hint="eastAsia" w:ascii="宋体" w:hAnsi="宋体" w:cs="宋体"/>
                <w:szCs w:val="21"/>
              </w:rPr>
              <w:t>数量</w:t>
            </w:r>
          </w:p>
        </w:tc>
        <w:tc>
          <w:tcPr>
            <w:tcW w:w="1365" w:type="dxa"/>
            <w:vAlign w:val="center"/>
          </w:tcPr>
          <w:p w14:paraId="1225B4D7">
            <w:pPr>
              <w:adjustRightInd w:val="0"/>
              <w:snapToGrid w:val="0"/>
              <w:spacing w:after="200" w:line="220" w:lineRule="atLeast"/>
              <w:jc w:val="center"/>
              <w:rPr>
                <w:rFonts w:ascii="宋体" w:cs="宋体"/>
                <w:szCs w:val="21"/>
              </w:rPr>
            </w:pPr>
            <w:r>
              <w:rPr>
                <w:rFonts w:hint="eastAsia" w:ascii="宋体" w:hAnsi="宋体" w:cs="宋体"/>
                <w:szCs w:val="21"/>
              </w:rPr>
              <w:t>交货期</w:t>
            </w:r>
          </w:p>
        </w:tc>
      </w:tr>
      <w:tr w14:paraId="1DCC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6" w:hRule="atLeast"/>
        </w:trPr>
        <w:tc>
          <w:tcPr>
            <w:tcW w:w="2374" w:type="dxa"/>
          </w:tcPr>
          <w:p w14:paraId="0A4FF0B7">
            <w:pPr>
              <w:adjustRightInd w:val="0"/>
              <w:snapToGrid w:val="0"/>
              <w:spacing w:after="200" w:line="220" w:lineRule="atLeast"/>
              <w:rPr>
                <w:rFonts w:ascii="宋体" w:cs="宋体"/>
                <w:szCs w:val="21"/>
              </w:rPr>
            </w:pPr>
          </w:p>
        </w:tc>
        <w:tc>
          <w:tcPr>
            <w:tcW w:w="1933" w:type="dxa"/>
          </w:tcPr>
          <w:p w14:paraId="37D243F8">
            <w:pPr>
              <w:adjustRightInd w:val="0"/>
              <w:snapToGrid w:val="0"/>
              <w:spacing w:after="200" w:line="220" w:lineRule="atLeast"/>
              <w:rPr>
                <w:rFonts w:ascii="宋体" w:cs="宋体"/>
                <w:szCs w:val="21"/>
              </w:rPr>
            </w:pPr>
          </w:p>
        </w:tc>
        <w:tc>
          <w:tcPr>
            <w:tcW w:w="1574" w:type="dxa"/>
          </w:tcPr>
          <w:p w14:paraId="1886505F">
            <w:pPr>
              <w:adjustRightInd w:val="0"/>
              <w:snapToGrid w:val="0"/>
              <w:spacing w:after="200" w:line="220" w:lineRule="atLeast"/>
              <w:rPr>
                <w:rFonts w:ascii="宋体" w:cs="宋体"/>
                <w:szCs w:val="21"/>
              </w:rPr>
            </w:pPr>
          </w:p>
        </w:tc>
        <w:tc>
          <w:tcPr>
            <w:tcW w:w="1679" w:type="dxa"/>
          </w:tcPr>
          <w:p w14:paraId="73C606BA">
            <w:pPr>
              <w:adjustRightInd w:val="0"/>
              <w:snapToGrid w:val="0"/>
              <w:spacing w:after="200" w:line="220" w:lineRule="atLeast"/>
              <w:jc w:val="center"/>
              <w:rPr>
                <w:rFonts w:ascii="宋体" w:cs="宋体"/>
                <w:szCs w:val="21"/>
              </w:rPr>
            </w:pPr>
          </w:p>
        </w:tc>
        <w:tc>
          <w:tcPr>
            <w:tcW w:w="1365" w:type="dxa"/>
          </w:tcPr>
          <w:p w14:paraId="0EFD12F2">
            <w:pPr>
              <w:adjustRightInd w:val="0"/>
              <w:snapToGrid w:val="0"/>
              <w:spacing w:after="200" w:line="220" w:lineRule="atLeast"/>
              <w:jc w:val="center"/>
              <w:rPr>
                <w:rFonts w:ascii="宋体" w:cs="宋体"/>
                <w:szCs w:val="21"/>
              </w:rPr>
            </w:pPr>
          </w:p>
        </w:tc>
      </w:tr>
      <w:tr w14:paraId="002C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0" w:hRule="atLeast"/>
        </w:trPr>
        <w:tc>
          <w:tcPr>
            <w:tcW w:w="2374" w:type="dxa"/>
          </w:tcPr>
          <w:p w14:paraId="4B6415CA">
            <w:pPr>
              <w:adjustRightInd w:val="0"/>
              <w:snapToGrid w:val="0"/>
              <w:spacing w:after="200" w:line="220" w:lineRule="atLeast"/>
              <w:rPr>
                <w:rFonts w:ascii="宋体" w:cs="宋体"/>
                <w:szCs w:val="21"/>
              </w:rPr>
            </w:pPr>
          </w:p>
        </w:tc>
        <w:tc>
          <w:tcPr>
            <w:tcW w:w="1933" w:type="dxa"/>
          </w:tcPr>
          <w:p w14:paraId="59A4CE75">
            <w:pPr>
              <w:adjustRightInd w:val="0"/>
              <w:snapToGrid w:val="0"/>
              <w:spacing w:after="200" w:line="220" w:lineRule="atLeast"/>
              <w:rPr>
                <w:rFonts w:ascii="宋体" w:cs="宋体"/>
                <w:szCs w:val="21"/>
              </w:rPr>
            </w:pPr>
          </w:p>
        </w:tc>
        <w:tc>
          <w:tcPr>
            <w:tcW w:w="1574" w:type="dxa"/>
          </w:tcPr>
          <w:p w14:paraId="229143CF">
            <w:pPr>
              <w:adjustRightInd w:val="0"/>
              <w:snapToGrid w:val="0"/>
              <w:spacing w:after="200" w:line="220" w:lineRule="atLeast"/>
              <w:rPr>
                <w:rFonts w:ascii="宋体" w:cs="宋体"/>
                <w:szCs w:val="21"/>
              </w:rPr>
            </w:pPr>
          </w:p>
        </w:tc>
        <w:tc>
          <w:tcPr>
            <w:tcW w:w="1679" w:type="dxa"/>
          </w:tcPr>
          <w:p w14:paraId="39E325DB">
            <w:pPr>
              <w:adjustRightInd w:val="0"/>
              <w:snapToGrid w:val="0"/>
              <w:spacing w:after="200" w:line="220" w:lineRule="atLeast"/>
              <w:jc w:val="center"/>
              <w:rPr>
                <w:rFonts w:ascii="宋体" w:cs="宋体"/>
                <w:szCs w:val="21"/>
              </w:rPr>
            </w:pPr>
          </w:p>
        </w:tc>
        <w:tc>
          <w:tcPr>
            <w:tcW w:w="1365" w:type="dxa"/>
          </w:tcPr>
          <w:p w14:paraId="5A300B3D">
            <w:pPr>
              <w:adjustRightInd w:val="0"/>
              <w:snapToGrid w:val="0"/>
              <w:spacing w:after="200" w:line="220" w:lineRule="atLeast"/>
              <w:jc w:val="center"/>
              <w:rPr>
                <w:rFonts w:ascii="宋体" w:cs="宋体"/>
                <w:szCs w:val="21"/>
              </w:rPr>
            </w:pPr>
          </w:p>
        </w:tc>
      </w:tr>
      <w:tr w14:paraId="526C2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trPr>
        <w:tc>
          <w:tcPr>
            <w:tcW w:w="2374" w:type="dxa"/>
          </w:tcPr>
          <w:p w14:paraId="33AF6E00">
            <w:pPr>
              <w:adjustRightInd w:val="0"/>
              <w:snapToGrid w:val="0"/>
              <w:spacing w:after="200" w:line="220" w:lineRule="atLeast"/>
              <w:rPr>
                <w:rFonts w:ascii="宋体" w:cs="宋体"/>
                <w:szCs w:val="21"/>
              </w:rPr>
            </w:pPr>
          </w:p>
        </w:tc>
        <w:tc>
          <w:tcPr>
            <w:tcW w:w="1933" w:type="dxa"/>
          </w:tcPr>
          <w:p w14:paraId="6C1BBB28">
            <w:pPr>
              <w:adjustRightInd w:val="0"/>
              <w:snapToGrid w:val="0"/>
              <w:spacing w:after="200" w:line="220" w:lineRule="atLeast"/>
              <w:rPr>
                <w:rFonts w:ascii="宋体" w:cs="宋体"/>
                <w:szCs w:val="21"/>
              </w:rPr>
            </w:pPr>
          </w:p>
        </w:tc>
        <w:tc>
          <w:tcPr>
            <w:tcW w:w="1574" w:type="dxa"/>
          </w:tcPr>
          <w:p w14:paraId="7EE7EEDB">
            <w:pPr>
              <w:adjustRightInd w:val="0"/>
              <w:snapToGrid w:val="0"/>
              <w:spacing w:after="200" w:line="220" w:lineRule="atLeast"/>
              <w:rPr>
                <w:rFonts w:ascii="宋体" w:cs="宋体"/>
                <w:szCs w:val="21"/>
              </w:rPr>
            </w:pPr>
          </w:p>
        </w:tc>
        <w:tc>
          <w:tcPr>
            <w:tcW w:w="1679" w:type="dxa"/>
          </w:tcPr>
          <w:p w14:paraId="22C3352E">
            <w:pPr>
              <w:adjustRightInd w:val="0"/>
              <w:snapToGrid w:val="0"/>
              <w:spacing w:after="200" w:line="220" w:lineRule="atLeast"/>
              <w:jc w:val="center"/>
              <w:rPr>
                <w:rFonts w:ascii="宋体" w:cs="宋体"/>
                <w:szCs w:val="21"/>
              </w:rPr>
            </w:pPr>
          </w:p>
        </w:tc>
        <w:tc>
          <w:tcPr>
            <w:tcW w:w="1365" w:type="dxa"/>
          </w:tcPr>
          <w:p w14:paraId="35DBF5A9">
            <w:pPr>
              <w:adjustRightInd w:val="0"/>
              <w:snapToGrid w:val="0"/>
              <w:spacing w:after="200" w:line="220" w:lineRule="atLeast"/>
              <w:jc w:val="center"/>
              <w:rPr>
                <w:rFonts w:ascii="宋体" w:cs="宋体"/>
                <w:szCs w:val="21"/>
              </w:rPr>
            </w:pPr>
          </w:p>
        </w:tc>
      </w:tr>
      <w:tr w14:paraId="50437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trPr>
        <w:tc>
          <w:tcPr>
            <w:tcW w:w="2374" w:type="dxa"/>
          </w:tcPr>
          <w:p w14:paraId="1A1FB204">
            <w:pPr>
              <w:adjustRightInd w:val="0"/>
              <w:snapToGrid w:val="0"/>
              <w:spacing w:after="200" w:line="220" w:lineRule="atLeast"/>
              <w:rPr>
                <w:rFonts w:ascii="宋体" w:cs="宋体"/>
                <w:szCs w:val="21"/>
              </w:rPr>
            </w:pPr>
          </w:p>
        </w:tc>
        <w:tc>
          <w:tcPr>
            <w:tcW w:w="1933" w:type="dxa"/>
          </w:tcPr>
          <w:p w14:paraId="4CFD0697">
            <w:pPr>
              <w:adjustRightInd w:val="0"/>
              <w:snapToGrid w:val="0"/>
              <w:spacing w:after="200" w:line="220" w:lineRule="atLeast"/>
              <w:rPr>
                <w:rFonts w:ascii="宋体" w:cs="宋体"/>
                <w:szCs w:val="21"/>
              </w:rPr>
            </w:pPr>
          </w:p>
        </w:tc>
        <w:tc>
          <w:tcPr>
            <w:tcW w:w="1574" w:type="dxa"/>
          </w:tcPr>
          <w:p w14:paraId="21F29F1B">
            <w:pPr>
              <w:adjustRightInd w:val="0"/>
              <w:snapToGrid w:val="0"/>
              <w:spacing w:after="200" w:line="220" w:lineRule="atLeast"/>
              <w:rPr>
                <w:rFonts w:ascii="宋体" w:cs="宋体"/>
                <w:szCs w:val="21"/>
              </w:rPr>
            </w:pPr>
          </w:p>
        </w:tc>
        <w:tc>
          <w:tcPr>
            <w:tcW w:w="1679" w:type="dxa"/>
          </w:tcPr>
          <w:p w14:paraId="73CE96E3">
            <w:pPr>
              <w:adjustRightInd w:val="0"/>
              <w:snapToGrid w:val="0"/>
              <w:spacing w:after="200" w:line="220" w:lineRule="atLeast"/>
              <w:jc w:val="center"/>
              <w:rPr>
                <w:rFonts w:ascii="宋体" w:cs="宋体"/>
                <w:szCs w:val="21"/>
              </w:rPr>
            </w:pPr>
          </w:p>
        </w:tc>
        <w:tc>
          <w:tcPr>
            <w:tcW w:w="1365" w:type="dxa"/>
          </w:tcPr>
          <w:p w14:paraId="577F78A0">
            <w:pPr>
              <w:adjustRightInd w:val="0"/>
              <w:snapToGrid w:val="0"/>
              <w:spacing w:after="200" w:line="220" w:lineRule="atLeast"/>
              <w:jc w:val="center"/>
              <w:rPr>
                <w:rFonts w:ascii="宋体" w:cs="宋体"/>
                <w:szCs w:val="21"/>
              </w:rPr>
            </w:pPr>
          </w:p>
        </w:tc>
      </w:tr>
      <w:tr w14:paraId="4A18E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trPr>
        <w:tc>
          <w:tcPr>
            <w:tcW w:w="2374" w:type="dxa"/>
          </w:tcPr>
          <w:p w14:paraId="4826D6A8">
            <w:pPr>
              <w:adjustRightInd w:val="0"/>
              <w:snapToGrid w:val="0"/>
              <w:spacing w:after="200" w:line="220" w:lineRule="atLeast"/>
              <w:rPr>
                <w:rFonts w:ascii="宋体" w:cs="宋体"/>
                <w:szCs w:val="21"/>
              </w:rPr>
            </w:pPr>
          </w:p>
        </w:tc>
        <w:tc>
          <w:tcPr>
            <w:tcW w:w="1933" w:type="dxa"/>
          </w:tcPr>
          <w:p w14:paraId="1505CFAA">
            <w:pPr>
              <w:adjustRightInd w:val="0"/>
              <w:snapToGrid w:val="0"/>
              <w:spacing w:after="200" w:line="220" w:lineRule="atLeast"/>
              <w:rPr>
                <w:rFonts w:ascii="宋体" w:cs="宋体"/>
                <w:szCs w:val="21"/>
              </w:rPr>
            </w:pPr>
          </w:p>
        </w:tc>
        <w:tc>
          <w:tcPr>
            <w:tcW w:w="1574" w:type="dxa"/>
          </w:tcPr>
          <w:p w14:paraId="1AFC5E10">
            <w:pPr>
              <w:adjustRightInd w:val="0"/>
              <w:snapToGrid w:val="0"/>
              <w:spacing w:after="200" w:line="220" w:lineRule="atLeast"/>
              <w:rPr>
                <w:rFonts w:ascii="宋体" w:cs="宋体"/>
                <w:szCs w:val="21"/>
              </w:rPr>
            </w:pPr>
          </w:p>
        </w:tc>
        <w:tc>
          <w:tcPr>
            <w:tcW w:w="1679" w:type="dxa"/>
          </w:tcPr>
          <w:p w14:paraId="5EB15338">
            <w:pPr>
              <w:adjustRightInd w:val="0"/>
              <w:snapToGrid w:val="0"/>
              <w:spacing w:after="200" w:line="220" w:lineRule="atLeast"/>
              <w:jc w:val="center"/>
              <w:rPr>
                <w:rFonts w:ascii="宋体" w:cs="宋体"/>
                <w:szCs w:val="21"/>
              </w:rPr>
            </w:pPr>
          </w:p>
        </w:tc>
        <w:tc>
          <w:tcPr>
            <w:tcW w:w="1365" w:type="dxa"/>
          </w:tcPr>
          <w:p w14:paraId="53D26927">
            <w:pPr>
              <w:adjustRightInd w:val="0"/>
              <w:snapToGrid w:val="0"/>
              <w:spacing w:after="200" w:line="220" w:lineRule="atLeast"/>
              <w:jc w:val="center"/>
              <w:rPr>
                <w:rFonts w:ascii="宋体" w:cs="宋体"/>
                <w:szCs w:val="21"/>
              </w:rPr>
            </w:pPr>
          </w:p>
        </w:tc>
      </w:tr>
    </w:tbl>
    <w:p w14:paraId="385E9DFB">
      <w:pPr>
        <w:rPr>
          <w:rFonts w:ascii="宋体" w:cs="宋体"/>
          <w:szCs w:val="21"/>
        </w:rPr>
      </w:pPr>
    </w:p>
    <w:p w14:paraId="20DF8844">
      <w:pPr>
        <w:spacing w:line="360" w:lineRule="auto"/>
        <w:jc w:val="center"/>
        <w:rPr>
          <w:bCs/>
          <w:szCs w:val="21"/>
        </w:rPr>
      </w:pPr>
      <w:r>
        <w:rPr>
          <w:rFonts w:hint="eastAsia"/>
          <w:bCs/>
          <w:szCs w:val="21"/>
        </w:rPr>
        <w:t>投标人名称（公章）：</w:t>
      </w:r>
    </w:p>
    <w:p w14:paraId="3A7B69A0">
      <w:pPr>
        <w:spacing w:line="360" w:lineRule="auto"/>
        <w:jc w:val="center"/>
        <w:rPr>
          <w:bCs/>
          <w:szCs w:val="21"/>
        </w:rPr>
      </w:pPr>
      <w:r>
        <w:rPr>
          <w:rFonts w:hint="eastAsia"/>
          <w:bCs/>
          <w:szCs w:val="21"/>
        </w:rPr>
        <w:t xml:space="preserve">          法定代表人或授权代表（签字或盖章）：</w:t>
      </w:r>
    </w:p>
    <w:p w14:paraId="2B8FFF8F">
      <w:pPr>
        <w:spacing w:line="360" w:lineRule="auto"/>
        <w:jc w:val="center"/>
        <w:rPr>
          <w:bCs/>
          <w:szCs w:val="21"/>
          <w:u w:val="single"/>
        </w:rPr>
      </w:pPr>
      <w:r>
        <w:rPr>
          <w:rFonts w:hint="eastAsia"/>
          <w:bCs/>
          <w:szCs w:val="21"/>
        </w:rPr>
        <w:t xml:space="preserve">     日期：</w:t>
      </w:r>
      <w:r>
        <w:rPr>
          <w:rFonts w:hint="eastAsia"/>
          <w:bCs/>
          <w:szCs w:val="21"/>
          <w:u w:val="single"/>
        </w:rPr>
        <w:t xml:space="preserve">    </w:t>
      </w:r>
      <w:r>
        <w:rPr>
          <w:rFonts w:hint="eastAsia"/>
          <w:bCs/>
          <w:szCs w:val="21"/>
        </w:rPr>
        <w:t>年</w:t>
      </w:r>
      <w:r>
        <w:rPr>
          <w:rFonts w:hint="eastAsia"/>
          <w:bCs/>
          <w:szCs w:val="21"/>
          <w:u w:val="single"/>
        </w:rPr>
        <w:t xml:space="preserve">    </w:t>
      </w:r>
      <w:r>
        <w:rPr>
          <w:rFonts w:hint="eastAsia"/>
          <w:bCs/>
          <w:szCs w:val="21"/>
        </w:rPr>
        <w:t>月</w:t>
      </w:r>
      <w:r>
        <w:rPr>
          <w:rFonts w:hint="eastAsia"/>
          <w:bCs/>
          <w:szCs w:val="21"/>
          <w:u w:val="single"/>
        </w:rPr>
        <w:t xml:space="preserve">     </w:t>
      </w:r>
      <w:r>
        <w:rPr>
          <w:rFonts w:hint="eastAsia"/>
          <w:bCs/>
          <w:szCs w:val="21"/>
        </w:rPr>
        <w:t>日</w:t>
      </w:r>
    </w:p>
    <w:p w14:paraId="4E4BE205">
      <w:pPr>
        <w:spacing w:line="360" w:lineRule="auto"/>
        <w:rPr>
          <w:bCs/>
          <w:szCs w:val="21"/>
          <w:u w:val="single"/>
        </w:rPr>
      </w:pPr>
    </w:p>
    <w:p w14:paraId="502AC82F">
      <w:pPr>
        <w:spacing w:line="360" w:lineRule="auto"/>
        <w:rPr>
          <w:rFonts w:cs="宋体"/>
          <w:szCs w:val="21"/>
        </w:rPr>
      </w:pPr>
      <w:r>
        <w:rPr>
          <w:rFonts w:hint="eastAsia" w:cs="宋体"/>
          <w:szCs w:val="21"/>
        </w:rPr>
        <w:t>注：1、按照基本技术要求详细填列。</w:t>
      </w:r>
    </w:p>
    <w:p w14:paraId="144EA245">
      <w:pPr>
        <w:rPr>
          <w:rFonts w:hint="eastAsia" w:ascii="宋体" w:hAnsi="宋体" w:cs="宋体"/>
          <w:b/>
          <w:bCs/>
          <w:sz w:val="32"/>
          <w:szCs w:val="44"/>
        </w:rPr>
      </w:pPr>
      <w:r>
        <w:rPr>
          <w:rFonts w:hint="eastAsia" w:cs="宋体"/>
          <w:szCs w:val="21"/>
        </w:rPr>
        <w:t>2.行数不够，可自行添加。</w:t>
      </w:r>
    </w:p>
    <w:p w14:paraId="27B3F9D3">
      <w:pPr>
        <w:jc w:val="center"/>
        <w:rPr>
          <w:rFonts w:hint="eastAsia" w:ascii="宋体" w:hAnsi="宋体" w:cs="宋体"/>
          <w:b/>
          <w:bCs/>
          <w:sz w:val="32"/>
          <w:szCs w:val="44"/>
        </w:rPr>
      </w:pPr>
    </w:p>
    <w:p w14:paraId="3E83D571">
      <w:pPr>
        <w:jc w:val="center"/>
        <w:rPr>
          <w:rFonts w:hint="eastAsia" w:ascii="宋体" w:hAnsi="宋体" w:cs="宋体"/>
          <w:b/>
          <w:bCs/>
          <w:sz w:val="32"/>
          <w:szCs w:val="44"/>
        </w:rPr>
      </w:pPr>
    </w:p>
    <w:p w14:paraId="62A015F5">
      <w:pPr>
        <w:jc w:val="center"/>
        <w:rPr>
          <w:rFonts w:hint="eastAsia" w:ascii="宋体" w:hAnsi="宋体" w:cs="宋体"/>
          <w:b/>
          <w:bCs/>
          <w:sz w:val="32"/>
          <w:szCs w:val="44"/>
        </w:rPr>
      </w:pPr>
    </w:p>
    <w:p w14:paraId="327743E7">
      <w:pPr>
        <w:jc w:val="center"/>
        <w:rPr>
          <w:rFonts w:hint="eastAsia" w:ascii="宋体" w:hAnsi="宋体" w:cs="宋体"/>
          <w:b/>
          <w:bCs/>
          <w:sz w:val="32"/>
          <w:szCs w:val="44"/>
        </w:rPr>
      </w:pPr>
    </w:p>
    <w:p w14:paraId="2474BDFA">
      <w:pPr>
        <w:jc w:val="center"/>
        <w:rPr>
          <w:rFonts w:hint="eastAsia" w:ascii="宋体" w:hAnsi="宋体" w:cs="宋体"/>
          <w:b/>
          <w:bCs/>
          <w:sz w:val="32"/>
          <w:szCs w:val="44"/>
        </w:rPr>
      </w:pPr>
    </w:p>
    <w:p w14:paraId="2DA8D71E">
      <w:pPr>
        <w:rPr>
          <w:rFonts w:hint="eastAsia" w:ascii="宋体" w:hAnsi="宋体" w:cs="宋体"/>
          <w:b/>
          <w:bCs/>
          <w:sz w:val="32"/>
          <w:szCs w:val="44"/>
        </w:rPr>
      </w:pPr>
    </w:p>
    <w:p w14:paraId="415175B0">
      <w:pPr>
        <w:jc w:val="center"/>
        <w:rPr>
          <w:rFonts w:hint="eastAsia" w:ascii="宋体" w:hAnsi="宋体" w:cs="宋体"/>
          <w:b/>
          <w:bCs/>
          <w:sz w:val="32"/>
          <w:szCs w:val="44"/>
        </w:rPr>
      </w:pPr>
      <w:r>
        <w:rPr>
          <w:rFonts w:hint="eastAsia" w:ascii="宋体" w:hAnsi="宋体" w:cs="宋体"/>
          <w:b/>
          <w:bCs/>
          <w:sz w:val="32"/>
          <w:szCs w:val="44"/>
        </w:rPr>
        <w:t>五、技术参数响应及偏离表</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2"/>
        <w:gridCol w:w="2622"/>
        <w:gridCol w:w="2622"/>
        <w:gridCol w:w="1244"/>
        <w:gridCol w:w="1102"/>
      </w:tblGrid>
      <w:tr w14:paraId="69B02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2" w:type="dxa"/>
            <w:tcBorders>
              <w:top w:val="single" w:color="auto" w:sz="4" w:space="0"/>
              <w:left w:val="single" w:color="auto" w:sz="4" w:space="0"/>
              <w:bottom w:val="single" w:color="auto" w:sz="4" w:space="0"/>
              <w:right w:val="single" w:color="auto" w:sz="4" w:space="0"/>
            </w:tcBorders>
            <w:vAlign w:val="center"/>
          </w:tcPr>
          <w:p w14:paraId="6D1CA7F8">
            <w:pPr>
              <w:adjustRightInd w:val="0"/>
              <w:snapToGrid w:val="0"/>
              <w:spacing w:line="360" w:lineRule="auto"/>
              <w:jc w:val="center"/>
              <w:rPr>
                <w:rFonts w:cs="宋体"/>
                <w:szCs w:val="21"/>
              </w:rPr>
            </w:pPr>
            <w:r>
              <w:rPr>
                <w:rFonts w:hint="eastAsia" w:cs="宋体"/>
                <w:szCs w:val="21"/>
              </w:rPr>
              <w:t>序号</w:t>
            </w:r>
          </w:p>
        </w:tc>
        <w:tc>
          <w:tcPr>
            <w:tcW w:w="2622" w:type="dxa"/>
            <w:tcBorders>
              <w:top w:val="single" w:color="auto" w:sz="4" w:space="0"/>
              <w:left w:val="single" w:color="auto" w:sz="4" w:space="0"/>
              <w:bottom w:val="single" w:color="auto" w:sz="4" w:space="0"/>
              <w:right w:val="single" w:color="auto" w:sz="4" w:space="0"/>
            </w:tcBorders>
            <w:vAlign w:val="center"/>
          </w:tcPr>
          <w:p w14:paraId="7F64B66C">
            <w:pPr>
              <w:adjustRightInd w:val="0"/>
              <w:snapToGrid w:val="0"/>
              <w:spacing w:line="360" w:lineRule="auto"/>
              <w:rPr>
                <w:rFonts w:cs="宋体"/>
                <w:szCs w:val="21"/>
              </w:rPr>
            </w:pPr>
            <w:r>
              <w:rPr>
                <w:rFonts w:hint="eastAsia" w:cs="宋体"/>
                <w:szCs w:val="21"/>
              </w:rPr>
              <w:t>招标要求</w:t>
            </w:r>
          </w:p>
        </w:tc>
        <w:tc>
          <w:tcPr>
            <w:tcW w:w="2622" w:type="dxa"/>
            <w:tcBorders>
              <w:top w:val="single" w:color="auto" w:sz="4" w:space="0"/>
              <w:left w:val="single" w:color="auto" w:sz="4" w:space="0"/>
              <w:bottom w:val="single" w:color="auto" w:sz="4" w:space="0"/>
              <w:right w:val="single" w:color="auto" w:sz="4" w:space="0"/>
            </w:tcBorders>
            <w:vAlign w:val="center"/>
          </w:tcPr>
          <w:p w14:paraId="55B74BA3">
            <w:pPr>
              <w:adjustRightInd w:val="0"/>
              <w:snapToGrid w:val="0"/>
              <w:spacing w:line="360" w:lineRule="auto"/>
              <w:rPr>
                <w:rFonts w:cs="宋体"/>
                <w:szCs w:val="21"/>
              </w:rPr>
            </w:pPr>
            <w:r>
              <w:rPr>
                <w:rFonts w:hint="eastAsia" w:cs="宋体"/>
                <w:szCs w:val="21"/>
              </w:rPr>
              <w:t>投标响应</w:t>
            </w:r>
          </w:p>
        </w:tc>
        <w:tc>
          <w:tcPr>
            <w:tcW w:w="1244" w:type="dxa"/>
            <w:tcBorders>
              <w:top w:val="single" w:color="auto" w:sz="4" w:space="0"/>
              <w:left w:val="single" w:color="auto" w:sz="4" w:space="0"/>
              <w:bottom w:val="single" w:color="auto" w:sz="4" w:space="0"/>
              <w:right w:val="single" w:color="auto" w:sz="4" w:space="0"/>
            </w:tcBorders>
            <w:vAlign w:val="center"/>
          </w:tcPr>
          <w:p w14:paraId="73DD9689">
            <w:pPr>
              <w:adjustRightInd w:val="0"/>
              <w:snapToGrid w:val="0"/>
              <w:spacing w:line="360" w:lineRule="auto"/>
              <w:rPr>
                <w:rFonts w:cs="宋体"/>
                <w:szCs w:val="21"/>
              </w:rPr>
            </w:pPr>
            <w:r>
              <w:rPr>
                <w:rFonts w:hint="eastAsia" w:cs="宋体"/>
                <w:szCs w:val="21"/>
              </w:rPr>
              <w:t>超出、符合或偏离</w:t>
            </w:r>
          </w:p>
        </w:tc>
        <w:tc>
          <w:tcPr>
            <w:tcW w:w="1102" w:type="dxa"/>
            <w:tcBorders>
              <w:top w:val="single" w:color="auto" w:sz="4" w:space="0"/>
              <w:left w:val="single" w:color="auto" w:sz="4" w:space="0"/>
              <w:bottom w:val="single" w:color="auto" w:sz="4" w:space="0"/>
              <w:right w:val="single" w:color="auto" w:sz="4" w:space="0"/>
            </w:tcBorders>
            <w:vAlign w:val="center"/>
          </w:tcPr>
          <w:p w14:paraId="16E4FC4F">
            <w:pPr>
              <w:adjustRightInd w:val="0"/>
              <w:snapToGrid w:val="0"/>
              <w:spacing w:line="360" w:lineRule="auto"/>
              <w:jc w:val="center"/>
              <w:rPr>
                <w:rFonts w:cs="宋体"/>
                <w:szCs w:val="21"/>
              </w:rPr>
            </w:pPr>
            <w:r>
              <w:rPr>
                <w:rFonts w:hint="eastAsia" w:cs="宋体"/>
                <w:szCs w:val="21"/>
              </w:rPr>
              <w:t>原因</w:t>
            </w:r>
          </w:p>
        </w:tc>
      </w:tr>
      <w:tr w14:paraId="6A0CA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2560763A">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00A44B18">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39E177CA">
            <w:pPr>
              <w:adjustRightInd w:val="0"/>
              <w:snapToGrid w:val="0"/>
              <w:spacing w:line="360" w:lineRule="auto"/>
              <w:jc w:val="center"/>
              <w:rPr>
                <w:rFonts w:cs="宋体"/>
                <w:sz w:val="24"/>
                <w:szCs w:val="24"/>
              </w:rPr>
            </w:pPr>
          </w:p>
        </w:tc>
        <w:tc>
          <w:tcPr>
            <w:tcW w:w="1244" w:type="dxa"/>
            <w:tcBorders>
              <w:top w:val="single" w:color="auto" w:sz="4" w:space="0"/>
              <w:left w:val="single" w:color="auto" w:sz="4" w:space="0"/>
              <w:bottom w:val="single" w:color="auto" w:sz="4" w:space="0"/>
              <w:right w:val="single" w:color="auto" w:sz="4" w:space="0"/>
            </w:tcBorders>
          </w:tcPr>
          <w:p w14:paraId="19BD5056">
            <w:pPr>
              <w:adjustRightInd w:val="0"/>
              <w:snapToGrid w:val="0"/>
              <w:spacing w:line="360" w:lineRule="auto"/>
              <w:jc w:val="center"/>
              <w:rPr>
                <w:rFonts w:cs="宋体"/>
                <w:sz w:val="24"/>
                <w:szCs w:val="24"/>
              </w:rPr>
            </w:pPr>
          </w:p>
        </w:tc>
        <w:tc>
          <w:tcPr>
            <w:tcW w:w="1102" w:type="dxa"/>
            <w:tcBorders>
              <w:top w:val="single" w:color="auto" w:sz="4" w:space="0"/>
              <w:left w:val="single" w:color="auto" w:sz="4" w:space="0"/>
              <w:bottom w:val="single" w:color="auto" w:sz="4" w:space="0"/>
              <w:right w:val="single" w:color="auto" w:sz="4" w:space="0"/>
            </w:tcBorders>
          </w:tcPr>
          <w:p w14:paraId="0EBFAAEB">
            <w:pPr>
              <w:adjustRightInd w:val="0"/>
              <w:snapToGrid w:val="0"/>
              <w:spacing w:line="360" w:lineRule="auto"/>
              <w:jc w:val="center"/>
              <w:rPr>
                <w:rFonts w:cs="宋体"/>
                <w:sz w:val="24"/>
                <w:szCs w:val="24"/>
              </w:rPr>
            </w:pPr>
          </w:p>
        </w:tc>
      </w:tr>
      <w:tr w14:paraId="31FA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03137539">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1C84C88D">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2D0E8F96">
            <w:pPr>
              <w:adjustRightInd w:val="0"/>
              <w:snapToGrid w:val="0"/>
              <w:spacing w:line="360" w:lineRule="auto"/>
              <w:jc w:val="center"/>
              <w:rPr>
                <w:rFonts w:cs="宋体"/>
                <w:sz w:val="24"/>
                <w:szCs w:val="24"/>
              </w:rPr>
            </w:pPr>
          </w:p>
        </w:tc>
        <w:tc>
          <w:tcPr>
            <w:tcW w:w="1244" w:type="dxa"/>
            <w:tcBorders>
              <w:top w:val="single" w:color="auto" w:sz="4" w:space="0"/>
              <w:left w:val="single" w:color="auto" w:sz="4" w:space="0"/>
              <w:bottom w:val="single" w:color="auto" w:sz="4" w:space="0"/>
              <w:right w:val="single" w:color="auto" w:sz="4" w:space="0"/>
            </w:tcBorders>
          </w:tcPr>
          <w:p w14:paraId="22A7271D">
            <w:pPr>
              <w:adjustRightInd w:val="0"/>
              <w:snapToGrid w:val="0"/>
              <w:spacing w:line="360" w:lineRule="auto"/>
              <w:jc w:val="center"/>
              <w:rPr>
                <w:rFonts w:cs="宋体"/>
                <w:sz w:val="24"/>
                <w:szCs w:val="24"/>
              </w:rPr>
            </w:pPr>
          </w:p>
        </w:tc>
        <w:tc>
          <w:tcPr>
            <w:tcW w:w="1102" w:type="dxa"/>
            <w:tcBorders>
              <w:top w:val="single" w:color="auto" w:sz="4" w:space="0"/>
              <w:left w:val="single" w:color="auto" w:sz="4" w:space="0"/>
              <w:bottom w:val="single" w:color="auto" w:sz="4" w:space="0"/>
              <w:right w:val="single" w:color="auto" w:sz="4" w:space="0"/>
            </w:tcBorders>
          </w:tcPr>
          <w:p w14:paraId="0194512A">
            <w:pPr>
              <w:adjustRightInd w:val="0"/>
              <w:snapToGrid w:val="0"/>
              <w:spacing w:line="360" w:lineRule="auto"/>
              <w:jc w:val="center"/>
              <w:rPr>
                <w:rFonts w:cs="宋体"/>
                <w:sz w:val="24"/>
                <w:szCs w:val="24"/>
              </w:rPr>
            </w:pPr>
          </w:p>
        </w:tc>
      </w:tr>
      <w:tr w14:paraId="4754F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700C5112">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238F08EE">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41564530">
            <w:pPr>
              <w:adjustRightInd w:val="0"/>
              <w:snapToGrid w:val="0"/>
              <w:spacing w:line="360" w:lineRule="auto"/>
              <w:jc w:val="center"/>
              <w:rPr>
                <w:rFonts w:cs="宋体"/>
                <w:sz w:val="24"/>
                <w:szCs w:val="24"/>
              </w:rPr>
            </w:pPr>
          </w:p>
        </w:tc>
        <w:tc>
          <w:tcPr>
            <w:tcW w:w="1244" w:type="dxa"/>
            <w:tcBorders>
              <w:top w:val="single" w:color="auto" w:sz="4" w:space="0"/>
              <w:left w:val="single" w:color="auto" w:sz="4" w:space="0"/>
              <w:bottom w:val="single" w:color="auto" w:sz="4" w:space="0"/>
              <w:right w:val="single" w:color="auto" w:sz="4" w:space="0"/>
            </w:tcBorders>
          </w:tcPr>
          <w:p w14:paraId="25A91B28">
            <w:pPr>
              <w:adjustRightInd w:val="0"/>
              <w:snapToGrid w:val="0"/>
              <w:spacing w:line="360" w:lineRule="auto"/>
              <w:jc w:val="center"/>
              <w:rPr>
                <w:rFonts w:cs="宋体"/>
                <w:sz w:val="24"/>
                <w:szCs w:val="24"/>
              </w:rPr>
            </w:pPr>
          </w:p>
        </w:tc>
        <w:tc>
          <w:tcPr>
            <w:tcW w:w="1102" w:type="dxa"/>
            <w:tcBorders>
              <w:top w:val="single" w:color="auto" w:sz="4" w:space="0"/>
              <w:left w:val="single" w:color="auto" w:sz="4" w:space="0"/>
              <w:bottom w:val="single" w:color="auto" w:sz="4" w:space="0"/>
              <w:right w:val="single" w:color="auto" w:sz="4" w:space="0"/>
            </w:tcBorders>
          </w:tcPr>
          <w:p w14:paraId="63838367">
            <w:pPr>
              <w:adjustRightInd w:val="0"/>
              <w:snapToGrid w:val="0"/>
              <w:spacing w:line="360" w:lineRule="auto"/>
              <w:jc w:val="center"/>
              <w:rPr>
                <w:rFonts w:cs="宋体"/>
                <w:sz w:val="24"/>
                <w:szCs w:val="24"/>
              </w:rPr>
            </w:pPr>
          </w:p>
        </w:tc>
      </w:tr>
      <w:tr w14:paraId="4D84B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219E8DF3">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5AB85720">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6CF35B23">
            <w:pPr>
              <w:adjustRightInd w:val="0"/>
              <w:snapToGrid w:val="0"/>
              <w:spacing w:line="360" w:lineRule="auto"/>
              <w:jc w:val="center"/>
              <w:rPr>
                <w:rFonts w:cs="宋体"/>
                <w:sz w:val="24"/>
                <w:szCs w:val="24"/>
              </w:rPr>
            </w:pPr>
          </w:p>
        </w:tc>
        <w:tc>
          <w:tcPr>
            <w:tcW w:w="1244" w:type="dxa"/>
            <w:tcBorders>
              <w:top w:val="single" w:color="auto" w:sz="4" w:space="0"/>
              <w:left w:val="single" w:color="auto" w:sz="4" w:space="0"/>
              <w:bottom w:val="single" w:color="auto" w:sz="4" w:space="0"/>
              <w:right w:val="single" w:color="auto" w:sz="4" w:space="0"/>
            </w:tcBorders>
          </w:tcPr>
          <w:p w14:paraId="4EFC38DD">
            <w:pPr>
              <w:adjustRightInd w:val="0"/>
              <w:snapToGrid w:val="0"/>
              <w:spacing w:line="360" w:lineRule="auto"/>
              <w:jc w:val="center"/>
              <w:rPr>
                <w:rFonts w:cs="宋体"/>
                <w:sz w:val="24"/>
                <w:szCs w:val="24"/>
              </w:rPr>
            </w:pPr>
          </w:p>
        </w:tc>
        <w:tc>
          <w:tcPr>
            <w:tcW w:w="1102" w:type="dxa"/>
            <w:tcBorders>
              <w:top w:val="single" w:color="auto" w:sz="4" w:space="0"/>
              <w:left w:val="single" w:color="auto" w:sz="4" w:space="0"/>
              <w:bottom w:val="single" w:color="auto" w:sz="4" w:space="0"/>
              <w:right w:val="single" w:color="auto" w:sz="4" w:space="0"/>
            </w:tcBorders>
          </w:tcPr>
          <w:p w14:paraId="3D1E4689">
            <w:pPr>
              <w:adjustRightInd w:val="0"/>
              <w:snapToGrid w:val="0"/>
              <w:spacing w:line="360" w:lineRule="auto"/>
              <w:jc w:val="center"/>
              <w:rPr>
                <w:rFonts w:cs="宋体"/>
                <w:sz w:val="24"/>
                <w:szCs w:val="24"/>
              </w:rPr>
            </w:pPr>
          </w:p>
        </w:tc>
      </w:tr>
      <w:tr w14:paraId="6055E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787423FE">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1A95B246">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7BE4E997">
            <w:pPr>
              <w:adjustRightInd w:val="0"/>
              <w:snapToGrid w:val="0"/>
              <w:spacing w:line="360" w:lineRule="auto"/>
              <w:jc w:val="center"/>
              <w:rPr>
                <w:rFonts w:cs="宋体"/>
                <w:sz w:val="24"/>
                <w:szCs w:val="24"/>
              </w:rPr>
            </w:pPr>
          </w:p>
        </w:tc>
        <w:tc>
          <w:tcPr>
            <w:tcW w:w="1244" w:type="dxa"/>
            <w:tcBorders>
              <w:top w:val="single" w:color="auto" w:sz="4" w:space="0"/>
              <w:left w:val="single" w:color="auto" w:sz="4" w:space="0"/>
              <w:bottom w:val="single" w:color="auto" w:sz="4" w:space="0"/>
              <w:right w:val="single" w:color="auto" w:sz="4" w:space="0"/>
            </w:tcBorders>
          </w:tcPr>
          <w:p w14:paraId="17E22E9C">
            <w:pPr>
              <w:adjustRightInd w:val="0"/>
              <w:snapToGrid w:val="0"/>
              <w:spacing w:line="360" w:lineRule="auto"/>
              <w:jc w:val="center"/>
              <w:rPr>
                <w:rFonts w:cs="宋体"/>
                <w:sz w:val="24"/>
                <w:szCs w:val="24"/>
              </w:rPr>
            </w:pPr>
          </w:p>
        </w:tc>
        <w:tc>
          <w:tcPr>
            <w:tcW w:w="1102" w:type="dxa"/>
            <w:tcBorders>
              <w:top w:val="single" w:color="auto" w:sz="4" w:space="0"/>
              <w:left w:val="single" w:color="auto" w:sz="4" w:space="0"/>
              <w:bottom w:val="single" w:color="auto" w:sz="4" w:space="0"/>
              <w:right w:val="single" w:color="auto" w:sz="4" w:space="0"/>
            </w:tcBorders>
          </w:tcPr>
          <w:p w14:paraId="5B22C7C0">
            <w:pPr>
              <w:adjustRightInd w:val="0"/>
              <w:snapToGrid w:val="0"/>
              <w:spacing w:line="360" w:lineRule="auto"/>
              <w:jc w:val="center"/>
              <w:rPr>
                <w:rFonts w:cs="宋体"/>
                <w:sz w:val="24"/>
                <w:szCs w:val="24"/>
              </w:rPr>
            </w:pPr>
          </w:p>
        </w:tc>
      </w:tr>
      <w:tr w14:paraId="5736D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5AF01635">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4790D7DB">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1AB5B5EA">
            <w:pPr>
              <w:adjustRightInd w:val="0"/>
              <w:snapToGrid w:val="0"/>
              <w:spacing w:line="360" w:lineRule="auto"/>
              <w:jc w:val="center"/>
              <w:rPr>
                <w:rFonts w:cs="宋体"/>
                <w:sz w:val="24"/>
                <w:szCs w:val="24"/>
              </w:rPr>
            </w:pPr>
          </w:p>
        </w:tc>
        <w:tc>
          <w:tcPr>
            <w:tcW w:w="1244" w:type="dxa"/>
            <w:tcBorders>
              <w:top w:val="single" w:color="auto" w:sz="4" w:space="0"/>
              <w:left w:val="single" w:color="auto" w:sz="4" w:space="0"/>
              <w:bottom w:val="single" w:color="auto" w:sz="4" w:space="0"/>
              <w:right w:val="single" w:color="auto" w:sz="4" w:space="0"/>
            </w:tcBorders>
          </w:tcPr>
          <w:p w14:paraId="4810A52E">
            <w:pPr>
              <w:adjustRightInd w:val="0"/>
              <w:snapToGrid w:val="0"/>
              <w:spacing w:line="360" w:lineRule="auto"/>
              <w:jc w:val="center"/>
              <w:rPr>
                <w:rFonts w:cs="宋体"/>
                <w:sz w:val="24"/>
                <w:szCs w:val="24"/>
              </w:rPr>
            </w:pPr>
          </w:p>
        </w:tc>
        <w:tc>
          <w:tcPr>
            <w:tcW w:w="1102" w:type="dxa"/>
            <w:tcBorders>
              <w:top w:val="single" w:color="auto" w:sz="4" w:space="0"/>
              <w:left w:val="single" w:color="auto" w:sz="4" w:space="0"/>
              <w:bottom w:val="single" w:color="auto" w:sz="4" w:space="0"/>
              <w:right w:val="single" w:color="auto" w:sz="4" w:space="0"/>
            </w:tcBorders>
          </w:tcPr>
          <w:p w14:paraId="419DA104">
            <w:pPr>
              <w:adjustRightInd w:val="0"/>
              <w:snapToGrid w:val="0"/>
              <w:spacing w:line="360" w:lineRule="auto"/>
              <w:jc w:val="center"/>
              <w:rPr>
                <w:rFonts w:cs="宋体"/>
                <w:sz w:val="24"/>
                <w:szCs w:val="24"/>
              </w:rPr>
            </w:pPr>
          </w:p>
        </w:tc>
      </w:tr>
      <w:tr w14:paraId="6543A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6F153CCA">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1CCA0A05">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0DEF2661">
            <w:pPr>
              <w:adjustRightInd w:val="0"/>
              <w:snapToGrid w:val="0"/>
              <w:spacing w:line="360" w:lineRule="auto"/>
              <w:jc w:val="center"/>
              <w:rPr>
                <w:rFonts w:cs="宋体"/>
                <w:sz w:val="24"/>
                <w:szCs w:val="24"/>
              </w:rPr>
            </w:pPr>
          </w:p>
        </w:tc>
        <w:tc>
          <w:tcPr>
            <w:tcW w:w="1244" w:type="dxa"/>
            <w:tcBorders>
              <w:top w:val="single" w:color="auto" w:sz="4" w:space="0"/>
              <w:left w:val="single" w:color="auto" w:sz="4" w:space="0"/>
              <w:bottom w:val="single" w:color="auto" w:sz="4" w:space="0"/>
              <w:right w:val="single" w:color="auto" w:sz="4" w:space="0"/>
            </w:tcBorders>
          </w:tcPr>
          <w:p w14:paraId="2AA0126F">
            <w:pPr>
              <w:adjustRightInd w:val="0"/>
              <w:snapToGrid w:val="0"/>
              <w:spacing w:line="360" w:lineRule="auto"/>
              <w:jc w:val="center"/>
              <w:rPr>
                <w:rFonts w:cs="宋体"/>
                <w:sz w:val="24"/>
                <w:szCs w:val="24"/>
              </w:rPr>
            </w:pPr>
          </w:p>
        </w:tc>
        <w:tc>
          <w:tcPr>
            <w:tcW w:w="1102" w:type="dxa"/>
            <w:tcBorders>
              <w:top w:val="single" w:color="auto" w:sz="4" w:space="0"/>
              <w:left w:val="single" w:color="auto" w:sz="4" w:space="0"/>
              <w:bottom w:val="single" w:color="auto" w:sz="4" w:space="0"/>
              <w:right w:val="single" w:color="auto" w:sz="4" w:space="0"/>
            </w:tcBorders>
          </w:tcPr>
          <w:p w14:paraId="59EFF2D5">
            <w:pPr>
              <w:adjustRightInd w:val="0"/>
              <w:snapToGrid w:val="0"/>
              <w:spacing w:line="360" w:lineRule="auto"/>
              <w:jc w:val="center"/>
              <w:rPr>
                <w:rFonts w:cs="宋体"/>
                <w:sz w:val="24"/>
                <w:szCs w:val="24"/>
              </w:rPr>
            </w:pPr>
          </w:p>
        </w:tc>
      </w:tr>
      <w:tr w14:paraId="7C53F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7035AE0F">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5663561B">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3BEB2FF0">
            <w:pPr>
              <w:adjustRightInd w:val="0"/>
              <w:snapToGrid w:val="0"/>
              <w:spacing w:line="360" w:lineRule="auto"/>
              <w:jc w:val="center"/>
              <w:rPr>
                <w:rFonts w:cs="宋体"/>
                <w:sz w:val="24"/>
                <w:szCs w:val="24"/>
              </w:rPr>
            </w:pPr>
          </w:p>
        </w:tc>
        <w:tc>
          <w:tcPr>
            <w:tcW w:w="1244" w:type="dxa"/>
            <w:tcBorders>
              <w:top w:val="single" w:color="auto" w:sz="4" w:space="0"/>
              <w:left w:val="single" w:color="auto" w:sz="4" w:space="0"/>
              <w:bottom w:val="single" w:color="auto" w:sz="4" w:space="0"/>
              <w:right w:val="single" w:color="auto" w:sz="4" w:space="0"/>
            </w:tcBorders>
          </w:tcPr>
          <w:p w14:paraId="489AD3C4">
            <w:pPr>
              <w:adjustRightInd w:val="0"/>
              <w:snapToGrid w:val="0"/>
              <w:spacing w:line="360" w:lineRule="auto"/>
              <w:jc w:val="center"/>
              <w:rPr>
                <w:rFonts w:cs="宋体"/>
                <w:sz w:val="24"/>
                <w:szCs w:val="24"/>
              </w:rPr>
            </w:pPr>
          </w:p>
        </w:tc>
        <w:tc>
          <w:tcPr>
            <w:tcW w:w="1102" w:type="dxa"/>
            <w:tcBorders>
              <w:top w:val="single" w:color="auto" w:sz="4" w:space="0"/>
              <w:left w:val="single" w:color="auto" w:sz="4" w:space="0"/>
              <w:bottom w:val="single" w:color="auto" w:sz="4" w:space="0"/>
              <w:right w:val="single" w:color="auto" w:sz="4" w:space="0"/>
            </w:tcBorders>
          </w:tcPr>
          <w:p w14:paraId="76BAEE47">
            <w:pPr>
              <w:adjustRightInd w:val="0"/>
              <w:snapToGrid w:val="0"/>
              <w:spacing w:line="360" w:lineRule="auto"/>
              <w:jc w:val="center"/>
              <w:rPr>
                <w:rFonts w:cs="宋体"/>
                <w:sz w:val="24"/>
                <w:szCs w:val="24"/>
              </w:rPr>
            </w:pPr>
          </w:p>
        </w:tc>
      </w:tr>
    </w:tbl>
    <w:p w14:paraId="3D6E2BBD">
      <w:pPr>
        <w:spacing w:line="360" w:lineRule="auto"/>
        <w:rPr>
          <w:rFonts w:cs="宋体"/>
          <w:szCs w:val="21"/>
        </w:rPr>
      </w:pPr>
    </w:p>
    <w:p w14:paraId="4690BA6A">
      <w:pPr>
        <w:spacing w:line="360" w:lineRule="auto"/>
        <w:rPr>
          <w:bCs/>
          <w:szCs w:val="21"/>
        </w:rPr>
      </w:pPr>
      <w:r>
        <w:rPr>
          <w:rFonts w:hint="eastAsia"/>
          <w:bCs/>
          <w:szCs w:val="21"/>
        </w:rPr>
        <w:t xml:space="preserve">                               投标人名称（公章）：</w:t>
      </w:r>
    </w:p>
    <w:p w14:paraId="394C5CA9">
      <w:pPr>
        <w:spacing w:line="360" w:lineRule="auto"/>
        <w:rPr>
          <w:bCs/>
          <w:szCs w:val="21"/>
        </w:rPr>
      </w:pPr>
      <w:r>
        <w:rPr>
          <w:rFonts w:hint="eastAsia"/>
          <w:bCs/>
          <w:szCs w:val="21"/>
        </w:rPr>
        <w:t xml:space="preserve">                               法定代表人或授权代表（签字或盖章）：</w:t>
      </w:r>
    </w:p>
    <w:p w14:paraId="418B854E">
      <w:pPr>
        <w:spacing w:line="360" w:lineRule="auto"/>
        <w:rPr>
          <w:bCs/>
          <w:szCs w:val="21"/>
          <w:u w:val="single"/>
        </w:rPr>
      </w:pPr>
      <w:r>
        <w:rPr>
          <w:rFonts w:hint="eastAsia"/>
          <w:bCs/>
          <w:szCs w:val="21"/>
        </w:rPr>
        <w:t xml:space="preserve">                               日期：</w:t>
      </w:r>
      <w:r>
        <w:rPr>
          <w:rFonts w:hint="eastAsia"/>
          <w:bCs/>
          <w:szCs w:val="21"/>
          <w:u w:val="single"/>
        </w:rPr>
        <w:t xml:space="preserve">    </w:t>
      </w:r>
      <w:r>
        <w:rPr>
          <w:rFonts w:hint="eastAsia"/>
          <w:bCs/>
          <w:szCs w:val="21"/>
        </w:rPr>
        <w:t>年</w:t>
      </w:r>
      <w:r>
        <w:rPr>
          <w:rFonts w:hint="eastAsia"/>
          <w:bCs/>
          <w:szCs w:val="21"/>
          <w:u w:val="single"/>
        </w:rPr>
        <w:t xml:space="preserve">    </w:t>
      </w:r>
      <w:r>
        <w:rPr>
          <w:rFonts w:hint="eastAsia"/>
          <w:bCs/>
          <w:szCs w:val="21"/>
        </w:rPr>
        <w:t>月</w:t>
      </w:r>
      <w:r>
        <w:rPr>
          <w:rFonts w:hint="eastAsia"/>
          <w:bCs/>
          <w:szCs w:val="21"/>
          <w:u w:val="single"/>
        </w:rPr>
        <w:t xml:space="preserve">     </w:t>
      </w:r>
      <w:r>
        <w:rPr>
          <w:rFonts w:hint="eastAsia"/>
          <w:bCs/>
          <w:szCs w:val="21"/>
        </w:rPr>
        <w:t>日</w:t>
      </w:r>
    </w:p>
    <w:p w14:paraId="2085C6DF">
      <w:pPr>
        <w:spacing w:line="360" w:lineRule="auto"/>
        <w:rPr>
          <w:bCs/>
          <w:szCs w:val="21"/>
          <w:u w:val="single"/>
        </w:rPr>
      </w:pPr>
    </w:p>
    <w:p w14:paraId="472B2211">
      <w:pPr>
        <w:spacing w:line="360" w:lineRule="auto"/>
        <w:rPr>
          <w:rFonts w:cs="宋体"/>
          <w:szCs w:val="21"/>
        </w:rPr>
      </w:pPr>
      <w:r>
        <w:rPr>
          <w:rFonts w:hint="eastAsia" w:cs="宋体"/>
          <w:szCs w:val="21"/>
        </w:rPr>
        <w:t>注：1、按照基本技术要求详细填列。</w:t>
      </w:r>
    </w:p>
    <w:p w14:paraId="5CC6C3D6">
      <w:pPr>
        <w:spacing w:line="360" w:lineRule="auto"/>
        <w:rPr>
          <w:bCs/>
          <w:szCs w:val="21"/>
        </w:rPr>
        <w:sectPr>
          <w:pgSz w:w="11906" w:h="16838"/>
          <w:pgMar w:top="1440" w:right="1800" w:bottom="1440" w:left="1800" w:header="851" w:footer="992" w:gutter="0"/>
          <w:cols w:space="720" w:num="1"/>
          <w:docGrid w:type="lines" w:linePitch="312" w:charSpace="0"/>
        </w:sectPr>
      </w:pPr>
      <w:r>
        <w:rPr>
          <w:rFonts w:hint="eastAsia" w:cs="宋体"/>
          <w:szCs w:val="21"/>
        </w:rPr>
        <w:t>2.行数不够，可自行添加。</w:t>
      </w:r>
    </w:p>
    <w:p w14:paraId="5053C487">
      <w:pPr>
        <w:jc w:val="center"/>
        <w:rPr>
          <w:rFonts w:hint="eastAsia" w:ascii="宋体" w:hAnsi="宋体" w:cs="宋体"/>
          <w:b/>
          <w:bCs/>
          <w:sz w:val="32"/>
          <w:szCs w:val="44"/>
        </w:rPr>
      </w:pPr>
      <w:r>
        <w:rPr>
          <w:rFonts w:hint="eastAsia" w:ascii="宋体" w:hAnsi="宋体" w:cs="宋体"/>
          <w:b/>
          <w:bCs/>
          <w:sz w:val="32"/>
          <w:szCs w:val="44"/>
        </w:rPr>
        <w:t>六、商务条款响应及偏离表</w:t>
      </w:r>
    </w:p>
    <w:tbl>
      <w:tblPr>
        <w:tblStyle w:val="36"/>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47"/>
        <w:gridCol w:w="2698"/>
        <w:gridCol w:w="1259"/>
        <w:gridCol w:w="3018"/>
      </w:tblGrid>
      <w:tr w14:paraId="2E7550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547" w:type="dxa"/>
            <w:tcBorders>
              <w:top w:val="single" w:color="auto" w:sz="4" w:space="0"/>
              <w:left w:val="single" w:color="auto" w:sz="4" w:space="0"/>
              <w:bottom w:val="single" w:color="auto" w:sz="4" w:space="0"/>
              <w:right w:val="single" w:color="auto" w:sz="4" w:space="0"/>
            </w:tcBorders>
            <w:vAlign w:val="center"/>
          </w:tcPr>
          <w:p w14:paraId="38A75C70">
            <w:pPr>
              <w:adjustRightInd w:val="0"/>
              <w:snapToGrid w:val="0"/>
              <w:spacing w:line="360" w:lineRule="auto"/>
              <w:jc w:val="center"/>
              <w:rPr>
                <w:rFonts w:cs="宋体"/>
                <w:szCs w:val="21"/>
              </w:rPr>
            </w:pPr>
            <w:r>
              <w:rPr>
                <w:rFonts w:hint="eastAsia" w:cs="宋体"/>
                <w:szCs w:val="21"/>
              </w:rPr>
              <w:t>项目</w:t>
            </w:r>
          </w:p>
        </w:tc>
        <w:tc>
          <w:tcPr>
            <w:tcW w:w="2698" w:type="dxa"/>
            <w:tcBorders>
              <w:top w:val="single" w:color="auto" w:sz="4" w:space="0"/>
              <w:left w:val="single" w:color="auto" w:sz="4" w:space="0"/>
              <w:bottom w:val="single" w:color="auto" w:sz="4" w:space="0"/>
              <w:right w:val="single" w:color="auto" w:sz="4" w:space="0"/>
            </w:tcBorders>
            <w:vAlign w:val="center"/>
          </w:tcPr>
          <w:p w14:paraId="07921606">
            <w:pPr>
              <w:adjustRightInd w:val="0"/>
              <w:snapToGrid w:val="0"/>
              <w:spacing w:line="360" w:lineRule="auto"/>
              <w:jc w:val="center"/>
              <w:rPr>
                <w:rFonts w:cs="宋体"/>
                <w:szCs w:val="21"/>
              </w:rPr>
            </w:pPr>
            <w:r>
              <w:rPr>
                <w:rFonts w:hint="eastAsia" w:cs="宋体"/>
                <w:szCs w:val="21"/>
              </w:rPr>
              <w:t>招标文件要求</w:t>
            </w:r>
          </w:p>
        </w:tc>
        <w:tc>
          <w:tcPr>
            <w:tcW w:w="1259" w:type="dxa"/>
            <w:tcBorders>
              <w:top w:val="single" w:color="auto" w:sz="4" w:space="0"/>
              <w:left w:val="single" w:color="auto" w:sz="4" w:space="0"/>
              <w:bottom w:val="single" w:color="auto" w:sz="4" w:space="0"/>
              <w:right w:val="single" w:color="auto" w:sz="4" w:space="0"/>
            </w:tcBorders>
            <w:vAlign w:val="center"/>
          </w:tcPr>
          <w:p w14:paraId="0A6395C9">
            <w:pPr>
              <w:adjustRightInd w:val="0"/>
              <w:snapToGrid w:val="0"/>
              <w:spacing w:line="360" w:lineRule="auto"/>
              <w:jc w:val="center"/>
              <w:rPr>
                <w:rFonts w:cs="宋体"/>
                <w:szCs w:val="21"/>
              </w:rPr>
            </w:pPr>
            <w:r>
              <w:rPr>
                <w:rFonts w:hint="eastAsia" w:cs="宋体"/>
                <w:szCs w:val="21"/>
              </w:rPr>
              <w:t>是否响应</w:t>
            </w:r>
          </w:p>
        </w:tc>
        <w:tc>
          <w:tcPr>
            <w:tcW w:w="3018" w:type="dxa"/>
            <w:tcBorders>
              <w:top w:val="single" w:color="auto" w:sz="4" w:space="0"/>
              <w:left w:val="single" w:color="auto" w:sz="4" w:space="0"/>
              <w:bottom w:val="single" w:color="auto" w:sz="4" w:space="0"/>
              <w:right w:val="single" w:color="auto" w:sz="4" w:space="0"/>
            </w:tcBorders>
            <w:vAlign w:val="center"/>
          </w:tcPr>
          <w:p w14:paraId="2975FCF0">
            <w:pPr>
              <w:adjustRightInd w:val="0"/>
              <w:snapToGrid w:val="0"/>
              <w:spacing w:line="360" w:lineRule="auto"/>
              <w:jc w:val="center"/>
              <w:rPr>
                <w:rFonts w:cs="宋体"/>
                <w:szCs w:val="21"/>
              </w:rPr>
            </w:pPr>
            <w:r>
              <w:rPr>
                <w:rFonts w:hint="eastAsia" w:cs="宋体"/>
                <w:szCs w:val="21"/>
              </w:rPr>
              <w:t>投标人的承诺或说明</w:t>
            </w:r>
          </w:p>
        </w:tc>
      </w:tr>
      <w:tr w14:paraId="576093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547" w:type="dxa"/>
            <w:tcBorders>
              <w:top w:val="single" w:color="auto" w:sz="4" w:space="0"/>
              <w:left w:val="single" w:color="auto" w:sz="4" w:space="0"/>
              <w:bottom w:val="single" w:color="auto" w:sz="4" w:space="0"/>
              <w:right w:val="single" w:color="auto" w:sz="4" w:space="0"/>
            </w:tcBorders>
            <w:vAlign w:val="center"/>
          </w:tcPr>
          <w:p w14:paraId="659E9CCF">
            <w:pPr>
              <w:adjustRightInd w:val="0"/>
              <w:snapToGrid w:val="0"/>
              <w:spacing w:line="360" w:lineRule="auto"/>
              <w:jc w:val="center"/>
              <w:rPr>
                <w:rFonts w:cs="宋体"/>
                <w:szCs w:val="21"/>
              </w:rPr>
            </w:pPr>
            <w:r>
              <w:rPr>
                <w:rFonts w:hint="eastAsia" w:cs="宋体"/>
                <w:szCs w:val="21"/>
              </w:rPr>
              <w:t>质保期</w:t>
            </w:r>
          </w:p>
        </w:tc>
        <w:tc>
          <w:tcPr>
            <w:tcW w:w="2698" w:type="dxa"/>
            <w:tcBorders>
              <w:top w:val="single" w:color="auto" w:sz="4" w:space="0"/>
              <w:left w:val="single" w:color="auto" w:sz="4" w:space="0"/>
              <w:bottom w:val="single" w:color="auto" w:sz="4" w:space="0"/>
              <w:right w:val="single" w:color="auto" w:sz="4" w:space="0"/>
            </w:tcBorders>
            <w:vAlign w:val="center"/>
          </w:tcPr>
          <w:p w14:paraId="10F2AEA2">
            <w:pPr>
              <w:adjustRightInd w:val="0"/>
              <w:snapToGrid w:val="0"/>
              <w:spacing w:line="360" w:lineRule="auto"/>
              <w:jc w:val="center"/>
              <w:rPr>
                <w:rFonts w:cs="宋体"/>
                <w:szCs w:val="21"/>
              </w:rPr>
            </w:pPr>
          </w:p>
        </w:tc>
        <w:tc>
          <w:tcPr>
            <w:tcW w:w="1259" w:type="dxa"/>
            <w:tcBorders>
              <w:top w:val="single" w:color="auto" w:sz="4" w:space="0"/>
              <w:left w:val="single" w:color="auto" w:sz="4" w:space="0"/>
              <w:bottom w:val="single" w:color="auto" w:sz="4" w:space="0"/>
              <w:right w:val="single" w:color="auto" w:sz="4" w:space="0"/>
            </w:tcBorders>
            <w:vAlign w:val="center"/>
          </w:tcPr>
          <w:p w14:paraId="492232E0">
            <w:pPr>
              <w:adjustRightInd w:val="0"/>
              <w:snapToGrid w:val="0"/>
              <w:spacing w:line="360" w:lineRule="auto"/>
              <w:jc w:val="center"/>
              <w:rPr>
                <w:rFonts w:cs="宋体"/>
                <w:szCs w:val="21"/>
              </w:rPr>
            </w:pPr>
          </w:p>
        </w:tc>
        <w:tc>
          <w:tcPr>
            <w:tcW w:w="3018" w:type="dxa"/>
            <w:tcBorders>
              <w:top w:val="single" w:color="auto" w:sz="4" w:space="0"/>
              <w:left w:val="single" w:color="auto" w:sz="4" w:space="0"/>
              <w:bottom w:val="single" w:color="auto" w:sz="4" w:space="0"/>
              <w:right w:val="single" w:color="auto" w:sz="4" w:space="0"/>
            </w:tcBorders>
            <w:vAlign w:val="center"/>
          </w:tcPr>
          <w:p w14:paraId="400693CA">
            <w:pPr>
              <w:adjustRightInd w:val="0"/>
              <w:snapToGrid w:val="0"/>
              <w:spacing w:line="360" w:lineRule="auto"/>
              <w:jc w:val="center"/>
              <w:rPr>
                <w:rFonts w:cs="宋体"/>
                <w:szCs w:val="21"/>
              </w:rPr>
            </w:pPr>
          </w:p>
        </w:tc>
      </w:tr>
      <w:tr w14:paraId="7CBD07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547" w:type="dxa"/>
            <w:tcBorders>
              <w:top w:val="single" w:color="auto" w:sz="4" w:space="0"/>
              <w:left w:val="single" w:color="auto" w:sz="4" w:space="0"/>
              <w:bottom w:val="single" w:color="auto" w:sz="4" w:space="0"/>
              <w:right w:val="single" w:color="auto" w:sz="4" w:space="0"/>
            </w:tcBorders>
            <w:vAlign w:val="center"/>
          </w:tcPr>
          <w:p w14:paraId="2EF87423">
            <w:pPr>
              <w:adjustRightInd w:val="0"/>
              <w:snapToGrid w:val="0"/>
              <w:spacing w:line="360" w:lineRule="auto"/>
              <w:jc w:val="center"/>
              <w:rPr>
                <w:rFonts w:cs="宋体"/>
                <w:szCs w:val="21"/>
              </w:rPr>
            </w:pPr>
            <w:r>
              <w:rPr>
                <w:rFonts w:hint="eastAsia" w:cs="宋体"/>
                <w:szCs w:val="21"/>
              </w:rPr>
              <w:t>交货时间</w:t>
            </w:r>
          </w:p>
        </w:tc>
        <w:tc>
          <w:tcPr>
            <w:tcW w:w="2698" w:type="dxa"/>
            <w:tcBorders>
              <w:top w:val="single" w:color="auto" w:sz="4" w:space="0"/>
              <w:left w:val="single" w:color="auto" w:sz="4" w:space="0"/>
              <w:bottom w:val="single" w:color="auto" w:sz="4" w:space="0"/>
              <w:right w:val="single" w:color="auto" w:sz="4" w:space="0"/>
            </w:tcBorders>
            <w:vAlign w:val="center"/>
          </w:tcPr>
          <w:p w14:paraId="0C8C29D3">
            <w:pPr>
              <w:adjustRightInd w:val="0"/>
              <w:snapToGrid w:val="0"/>
              <w:spacing w:line="360" w:lineRule="auto"/>
              <w:jc w:val="center"/>
              <w:rPr>
                <w:rFonts w:cs="宋体"/>
                <w:szCs w:val="21"/>
              </w:rPr>
            </w:pPr>
          </w:p>
        </w:tc>
        <w:tc>
          <w:tcPr>
            <w:tcW w:w="1259" w:type="dxa"/>
            <w:tcBorders>
              <w:top w:val="single" w:color="auto" w:sz="4" w:space="0"/>
              <w:left w:val="single" w:color="auto" w:sz="4" w:space="0"/>
              <w:bottom w:val="single" w:color="auto" w:sz="4" w:space="0"/>
              <w:right w:val="single" w:color="auto" w:sz="4" w:space="0"/>
            </w:tcBorders>
            <w:vAlign w:val="center"/>
          </w:tcPr>
          <w:p w14:paraId="782D4596">
            <w:pPr>
              <w:adjustRightInd w:val="0"/>
              <w:snapToGrid w:val="0"/>
              <w:spacing w:line="360" w:lineRule="auto"/>
              <w:ind w:left="43"/>
              <w:jc w:val="center"/>
              <w:rPr>
                <w:rFonts w:cs="宋体"/>
                <w:szCs w:val="21"/>
              </w:rPr>
            </w:pPr>
          </w:p>
        </w:tc>
        <w:tc>
          <w:tcPr>
            <w:tcW w:w="3018" w:type="dxa"/>
            <w:tcBorders>
              <w:top w:val="single" w:color="auto" w:sz="4" w:space="0"/>
              <w:left w:val="single" w:color="auto" w:sz="4" w:space="0"/>
              <w:bottom w:val="single" w:color="auto" w:sz="4" w:space="0"/>
              <w:right w:val="single" w:color="auto" w:sz="4" w:space="0"/>
            </w:tcBorders>
            <w:vAlign w:val="center"/>
          </w:tcPr>
          <w:p w14:paraId="7BD385B2">
            <w:pPr>
              <w:adjustRightInd w:val="0"/>
              <w:snapToGrid w:val="0"/>
              <w:spacing w:line="360" w:lineRule="auto"/>
              <w:ind w:left="43"/>
              <w:jc w:val="center"/>
              <w:rPr>
                <w:rFonts w:cs="宋体"/>
                <w:szCs w:val="21"/>
              </w:rPr>
            </w:pPr>
          </w:p>
        </w:tc>
      </w:tr>
      <w:tr w14:paraId="7DE8B1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547" w:type="dxa"/>
            <w:tcBorders>
              <w:top w:val="single" w:color="auto" w:sz="4" w:space="0"/>
              <w:left w:val="single" w:color="auto" w:sz="4" w:space="0"/>
              <w:bottom w:val="single" w:color="auto" w:sz="4" w:space="0"/>
              <w:right w:val="single" w:color="auto" w:sz="4" w:space="0"/>
            </w:tcBorders>
            <w:vAlign w:val="center"/>
          </w:tcPr>
          <w:p w14:paraId="7ADF6E52">
            <w:pPr>
              <w:adjustRightInd w:val="0"/>
              <w:snapToGrid w:val="0"/>
              <w:spacing w:line="360" w:lineRule="auto"/>
              <w:jc w:val="center"/>
              <w:rPr>
                <w:rFonts w:cs="宋体"/>
                <w:szCs w:val="21"/>
              </w:rPr>
            </w:pPr>
            <w:r>
              <w:rPr>
                <w:rFonts w:hint="eastAsia" w:cs="宋体"/>
                <w:szCs w:val="21"/>
              </w:rPr>
              <w:t>交货方式</w:t>
            </w:r>
          </w:p>
        </w:tc>
        <w:tc>
          <w:tcPr>
            <w:tcW w:w="2698" w:type="dxa"/>
            <w:tcBorders>
              <w:top w:val="single" w:color="auto" w:sz="4" w:space="0"/>
              <w:left w:val="single" w:color="auto" w:sz="4" w:space="0"/>
              <w:bottom w:val="single" w:color="auto" w:sz="4" w:space="0"/>
              <w:right w:val="single" w:color="auto" w:sz="4" w:space="0"/>
            </w:tcBorders>
            <w:vAlign w:val="center"/>
          </w:tcPr>
          <w:p w14:paraId="68983FB1">
            <w:pPr>
              <w:spacing w:line="360" w:lineRule="auto"/>
              <w:jc w:val="center"/>
              <w:rPr>
                <w:rFonts w:cs="宋体"/>
                <w:szCs w:val="21"/>
              </w:rPr>
            </w:pPr>
          </w:p>
          <w:p w14:paraId="33D0458A">
            <w:pPr>
              <w:adjustRightInd w:val="0"/>
              <w:snapToGrid w:val="0"/>
              <w:spacing w:line="360" w:lineRule="auto"/>
              <w:jc w:val="center"/>
              <w:rPr>
                <w:rFonts w:cs="宋体"/>
                <w:szCs w:val="21"/>
              </w:rPr>
            </w:pPr>
          </w:p>
        </w:tc>
        <w:tc>
          <w:tcPr>
            <w:tcW w:w="1259" w:type="dxa"/>
            <w:tcBorders>
              <w:top w:val="single" w:color="auto" w:sz="4" w:space="0"/>
              <w:left w:val="single" w:color="auto" w:sz="4" w:space="0"/>
              <w:bottom w:val="single" w:color="auto" w:sz="4" w:space="0"/>
              <w:right w:val="single" w:color="auto" w:sz="4" w:space="0"/>
            </w:tcBorders>
            <w:vAlign w:val="center"/>
          </w:tcPr>
          <w:p w14:paraId="5808899C">
            <w:pPr>
              <w:adjustRightInd w:val="0"/>
              <w:snapToGrid w:val="0"/>
              <w:spacing w:line="360" w:lineRule="auto"/>
              <w:ind w:left="43"/>
              <w:jc w:val="center"/>
              <w:rPr>
                <w:rFonts w:cs="宋体"/>
                <w:szCs w:val="21"/>
              </w:rPr>
            </w:pPr>
          </w:p>
        </w:tc>
        <w:tc>
          <w:tcPr>
            <w:tcW w:w="3018" w:type="dxa"/>
            <w:tcBorders>
              <w:top w:val="single" w:color="auto" w:sz="4" w:space="0"/>
              <w:left w:val="single" w:color="auto" w:sz="4" w:space="0"/>
              <w:bottom w:val="single" w:color="auto" w:sz="4" w:space="0"/>
              <w:right w:val="single" w:color="auto" w:sz="4" w:space="0"/>
            </w:tcBorders>
            <w:vAlign w:val="center"/>
          </w:tcPr>
          <w:p w14:paraId="5A9414A4">
            <w:pPr>
              <w:adjustRightInd w:val="0"/>
              <w:snapToGrid w:val="0"/>
              <w:spacing w:line="360" w:lineRule="auto"/>
              <w:ind w:left="43"/>
              <w:jc w:val="center"/>
              <w:rPr>
                <w:rFonts w:cs="宋体"/>
                <w:szCs w:val="21"/>
              </w:rPr>
            </w:pPr>
          </w:p>
        </w:tc>
      </w:tr>
      <w:tr w14:paraId="6652E3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547" w:type="dxa"/>
            <w:tcBorders>
              <w:top w:val="single" w:color="auto" w:sz="4" w:space="0"/>
              <w:left w:val="single" w:color="auto" w:sz="4" w:space="0"/>
              <w:bottom w:val="single" w:color="auto" w:sz="4" w:space="0"/>
              <w:right w:val="single" w:color="auto" w:sz="4" w:space="0"/>
            </w:tcBorders>
            <w:vAlign w:val="center"/>
          </w:tcPr>
          <w:p w14:paraId="62F986E5">
            <w:pPr>
              <w:adjustRightInd w:val="0"/>
              <w:snapToGrid w:val="0"/>
              <w:spacing w:line="360" w:lineRule="auto"/>
              <w:jc w:val="center"/>
              <w:rPr>
                <w:rFonts w:cs="宋体"/>
                <w:szCs w:val="21"/>
              </w:rPr>
            </w:pPr>
            <w:r>
              <w:rPr>
                <w:rFonts w:hint="eastAsia" w:cs="宋体"/>
                <w:szCs w:val="21"/>
              </w:rPr>
              <w:t>交货地点</w:t>
            </w:r>
          </w:p>
        </w:tc>
        <w:tc>
          <w:tcPr>
            <w:tcW w:w="2698" w:type="dxa"/>
            <w:tcBorders>
              <w:top w:val="single" w:color="auto" w:sz="4" w:space="0"/>
              <w:left w:val="single" w:color="auto" w:sz="4" w:space="0"/>
              <w:bottom w:val="single" w:color="auto" w:sz="4" w:space="0"/>
              <w:right w:val="single" w:color="auto" w:sz="4" w:space="0"/>
            </w:tcBorders>
            <w:vAlign w:val="center"/>
          </w:tcPr>
          <w:p w14:paraId="19B8EA6B">
            <w:pPr>
              <w:spacing w:line="360" w:lineRule="auto"/>
              <w:jc w:val="center"/>
              <w:rPr>
                <w:rFonts w:cs="宋体"/>
                <w:szCs w:val="21"/>
              </w:rPr>
            </w:pPr>
          </w:p>
          <w:p w14:paraId="6605BB93">
            <w:pPr>
              <w:adjustRightInd w:val="0"/>
              <w:snapToGrid w:val="0"/>
              <w:spacing w:line="360" w:lineRule="auto"/>
              <w:jc w:val="center"/>
              <w:rPr>
                <w:rFonts w:cs="宋体"/>
                <w:szCs w:val="21"/>
              </w:rPr>
            </w:pPr>
          </w:p>
        </w:tc>
        <w:tc>
          <w:tcPr>
            <w:tcW w:w="1259" w:type="dxa"/>
            <w:tcBorders>
              <w:top w:val="single" w:color="auto" w:sz="4" w:space="0"/>
              <w:left w:val="single" w:color="auto" w:sz="4" w:space="0"/>
              <w:bottom w:val="single" w:color="auto" w:sz="4" w:space="0"/>
              <w:right w:val="single" w:color="auto" w:sz="4" w:space="0"/>
            </w:tcBorders>
            <w:vAlign w:val="center"/>
          </w:tcPr>
          <w:p w14:paraId="04F9D2CB">
            <w:pPr>
              <w:adjustRightInd w:val="0"/>
              <w:snapToGrid w:val="0"/>
              <w:spacing w:line="360" w:lineRule="auto"/>
              <w:ind w:left="43"/>
              <w:jc w:val="center"/>
              <w:rPr>
                <w:rFonts w:cs="宋体"/>
                <w:szCs w:val="21"/>
              </w:rPr>
            </w:pPr>
          </w:p>
        </w:tc>
        <w:tc>
          <w:tcPr>
            <w:tcW w:w="3018" w:type="dxa"/>
            <w:tcBorders>
              <w:top w:val="single" w:color="auto" w:sz="4" w:space="0"/>
              <w:left w:val="single" w:color="auto" w:sz="4" w:space="0"/>
              <w:bottom w:val="single" w:color="auto" w:sz="4" w:space="0"/>
              <w:right w:val="single" w:color="auto" w:sz="4" w:space="0"/>
            </w:tcBorders>
            <w:vAlign w:val="center"/>
          </w:tcPr>
          <w:p w14:paraId="7F1867CB">
            <w:pPr>
              <w:adjustRightInd w:val="0"/>
              <w:snapToGrid w:val="0"/>
              <w:spacing w:line="360" w:lineRule="auto"/>
              <w:ind w:left="43"/>
              <w:jc w:val="center"/>
              <w:rPr>
                <w:rFonts w:cs="宋体"/>
                <w:szCs w:val="21"/>
              </w:rPr>
            </w:pPr>
          </w:p>
        </w:tc>
      </w:tr>
      <w:tr w14:paraId="656733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547" w:type="dxa"/>
            <w:tcBorders>
              <w:top w:val="single" w:color="auto" w:sz="4" w:space="0"/>
              <w:left w:val="single" w:color="auto" w:sz="4" w:space="0"/>
              <w:bottom w:val="single" w:color="auto" w:sz="4" w:space="0"/>
              <w:right w:val="single" w:color="auto" w:sz="4" w:space="0"/>
            </w:tcBorders>
            <w:vAlign w:val="center"/>
          </w:tcPr>
          <w:p w14:paraId="14FB63C8">
            <w:pPr>
              <w:adjustRightInd w:val="0"/>
              <w:snapToGrid w:val="0"/>
              <w:spacing w:line="360" w:lineRule="auto"/>
              <w:jc w:val="center"/>
              <w:rPr>
                <w:rFonts w:cs="宋体"/>
                <w:szCs w:val="21"/>
              </w:rPr>
            </w:pPr>
            <w:r>
              <w:rPr>
                <w:rFonts w:hint="eastAsia" w:cs="宋体"/>
                <w:szCs w:val="21"/>
              </w:rPr>
              <w:t>付款方式</w:t>
            </w:r>
          </w:p>
        </w:tc>
        <w:tc>
          <w:tcPr>
            <w:tcW w:w="2698" w:type="dxa"/>
            <w:tcBorders>
              <w:top w:val="single" w:color="auto" w:sz="4" w:space="0"/>
              <w:left w:val="single" w:color="auto" w:sz="4" w:space="0"/>
              <w:bottom w:val="single" w:color="auto" w:sz="4" w:space="0"/>
              <w:right w:val="single" w:color="auto" w:sz="4" w:space="0"/>
            </w:tcBorders>
            <w:vAlign w:val="center"/>
          </w:tcPr>
          <w:p w14:paraId="0B2FBDBC">
            <w:pPr>
              <w:adjustRightInd w:val="0"/>
              <w:snapToGrid w:val="0"/>
              <w:spacing w:line="360" w:lineRule="auto"/>
              <w:jc w:val="center"/>
              <w:rPr>
                <w:rFonts w:cs="宋体"/>
                <w:sz w:val="24"/>
                <w:szCs w:val="20"/>
              </w:rPr>
            </w:pPr>
          </w:p>
        </w:tc>
        <w:tc>
          <w:tcPr>
            <w:tcW w:w="1259" w:type="dxa"/>
            <w:tcBorders>
              <w:top w:val="single" w:color="auto" w:sz="4" w:space="0"/>
              <w:left w:val="single" w:color="auto" w:sz="4" w:space="0"/>
              <w:bottom w:val="single" w:color="auto" w:sz="4" w:space="0"/>
              <w:right w:val="single" w:color="auto" w:sz="4" w:space="0"/>
            </w:tcBorders>
            <w:vAlign w:val="center"/>
          </w:tcPr>
          <w:p w14:paraId="418E931D">
            <w:pPr>
              <w:adjustRightInd w:val="0"/>
              <w:snapToGrid w:val="0"/>
              <w:spacing w:line="360" w:lineRule="auto"/>
              <w:jc w:val="center"/>
              <w:rPr>
                <w:rFonts w:cs="宋体"/>
                <w:sz w:val="24"/>
                <w:szCs w:val="20"/>
              </w:rPr>
            </w:pPr>
          </w:p>
        </w:tc>
        <w:tc>
          <w:tcPr>
            <w:tcW w:w="3018" w:type="dxa"/>
            <w:tcBorders>
              <w:top w:val="single" w:color="auto" w:sz="4" w:space="0"/>
              <w:left w:val="single" w:color="auto" w:sz="4" w:space="0"/>
              <w:bottom w:val="single" w:color="auto" w:sz="4" w:space="0"/>
              <w:right w:val="single" w:color="auto" w:sz="4" w:space="0"/>
            </w:tcBorders>
            <w:vAlign w:val="center"/>
          </w:tcPr>
          <w:p w14:paraId="15AE93C2">
            <w:pPr>
              <w:adjustRightInd w:val="0"/>
              <w:snapToGrid w:val="0"/>
              <w:spacing w:line="360" w:lineRule="auto"/>
              <w:jc w:val="center"/>
              <w:rPr>
                <w:rFonts w:cs="宋体"/>
                <w:sz w:val="24"/>
                <w:szCs w:val="20"/>
              </w:rPr>
            </w:pPr>
          </w:p>
        </w:tc>
      </w:tr>
      <w:tr w14:paraId="150298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547" w:type="dxa"/>
            <w:tcBorders>
              <w:top w:val="single" w:color="auto" w:sz="4" w:space="0"/>
              <w:left w:val="single" w:color="auto" w:sz="4" w:space="0"/>
              <w:bottom w:val="single" w:color="auto" w:sz="4" w:space="0"/>
              <w:right w:val="single" w:color="auto" w:sz="4" w:space="0"/>
            </w:tcBorders>
            <w:vAlign w:val="center"/>
          </w:tcPr>
          <w:p w14:paraId="4325D373">
            <w:pPr>
              <w:adjustRightInd w:val="0"/>
              <w:snapToGrid w:val="0"/>
              <w:spacing w:line="360" w:lineRule="auto"/>
              <w:jc w:val="center"/>
              <w:rPr>
                <w:rFonts w:cs="宋体"/>
                <w:szCs w:val="21"/>
              </w:rPr>
            </w:pPr>
            <w:r>
              <w:rPr>
                <w:rFonts w:hint="eastAsia" w:cs="宋体"/>
                <w:szCs w:val="21"/>
              </w:rPr>
              <w:t>投标货币</w:t>
            </w:r>
          </w:p>
        </w:tc>
        <w:tc>
          <w:tcPr>
            <w:tcW w:w="2698" w:type="dxa"/>
            <w:tcBorders>
              <w:top w:val="single" w:color="auto" w:sz="4" w:space="0"/>
              <w:left w:val="single" w:color="auto" w:sz="4" w:space="0"/>
              <w:bottom w:val="single" w:color="auto" w:sz="4" w:space="0"/>
              <w:right w:val="single" w:color="auto" w:sz="4" w:space="0"/>
            </w:tcBorders>
            <w:vAlign w:val="center"/>
          </w:tcPr>
          <w:p w14:paraId="1D2DBB45">
            <w:pPr>
              <w:spacing w:line="360" w:lineRule="auto"/>
              <w:jc w:val="center"/>
              <w:rPr>
                <w:rFonts w:cs="宋体"/>
                <w:sz w:val="24"/>
                <w:szCs w:val="20"/>
              </w:rPr>
            </w:pPr>
          </w:p>
          <w:p w14:paraId="7E760D65">
            <w:pPr>
              <w:adjustRightInd w:val="0"/>
              <w:snapToGrid w:val="0"/>
              <w:spacing w:line="360" w:lineRule="auto"/>
              <w:jc w:val="center"/>
              <w:rPr>
                <w:rFonts w:cs="宋体"/>
                <w:sz w:val="24"/>
                <w:szCs w:val="20"/>
              </w:rPr>
            </w:pPr>
          </w:p>
        </w:tc>
        <w:tc>
          <w:tcPr>
            <w:tcW w:w="1259" w:type="dxa"/>
            <w:tcBorders>
              <w:top w:val="single" w:color="auto" w:sz="4" w:space="0"/>
              <w:left w:val="single" w:color="auto" w:sz="4" w:space="0"/>
              <w:bottom w:val="single" w:color="auto" w:sz="4" w:space="0"/>
              <w:right w:val="single" w:color="auto" w:sz="4" w:space="0"/>
            </w:tcBorders>
            <w:vAlign w:val="center"/>
          </w:tcPr>
          <w:p w14:paraId="11ECD8E6">
            <w:pPr>
              <w:adjustRightInd w:val="0"/>
              <w:snapToGrid w:val="0"/>
              <w:spacing w:line="360" w:lineRule="auto"/>
              <w:jc w:val="center"/>
              <w:rPr>
                <w:rFonts w:cs="宋体"/>
                <w:sz w:val="24"/>
                <w:szCs w:val="20"/>
              </w:rPr>
            </w:pPr>
          </w:p>
        </w:tc>
        <w:tc>
          <w:tcPr>
            <w:tcW w:w="3018" w:type="dxa"/>
            <w:tcBorders>
              <w:top w:val="single" w:color="auto" w:sz="4" w:space="0"/>
              <w:left w:val="single" w:color="auto" w:sz="4" w:space="0"/>
              <w:bottom w:val="single" w:color="auto" w:sz="4" w:space="0"/>
              <w:right w:val="single" w:color="auto" w:sz="4" w:space="0"/>
            </w:tcBorders>
            <w:vAlign w:val="center"/>
          </w:tcPr>
          <w:p w14:paraId="4649B71C">
            <w:pPr>
              <w:adjustRightInd w:val="0"/>
              <w:snapToGrid w:val="0"/>
              <w:spacing w:line="360" w:lineRule="auto"/>
              <w:jc w:val="center"/>
              <w:rPr>
                <w:rFonts w:cs="宋体"/>
                <w:sz w:val="24"/>
                <w:szCs w:val="20"/>
              </w:rPr>
            </w:pPr>
          </w:p>
        </w:tc>
      </w:tr>
      <w:tr w14:paraId="4A5E7D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547" w:type="dxa"/>
            <w:tcBorders>
              <w:top w:val="single" w:color="auto" w:sz="4" w:space="0"/>
              <w:left w:val="single" w:color="auto" w:sz="4" w:space="0"/>
              <w:bottom w:val="single" w:color="auto" w:sz="4" w:space="0"/>
              <w:right w:val="single" w:color="auto" w:sz="4" w:space="0"/>
            </w:tcBorders>
            <w:vAlign w:val="center"/>
          </w:tcPr>
          <w:p w14:paraId="1FB150DB">
            <w:pPr>
              <w:adjustRightInd w:val="0"/>
              <w:snapToGrid w:val="0"/>
              <w:spacing w:line="360" w:lineRule="auto"/>
              <w:jc w:val="center"/>
              <w:rPr>
                <w:rFonts w:cs="宋体"/>
                <w:szCs w:val="21"/>
              </w:rPr>
            </w:pPr>
            <w:r>
              <w:rPr>
                <w:rFonts w:hint="eastAsia" w:cs="宋体"/>
                <w:szCs w:val="21"/>
              </w:rPr>
              <w:t>其他</w:t>
            </w:r>
          </w:p>
        </w:tc>
        <w:tc>
          <w:tcPr>
            <w:tcW w:w="2698" w:type="dxa"/>
            <w:tcBorders>
              <w:top w:val="single" w:color="auto" w:sz="4" w:space="0"/>
              <w:left w:val="single" w:color="auto" w:sz="4" w:space="0"/>
              <w:bottom w:val="single" w:color="auto" w:sz="4" w:space="0"/>
              <w:right w:val="single" w:color="auto" w:sz="4" w:space="0"/>
            </w:tcBorders>
            <w:vAlign w:val="center"/>
          </w:tcPr>
          <w:p w14:paraId="7077A118">
            <w:pPr>
              <w:adjustRightInd w:val="0"/>
              <w:snapToGrid w:val="0"/>
              <w:spacing w:line="360" w:lineRule="auto"/>
              <w:jc w:val="center"/>
              <w:rPr>
                <w:rFonts w:cs="宋体"/>
                <w:szCs w:val="21"/>
              </w:rPr>
            </w:pPr>
          </w:p>
        </w:tc>
        <w:tc>
          <w:tcPr>
            <w:tcW w:w="1259" w:type="dxa"/>
            <w:tcBorders>
              <w:top w:val="single" w:color="auto" w:sz="4" w:space="0"/>
              <w:left w:val="single" w:color="auto" w:sz="4" w:space="0"/>
              <w:bottom w:val="single" w:color="auto" w:sz="4" w:space="0"/>
              <w:right w:val="single" w:color="auto" w:sz="4" w:space="0"/>
            </w:tcBorders>
            <w:vAlign w:val="center"/>
          </w:tcPr>
          <w:p w14:paraId="386C171F">
            <w:pPr>
              <w:adjustRightInd w:val="0"/>
              <w:snapToGrid w:val="0"/>
              <w:spacing w:line="360" w:lineRule="auto"/>
              <w:jc w:val="center"/>
              <w:rPr>
                <w:rFonts w:cs="宋体"/>
                <w:szCs w:val="21"/>
              </w:rPr>
            </w:pPr>
          </w:p>
        </w:tc>
        <w:tc>
          <w:tcPr>
            <w:tcW w:w="3018" w:type="dxa"/>
            <w:tcBorders>
              <w:top w:val="single" w:color="auto" w:sz="4" w:space="0"/>
              <w:left w:val="single" w:color="auto" w:sz="4" w:space="0"/>
              <w:bottom w:val="single" w:color="auto" w:sz="4" w:space="0"/>
              <w:right w:val="single" w:color="auto" w:sz="4" w:space="0"/>
            </w:tcBorders>
            <w:vAlign w:val="center"/>
          </w:tcPr>
          <w:p w14:paraId="25BFCE6A">
            <w:pPr>
              <w:adjustRightInd w:val="0"/>
              <w:snapToGrid w:val="0"/>
              <w:spacing w:line="360" w:lineRule="auto"/>
              <w:jc w:val="center"/>
              <w:rPr>
                <w:rFonts w:cs="宋体"/>
                <w:szCs w:val="21"/>
              </w:rPr>
            </w:pPr>
          </w:p>
        </w:tc>
      </w:tr>
    </w:tbl>
    <w:p w14:paraId="25F97659">
      <w:pPr>
        <w:spacing w:line="360" w:lineRule="auto"/>
        <w:rPr>
          <w:bCs/>
          <w:szCs w:val="21"/>
        </w:rPr>
      </w:pPr>
      <w:r>
        <w:rPr>
          <w:rFonts w:hint="eastAsia"/>
          <w:bCs/>
          <w:szCs w:val="21"/>
        </w:rPr>
        <w:t xml:space="preserve">   </w:t>
      </w:r>
    </w:p>
    <w:p w14:paraId="6E3DEE79">
      <w:pPr>
        <w:spacing w:line="360" w:lineRule="auto"/>
        <w:ind w:firstLine="3150" w:firstLineChars="1500"/>
        <w:rPr>
          <w:bCs/>
          <w:szCs w:val="21"/>
        </w:rPr>
      </w:pPr>
      <w:r>
        <w:rPr>
          <w:rFonts w:hint="eastAsia"/>
          <w:bCs/>
          <w:szCs w:val="21"/>
        </w:rPr>
        <w:t xml:space="preserve">  投标人名称（公章）：</w:t>
      </w:r>
    </w:p>
    <w:p w14:paraId="58F2965C">
      <w:pPr>
        <w:spacing w:line="360" w:lineRule="auto"/>
        <w:rPr>
          <w:bCs/>
          <w:szCs w:val="21"/>
        </w:rPr>
      </w:pPr>
      <w:r>
        <w:rPr>
          <w:rFonts w:hint="eastAsia"/>
          <w:bCs/>
          <w:szCs w:val="21"/>
        </w:rPr>
        <w:t xml:space="preserve">                               法定代表人或授权代表（签字或盖章）：</w:t>
      </w:r>
    </w:p>
    <w:p w14:paraId="6D7F31BE">
      <w:pPr>
        <w:spacing w:line="360" w:lineRule="auto"/>
        <w:rPr>
          <w:bCs/>
          <w:szCs w:val="21"/>
          <w:u w:val="single"/>
        </w:rPr>
      </w:pPr>
      <w:r>
        <w:rPr>
          <w:rFonts w:hint="eastAsia"/>
          <w:bCs/>
          <w:szCs w:val="21"/>
        </w:rPr>
        <w:t xml:space="preserve">                               日期：</w:t>
      </w:r>
      <w:r>
        <w:rPr>
          <w:rFonts w:hint="eastAsia"/>
          <w:bCs/>
          <w:szCs w:val="21"/>
          <w:u w:val="single"/>
        </w:rPr>
        <w:t xml:space="preserve">    </w:t>
      </w:r>
      <w:r>
        <w:rPr>
          <w:rFonts w:hint="eastAsia"/>
          <w:bCs/>
          <w:szCs w:val="21"/>
        </w:rPr>
        <w:t>年</w:t>
      </w:r>
      <w:r>
        <w:rPr>
          <w:rFonts w:hint="eastAsia"/>
          <w:bCs/>
          <w:szCs w:val="21"/>
          <w:u w:val="single"/>
        </w:rPr>
        <w:t xml:space="preserve">    </w:t>
      </w:r>
      <w:r>
        <w:rPr>
          <w:rFonts w:hint="eastAsia"/>
          <w:bCs/>
          <w:szCs w:val="21"/>
        </w:rPr>
        <w:t>月</w:t>
      </w:r>
      <w:r>
        <w:rPr>
          <w:rFonts w:hint="eastAsia"/>
          <w:bCs/>
          <w:szCs w:val="21"/>
          <w:u w:val="single"/>
        </w:rPr>
        <w:t xml:space="preserve">     </w:t>
      </w:r>
      <w:r>
        <w:rPr>
          <w:rFonts w:hint="eastAsia"/>
          <w:bCs/>
          <w:szCs w:val="21"/>
        </w:rPr>
        <w:t>日</w:t>
      </w:r>
    </w:p>
    <w:p w14:paraId="43A43C8F">
      <w:pPr>
        <w:spacing w:line="360" w:lineRule="auto"/>
        <w:rPr>
          <w:rFonts w:cs="宋体"/>
        </w:rPr>
      </w:pPr>
    </w:p>
    <w:p w14:paraId="0EB42194">
      <w:pPr>
        <w:spacing w:line="360" w:lineRule="auto"/>
        <w:rPr>
          <w:rFonts w:cs="宋体"/>
        </w:rPr>
      </w:pPr>
    </w:p>
    <w:p w14:paraId="2F78E643">
      <w:pPr>
        <w:spacing w:line="360" w:lineRule="auto"/>
        <w:rPr>
          <w:rFonts w:cs="宋体"/>
        </w:rPr>
      </w:pPr>
    </w:p>
    <w:p w14:paraId="4C26545B">
      <w:pPr>
        <w:spacing w:line="360" w:lineRule="auto"/>
        <w:rPr>
          <w:rFonts w:cs="宋体"/>
        </w:rPr>
      </w:pPr>
    </w:p>
    <w:p w14:paraId="757F13DA">
      <w:pPr>
        <w:spacing w:line="360" w:lineRule="auto"/>
        <w:rPr>
          <w:rFonts w:cs="宋体"/>
        </w:rPr>
      </w:pPr>
    </w:p>
    <w:p w14:paraId="27298882">
      <w:pPr>
        <w:spacing w:line="360" w:lineRule="auto"/>
        <w:rPr>
          <w:rFonts w:cs="宋体"/>
        </w:rPr>
      </w:pPr>
    </w:p>
    <w:p w14:paraId="7F66B5DE">
      <w:pPr>
        <w:spacing w:line="360" w:lineRule="auto"/>
        <w:jc w:val="center"/>
        <w:rPr>
          <w:rFonts w:cs="宋体"/>
          <w:b/>
          <w:sz w:val="44"/>
          <w:szCs w:val="44"/>
        </w:rPr>
        <w:sectPr>
          <w:pgSz w:w="11906" w:h="16838"/>
          <w:pgMar w:top="1440" w:right="1800" w:bottom="1440" w:left="1800" w:header="851" w:footer="992" w:gutter="0"/>
          <w:cols w:space="720" w:num="1"/>
          <w:docGrid w:type="lines" w:linePitch="312" w:charSpace="0"/>
        </w:sectPr>
      </w:pPr>
    </w:p>
    <w:p w14:paraId="225C1344">
      <w:pPr>
        <w:jc w:val="center"/>
        <w:rPr>
          <w:rFonts w:hint="eastAsia" w:ascii="宋体" w:hAnsi="宋体" w:cs="宋体"/>
          <w:b/>
          <w:bCs/>
          <w:sz w:val="32"/>
          <w:szCs w:val="44"/>
        </w:rPr>
      </w:pPr>
      <w:r>
        <w:rPr>
          <w:rFonts w:hint="eastAsia" w:ascii="宋体" w:hAnsi="宋体" w:cs="宋体"/>
          <w:b/>
          <w:bCs/>
          <w:sz w:val="32"/>
          <w:szCs w:val="44"/>
        </w:rPr>
        <w:t>七、主要标的信息（中标后将公示）</w:t>
      </w:r>
    </w:p>
    <w:p w14:paraId="415BD6DE">
      <w:pPr>
        <w:spacing w:line="360" w:lineRule="auto"/>
      </w:pPr>
      <w:r>
        <w:rPr>
          <w:rFonts w:hint="eastAsia"/>
        </w:rPr>
        <w:t>投标人全称：</w:t>
      </w:r>
    </w:p>
    <w:tbl>
      <w:tblPr>
        <w:tblStyle w:val="36"/>
        <w:tblW w:w="72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3"/>
      </w:tblGrid>
      <w:tr w14:paraId="1C229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3" w:type="dxa"/>
          </w:tcPr>
          <w:p w14:paraId="7B4EE134">
            <w:pPr>
              <w:spacing w:line="360" w:lineRule="auto"/>
              <w:jc w:val="center"/>
              <w:rPr>
                <w:rFonts w:cs="宋体"/>
              </w:rPr>
            </w:pPr>
            <w:r>
              <w:rPr>
                <w:rFonts w:hint="eastAsia" w:cs="宋体"/>
              </w:rPr>
              <w:t>货物类</w:t>
            </w:r>
          </w:p>
        </w:tc>
      </w:tr>
      <w:tr w14:paraId="5234A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0" w:hRule="atLeast"/>
        </w:trPr>
        <w:tc>
          <w:tcPr>
            <w:tcW w:w="7233" w:type="dxa"/>
          </w:tcPr>
          <w:p w14:paraId="751F0334">
            <w:pPr>
              <w:spacing w:line="360" w:lineRule="auto"/>
              <w:rPr>
                <w:rFonts w:cs="宋体"/>
              </w:rPr>
            </w:pPr>
            <w:r>
              <w:rPr>
                <w:rFonts w:hint="eastAsia" w:cs="宋体"/>
              </w:rPr>
              <w:t>名称：</w:t>
            </w:r>
          </w:p>
          <w:p w14:paraId="41CACEB0">
            <w:pPr>
              <w:spacing w:line="360" w:lineRule="auto"/>
              <w:rPr>
                <w:rFonts w:cs="宋体"/>
              </w:rPr>
            </w:pPr>
            <w:r>
              <w:rPr>
                <w:rFonts w:hint="eastAsia" w:cs="宋体"/>
              </w:rPr>
              <w:t>品牌（如有）：</w:t>
            </w:r>
          </w:p>
          <w:p w14:paraId="1C6805E3">
            <w:pPr>
              <w:spacing w:line="360" w:lineRule="auto"/>
              <w:rPr>
                <w:rFonts w:cs="宋体"/>
              </w:rPr>
            </w:pPr>
            <w:r>
              <w:rPr>
                <w:rFonts w:hint="eastAsia" w:cs="宋体"/>
              </w:rPr>
              <w:t>规格型号：</w:t>
            </w:r>
          </w:p>
          <w:p w14:paraId="5DB6A809">
            <w:pPr>
              <w:spacing w:line="360" w:lineRule="auto"/>
              <w:rPr>
                <w:rFonts w:cs="宋体"/>
              </w:rPr>
            </w:pPr>
            <w:r>
              <w:rPr>
                <w:rFonts w:hint="eastAsia" w:cs="宋体"/>
              </w:rPr>
              <w:t>数量：</w:t>
            </w:r>
          </w:p>
          <w:p w14:paraId="4359418D">
            <w:pPr>
              <w:spacing w:line="360" w:lineRule="auto"/>
              <w:rPr>
                <w:rFonts w:cs="宋体"/>
              </w:rPr>
            </w:pPr>
            <w:r>
              <w:rPr>
                <w:rFonts w:hint="eastAsia" w:cs="宋体"/>
              </w:rPr>
              <w:t>单价：</w:t>
            </w:r>
          </w:p>
        </w:tc>
      </w:tr>
    </w:tbl>
    <w:p w14:paraId="49133474">
      <w:pPr>
        <w:jc w:val="center"/>
        <w:rPr>
          <w:rFonts w:hint="eastAsia" w:ascii="宋体" w:hAnsi="宋体" w:cs="宋体"/>
          <w:b/>
          <w:bCs/>
          <w:sz w:val="32"/>
          <w:szCs w:val="44"/>
        </w:rPr>
      </w:pPr>
    </w:p>
    <w:p w14:paraId="00D03497">
      <w:pPr>
        <w:jc w:val="center"/>
        <w:rPr>
          <w:rFonts w:hint="eastAsia" w:ascii="宋体" w:hAnsi="宋体" w:cs="宋体"/>
          <w:b/>
          <w:bCs/>
          <w:sz w:val="32"/>
          <w:szCs w:val="44"/>
        </w:rPr>
      </w:pPr>
      <w:r>
        <w:rPr>
          <w:rFonts w:hint="eastAsia" w:ascii="宋体" w:hAnsi="宋体" w:cs="宋体"/>
          <w:b/>
          <w:bCs/>
          <w:sz w:val="32"/>
          <w:szCs w:val="44"/>
        </w:rPr>
        <w:t xml:space="preserve">八、其他 </w:t>
      </w:r>
    </w:p>
    <w:p w14:paraId="4E7E2E4A">
      <w:pPr>
        <w:pStyle w:val="6"/>
        <w:jc w:val="center"/>
      </w:pPr>
      <w:r>
        <w:rPr>
          <w:rFonts w:hint="eastAsia"/>
        </w:rPr>
        <w:t>……</w:t>
      </w:r>
    </w:p>
    <w:p w14:paraId="59C2B7E1">
      <w:r>
        <w:rPr>
          <w:rFonts w:hint="eastAsia"/>
        </w:rPr>
        <w:br w:type="page"/>
      </w:r>
    </w:p>
    <w:p w14:paraId="1E1526BB">
      <w:pPr>
        <w:ind w:firstLine="482"/>
        <w:jc w:val="center"/>
        <w:rPr>
          <w:rFonts w:hint="eastAsia" w:ascii="宋体" w:hAnsi="宋体" w:cs="宋体"/>
          <w:b/>
          <w:sz w:val="28"/>
          <w:szCs w:val="28"/>
        </w:rPr>
      </w:pPr>
      <w:r>
        <w:rPr>
          <w:rFonts w:hint="eastAsia" w:ascii="宋体" w:hAnsi="宋体" w:cs="宋体"/>
          <w:b/>
          <w:sz w:val="28"/>
          <w:szCs w:val="28"/>
        </w:rPr>
        <w:t>供应商参加投标确认函</w:t>
      </w:r>
    </w:p>
    <w:p w14:paraId="2C7B8E4E">
      <w:pPr>
        <w:spacing w:line="440" w:lineRule="exact"/>
        <w:ind w:firstLine="480"/>
        <w:contextualSpacing/>
        <w:rPr>
          <w:rFonts w:hint="eastAsia" w:ascii="宋体" w:hAnsi="宋体" w:cs="宋体"/>
          <w:sz w:val="24"/>
          <w:szCs w:val="24"/>
        </w:rPr>
      </w:pPr>
    </w:p>
    <w:p w14:paraId="1B0F0CEC">
      <w:pPr>
        <w:spacing w:line="480" w:lineRule="auto"/>
        <w:ind w:firstLine="480"/>
        <w:contextualSpacing/>
        <w:rPr>
          <w:rFonts w:hint="eastAsia" w:ascii="宋体" w:hAnsi="宋体" w:cs="宋体"/>
          <w:sz w:val="24"/>
          <w:szCs w:val="24"/>
        </w:rPr>
      </w:pPr>
      <w:r>
        <w:rPr>
          <w:rFonts w:hint="eastAsia" w:ascii="宋体" w:hAnsi="宋体" w:cs="宋体"/>
          <w:sz w:val="24"/>
          <w:szCs w:val="24"/>
        </w:rPr>
        <w:t>江苏苏维工程管理有限公司：</w:t>
      </w:r>
    </w:p>
    <w:p w14:paraId="2B6F7142">
      <w:pPr>
        <w:spacing w:line="480" w:lineRule="auto"/>
        <w:ind w:firstLine="480"/>
        <w:contextualSpacing/>
        <w:rPr>
          <w:rFonts w:hint="eastAsia" w:ascii="宋体" w:hAnsi="宋体" w:cs="宋体"/>
          <w:sz w:val="24"/>
          <w:szCs w:val="24"/>
        </w:rPr>
      </w:pPr>
      <w:r>
        <w:rPr>
          <w:rFonts w:hint="eastAsia" w:ascii="宋体" w:hAnsi="宋体" w:cs="宋体"/>
          <w:sz w:val="24"/>
          <w:szCs w:val="24"/>
        </w:rPr>
        <w:t>本单位将参加贵公司于</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日开标的采购编号为</w:t>
      </w:r>
      <w:r>
        <w:rPr>
          <w:rFonts w:hint="eastAsia" w:ascii="宋体" w:hAnsi="宋体" w:cs="宋体"/>
          <w:sz w:val="24"/>
          <w:szCs w:val="24"/>
          <w:u w:val="single"/>
        </w:rPr>
        <w:t xml:space="preserve">       </w:t>
      </w:r>
      <w:r>
        <w:rPr>
          <w:rFonts w:hint="eastAsia" w:ascii="宋体" w:hAnsi="宋体" w:cs="宋体"/>
          <w:sz w:val="24"/>
          <w:szCs w:val="24"/>
        </w:rPr>
        <w:t>的</w:t>
      </w:r>
      <w:r>
        <w:rPr>
          <w:rFonts w:hint="eastAsia" w:ascii="宋体" w:hAnsi="宋体" w:cs="宋体"/>
          <w:sz w:val="24"/>
          <w:szCs w:val="24"/>
          <w:u w:val="single"/>
        </w:rPr>
        <w:t xml:space="preserve">    </w:t>
      </w:r>
      <w:r>
        <w:rPr>
          <w:rFonts w:hint="eastAsia" w:ascii="宋体" w:hAnsi="宋体" w:cs="宋体"/>
          <w:sz w:val="24"/>
          <w:szCs w:val="24"/>
        </w:rPr>
        <w:t>项目的投标。本单位已在“扬州大学附属医院”、“扬州大学网”和“江苏招标采购服务平台”成功下载标书，特发函确认。</w:t>
      </w:r>
    </w:p>
    <w:p w14:paraId="6D58BB4E">
      <w:pPr>
        <w:spacing w:line="480" w:lineRule="auto"/>
        <w:ind w:firstLine="480"/>
        <w:contextualSpacing/>
        <w:rPr>
          <w:rFonts w:hint="eastAsia" w:ascii="宋体" w:hAnsi="宋体" w:cs="宋体"/>
          <w:sz w:val="24"/>
          <w:szCs w:val="24"/>
        </w:rPr>
      </w:pPr>
      <w:r>
        <w:rPr>
          <w:rFonts w:hint="eastAsia" w:ascii="宋体" w:hAnsi="宋体" w:cs="宋体"/>
          <w:sz w:val="24"/>
          <w:szCs w:val="24"/>
        </w:rPr>
        <w:t xml:space="preserve">                                    </w:t>
      </w:r>
      <w:r>
        <w:rPr>
          <w:rFonts w:hint="eastAsia" w:ascii="宋体" w:hAnsi="宋体" w:cs="宋体"/>
          <w:sz w:val="24"/>
          <w:szCs w:val="24"/>
          <w:u w:val="single"/>
        </w:rPr>
        <w:t xml:space="preserve">               </w:t>
      </w:r>
      <w:r>
        <w:rPr>
          <w:rFonts w:hint="eastAsia" w:ascii="宋体" w:hAnsi="宋体" w:cs="宋体"/>
          <w:sz w:val="24"/>
          <w:szCs w:val="24"/>
        </w:rPr>
        <w:t>（单位公章）</w:t>
      </w:r>
    </w:p>
    <w:p w14:paraId="0016805F">
      <w:pPr>
        <w:pBdr>
          <w:bottom w:val="single" w:color="auto" w:sz="6" w:space="1"/>
        </w:pBdr>
        <w:spacing w:line="440" w:lineRule="exact"/>
        <w:ind w:firstLine="480"/>
        <w:contextualSpacing/>
        <w:rPr>
          <w:rFonts w:hint="eastAsia" w:ascii="宋体" w:hAnsi="宋体" w:cs="宋体"/>
          <w:sz w:val="24"/>
          <w:szCs w:val="24"/>
        </w:rPr>
      </w:pPr>
      <w:r>
        <w:rPr>
          <w:rFonts w:hint="eastAsia" w:ascii="宋体" w:hAnsi="宋体" w:cs="宋体"/>
          <w:sz w:val="24"/>
          <w:szCs w:val="24"/>
        </w:rPr>
        <w:t xml:space="preserve">                                                  年   月   日</w:t>
      </w:r>
    </w:p>
    <w:p w14:paraId="7A4778AD">
      <w:pPr>
        <w:ind w:left="3960" w:hanging="3960"/>
        <w:rPr>
          <w:rFonts w:hint="eastAsia" w:ascii="宋体" w:hAnsi="宋体" w:cs="宋体"/>
          <w:sz w:val="24"/>
          <w:szCs w:val="24"/>
        </w:rPr>
      </w:pPr>
      <w:r>
        <w:rPr>
          <w:rFonts w:hint="eastAsia" w:ascii="宋体" w:hAnsi="宋体" w:cs="宋体"/>
          <w:sz w:val="24"/>
          <w:szCs w:val="24"/>
        </w:rPr>
        <w:t>附：</w:t>
      </w:r>
    </w:p>
    <w:p w14:paraId="22ED7F95">
      <w:pPr>
        <w:ind w:left="3975" w:hanging="3975"/>
        <w:jc w:val="center"/>
        <w:rPr>
          <w:rFonts w:hint="eastAsia" w:ascii="宋体" w:hAnsi="宋体" w:cs="宋体"/>
          <w:b/>
          <w:sz w:val="24"/>
          <w:szCs w:val="24"/>
        </w:rPr>
      </w:pPr>
      <w:r>
        <w:rPr>
          <w:rFonts w:hint="eastAsia" w:ascii="宋体" w:hAnsi="宋体" w:cs="宋体"/>
          <w:b/>
          <w:sz w:val="24"/>
          <w:szCs w:val="24"/>
        </w:rPr>
        <w:t>供应商联系表</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0"/>
        <w:gridCol w:w="2205"/>
        <w:gridCol w:w="1605"/>
        <w:gridCol w:w="1832"/>
      </w:tblGrid>
      <w:tr w14:paraId="2C533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60" w:type="dxa"/>
          </w:tcPr>
          <w:p w14:paraId="0C444CA0">
            <w:pPr>
              <w:spacing w:line="480" w:lineRule="auto"/>
              <w:jc w:val="center"/>
              <w:rPr>
                <w:rFonts w:hint="eastAsia" w:ascii="宋体" w:hAnsi="宋体" w:cs="宋体"/>
                <w:sz w:val="24"/>
                <w:szCs w:val="24"/>
              </w:rPr>
            </w:pPr>
            <w:r>
              <w:rPr>
                <w:rFonts w:hint="eastAsia" w:ascii="宋体" w:hAnsi="宋体" w:cs="宋体"/>
                <w:sz w:val="24"/>
                <w:szCs w:val="24"/>
              </w:rPr>
              <w:t>单位名称</w:t>
            </w:r>
          </w:p>
        </w:tc>
        <w:tc>
          <w:tcPr>
            <w:tcW w:w="5642" w:type="dxa"/>
            <w:gridSpan w:val="3"/>
          </w:tcPr>
          <w:p w14:paraId="333C5345">
            <w:pPr>
              <w:spacing w:line="480" w:lineRule="auto"/>
              <w:ind w:firstLine="480"/>
              <w:jc w:val="center"/>
              <w:rPr>
                <w:rFonts w:hint="eastAsia" w:ascii="宋体" w:hAnsi="宋体" w:cs="宋体"/>
                <w:sz w:val="24"/>
                <w:szCs w:val="24"/>
              </w:rPr>
            </w:pPr>
          </w:p>
        </w:tc>
      </w:tr>
      <w:tr w14:paraId="7D75E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60" w:type="dxa"/>
          </w:tcPr>
          <w:p w14:paraId="0FE264B0">
            <w:pPr>
              <w:spacing w:line="480" w:lineRule="auto"/>
              <w:jc w:val="center"/>
              <w:rPr>
                <w:rFonts w:hint="eastAsia" w:ascii="宋体" w:hAnsi="宋体" w:cs="宋体"/>
                <w:sz w:val="24"/>
                <w:szCs w:val="24"/>
              </w:rPr>
            </w:pPr>
            <w:r>
              <w:rPr>
                <w:rFonts w:hint="eastAsia" w:ascii="宋体" w:hAnsi="宋体" w:cs="宋体"/>
                <w:sz w:val="24"/>
                <w:szCs w:val="24"/>
              </w:rPr>
              <w:t>统一社会信用代码</w:t>
            </w:r>
          </w:p>
        </w:tc>
        <w:tc>
          <w:tcPr>
            <w:tcW w:w="5642" w:type="dxa"/>
            <w:gridSpan w:val="3"/>
          </w:tcPr>
          <w:p w14:paraId="7B3D65C3">
            <w:pPr>
              <w:spacing w:line="480" w:lineRule="auto"/>
              <w:ind w:firstLine="480"/>
              <w:jc w:val="center"/>
              <w:rPr>
                <w:rFonts w:hint="eastAsia" w:ascii="宋体" w:hAnsi="宋体" w:cs="宋体"/>
                <w:sz w:val="24"/>
                <w:szCs w:val="24"/>
              </w:rPr>
            </w:pPr>
          </w:p>
        </w:tc>
      </w:tr>
      <w:tr w14:paraId="7281B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60" w:type="dxa"/>
          </w:tcPr>
          <w:p w14:paraId="2E6CE782">
            <w:pPr>
              <w:spacing w:line="480" w:lineRule="auto"/>
              <w:jc w:val="center"/>
              <w:rPr>
                <w:rFonts w:hint="eastAsia" w:ascii="宋体" w:hAnsi="宋体" w:cs="宋体"/>
                <w:sz w:val="24"/>
                <w:szCs w:val="24"/>
              </w:rPr>
            </w:pPr>
            <w:r>
              <w:rPr>
                <w:rFonts w:hint="eastAsia" w:ascii="宋体" w:hAnsi="宋体" w:cs="宋体"/>
                <w:sz w:val="24"/>
                <w:szCs w:val="24"/>
              </w:rPr>
              <w:t>单位地址</w:t>
            </w:r>
          </w:p>
        </w:tc>
        <w:tc>
          <w:tcPr>
            <w:tcW w:w="5642" w:type="dxa"/>
            <w:gridSpan w:val="3"/>
          </w:tcPr>
          <w:p w14:paraId="22FA2C49">
            <w:pPr>
              <w:spacing w:line="480" w:lineRule="auto"/>
              <w:ind w:firstLine="480"/>
              <w:jc w:val="center"/>
              <w:rPr>
                <w:rFonts w:hint="eastAsia" w:ascii="宋体" w:hAnsi="宋体" w:cs="宋体"/>
                <w:sz w:val="24"/>
                <w:szCs w:val="24"/>
              </w:rPr>
            </w:pPr>
          </w:p>
        </w:tc>
      </w:tr>
      <w:tr w14:paraId="4352A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60" w:type="dxa"/>
          </w:tcPr>
          <w:p w14:paraId="76AF3415">
            <w:pPr>
              <w:spacing w:line="480" w:lineRule="auto"/>
              <w:jc w:val="center"/>
              <w:rPr>
                <w:rFonts w:hint="eastAsia" w:ascii="宋体" w:hAnsi="宋体" w:cs="宋体"/>
                <w:sz w:val="24"/>
                <w:szCs w:val="24"/>
              </w:rPr>
            </w:pPr>
            <w:r>
              <w:rPr>
                <w:rFonts w:hint="eastAsia" w:ascii="宋体" w:hAnsi="宋体" w:cs="宋体"/>
                <w:sz w:val="24"/>
                <w:szCs w:val="24"/>
              </w:rPr>
              <w:t>法定代表人</w:t>
            </w:r>
          </w:p>
        </w:tc>
        <w:tc>
          <w:tcPr>
            <w:tcW w:w="2205" w:type="dxa"/>
          </w:tcPr>
          <w:p w14:paraId="3A6E0E7A">
            <w:pPr>
              <w:spacing w:line="480" w:lineRule="auto"/>
              <w:ind w:firstLine="480"/>
              <w:jc w:val="center"/>
              <w:rPr>
                <w:rFonts w:hint="eastAsia" w:ascii="宋体" w:hAnsi="宋体" w:cs="宋体"/>
                <w:sz w:val="24"/>
                <w:szCs w:val="24"/>
              </w:rPr>
            </w:pPr>
          </w:p>
        </w:tc>
        <w:tc>
          <w:tcPr>
            <w:tcW w:w="1605" w:type="dxa"/>
          </w:tcPr>
          <w:p w14:paraId="2B2E3A1C">
            <w:pPr>
              <w:spacing w:line="480" w:lineRule="auto"/>
              <w:rPr>
                <w:rFonts w:hint="eastAsia" w:ascii="宋体" w:hAnsi="宋体" w:cs="宋体"/>
                <w:sz w:val="24"/>
                <w:szCs w:val="24"/>
              </w:rPr>
            </w:pPr>
            <w:r>
              <w:rPr>
                <w:rFonts w:hint="eastAsia" w:ascii="宋体" w:hAnsi="宋体" w:cs="宋体"/>
                <w:sz w:val="24"/>
                <w:szCs w:val="24"/>
              </w:rPr>
              <w:t>单位电话</w:t>
            </w:r>
          </w:p>
        </w:tc>
        <w:tc>
          <w:tcPr>
            <w:tcW w:w="1832" w:type="dxa"/>
          </w:tcPr>
          <w:p w14:paraId="27780B35">
            <w:pPr>
              <w:spacing w:line="480" w:lineRule="auto"/>
              <w:ind w:firstLine="480"/>
              <w:jc w:val="center"/>
              <w:rPr>
                <w:rFonts w:hint="eastAsia" w:ascii="宋体" w:hAnsi="宋体" w:cs="宋体"/>
                <w:sz w:val="24"/>
                <w:szCs w:val="24"/>
              </w:rPr>
            </w:pPr>
          </w:p>
        </w:tc>
      </w:tr>
      <w:tr w14:paraId="6D26F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0" w:type="dxa"/>
          </w:tcPr>
          <w:p w14:paraId="557F81AC">
            <w:pPr>
              <w:spacing w:line="480" w:lineRule="auto"/>
              <w:jc w:val="center"/>
              <w:rPr>
                <w:rFonts w:hint="eastAsia" w:ascii="宋体" w:hAnsi="宋体" w:cs="宋体"/>
                <w:sz w:val="24"/>
                <w:szCs w:val="24"/>
              </w:rPr>
            </w:pPr>
            <w:r>
              <w:rPr>
                <w:rFonts w:hint="eastAsia" w:ascii="宋体" w:hAnsi="宋体" w:cs="宋体"/>
                <w:sz w:val="24"/>
                <w:szCs w:val="24"/>
              </w:rPr>
              <w:t>项目联系人</w:t>
            </w:r>
          </w:p>
        </w:tc>
        <w:tc>
          <w:tcPr>
            <w:tcW w:w="2205" w:type="dxa"/>
          </w:tcPr>
          <w:p w14:paraId="179E86C4">
            <w:pPr>
              <w:spacing w:line="480" w:lineRule="auto"/>
              <w:ind w:firstLine="480"/>
              <w:jc w:val="center"/>
              <w:rPr>
                <w:rFonts w:hint="eastAsia" w:ascii="宋体" w:hAnsi="宋体" w:cs="宋体"/>
                <w:sz w:val="24"/>
                <w:szCs w:val="24"/>
              </w:rPr>
            </w:pPr>
          </w:p>
        </w:tc>
        <w:tc>
          <w:tcPr>
            <w:tcW w:w="1605" w:type="dxa"/>
          </w:tcPr>
          <w:p w14:paraId="37A4DA88">
            <w:pPr>
              <w:spacing w:line="480" w:lineRule="auto"/>
              <w:rPr>
                <w:rFonts w:hint="eastAsia" w:ascii="宋体" w:hAnsi="宋体" w:cs="宋体"/>
                <w:sz w:val="24"/>
                <w:szCs w:val="24"/>
              </w:rPr>
            </w:pPr>
            <w:r>
              <w:rPr>
                <w:rFonts w:hint="eastAsia" w:ascii="宋体" w:hAnsi="宋体" w:cs="宋体"/>
                <w:sz w:val="24"/>
                <w:szCs w:val="24"/>
              </w:rPr>
              <w:t>邮    箱</w:t>
            </w:r>
          </w:p>
        </w:tc>
        <w:tc>
          <w:tcPr>
            <w:tcW w:w="1832" w:type="dxa"/>
          </w:tcPr>
          <w:p w14:paraId="4A605844">
            <w:pPr>
              <w:spacing w:line="480" w:lineRule="auto"/>
              <w:ind w:firstLine="480"/>
              <w:jc w:val="center"/>
              <w:rPr>
                <w:rFonts w:hint="eastAsia" w:ascii="宋体" w:hAnsi="宋体" w:cs="宋体"/>
                <w:sz w:val="24"/>
                <w:szCs w:val="24"/>
              </w:rPr>
            </w:pPr>
          </w:p>
        </w:tc>
      </w:tr>
      <w:tr w14:paraId="22561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2860" w:type="dxa"/>
          </w:tcPr>
          <w:p w14:paraId="0C2F04F5">
            <w:pPr>
              <w:spacing w:line="480" w:lineRule="auto"/>
              <w:jc w:val="center"/>
              <w:rPr>
                <w:rFonts w:hint="eastAsia" w:ascii="宋体" w:hAnsi="宋体" w:cs="宋体"/>
                <w:sz w:val="24"/>
                <w:szCs w:val="24"/>
              </w:rPr>
            </w:pPr>
            <w:r>
              <w:rPr>
                <w:rFonts w:hint="eastAsia" w:ascii="宋体" w:hAnsi="宋体" w:cs="宋体"/>
                <w:sz w:val="24"/>
                <w:szCs w:val="24"/>
              </w:rPr>
              <w:t>联系人电话</w:t>
            </w:r>
          </w:p>
        </w:tc>
        <w:tc>
          <w:tcPr>
            <w:tcW w:w="2205" w:type="dxa"/>
          </w:tcPr>
          <w:p w14:paraId="02DDDD23">
            <w:pPr>
              <w:spacing w:line="480" w:lineRule="auto"/>
              <w:ind w:firstLine="480"/>
              <w:jc w:val="center"/>
              <w:rPr>
                <w:rFonts w:hint="eastAsia" w:ascii="宋体" w:hAnsi="宋体" w:cs="宋体"/>
                <w:sz w:val="24"/>
                <w:szCs w:val="24"/>
              </w:rPr>
            </w:pPr>
          </w:p>
        </w:tc>
        <w:tc>
          <w:tcPr>
            <w:tcW w:w="1605" w:type="dxa"/>
          </w:tcPr>
          <w:p w14:paraId="147928B0">
            <w:pPr>
              <w:spacing w:line="480" w:lineRule="auto"/>
              <w:rPr>
                <w:rFonts w:hint="eastAsia" w:ascii="宋体" w:hAnsi="宋体" w:cs="宋体"/>
                <w:sz w:val="24"/>
                <w:szCs w:val="24"/>
              </w:rPr>
            </w:pPr>
            <w:r>
              <w:rPr>
                <w:rFonts w:hint="eastAsia" w:ascii="宋体" w:hAnsi="宋体" w:cs="宋体"/>
                <w:sz w:val="24"/>
                <w:szCs w:val="24"/>
              </w:rPr>
              <w:t>联系人手机</w:t>
            </w:r>
          </w:p>
        </w:tc>
        <w:tc>
          <w:tcPr>
            <w:tcW w:w="1832" w:type="dxa"/>
          </w:tcPr>
          <w:p w14:paraId="071A986C">
            <w:pPr>
              <w:spacing w:line="480" w:lineRule="auto"/>
              <w:ind w:firstLine="480"/>
              <w:jc w:val="center"/>
              <w:rPr>
                <w:rFonts w:hint="eastAsia" w:ascii="宋体" w:hAnsi="宋体" w:cs="宋体"/>
                <w:sz w:val="24"/>
                <w:szCs w:val="24"/>
              </w:rPr>
            </w:pPr>
          </w:p>
        </w:tc>
      </w:tr>
      <w:tr w14:paraId="1F375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0" w:type="dxa"/>
            <w:vAlign w:val="center"/>
          </w:tcPr>
          <w:p w14:paraId="5CFDC1C5">
            <w:pPr>
              <w:spacing w:line="440" w:lineRule="exact"/>
              <w:contextualSpacing/>
              <w:jc w:val="center"/>
              <w:rPr>
                <w:rFonts w:hint="eastAsia" w:ascii="宋体" w:hAnsi="宋体" w:cs="宋体"/>
                <w:sz w:val="24"/>
                <w:szCs w:val="24"/>
              </w:rPr>
            </w:pPr>
            <w:r>
              <w:rPr>
                <w:rFonts w:hint="eastAsia" w:ascii="宋体" w:hAnsi="宋体" w:cs="宋体"/>
                <w:sz w:val="24"/>
                <w:szCs w:val="24"/>
              </w:rPr>
              <w:t>所投项目名称</w:t>
            </w:r>
          </w:p>
        </w:tc>
        <w:tc>
          <w:tcPr>
            <w:tcW w:w="5642" w:type="dxa"/>
            <w:gridSpan w:val="3"/>
            <w:vAlign w:val="center"/>
          </w:tcPr>
          <w:p w14:paraId="0DFF88FF">
            <w:pPr>
              <w:spacing w:line="480" w:lineRule="auto"/>
              <w:jc w:val="left"/>
              <w:rPr>
                <w:rFonts w:hint="eastAsia" w:ascii="宋体" w:hAnsi="宋体" w:eastAsia="宋体" w:cs="宋体"/>
                <w:sz w:val="24"/>
                <w:szCs w:val="24"/>
                <w:lang w:eastAsia="zh-CN"/>
              </w:rPr>
            </w:pPr>
            <w:r>
              <w:rPr>
                <w:rFonts w:hint="eastAsia" w:ascii="宋体" w:hAnsi="宋体" w:cs="宋体"/>
                <w:sz w:val="24"/>
                <w:szCs w:val="24"/>
                <w:lang w:eastAsia="zh-CN"/>
              </w:rPr>
              <w:t>扬州大学附属医院西区医院医气系统采购及改造项目（二次）</w:t>
            </w:r>
          </w:p>
        </w:tc>
      </w:tr>
    </w:tbl>
    <w:p w14:paraId="2A13802A">
      <w:pPr>
        <w:spacing w:line="360" w:lineRule="exact"/>
        <w:ind w:firstLine="482" w:firstLineChars="200"/>
        <w:contextualSpacing/>
        <w:rPr>
          <w:rFonts w:hint="eastAsia" w:ascii="宋体" w:hAnsi="宋体" w:cs="宋体"/>
          <w:b/>
          <w:sz w:val="24"/>
          <w:szCs w:val="24"/>
        </w:rPr>
      </w:pPr>
      <w:r>
        <w:rPr>
          <w:rFonts w:hint="eastAsia" w:ascii="宋体" w:hAnsi="宋体" w:cs="宋体"/>
          <w:b/>
          <w:sz w:val="24"/>
          <w:szCs w:val="24"/>
        </w:rPr>
        <w:t>备注：</w:t>
      </w:r>
    </w:p>
    <w:p w14:paraId="49288BB2">
      <w:pPr>
        <w:spacing w:line="360" w:lineRule="exact"/>
        <w:ind w:firstLine="482" w:firstLineChars="200"/>
        <w:contextualSpacing/>
        <w:rPr>
          <w:rFonts w:hint="eastAsia" w:ascii="宋体" w:hAnsi="宋体" w:cs="宋体"/>
          <w:b/>
          <w:sz w:val="24"/>
          <w:szCs w:val="24"/>
        </w:rPr>
      </w:pPr>
      <w:r>
        <w:rPr>
          <w:rFonts w:hint="eastAsia" w:ascii="宋体" w:hAnsi="宋体" w:cs="宋体"/>
          <w:b/>
          <w:sz w:val="24"/>
          <w:szCs w:val="24"/>
        </w:rPr>
        <w:t>1.请准备参与本项目投标的供应商如实填写（以上信息均为必填内容）后邮件至采购代理机构（邮箱：</w:t>
      </w:r>
      <w:r>
        <w:fldChar w:fldCharType="begin"/>
      </w:r>
      <w:r>
        <w:instrText xml:space="preserve"> HYPERLINK "mailto:43075122@qq.com" </w:instrText>
      </w:r>
      <w:r>
        <w:fldChar w:fldCharType="separate"/>
      </w:r>
      <w:r>
        <w:rPr>
          <w:rFonts w:hint="eastAsia" w:ascii="宋体" w:hAnsi="宋体" w:cs="宋体"/>
          <w:b/>
          <w:sz w:val="24"/>
          <w:szCs w:val="24"/>
        </w:rPr>
        <w:t>291581649@qq.com</w:t>
      </w:r>
      <w:r>
        <w:rPr>
          <w:rFonts w:hint="eastAsia" w:ascii="宋体" w:hAnsi="宋体" w:cs="宋体"/>
          <w:b/>
          <w:sz w:val="24"/>
          <w:szCs w:val="24"/>
        </w:rPr>
        <w:fldChar w:fldCharType="end"/>
      </w:r>
      <w:r>
        <w:rPr>
          <w:rFonts w:hint="eastAsia" w:ascii="宋体" w:hAnsi="宋体" w:cs="宋体"/>
          <w:b/>
          <w:sz w:val="24"/>
          <w:szCs w:val="24"/>
        </w:rPr>
        <w:t>，固定电话：0514-82129122）。</w:t>
      </w:r>
    </w:p>
    <w:p w14:paraId="33840D99">
      <w:pPr>
        <w:spacing w:line="360" w:lineRule="exact"/>
        <w:ind w:firstLine="482" w:firstLineChars="200"/>
        <w:contextualSpacing/>
        <w:rPr>
          <w:rFonts w:hint="eastAsia" w:ascii="宋体" w:hAnsi="宋体" w:cs="宋体"/>
          <w:b/>
          <w:sz w:val="24"/>
          <w:szCs w:val="24"/>
        </w:rPr>
      </w:pPr>
      <w:r>
        <w:rPr>
          <w:rFonts w:hint="eastAsia" w:ascii="宋体" w:hAnsi="宋体" w:cs="宋体"/>
          <w:b/>
          <w:sz w:val="24"/>
          <w:szCs w:val="24"/>
        </w:rPr>
        <w:t>2.因投标人填写有误，造成以上信息资料的不实将由投标人承担责任。</w:t>
      </w:r>
    </w:p>
    <w:p w14:paraId="6C0A6991">
      <w:pPr>
        <w:pStyle w:val="6"/>
      </w:pPr>
    </w:p>
    <w:sectPr>
      <w:pgSz w:w="11906" w:h="16838"/>
      <w:pgMar w:top="1440" w:right="1800" w:bottom="1440" w:left="1800" w:header="851" w:footer="992" w:gutter="0"/>
      <w:cols w:space="1701"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Verdana">
    <w:panose1 w:val="020B0604030504040204"/>
    <w:charset w:val="00"/>
    <w:family w:val="swiss"/>
    <w:pitch w:val="default"/>
    <w:sig w:usb0="A10006FF" w:usb1="4000205B" w:usb2="00000010" w:usb3="00000000" w:csb0="2000019F" w:csb1="00000000"/>
  </w:font>
  <w:font w:name="微软雅黑">
    <w:panose1 w:val="020B0503020204020204"/>
    <w:charset w:val="86"/>
    <w:family w:val="swiss"/>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Noto Sans CJK JP 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font-weight : 400">
    <w:altName w:val="Segoe Print"/>
    <w:panose1 w:val="00000000000000000000"/>
    <w:charset w:val="00"/>
    <w:family w:val="auto"/>
    <w:pitch w:val="default"/>
    <w:sig w:usb0="00000000" w:usb1="00000000" w:usb2="00000000" w:usb3="00000000" w:csb0="00000000" w:csb1="00000000"/>
  </w:font>
  <w:font w:name="宋体_GB2312">
    <w:altName w:val="宋体"/>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88CBE">
    <w:pPr>
      <w:pStyle w:val="230"/>
      <w:jc w:val="center"/>
      <w:rPr>
        <w:rFonts w:ascii="宋体_GB2312" w:eastAsia="宋体_GB23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00022">
    <w:pPr>
      <w:pStyle w:val="230"/>
      <w:jc w:val="center"/>
      <w:rPr>
        <w:rFonts w:ascii="宋体_GB2312" w:eastAsia="宋体_GB2312"/>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15875">
                        <a:noFill/>
                      </a:ln>
                    </wps:spPr>
                    <wps:txbx>
                      <w:txbxContent>
                        <w:p w14:paraId="1778EFDE">
                          <w:pPr>
                            <w:pStyle w:val="230"/>
                            <w:tabs>
                              <w:tab w:val="clear" w:pos="4153"/>
                              <w:tab w:val="clear" w:pos="8306"/>
                            </w:tabs>
                          </w:pPr>
                          <w:r>
                            <w:fldChar w:fldCharType="begin"/>
                          </w:r>
                          <w:r>
                            <w:instrText xml:space="preserve"> PAGE  \* MERGEFORMAT </w:instrText>
                          </w:r>
                          <w:r>
                            <w:fldChar w:fldCharType="separate"/>
                          </w:r>
                          <w:r>
                            <w:t>19</w:t>
                          </w:r>
                          <w:r>
                            <w:fldChar w:fldCharType="end"/>
                          </w:r>
                        </w:p>
                        <w:p w14:paraId="1596CECC"/>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aGmCS9MAAAAFAQAADwAAAAAAAAAB&#10;ACAAAAAiAAAAZHJzL2Rvd25yZXYueG1sUEsBAhQAFAAAAAgAh07iQByxJBTcAQAAsQMAAA4AAAAA&#10;AAAAAQAgAAAAIgEAAGRycy9lMm9Eb2MueG1sUEsFBgAAAAAGAAYAWQEAAHAFAAAAAA==&#10;">
              <v:fill on="f" focussize="0,0"/>
              <v:stroke on="f" weight="1.25pt"/>
              <v:imagedata o:title=""/>
              <o:lock v:ext="edit" aspectratio="f"/>
              <v:textbox inset="0mm,0mm,0mm,0mm" style="mso-fit-shape-to-text:t;">
                <w:txbxContent>
                  <w:p w14:paraId="1778EFDE">
                    <w:pPr>
                      <w:pStyle w:val="230"/>
                      <w:tabs>
                        <w:tab w:val="clear" w:pos="4153"/>
                        <w:tab w:val="clear" w:pos="8306"/>
                      </w:tabs>
                    </w:pPr>
                    <w:r>
                      <w:fldChar w:fldCharType="begin"/>
                    </w:r>
                    <w:r>
                      <w:instrText xml:space="preserve"> PAGE  \* MERGEFORMAT </w:instrText>
                    </w:r>
                    <w:r>
                      <w:fldChar w:fldCharType="separate"/>
                    </w:r>
                    <w:r>
                      <w:t>19</w:t>
                    </w:r>
                    <w:r>
                      <w:fldChar w:fldCharType="end"/>
                    </w:r>
                  </w:p>
                  <w:p w14:paraId="1596CECC"/>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C52ED">
    <w:pPr>
      <w:pStyle w:val="230"/>
      <w:jc w:val="center"/>
      <w:rPr>
        <w:rFonts w:ascii="宋体_GB2312" w:hAnsi="宋体_GB2312" w:eastAsia="宋体_GB2312"/>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15875">
                        <a:noFill/>
                      </a:ln>
                    </wps:spPr>
                    <wps:txbx>
                      <w:txbxContent>
                        <w:p w14:paraId="658AEDA4">
                          <w:pPr>
                            <w:pStyle w:val="230"/>
                            <w:tabs>
                              <w:tab w:val="clear" w:pos="4153"/>
                              <w:tab w:val="clear" w:pos="8306"/>
                            </w:tabs>
                          </w:pPr>
                          <w:r>
                            <w:fldChar w:fldCharType="begin"/>
                          </w:r>
                          <w:r>
                            <w:instrText xml:space="preserve"> PAGE  \* MERGEFORMAT </w:instrText>
                          </w:r>
                          <w:r>
                            <w:fldChar w:fldCharType="separate"/>
                          </w:r>
                          <w:r>
                            <w:t>48</w:t>
                          </w:r>
                          <w:r>
                            <w:fldChar w:fldCharType="end"/>
                          </w:r>
                        </w:p>
                        <w:p w14:paraId="1DCB8D2A"/>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aGmCS9MAAAAFAQAADwAAAAAAAAAB&#10;ACAAAAAiAAAAZHJzL2Rvd25yZXYueG1sUEsBAhQAFAAAAAgAh07iQCC2qgzcAQAAsQMAAA4AAAAA&#10;AAAAAQAgAAAAIgEAAGRycy9lMm9Eb2MueG1sUEsFBgAAAAAGAAYAWQEAAHAFAAAAAA==&#10;">
              <v:fill on="f" focussize="0,0"/>
              <v:stroke on="f" weight="1.25pt"/>
              <v:imagedata o:title=""/>
              <o:lock v:ext="edit" aspectratio="f"/>
              <v:textbox inset="0mm,0mm,0mm,0mm" style="mso-fit-shape-to-text:t;">
                <w:txbxContent>
                  <w:p w14:paraId="658AEDA4">
                    <w:pPr>
                      <w:pStyle w:val="230"/>
                      <w:tabs>
                        <w:tab w:val="clear" w:pos="4153"/>
                        <w:tab w:val="clear" w:pos="8306"/>
                      </w:tabs>
                    </w:pPr>
                    <w:r>
                      <w:fldChar w:fldCharType="begin"/>
                    </w:r>
                    <w:r>
                      <w:instrText xml:space="preserve"> PAGE  \* MERGEFORMAT </w:instrText>
                    </w:r>
                    <w:r>
                      <w:fldChar w:fldCharType="separate"/>
                    </w:r>
                    <w:r>
                      <w:t>48</w:t>
                    </w:r>
                    <w:r>
                      <w:fldChar w:fldCharType="end"/>
                    </w:r>
                  </w:p>
                  <w:p w14:paraId="1DCB8D2A"/>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71C4D">
    <w:pPr>
      <w:pStyle w:val="232"/>
    </w:pPr>
    <w:r>
      <w:rPr>
        <w:rFonts w:hint="eastAsia"/>
        <w:lang w:eastAsia="zh-CN"/>
      </w:rPr>
      <w:t>YDFYSW-20260901-1号</w:t>
    </w:r>
    <w:r>
      <w:rPr>
        <w:rFonts w:hint="eastAsia"/>
      </w:rPr>
      <w:t xml:space="preserve">                                               江苏苏维工程管理有限公司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7E730">
    <w:pPr>
      <w:pStyle w:val="232"/>
    </w:pPr>
    <w:r>
      <w:rPr>
        <w:rFonts w:hint="eastAsia"/>
        <w:lang w:eastAsia="zh-CN"/>
      </w:rPr>
      <w:t>YDFYSW-20260901-1号</w:t>
    </w:r>
    <w:r>
      <w:rPr>
        <w:rFonts w:hint="eastAsia"/>
      </w:rPr>
      <w:t xml:space="preserve">                                           江苏苏维工程管理有限公司</w:t>
    </w:r>
  </w:p>
  <w:p w14:paraId="48CD1778">
    <w:pPr>
      <w:pStyle w:val="232"/>
      <w:pBdr>
        <w:bottom w:val="none" w:color="000000"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japaneseCounting"/>
      <w:pStyle w:val="309"/>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A9B8A59D"/>
    <w:multiLevelType w:val="singleLevel"/>
    <w:tmpl w:val="A9B8A59D"/>
    <w:lvl w:ilvl="0" w:tentative="0">
      <w:start w:val="1"/>
      <w:numFmt w:val="bullet"/>
      <w:pStyle w:val="18"/>
      <w:lvlText w:val=""/>
      <w:lvlJc w:val="left"/>
      <w:pPr>
        <w:tabs>
          <w:tab w:val="left" w:pos="780"/>
        </w:tabs>
        <w:ind w:left="780" w:hanging="360"/>
      </w:pPr>
      <w:rPr>
        <w:rFonts w:hint="default" w:ascii="Wingdings" w:hAnsi="Wingdings"/>
      </w:rPr>
    </w:lvl>
  </w:abstractNum>
  <w:abstractNum w:abstractNumId="2">
    <w:nsid w:val="01956141"/>
    <w:multiLevelType w:val="multilevel"/>
    <w:tmpl w:val="0195614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0248C179"/>
    <w:multiLevelType w:val="multilevel"/>
    <w:tmpl w:val="0248C179"/>
    <w:lvl w:ilvl="0" w:tentative="0">
      <w:start w:val="1"/>
      <w:numFmt w:val="bullet"/>
      <w:pStyle w:val="267"/>
      <w:lvlText w:val=""/>
      <w:lvlJc w:val="left"/>
      <w:pPr>
        <w:ind w:left="900" w:hanging="420"/>
      </w:pPr>
      <w:rPr>
        <w:rFonts w:ascii="Wingdings" w:hAnsi="Wingdings"/>
      </w:rPr>
    </w:lvl>
    <w:lvl w:ilvl="1" w:tentative="0">
      <w:start w:val="1"/>
      <w:numFmt w:val="bullet"/>
      <w:lvlText w:val=""/>
      <w:lvlJc w:val="left"/>
      <w:pPr>
        <w:ind w:left="1320" w:hanging="420"/>
      </w:pPr>
      <w:rPr>
        <w:rFonts w:ascii="Wingdings" w:hAnsi="Wingdings"/>
      </w:rPr>
    </w:lvl>
    <w:lvl w:ilvl="2" w:tentative="0">
      <w:start w:val="1"/>
      <w:numFmt w:val="bullet"/>
      <w:lvlText w:val=""/>
      <w:lvlJc w:val="left"/>
      <w:pPr>
        <w:ind w:left="1740" w:hanging="420"/>
      </w:pPr>
      <w:rPr>
        <w:rFonts w:ascii="Wingdings" w:hAnsi="Wingdings"/>
      </w:rPr>
    </w:lvl>
    <w:lvl w:ilvl="3" w:tentative="0">
      <w:start w:val="1"/>
      <w:numFmt w:val="bullet"/>
      <w:lvlText w:val=""/>
      <w:lvlJc w:val="left"/>
      <w:pPr>
        <w:ind w:left="2160" w:hanging="420"/>
      </w:pPr>
      <w:rPr>
        <w:rFonts w:ascii="Wingdings" w:hAnsi="Wingdings"/>
      </w:rPr>
    </w:lvl>
    <w:lvl w:ilvl="4" w:tentative="0">
      <w:start w:val="1"/>
      <w:numFmt w:val="bullet"/>
      <w:lvlText w:val=""/>
      <w:lvlJc w:val="left"/>
      <w:pPr>
        <w:ind w:left="2580" w:hanging="420"/>
      </w:pPr>
      <w:rPr>
        <w:rFonts w:ascii="Wingdings" w:hAnsi="Wingdings"/>
      </w:rPr>
    </w:lvl>
    <w:lvl w:ilvl="5" w:tentative="0">
      <w:start w:val="1"/>
      <w:numFmt w:val="bullet"/>
      <w:lvlText w:val=""/>
      <w:lvlJc w:val="left"/>
      <w:pPr>
        <w:ind w:left="3000" w:hanging="420"/>
      </w:pPr>
      <w:rPr>
        <w:rFonts w:ascii="Wingdings" w:hAnsi="Wingdings"/>
      </w:rPr>
    </w:lvl>
    <w:lvl w:ilvl="6" w:tentative="0">
      <w:start w:val="1"/>
      <w:numFmt w:val="bullet"/>
      <w:lvlText w:val=""/>
      <w:lvlJc w:val="left"/>
      <w:pPr>
        <w:ind w:left="3420" w:hanging="420"/>
      </w:pPr>
      <w:rPr>
        <w:rFonts w:ascii="Wingdings" w:hAnsi="Wingdings"/>
      </w:rPr>
    </w:lvl>
    <w:lvl w:ilvl="7" w:tentative="0">
      <w:start w:val="1"/>
      <w:numFmt w:val="bullet"/>
      <w:lvlText w:val=""/>
      <w:lvlJc w:val="left"/>
      <w:pPr>
        <w:ind w:left="3840" w:hanging="420"/>
      </w:pPr>
      <w:rPr>
        <w:rFonts w:ascii="Wingdings" w:hAnsi="Wingdings"/>
      </w:rPr>
    </w:lvl>
    <w:lvl w:ilvl="8" w:tentative="0">
      <w:start w:val="1"/>
      <w:numFmt w:val="bullet"/>
      <w:lvlText w:val=""/>
      <w:lvlJc w:val="left"/>
      <w:pPr>
        <w:ind w:left="4260" w:hanging="420"/>
      </w:pPr>
      <w:rPr>
        <w:rFonts w:ascii="Wingdings" w:hAnsi="Wingdings"/>
      </w:rPr>
    </w:lvl>
  </w:abstractNum>
  <w:abstractNum w:abstractNumId="4">
    <w:nsid w:val="18F80F32"/>
    <w:multiLevelType w:val="multilevel"/>
    <w:tmpl w:val="18F80F3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1D4D4BA5"/>
    <w:multiLevelType w:val="multilevel"/>
    <w:tmpl w:val="1D4D4BA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25B654F3"/>
    <w:multiLevelType w:val="multilevel"/>
    <w:tmpl w:val="25B654F3"/>
    <w:lvl w:ilvl="0" w:tentative="0">
      <w:start w:val="1"/>
      <w:numFmt w:val="chineseCountingThousand"/>
      <w:lvlText w:val="%1、"/>
      <w:lvlJc w:val="left"/>
      <w:pPr>
        <w:ind w:left="431" w:hanging="431"/>
      </w:pPr>
      <w:rPr>
        <w:rFonts w:cs="Times New Roman"/>
        <w:b/>
        <w:i w:val="0"/>
        <w:iCs w:val="0"/>
        <w:caps w:val="0"/>
        <w:strike w:val="0"/>
        <w:vanish w:val="0"/>
        <w:spacing w:val="0"/>
        <w:position w:val="0"/>
        <w:sz w:val="21"/>
        <w:szCs w:val="32"/>
        <w:u w:val="none"/>
        <w:vertAlign w:val="baseline"/>
      </w:rPr>
    </w:lvl>
    <w:lvl w:ilvl="1" w:tentative="0">
      <w:start w:val="1"/>
      <w:numFmt w:val="decimal"/>
      <w:pStyle w:val="192"/>
      <w:suff w:val="space"/>
      <w:lvlText w:val="%1.%2"/>
      <w:lvlJc w:val="left"/>
      <w:pPr>
        <w:ind w:left="851" w:hanging="567"/>
      </w:pPr>
      <w:rPr>
        <w:rFonts w:ascii="Arial" w:hAnsi="Arial" w:eastAsia="黑体"/>
        <w:b/>
        <w:i w:val="0"/>
        <w:sz w:val="28"/>
        <w:szCs w:val="28"/>
      </w:rPr>
    </w:lvl>
    <w:lvl w:ilvl="2" w:tentative="0">
      <w:start w:val="1"/>
      <w:numFmt w:val="decimal"/>
      <w:pStyle w:val="193"/>
      <w:suff w:val="space"/>
      <w:lvlText w:val="%1.%2.%3"/>
      <w:lvlJc w:val="left"/>
      <w:pPr>
        <w:ind w:left="720" w:hanging="720"/>
      </w:pPr>
      <w:rPr>
        <w:rFonts w:ascii="Arial" w:hAnsi="Arial" w:eastAsia="黑体"/>
        <w:b/>
        <w:i w:val="0"/>
        <w:sz w:val="28"/>
        <w:szCs w:val="28"/>
      </w:rPr>
    </w:lvl>
    <w:lvl w:ilvl="3" w:tentative="0">
      <w:start w:val="1"/>
      <w:numFmt w:val="decimal"/>
      <w:suff w:val="space"/>
      <w:lvlText w:val="%1.%2.%3.%4"/>
      <w:lvlJc w:val="left"/>
      <w:pPr>
        <w:ind w:left="864" w:hanging="864"/>
      </w:pPr>
      <w:rPr>
        <w:rFonts w:ascii="Arial" w:hAnsi="Arial" w:eastAsia="黑体"/>
        <w:b/>
        <w:i w:val="0"/>
        <w:sz w:val="30"/>
        <w:szCs w:val="30"/>
      </w:rPr>
    </w:lvl>
    <w:lvl w:ilvl="4" w:tentative="0">
      <w:start w:val="1"/>
      <w:numFmt w:val="decimal"/>
      <w:suff w:val="space"/>
      <w:lvlText w:val="%1.%2.%3.%4.%5"/>
      <w:lvlJc w:val="left"/>
      <w:pPr>
        <w:ind w:left="1008" w:hanging="1008"/>
      </w:pPr>
      <w:rPr>
        <w:rFonts w:ascii="Arial" w:hAnsi="Arial" w:eastAsia="黑体"/>
        <w:b/>
        <w:i w:val="0"/>
        <w:sz w:val="28"/>
        <w:szCs w:val="28"/>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7">
    <w:nsid w:val="2A8F537B"/>
    <w:multiLevelType w:val="multilevel"/>
    <w:tmpl w:val="2A8F537B"/>
    <w:lvl w:ilvl="0" w:tentative="0">
      <w:start w:val="1"/>
      <w:numFmt w:val="japaneseCounting"/>
      <w:lvlText w:val="第%1章"/>
      <w:lvlJc w:val="left"/>
      <w:pPr>
        <w:ind w:left="300" w:hanging="420"/>
      </w:pPr>
      <w:rPr>
        <w:rFonts w:hint="eastAsia" w:ascii="黑体" w:eastAsia="黑体"/>
        <w:b w:val="0"/>
        <w:sz w:val="36"/>
        <w:lang w:val="en-US"/>
      </w:rPr>
    </w:lvl>
    <w:lvl w:ilvl="1" w:tentative="0">
      <w:start w:val="1"/>
      <w:numFmt w:val="decimal"/>
      <w:pStyle w:val="333"/>
      <w:lvlText w:val="%1.%2"/>
      <w:lvlJc w:val="left"/>
      <w:pPr>
        <w:tabs>
          <w:tab w:val="left" w:pos="851"/>
        </w:tabs>
        <w:ind w:left="0" w:firstLine="0"/>
      </w:pPr>
    </w:lvl>
    <w:lvl w:ilvl="2" w:tentative="0">
      <w:start w:val="1"/>
      <w:numFmt w:val="decimal"/>
      <w:pStyle w:val="318"/>
      <w:lvlText w:val="%1.%2.%3"/>
      <w:lvlJc w:val="left"/>
      <w:pPr>
        <w:tabs>
          <w:tab w:val="left" w:pos="851"/>
        </w:tabs>
        <w:ind w:left="0" w:firstLine="0"/>
      </w:pPr>
      <w:rPr>
        <w:color w:val="000000"/>
      </w:rPr>
    </w:lvl>
    <w:lvl w:ilvl="3" w:tentative="0">
      <w:start w:val="1"/>
      <w:numFmt w:val="decimal"/>
      <w:lvlText w:val="%1.%2.%3.%4"/>
      <w:lvlJc w:val="left"/>
      <w:pPr>
        <w:tabs>
          <w:tab w:val="left" w:pos="1134"/>
        </w:tabs>
        <w:ind w:left="0" w:firstLine="0"/>
      </w:pPr>
      <w:rPr>
        <w:rFonts w:hint="eastAsia"/>
      </w:rPr>
    </w:lvl>
    <w:lvl w:ilvl="4" w:tentative="0">
      <w:start w:val="1"/>
      <w:numFmt w:val="decimal"/>
      <w:lvlText w:val="%1.%2.%3.%4.%5"/>
      <w:lvlJc w:val="left"/>
      <w:pPr>
        <w:tabs>
          <w:tab w:val="left" w:pos="4850"/>
        </w:tabs>
        <w:ind w:left="4620" w:hanging="850"/>
      </w:pPr>
      <w:rPr>
        <w:rFonts w:hint="eastAsia"/>
      </w:rPr>
    </w:lvl>
    <w:lvl w:ilvl="5" w:tentative="0">
      <w:start w:val="1"/>
      <w:numFmt w:val="decimal"/>
      <w:lvlText w:val="%1.%2.%3.%4.%5.%6"/>
      <w:lvlJc w:val="left"/>
      <w:pPr>
        <w:tabs>
          <w:tab w:val="left" w:pos="5635"/>
        </w:tabs>
        <w:ind w:left="5329" w:hanging="1134"/>
      </w:pPr>
      <w:rPr>
        <w:rFonts w:hint="eastAsia"/>
      </w:rPr>
    </w:lvl>
    <w:lvl w:ilvl="6" w:tentative="0">
      <w:start w:val="1"/>
      <w:numFmt w:val="decimal"/>
      <w:lvlText w:val="%1.%2.%3.%4.%5.%6.%7"/>
      <w:lvlJc w:val="left"/>
      <w:pPr>
        <w:tabs>
          <w:tab w:val="left" w:pos="6420"/>
        </w:tabs>
        <w:ind w:left="5896" w:hanging="1276"/>
      </w:pPr>
      <w:rPr>
        <w:rFonts w:hint="eastAsia"/>
      </w:rPr>
    </w:lvl>
    <w:lvl w:ilvl="7" w:tentative="0">
      <w:start w:val="1"/>
      <w:numFmt w:val="decimal"/>
      <w:lvlText w:val="%1.%2.%3.%4.%5.%6.%7.%8"/>
      <w:lvlJc w:val="left"/>
      <w:pPr>
        <w:tabs>
          <w:tab w:val="left" w:pos="6845"/>
        </w:tabs>
        <w:ind w:left="6463" w:hanging="1418"/>
      </w:pPr>
      <w:rPr>
        <w:rFonts w:hint="eastAsia"/>
      </w:rPr>
    </w:lvl>
    <w:lvl w:ilvl="8" w:tentative="0">
      <w:start w:val="1"/>
      <w:numFmt w:val="decimal"/>
      <w:lvlText w:val="%1.%2.%3.%4.%5.%6.%7.%8.%9"/>
      <w:lvlJc w:val="left"/>
      <w:pPr>
        <w:tabs>
          <w:tab w:val="left" w:pos="7631"/>
        </w:tabs>
        <w:ind w:left="7171" w:hanging="1700"/>
      </w:pPr>
      <w:rPr>
        <w:rFonts w:hint="eastAsia"/>
      </w:rPr>
    </w:lvl>
  </w:abstractNum>
  <w:abstractNum w:abstractNumId="8">
    <w:nsid w:val="42B67045"/>
    <w:multiLevelType w:val="multilevel"/>
    <w:tmpl w:val="42B6704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461A1B45"/>
    <w:multiLevelType w:val="multilevel"/>
    <w:tmpl w:val="461A1B4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58A0D1F3"/>
    <w:multiLevelType w:val="singleLevel"/>
    <w:tmpl w:val="58A0D1F3"/>
    <w:lvl w:ilvl="0" w:tentative="0">
      <w:start w:val="5"/>
      <w:numFmt w:val="chineseCounting"/>
      <w:suff w:val="nothing"/>
      <w:lvlText w:val="%1、"/>
      <w:lvlJc w:val="left"/>
      <w:rPr>
        <w:rFonts w:hint="eastAsia"/>
      </w:rPr>
    </w:lvl>
  </w:abstractNum>
  <w:abstractNum w:abstractNumId="11">
    <w:nsid w:val="5A241D34"/>
    <w:multiLevelType w:val="multilevel"/>
    <w:tmpl w:val="5A241D34"/>
    <w:lvl w:ilvl="0" w:tentative="0">
      <w:start w:val="34"/>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2">
    <w:nsid w:val="5A3E6CE3"/>
    <w:multiLevelType w:val="singleLevel"/>
    <w:tmpl w:val="5A3E6CE3"/>
    <w:lvl w:ilvl="0" w:tentative="0">
      <w:start w:val="1"/>
      <w:numFmt w:val="decimal"/>
      <w:suff w:val="nothing"/>
      <w:lvlText w:val="%1."/>
      <w:lvlJc w:val="left"/>
    </w:lvl>
  </w:abstractNum>
  <w:abstractNum w:abstractNumId="13">
    <w:nsid w:val="61647980"/>
    <w:multiLevelType w:val="multilevel"/>
    <w:tmpl w:val="6164798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631CC54D"/>
    <w:multiLevelType w:val="multilevel"/>
    <w:tmpl w:val="631CC54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669E14E7"/>
    <w:multiLevelType w:val="multilevel"/>
    <w:tmpl w:val="669E14E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72183CF9"/>
    <w:multiLevelType w:val="multilevel"/>
    <w:tmpl w:val="72183CF9"/>
    <w:lvl w:ilvl="0" w:tentative="0">
      <w:start w:val="1"/>
      <w:numFmt w:val="bullet"/>
      <w:pStyle w:val="220"/>
      <w:lvlText w:val=""/>
      <w:lvlJc w:val="left"/>
      <w:pPr>
        <w:tabs>
          <w:tab w:val="left" w:pos="780"/>
        </w:tabs>
        <w:ind w:left="780" w:hanging="360"/>
      </w:pPr>
      <w:rPr>
        <w:rFonts w:ascii="Wingdings" w:hAnsi="Wingdings"/>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7">
    <w:nsid w:val="7C5C3673"/>
    <w:multiLevelType w:val="multilevel"/>
    <w:tmpl w:val="7C5C367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6"/>
  </w:num>
  <w:num w:numId="3">
    <w:abstractNumId w:val="16"/>
  </w:num>
  <w:num w:numId="4">
    <w:abstractNumId w:val="3"/>
  </w:num>
  <w:num w:numId="5">
    <w:abstractNumId w:val="0"/>
  </w:num>
  <w:num w:numId="6">
    <w:abstractNumId w:val="7"/>
  </w:num>
  <w:num w:numId="7">
    <w:abstractNumId w:val="11"/>
  </w:num>
  <w:num w:numId="8">
    <w:abstractNumId w:val="10"/>
  </w:num>
  <w:num w:numId="9">
    <w:abstractNumId w:val="8"/>
  </w:num>
  <w:num w:numId="10">
    <w:abstractNumId w:val="2"/>
  </w:num>
  <w:num w:numId="11">
    <w:abstractNumId w:val="14"/>
  </w:num>
  <w:num w:numId="12">
    <w:abstractNumId w:val="4"/>
  </w:num>
  <w:num w:numId="13">
    <w:abstractNumId w:val="17"/>
  </w:num>
  <w:num w:numId="14">
    <w:abstractNumId w:val="5"/>
  </w:num>
  <w:num w:numId="15">
    <w:abstractNumId w:val="13"/>
  </w:num>
  <w:num w:numId="16">
    <w:abstractNumId w:val="9"/>
  </w:num>
  <w:num w:numId="17">
    <w:abstractNumId w:val="15"/>
  </w:num>
  <w:num w:numId="18">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俊">
    <w15:presenceInfo w15:providerId="None" w15:userId="李俊"/>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noPunctuationKerning w:val="1"/>
  <w:characterSpacingControl w:val="doNotCompress"/>
  <w:compat>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DCD"/>
    <w:rsid w:val="000240A1"/>
    <w:rsid w:val="00027E67"/>
    <w:rsid w:val="00036107"/>
    <w:rsid w:val="00037A45"/>
    <w:rsid w:val="0004330D"/>
    <w:rsid w:val="00045A1D"/>
    <w:rsid w:val="00055F50"/>
    <w:rsid w:val="00097D91"/>
    <w:rsid w:val="000B252B"/>
    <w:rsid w:val="000C50FD"/>
    <w:rsid w:val="000F1360"/>
    <w:rsid w:val="00127391"/>
    <w:rsid w:val="0013296E"/>
    <w:rsid w:val="001532A0"/>
    <w:rsid w:val="00162F96"/>
    <w:rsid w:val="001773CB"/>
    <w:rsid w:val="00182BD9"/>
    <w:rsid w:val="00193408"/>
    <w:rsid w:val="001940A1"/>
    <w:rsid w:val="001A37E1"/>
    <w:rsid w:val="00221D02"/>
    <w:rsid w:val="00231AB3"/>
    <w:rsid w:val="00235FBD"/>
    <w:rsid w:val="00252B39"/>
    <w:rsid w:val="00264481"/>
    <w:rsid w:val="00273CEA"/>
    <w:rsid w:val="00280001"/>
    <w:rsid w:val="002854B4"/>
    <w:rsid w:val="002B5D3B"/>
    <w:rsid w:val="00322C4A"/>
    <w:rsid w:val="00375718"/>
    <w:rsid w:val="003771EE"/>
    <w:rsid w:val="00406DEF"/>
    <w:rsid w:val="00414420"/>
    <w:rsid w:val="00431F2C"/>
    <w:rsid w:val="00461FA2"/>
    <w:rsid w:val="0046433E"/>
    <w:rsid w:val="004B3FE5"/>
    <w:rsid w:val="004D6E70"/>
    <w:rsid w:val="004D7B68"/>
    <w:rsid w:val="004F4B3B"/>
    <w:rsid w:val="00515C47"/>
    <w:rsid w:val="00525CA4"/>
    <w:rsid w:val="0055641B"/>
    <w:rsid w:val="00556D96"/>
    <w:rsid w:val="005827DA"/>
    <w:rsid w:val="005B1616"/>
    <w:rsid w:val="005E7C63"/>
    <w:rsid w:val="005F3D3E"/>
    <w:rsid w:val="00602264"/>
    <w:rsid w:val="00635B4E"/>
    <w:rsid w:val="00652838"/>
    <w:rsid w:val="006570DB"/>
    <w:rsid w:val="00696215"/>
    <w:rsid w:val="006A1DB0"/>
    <w:rsid w:val="006B14EE"/>
    <w:rsid w:val="006C4165"/>
    <w:rsid w:val="006D4677"/>
    <w:rsid w:val="006E3715"/>
    <w:rsid w:val="006F4799"/>
    <w:rsid w:val="0071799C"/>
    <w:rsid w:val="00721D60"/>
    <w:rsid w:val="00732C09"/>
    <w:rsid w:val="00736E2B"/>
    <w:rsid w:val="007D3775"/>
    <w:rsid w:val="007E340A"/>
    <w:rsid w:val="008005C8"/>
    <w:rsid w:val="00852CBC"/>
    <w:rsid w:val="008A04C9"/>
    <w:rsid w:val="008D407A"/>
    <w:rsid w:val="008E607E"/>
    <w:rsid w:val="00913CA3"/>
    <w:rsid w:val="00915DB4"/>
    <w:rsid w:val="00934DDE"/>
    <w:rsid w:val="00946614"/>
    <w:rsid w:val="00964813"/>
    <w:rsid w:val="0097656E"/>
    <w:rsid w:val="00984A27"/>
    <w:rsid w:val="00987860"/>
    <w:rsid w:val="009918AC"/>
    <w:rsid w:val="009950F2"/>
    <w:rsid w:val="00996653"/>
    <w:rsid w:val="009B1E92"/>
    <w:rsid w:val="009B6CB4"/>
    <w:rsid w:val="009C6F8A"/>
    <w:rsid w:val="00A27046"/>
    <w:rsid w:val="00A45C3E"/>
    <w:rsid w:val="00A75A35"/>
    <w:rsid w:val="00AE4DCD"/>
    <w:rsid w:val="00AF019D"/>
    <w:rsid w:val="00B0077D"/>
    <w:rsid w:val="00B22B4D"/>
    <w:rsid w:val="00B36E35"/>
    <w:rsid w:val="00B822F0"/>
    <w:rsid w:val="00B91691"/>
    <w:rsid w:val="00BA07A2"/>
    <w:rsid w:val="00BE381F"/>
    <w:rsid w:val="00BE3BBA"/>
    <w:rsid w:val="00BF77F7"/>
    <w:rsid w:val="00C1286A"/>
    <w:rsid w:val="00C162A6"/>
    <w:rsid w:val="00C166D5"/>
    <w:rsid w:val="00C23C33"/>
    <w:rsid w:val="00C3153F"/>
    <w:rsid w:val="00C371A9"/>
    <w:rsid w:val="00C76E01"/>
    <w:rsid w:val="00CC3BCB"/>
    <w:rsid w:val="00CD388A"/>
    <w:rsid w:val="00CD3AC0"/>
    <w:rsid w:val="00CD5451"/>
    <w:rsid w:val="00D7322C"/>
    <w:rsid w:val="00D818A6"/>
    <w:rsid w:val="00D833EB"/>
    <w:rsid w:val="00D867BC"/>
    <w:rsid w:val="00DC5A47"/>
    <w:rsid w:val="00DC7807"/>
    <w:rsid w:val="00DE1BE7"/>
    <w:rsid w:val="00DF272F"/>
    <w:rsid w:val="00E055D3"/>
    <w:rsid w:val="00E1366E"/>
    <w:rsid w:val="00E17F15"/>
    <w:rsid w:val="00E55D5D"/>
    <w:rsid w:val="00E56683"/>
    <w:rsid w:val="00E663A1"/>
    <w:rsid w:val="00E90BD8"/>
    <w:rsid w:val="00E91083"/>
    <w:rsid w:val="00EA0EB0"/>
    <w:rsid w:val="00EA1C61"/>
    <w:rsid w:val="00ED71EA"/>
    <w:rsid w:val="00EE0523"/>
    <w:rsid w:val="00EE4311"/>
    <w:rsid w:val="00F06CDA"/>
    <w:rsid w:val="00F629E0"/>
    <w:rsid w:val="00F645C2"/>
    <w:rsid w:val="00F72FDF"/>
    <w:rsid w:val="00F94F7E"/>
    <w:rsid w:val="00FB39A7"/>
    <w:rsid w:val="00FD51EC"/>
    <w:rsid w:val="00FF3A14"/>
    <w:rsid w:val="00FF6B9D"/>
    <w:rsid w:val="01213882"/>
    <w:rsid w:val="02AC0FFA"/>
    <w:rsid w:val="02C67BA4"/>
    <w:rsid w:val="02FC45A7"/>
    <w:rsid w:val="03FF3601"/>
    <w:rsid w:val="04897D5E"/>
    <w:rsid w:val="04900CB6"/>
    <w:rsid w:val="04E12E6A"/>
    <w:rsid w:val="04ED63C9"/>
    <w:rsid w:val="05017C52"/>
    <w:rsid w:val="059E7B97"/>
    <w:rsid w:val="05E27A84"/>
    <w:rsid w:val="06145DC8"/>
    <w:rsid w:val="0621237C"/>
    <w:rsid w:val="062A4F87"/>
    <w:rsid w:val="06824E13"/>
    <w:rsid w:val="06E25862"/>
    <w:rsid w:val="0707271F"/>
    <w:rsid w:val="078E4BFE"/>
    <w:rsid w:val="0822060B"/>
    <w:rsid w:val="087D3A94"/>
    <w:rsid w:val="088F3907"/>
    <w:rsid w:val="090570BA"/>
    <w:rsid w:val="094E5098"/>
    <w:rsid w:val="095C5D9F"/>
    <w:rsid w:val="097034E0"/>
    <w:rsid w:val="09774987"/>
    <w:rsid w:val="0A195333"/>
    <w:rsid w:val="0A486323"/>
    <w:rsid w:val="0A8455AD"/>
    <w:rsid w:val="0AD025A1"/>
    <w:rsid w:val="0B3F7726"/>
    <w:rsid w:val="0BC63572"/>
    <w:rsid w:val="0BF24799"/>
    <w:rsid w:val="0C476893"/>
    <w:rsid w:val="0CAC2B9A"/>
    <w:rsid w:val="0CE51C08"/>
    <w:rsid w:val="0DBC0BBA"/>
    <w:rsid w:val="0E1A1D85"/>
    <w:rsid w:val="0E425BC3"/>
    <w:rsid w:val="0EBC4BEA"/>
    <w:rsid w:val="0EDE2DB2"/>
    <w:rsid w:val="10315591"/>
    <w:rsid w:val="10CD1330"/>
    <w:rsid w:val="112C7269"/>
    <w:rsid w:val="11345598"/>
    <w:rsid w:val="119836EC"/>
    <w:rsid w:val="1226519C"/>
    <w:rsid w:val="12333415"/>
    <w:rsid w:val="1236108A"/>
    <w:rsid w:val="12631F4C"/>
    <w:rsid w:val="129B7938"/>
    <w:rsid w:val="129C0FBA"/>
    <w:rsid w:val="12EB0398"/>
    <w:rsid w:val="13477178"/>
    <w:rsid w:val="13CE1647"/>
    <w:rsid w:val="13DF1AA7"/>
    <w:rsid w:val="13E618E5"/>
    <w:rsid w:val="13FB7F63"/>
    <w:rsid w:val="149D101A"/>
    <w:rsid w:val="14AD74AF"/>
    <w:rsid w:val="14AE3C1C"/>
    <w:rsid w:val="15064E11"/>
    <w:rsid w:val="15B17473"/>
    <w:rsid w:val="15E769F0"/>
    <w:rsid w:val="15EC2259"/>
    <w:rsid w:val="15FF01DE"/>
    <w:rsid w:val="1675224E"/>
    <w:rsid w:val="16893F4C"/>
    <w:rsid w:val="16EB23F2"/>
    <w:rsid w:val="17084E70"/>
    <w:rsid w:val="17290466"/>
    <w:rsid w:val="17377504"/>
    <w:rsid w:val="17481711"/>
    <w:rsid w:val="175E7186"/>
    <w:rsid w:val="17821754"/>
    <w:rsid w:val="17B60D70"/>
    <w:rsid w:val="18281030"/>
    <w:rsid w:val="189E77CF"/>
    <w:rsid w:val="18DF1F83"/>
    <w:rsid w:val="19037FE5"/>
    <w:rsid w:val="19067AD5"/>
    <w:rsid w:val="19364AF1"/>
    <w:rsid w:val="194505FE"/>
    <w:rsid w:val="19B27315"/>
    <w:rsid w:val="1A077661"/>
    <w:rsid w:val="1A3D7527"/>
    <w:rsid w:val="1BB26B0B"/>
    <w:rsid w:val="1C1B5646"/>
    <w:rsid w:val="1C422CFF"/>
    <w:rsid w:val="1C4B67E0"/>
    <w:rsid w:val="1CB919D8"/>
    <w:rsid w:val="1CEE68B6"/>
    <w:rsid w:val="1D70551D"/>
    <w:rsid w:val="1DBC69B5"/>
    <w:rsid w:val="1EBA7398"/>
    <w:rsid w:val="1EC04283"/>
    <w:rsid w:val="1F247119"/>
    <w:rsid w:val="1F526274"/>
    <w:rsid w:val="1F856829"/>
    <w:rsid w:val="1FB262C1"/>
    <w:rsid w:val="1FE667F0"/>
    <w:rsid w:val="1FE81CE3"/>
    <w:rsid w:val="1FF77E1C"/>
    <w:rsid w:val="20120B0E"/>
    <w:rsid w:val="206F3AEF"/>
    <w:rsid w:val="20CA48D9"/>
    <w:rsid w:val="210E7F88"/>
    <w:rsid w:val="21260D15"/>
    <w:rsid w:val="215A1B58"/>
    <w:rsid w:val="21AD6FAB"/>
    <w:rsid w:val="21B31E7D"/>
    <w:rsid w:val="21C342C4"/>
    <w:rsid w:val="21CD73E2"/>
    <w:rsid w:val="21D267A7"/>
    <w:rsid w:val="21D97A24"/>
    <w:rsid w:val="2210107D"/>
    <w:rsid w:val="226E2973"/>
    <w:rsid w:val="228D0920"/>
    <w:rsid w:val="22A85759"/>
    <w:rsid w:val="2309444A"/>
    <w:rsid w:val="23E12CD1"/>
    <w:rsid w:val="23EC5AD3"/>
    <w:rsid w:val="243206D5"/>
    <w:rsid w:val="252202D5"/>
    <w:rsid w:val="252E1F46"/>
    <w:rsid w:val="2548391D"/>
    <w:rsid w:val="25665B84"/>
    <w:rsid w:val="25677AC3"/>
    <w:rsid w:val="25C32FD6"/>
    <w:rsid w:val="25E62821"/>
    <w:rsid w:val="26062EC3"/>
    <w:rsid w:val="268605B6"/>
    <w:rsid w:val="26B02C64"/>
    <w:rsid w:val="26B91CE3"/>
    <w:rsid w:val="26CD39E1"/>
    <w:rsid w:val="272555CB"/>
    <w:rsid w:val="27743E5C"/>
    <w:rsid w:val="27D019DA"/>
    <w:rsid w:val="27F356C9"/>
    <w:rsid w:val="28665E9B"/>
    <w:rsid w:val="28667C49"/>
    <w:rsid w:val="28976054"/>
    <w:rsid w:val="28BA3BCA"/>
    <w:rsid w:val="291D1B46"/>
    <w:rsid w:val="29235B3A"/>
    <w:rsid w:val="2982559C"/>
    <w:rsid w:val="29C9048F"/>
    <w:rsid w:val="29E55E88"/>
    <w:rsid w:val="2A50295E"/>
    <w:rsid w:val="2A7F1C4E"/>
    <w:rsid w:val="2A842E41"/>
    <w:rsid w:val="2B1B11BE"/>
    <w:rsid w:val="2B457FE9"/>
    <w:rsid w:val="2B634913"/>
    <w:rsid w:val="2C095DE6"/>
    <w:rsid w:val="2C0A4D8F"/>
    <w:rsid w:val="2C14371A"/>
    <w:rsid w:val="2C2E6CCF"/>
    <w:rsid w:val="2C493B09"/>
    <w:rsid w:val="2D6055AE"/>
    <w:rsid w:val="2D856DC3"/>
    <w:rsid w:val="2DC31699"/>
    <w:rsid w:val="2E265A2C"/>
    <w:rsid w:val="2E3A195C"/>
    <w:rsid w:val="2E921785"/>
    <w:rsid w:val="2E970C41"/>
    <w:rsid w:val="2EAC4371"/>
    <w:rsid w:val="2EB60132"/>
    <w:rsid w:val="2FAD5D38"/>
    <w:rsid w:val="2FC17E5A"/>
    <w:rsid w:val="2FD005A7"/>
    <w:rsid w:val="2FDC3643"/>
    <w:rsid w:val="2FFB336C"/>
    <w:rsid w:val="305318DD"/>
    <w:rsid w:val="3058220B"/>
    <w:rsid w:val="308B46F0"/>
    <w:rsid w:val="30C95F53"/>
    <w:rsid w:val="310814F8"/>
    <w:rsid w:val="312643E7"/>
    <w:rsid w:val="31880C30"/>
    <w:rsid w:val="318C3B09"/>
    <w:rsid w:val="31B25CAD"/>
    <w:rsid w:val="32544FB6"/>
    <w:rsid w:val="325B0FE6"/>
    <w:rsid w:val="32636037"/>
    <w:rsid w:val="32B52311"/>
    <w:rsid w:val="32EE0F67"/>
    <w:rsid w:val="32F81DE5"/>
    <w:rsid w:val="332130EA"/>
    <w:rsid w:val="332C31B3"/>
    <w:rsid w:val="33370B5F"/>
    <w:rsid w:val="33492527"/>
    <w:rsid w:val="34541E89"/>
    <w:rsid w:val="34AF2977"/>
    <w:rsid w:val="3566572C"/>
    <w:rsid w:val="35793F0F"/>
    <w:rsid w:val="35A41DB0"/>
    <w:rsid w:val="35AA5C89"/>
    <w:rsid w:val="361C228F"/>
    <w:rsid w:val="36595308"/>
    <w:rsid w:val="36E25286"/>
    <w:rsid w:val="3701395E"/>
    <w:rsid w:val="375C23EE"/>
    <w:rsid w:val="377C4D93"/>
    <w:rsid w:val="37B95D33"/>
    <w:rsid w:val="37C40B2D"/>
    <w:rsid w:val="37E34E12"/>
    <w:rsid w:val="37E70DD6"/>
    <w:rsid w:val="38527B64"/>
    <w:rsid w:val="3891486E"/>
    <w:rsid w:val="3914549F"/>
    <w:rsid w:val="39247B4C"/>
    <w:rsid w:val="3944468C"/>
    <w:rsid w:val="39893797"/>
    <w:rsid w:val="39CD4633"/>
    <w:rsid w:val="3A13080D"/>
    <w:rsid w:val="3A52002D"/>
    <w:rsid w:val="3A5E2E76"/>
    <w:rsid w:val="3AEC6D7A"/>
    <w:rsid w:val="3B567FF1"/>
    <w:rsid w:val="3BDD7DCA"/>
    <w:rsid w:val="3C237ED3"/>
    <w:rsid w:val="3C5856E7"/>
    <w:rsid w:val="3C97266F"/>
    <w:rsid w:val="3CBA010B"/>
    <w:rsid w:val="3CDD1D4F"/>
    <w:rsid w:val="3D5F13DF"/>
    <w:rsid w:val="3D9F4DBD"/>
    <w:rsid w:val="3E09134A"/>
    <w:rsid w:val="3E0E2682"/>
    <w:rsid w:val="3E3A44A4"/>
    <w:rsid w:val="3E706F72"/>
    <w:rsid w:val="3EB412B6"/>
    <w:rsid w:val="3EC97616"/>
    <w:rsid w:val="3EE97E24"/>
    <w:rsid w:val="3FA70E1B"/>
    <w:rsid w:val="3FCD1D87"/>
    <w:rsid w:val="3FD31C10"/>
    <w:rsid w:val="4040277D"/>
    <w:rsid w:val="404C3770"/>
    <w:rsid w:val="41E023C2"/>
    <w:rsid w:val="43010842"/>
    <w:rsid w:val="432A4BCA"/>
    <w:rsid w:val="432F1853"/>
    <w:rsid w:val="43411714"/>
    <w:rsid w:val="434D3A87"/>
    <w:rsid w:val="435A7F52"/>
    <w:rsid w:val="435B61A4"/>
    <w:rsid w:val="438F22F2"/>
    <w:rsid w:val="43F95167"/>
    <w:rsid w:val="44A91191"/>
    <w:rsid w:val="44A92F3F"/>
    <w:rsid w:val="457A48DC"/>
    <w:rsid w:val="45B605D7"/>
    <w:rsid w:val="45CC73AB"/>
    <w:rsid w:val="45F60406"/>
    <w:rsid w:val="46003033"/>
    <w:rsid w:val="46557B18"/>
    <w:rsid w:val="46805F22"/>
    <w:rsid w:val="46B51498"/>
    <w:rsid w:val="46D87B0C"/>
    <w:rsid w:val="476C1823"/>
    <w:rsid w:val="47B5612D"/>
    <w:rsid w:val="47CA56A6"/>
    <w:rsid w:val="47E349BA"/>
    <w:rsid w:val="47FE62D0"/>
    <w:rsid w:val="48426F36"/>
    <w:rsid w:val="48531B40"/>
    <w:rsid w:val="48C04CFB"/>
    <w:rsid w:val="48F549A5"/>
    <w:rsid w:val="49240759"/>
    <w:rsid w:val="494150E3"/>
    <w:rsid w:val="49624117"/>
    <w:rsid w:val="49843F7B"/>
    <w:rsid w:val="499577B0"/>
    <w:rsid w:val="499E3068"/>
    <w:rsid w:val="49C61B90"/>
    <w:rsid w:val="49E15DA4"/>
    <w:rsid w:val="4A484FA8"/>
    <w:rsid w:val="4A4F27DB"/>
    <w:rsid w:val="4ACF7478"/>
    <w:rsid w:val="4B330ADA"/>
    <w:rsid w:val="4B595DB2"/>
    <w:rsid w:val="4BB24DCF"/>
    <w:rsid w:val="4BD94597"/>
    <w:rsid w:val="4C1930A0"/>
    <w:rsid w:val="4C8F5111"/>
    <w:rsid w:val="4CC8739E"/>
    <w:rsid w:val="4CF23BDD"/>
    <w:rsid w:val="4D792D05"/>
    <w:rsid w:val="4D814A59"/>
    <w:rsid w:val="4D88228C"/>
    <w:rsid w:val="4DBB0CBC"/>
    <w:rsid w:val="4E760C3B"/>
    <w:rsid w:val="4E807407"/>
    <w:rsid w:val="4EA83CBF"/>
    <w:rsid w:val="4EAE1973"/>
    <w:rsid w:val="4F4542B9"/>
    <w:rsid w:val="4F4D1A7C"/>
    <w:rsid w:val="4F61690F"/>
    <w:rsid w:val="4FA7451F"/>
    <w:rsid w:val="4FEB6B02"/>
    <w:rsid w:val="4FED19B1"/>
    <w:rsid w:val="50203AD0"/>
    <w:rsid w:val="50395ABF"/>
    <w:rsid w:val="507E34D2"/>
    <w:rsid w:val="50A53155"/>
    <w:rsid w:val="50A76ECD"/>
    <w:rsid w:val="50DC552E"/>
    <w:rsid w:val="5107796B"/>
    <w:rsid w:val="51143E36"/>
    <w:rsid w:val="513B3CFE"/>
    <w:rsid w:val="5153495F"/>
    <w:rsid w:val="515B1A65"/>
    <w:rsid w:val="51986815"/>
    <w:rsid w:val="526112FD"/>
    <w:rsid w:val="526E3309"/>
    <w:rsid w:val="527A416D"/>
    <w:rsid w:val="5288688A"/>
    <w:rsid w:val="528B0128"/>
    <w:rsid w:val="52AD62F0"/>
    <w:rsid w:val="52EA12F3"/>
    <w:rsid w:val="52F417A2"/>
    <w:rsid w:val="53310CD0"/>
    <w:rsid w:val="53894668"/>
    <w:rsid w:val="53A73061"/>
    <w:rsid w:val="54762769"/>
    <w:rsid w:val="54AD082A"/>
    <w:rsid w:val="54C53DC5"/>
    <w:rsid w:val="54D47B64"/>
    <w:rsid w:val="552B174F"/>
    <w:rsid w:val="55AA6B17"/>
    <w:rsid w:val="55E657A2"/>
    <w:rsid w:val="567333AD"/>
    <w:rsid w:val="5684661A"/>
    <w:rsid w:val="56AF0889"/>
    <w:rsid w:val="57D469CA"/>
    <w:rsid w:val="58017696"/>
    <w:rsid w:val="58032209"/>
    <w:rsid w:val="58090325"/>
    <w:rsid w:val="58265F08"/>
    <w:rsid w:val="583D1EC5"/>
    <w:rsid w:val="58767185"/>
    <w:rsid w:val="587A09A5"/>
    <w:rsid w:val="58A321E2"/>
    <w:rsid w:val="58C7484C"/>
    <w:rsid w:val="58D36385"/>
    <w:rsid w:val="593212FE"/>
    <w:rsid w:val="59741916"/>
    <w:rsid w:val="599B6EA3"/>
    <w:rsid w:val="59B12B6A"/>
    <w:rsid w:val="59BD32BD"/>
    <w:rsid w:val="59EC1828"/>
    <w:rsid w:val="5A405C9C"/>
    <w:rsid w:val="5A5D57C3"/>
    <w:rsid w:val="5AB92FE7"/>
    <w:rsid w:val="5B386773"/>
    <w:rsid w:val="5B5E63DA"/>
    <w:rsid w:val="5BE2700B"/>
    <w:rsid w:val="5C390BF5"/>
    <w:rsid w:val="5C6C4B26"/>
    <w:rsid w:val="5CB169DD"/>
    <w:rsid w:val="5CD251F5"/>
    <w:rsid w:val="5CDB4146"/>
    <w:rsid w:val="5D052DF0"/>
    <w:rsid w:val="5D485594"/>
    <w:rsid w:val="5EC724E8"/>
    <w:rsid w:val="5ED30E8D"/>
    <w:rsid w:val="5FE32CD9"/>
    <w:rsid w:val="60011A2A"/>
    <w:rsid w:val="607255FB"/>
    <w:rsid w:val="607A0A03"/>
    <w:rsid w:val="609603C4"/>
    <w:rsid w:val="61461DEA"/>
    <w:rsid w:val="621C0D9D"/>
    <w:rsid w:val="6243633F"/>
    <w:rsid w:val="62922E0D"/>
    <w:rsid w:val="62A72D5C"/>
    <w:rsid w:val="63133F4E"/>
    <w:rsid w:val="63293771"/>
    <w:rsid w:val="635D341B"/>
    <w:rsid w:val="636810DF"/>
    <w:rsid w:val="63864720"/>
    <w:rsid w:val="64520AA6"/>
    <w:rsid w:val="64AD3F2E"/>
    <w:rsid w:val="64DC3505"/>
    <w:rsid w:val="64F45D02"/>
    <w:rsid w:val="657A02B4"/>
    <w:rsid w:val="65A45331"/>
    <w:rsid w:val="65A70FF3"/>
    <w:rsid w:val="65B8702E"/>
    <w:rsid w:val="65C404E4"/>
    <w:rsid w:val="65EB3500"/>
    <w:rsid w:val="65ED5B1C"/>
    <w:rsid w:val="67281F92"/>
    <w:rsid w:val="679F2254"/>
    <w:rsid w:val="68AD6BF3"/>
    <w:rsid w:val="68B0223F"/>
    <w:rsid w:val="69791671"/>
    <w:rsid w:val="697B45FB"/>
    <w:rsid w:val="69973522"/>
    <w:rsid w:val="69A578CA"/>
    <w:rsid w:val="69C266CE"/>
    <w:rsid w:val="6A10568B"/>
    <w:rsid w:val="6A1D56B2"/>
    <w:rsid w:val="6A3053E5"/>
    <w:rsid w:val="6A6D03E7"/>
    <w:rsid w:val="6A7259FE"/>
    <w:rsid w:val="6A841BD5"/>
    <w:rsid w:val="6A957FE4"/>
    <w:rsid w:val="6AA044C5"/>
    <w:rsid w:val="6AA57AAA"/>
    <w:rsid w:val="6AAB4481"/>
    <w:rsid w:val="6B3C7DBA"/>
    <w:rsid w:val="6B804A78"/>
    <w:rsid w:val="6BAA566B"/>
    <w:rsid w:val="6BE071F2"/>
    <w:rsid w:val="6BFD39ED"/>
    <w:rsid w:val="6C013EDF"/>
    <w:rsid w:val="6C3C4515"/>
    <w:rsid w:val="6C3E7C6C"/>
    <w:rsid w:val="6C4E5FF7"/>
    <w:rsid w:val="6C6C46CF"/>
    <w:rsid w:val="6C71678A"/>
    <w:rsid w:val="6CA73C9C"/>
    <w:rsid w:val="6CAB2122"/>
    <w:rsid w:val="6CC776E0"/>
    <w:rsid w:val="6CD33891"/>
    <w:rsid w:val="6D0D7C60"/>
    <w:rsid w:val="6D6F4477"/>
    <w:rsid w:val="6DBC3E5A"/>
    <w:rsid w:val="6DF84215"/>
    <w:rsid w:val="6E364F94"/>
    <w:rsid w:val="6E46167B"/>
    <w:rsid w:val="6E9817AB"/>
    <w:rsid w:val="6F014161"/>
    <w:rsid w:val="6F0B259F"/>
    <w:rsid w:val="6F0F4163"/>
    <w:rsid w:val="6F123AC7"/>
    <w:rsid w:val="6F5E200A"/>
    <w:rsid w:val="6F857F81"/>
    <w:rsid w:val="6F984159"/>
    <w:rsid w:val="709C09E2"/>
    <w:rsid w:val="70AD3C34"/>
    <w:rsid w:val="70B56644"/>
    <w:rsid w:val="718D4874"/>
    <w:rsid w:val="722021E3"/>
    <w:rsid w:val="722C6DDA"/>
    <w:rsid w:val="72C658E2"/>
    <w:rsid w:val="72E90827"/>
    <w:rsid w:val="7334233D"/>
    <w:rsid w:val="733777E5"/>
    <w:rsid w:val="73520AC2"/>
    <w:rsid w:val="737C169B"/>
    <w:rsid w:val="73AA26AC"/>
    <w:rsid w:val="73DC213A"/>
    <w:rsid w:val="74052F48"/>
    <w:rsid w:val="744978D7"/>
    <w:rsid w:val="74CA4688"/>
    <w:rsid w:val="74E706C0"/>
    <w:rsid w:val="75442A1E"/>
    <w:rsid w:val="754E7DE2"/>
    <w:rsid w:val="755F6819"/>
    <w:rsid w:val="757E5273"/>
    <w:rsid w:val="75D45121"/>
    <w:rsid w:val="75D4756D"/>
    <w:rsid w:val="763B6A5C"/>
    <w:rsid w:val="76A55B76"/>
    <w:rsid w:val="76DF600C"/>
    <w:rsid w:val="77527A03"/>
    <w:rsid w:val="779108EB"/>
    <w:rsid w:val="77B8656C"/>
    <w:rsid w:val="77D52578"/>
    <w:rsid w:val="77D962A8"/>
    <w:rsid w:val="7808174F"/>
    <w:rsid w:val="78090E99"/>
    <w:rsid w:val="787D038F"/>
    <w:rsid w:val="78CA2EA9"/>
    <w:rsid w:val="793D18CD"/>
    <w:rsid w:val="79CB6ED9"/>
    <w:rsid w:val="7AB20098"/>
    <w:rsid w:val="7B841A35"/>
    <w:rsid w:val="7BEE3352"/>
    <w:rsid w:val="7C262AEC"/>
    <w:rsid w:val="7C2D5C29"/>
    <w:rsid w:val="7C2F6F41"/>
    <w:rsid w:val="7C3743CF"/>
    <w:rsid w:val="7CEA1D6C"/>
    <w:rsid w:val="7D723330"/>
    <w:rsid w:val="7D7E4262"/>
    <w:rsid w:val="7E062BD5"/>
    <w:rsid w:val="7E153995"/>
    <w:rsid w:val="7E1D3A7B"/>
    <w:rsid w:val="7ED13599"/>
    <w:rsid w:val="7EE60311"/>
    <w:rsid w:val="7F7F2A7C"/>
    <w:rsid w:val="7F983D01"/>
    <w:rsid w:val="7FA722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szCs w:val="22"/>
      <w:lang w:val="en-US" w:eastAsia="zh-CN" w:bidi="ar-SA"/>
    </w:rPr>
  </w:style>
  <w:style w:type="paragraph" w:styleId="4">
    <w:name w:val="heading 1"/>
    <w:basedOn w:val="1"/>
    <w:next w:val="1"/>
    <w:link w:val="45"/>
    <w:qFormat/>
    <w:uiPriority w:val="9"/>
    <w:pPr>
      <w:keepNext/>
      <w:keepLines/>
      <w:spacing w:before="480" w:after="200"/>
      <w:outlineLvl w:val="0"/>
    </w:pPr>
    <w:rPr>
      <w:rFonts w:ascii="Arial" w:hAnsi="Arial" w:eastAsia="Arial" w:cs="Arial"/>
      <w:sz w:val="40"/>
      <w:szCs w:val="40"/>
    </w:rPr>
  </w:style>
  <w:style w:type="paragraph" w:styleId="5">
    <w:name w:val="heading 2"/>
    <w:basedOn w:val="1"/>
    <w:next w:val="1"/>
    <w:link w:val="46"/>
    <w:unhideWhenUsed/>
    <w:qFormat/>
    <w:uiPriority w:val="9"/>
    <w:pPr>
      <w:keepNext/>
      <w:keepLines/>
      <w:spacing w:before="360" w:after="200"/>
      <w:outlineLvl w:val="1"/>
    </w:pPr>
    <w:rPr>
      <w:rFonts w:ascii="Arial" w:hAnsi="Arial" w:eastAsia="Arial" w:cs="Arial"/>
      <w:sz w:val="34"/>
    </w:rPr>
  </w:style>
  <w:style w:type="paragraph" w:styleId="6">
    <w:name w:val="heading 3"/>
    <w:basedOn w:val="1"/>
    <w:next w:val="1"/>
    <w:link w:val="47"/>
    <w:unhideWhenUsed/>
    <w:qFormat/>
    <w:uiPriority w:val="9"/>
    <w:pPr>
      <w:keepNext/>
      <w:keepLines/>
      <w:spacing w:before="320" w:after="200"/>
      <w:outlineLvl w:val="2"/>
    </w:pPr>
    <w:rPr>
      <w:rFonts w:ascii="Arial" w:hAnsi="Arial" w:eastAsia="Arial" w:cs="Arial"/>
      <w:sz w:val="30"/>
      <w:szCs w:val="30"/>
    </w:rPr>
  </w:style>
  <w:style w:type="paragraph" w:styleId="7">
    <w:name w:val="heading 4"/>
    <w:basedOn w:val="1"/>
    <w:next w:val="1"/>
    <w:link w:val="48"/>
    <w:unhideWhenUsed/>
    <w:qFormat/>
    <w:uiPriority w:val="9"/>
    <w:pPr>
      <w:keepNext/>
      <w:keepLines/>
      <w:spacing w:before="320" w:after="200"/>
      <w:outlineLvl w:val="3"/>
    </w:pPr>
    <w:rPr>
      <w:rFonts w:ascii="Arial" w:hAnsi="Arial" w:eastAsia="Arial" w:cs="Arial"/>
      <w:b/>
      <w:bCs/>
      <w:sz w:val="26"/>
      <w:szCs w:val="26"/>
    </w:rPr>
  </w:style>
  <w:style w:type="paragraph" w:styleId="8">
    <w:name w:val="heading 5"/>
    <w:basedOn w:val="1"/>
    <w:next w:val="1"/>
    <w:link w:val="49"/>
    <w:unhideWhenUsed/>
    <w:qFormat/>
    <w:uiPriority w:val="9"/>
    <w:pPr>
      <w:keepNext/>
      <w:keepLines/>
      <w:spacing w:before="320" w:after="200"/>
      <w:outlineLvl w:val="4"/>
    </w:pPr>
    <w:rPr>
      <w:rFonts w:ascii="Arial" w:hAnsi="Arial" w:eastAsia="Arial" w:cs="Arial"/>
      <w:b/>
      <w:bCs/>
      <w:sz w:val="24"/>
      <w:szCs w:val="24"/>
    </w:rPr>
  </w:style>
  <w:style w:type="paragraph" w:styleId="9">
    <w:name w:val="heading 6"/>
    <w:basedOn w:val="1"/>
    <w:next w:val="1"/>
    <w:link w:val="50"/>
    <w:unhideWhenUsed/>
    <w:qFormat/>
    <w:uiPriority w:val="9"/>
    <w:pPr>
      <w:keepNext/>
      <w:keepLines/>
      <w:spacing w:before="320" w:after="200"/>
      <w:outlineLvl w:val="5"/>
    </w:pPr>
    <w:rPr>
      <w:rFonts w:ascii="Arial" w:hAnsi="Arial" w:eastAsia="Arial" w:cs="Arial"/>
      <w:b/>
      <w:bCs/>
      <w:sz w:val="22"/>
    </w:rPr>
  </w:style>
  <w:style w:type="paragraph" w:styleId="10">
    <w:name w:val="heading 7"/>
    <w:basedOn w:val="1"/>
    <w:next w:val="1"/>
    <w:link w:val="51"/>
    <w:unhideWhenUsed/>
    <w:qFormat/>
    <w:uiPriority w:val="9"/>
    <w:pPr>
      <w:keepNext/>
      <w:keepLines/>
      <w:spacing w:before="320" w:after="200"/>
      <w:outlineLvl w:val="6"/>
    </w:pPr>
    <w:rPr>
      <w:rFonts w:ascii="Arial" w:hAnsi="Arial" w:eastAsia="Arial" w:cs="Arial"/>
      <w:b/>
      <w:bCs/>
      <w:i/>
      <w:iCs/>
      <w:sz w:val="22"/>
    </w:rPr>
  </w:style>
  <w:style w:type="paragraph" w:styleId="11">
    <w:name w:val="heading 8"/>
    <w:basedOn w:val="1"/>
    <w:next w:val="1"/>
    <w:link w:val="52"/>
    <w:unhideWhenUsed/>
    <w:qFormat/>
    <w:uiPriority w:val="9"/>
    <w:pPr>
      <w:keepNext/>
      <w:keepLines/>
      <w:spacing w:before="320" w:after="200"/>
      <w:outlineLvl w:val="7"/>
    </w:pPr>
    <w:rPr>
      <w:rFonts w:ascii="Arial" w:hAnsi="Arial" w:eastAsia="Arial" w:cs="Arial"/>
      <w:i/>
      <w:iCs/>
      <w:sz w:val="22"/>
    </w:rPr>
  </w:style>
  <w:style w:type="paragraph" w:styleId="12">
    <w:name w:val="heading 9"/>
    <w:basedOn w:val="1"/>
    <w:next w:val="1"/>
    <w:link w:val="53"/>
    <w:unhideWhenUsed/>
    <w:qFormat/>
    <w:uiPriority w:val="9"/>
    <w:pPr>
      <w:keepNext/>
      <w:keepLines/>
      <w:spacing w:before="320" w:after="200"/>
      <w:outlineLvl w:val="8"/>
    </w:pPr>
    <w:rPr>
      <w:rFonts w:ascii="Arial" w:hAnsi="Arial" w:eastAsia="Arial" w:cs="Arial"/>
      <w:i/>
      <w:iCs/>
      <w:szCs w:val="21"/>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spacing w:before="100" w:after="100" w:line="360" w:lineRule="atLeast"/>
      <w:ind w:firstLine="425"/>
    </w:pPr>
  </w:style>
  <w:style w:type="paragraph" w:styleId="3">
    <w:name w:val="Body Text"/>
    <w:basedOn w:val="1"/>
    <w:qFormat/>
    <w:uiPriority w:val="0"/>
    <w:rPr>
      <w:rFonts w:ascii="楷体_GB2312" w:hAnsi="Arial" w:eastAsia="楷体_GB2312"/>
      <w:sz w:val="28"/>
      <w:szCs w:val="28"/>
    </w:rPr>
  </w:style>
  <w:style w:type="paragraph" w:styleId="13">
    <w:name w:val="toc 7"/>
    <w:basedOn w:val="1"/>
    <w:next w:val="1"/>
    <w:unhideWhenUsed/>
    <w:qFormat/>
    <w:uiPriority w:val="39"/>
    <w:pPr>
      <w:spacing w:after="57"/>
      <w:ind w:left="1701"/>
    </w:pPr>
  </w:style>
  <w:style w:type="paragraph" w:styleId="14">
    <w:name w:val="Normal Indent"/>
    <w:basedOn w:val="1"/>
    <w:next w:val="1"/>
    <w:qFormat/>
    <w:uiPriority w:val="0"/>
    <w:pPr>
      <w:widowControl/>
      <w:spacing w:line="360" w:lineRule="auto"/>
      <w:ind w:firstLine="420"/>
      <w:jc w:val="left"/>
    </w:pPr>
    <w:rPr>
      <w:rFonts w:ascii="宋体"/>
      <w:sz w:val="20"/>
      <w:szCs w:val="20"/>
    </w:rPr>
  </w:style>
  <w:style w:type="paragraph" w:styleId="15">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6">
    <w:name w:val="annotation text"/>
    <w:basedOn w:val="1"/>
    <w:link w:val="344"/>
    <w:unhideWhenUsed/>
    <w:qFormat/>
    <w:uiPriority w:val="99"/>
    <w:pPr>
      <w:jc w:val="left"/>
    </w:pPr>
    <w:rPr>
      <w:sz w:val="20"/>
      <w:szCs w:val="24"/>
    </w:rPr>
  </w:style>
  <w:style w:type="paragraph" w:styleId="17">
    <w:name w:val="Body Text Indent"/>
    <w:basedOn w:val="1"/>
    <w:next w:val="1"/>
    <w:qFormat/>
    <w:uiPriority w:val="0"/>
    <w:pPr>
      <w:spacing w:after="120"/>
      <w:ind w:left="420"/>
    </w:pPr>
    <w:rPr>
      <w:rFonts w:ascii="等线" w:hAnsi="等线" w:eastAsia="等线"/>
    </w:rPr>
  </w:style>
  <w:style w:type="paragraph" w:styleId="18">
    <w:name w:val="List Bullet 2"/>
    <w:basedOn w:val="1"/>
    <w:semiHidden/>
    <w:unhideWhenUsed/>
    <w:qFormat/>
    <w:uiPriority w:val="99"/>
    <w:pPr>
      <w:numPr>
        <w:ilvl w:val="0"/>
        <w:numId w:val="1"/>
      </w:numPr>
    </w:pPr>
  </w:style>
  <w:style w:type="paragraph" w:styleId="19">
    <w:name w:val="index 4"/>
    <w:basedOn w:val="1"/>
    <w:next w:val="1"/>
    <w:unhideWhenUsed/>
    <w:qFormat/>
    <w:uiPriority w:val="99"/>
    <w:pPr>
      <w:ind w:left="600" w:leftChars="600"/>
    </w:pPr>
    <w:rPr>
      <w:rFonts w:ascii="Verdana" w:hAnsi="Verdana"/>
      <w:szCs w:val="20"/>
    </w:rPr>
  </w:style>
  <w:style w:type="paragraph" w:styleId="20">
    <w:name w:val="toc 5"/>
    <w:basedOn w:val="1"/>
    <w:next w:val="1"/>
    <w:unhideWhenUsed/>
    <w:qFormat/>
    <w:uiPriority w:val="39"/>
    <w:pPr>
      <w:spacing w:after="57"/>
      <w:ind w:left="1134"/>
    </w:pPr>
  </w:style>
  <w:style w:type="paragraph" w:styleId="21">
    <w:name w:val="toc 3"/>
    <w:basedOn w:val="1"/>
    <w:next w:val="1"/>
    <w:unhideWhenUsed/>
    <w:qFormat/>
    <w:uiPriority w:val="39"/>
    <w:pPr>
      <w:spacing w:after="57"/>
      <w:ind w:left="567"/>
    </w:pPr>
  </w:style>
  <w:style w:type="paragraph" w:styleId="22">
    <w:name w:val="toc 8"/>
    <w:basedOn w:val="1"/>
    <w:next w:val="1"/>
    <w:unhideWhenUsed/>
    <w:qFormat/>
    <w:uiPriority w:val="39"/>
    <w:pPr>
      <w:spacing w:after="57"/>
      <w:ind w:left="1984"/>
    </w:pPr>
  </w:style>
  <w:style w:type="paragraph" w:styleId="23">
    <w:name w:val="endnote text"/>
    <w:basedOn w:val="1"/>
    <w:link w:val="189"/>
    <w:semiHidden/>
    <w:unhideWhenUsed/>
    <w:qFormat/>
    <w:uiPriority w:val="99"/>
    <w:rPr>
      <w:sz w:val="20"/>
    </w:rPr>
  </w:style>
  <w:style w:type="paragraph" w:styleId="24">
    <w:name w:val="footer"/>
    <w:basedOn w:val="1"/>
    <w:link w:val="62"/>
    <w:unhideWhenUsed/>
    <w:qFormat/>
    <w:uiPriority w:val="99"/>
    <w:pPr>
      <w:tabs>
        <w:tab w:val="center" w:pos="7143"/>
        <w:tab w:val="right" w:pos="14287"/>
      </w:tabs>
    </w:pPr>
  </w:style>
  <w:style w:type="paragraph" w:styleId="25">
    <w:name w:val="header"/>
    <w:basedOn w:val="1"/>
    <w:link w:val="60"/>
    <w:unhideWhenUsed/>
    <w:qFormat/>
    <w:uiPriority w:val="99"/>
    <w:pPr>
      <w:tabs>
        <w:tab w:val="center" w:pos="7143"/>
        <w:tab w:val="right" w:pos="14287"/>
      </w:tabs>
    </w:pPr>
  </w:style>
  <w:style w:type="paragraph" w:styleId="26">
    <w:name w:val="toc 1"/>
    <w:basedOn w:val="1"/>
    <w:next w:val="1"/>
    <w:unhideWhenUsed/>
    <w:qFormat/>
    <w:uiPriority w:val="39"/>
    <w:pPr>
      <w:spacing w:after="57"/>
    </w:pPr>
  </w:style>
  <w:style w:type="paragraph" w:styleId="27">
    <w:name w:val="toc 4"/>
    <w:basedOn w:val="1"/>
    <w:next w:val="1"/>
    <w:unhideWhenUsed/>
    <w:qFormat/>
    <w:uiPriority w:val="39"/>
    <w:pPr>
      <w:spacing w:after="57"/>
      <w:ind w:left="850"/>
    </w:pPr>
  </w:style>
  <w:style w:type="paragraph" w:styleId="28">
    <w:name w:val="Subtitle"/>
    <w:basedOn w:val="1"/>
    <w:next w:val="1"/>
    <w:link w:val="55"/>
    <w:qFormat/>
    <w:uiPriority w:val="11"/>
    <w:pPr>
      <w:spacing w:before="200" w:after="200"/>
    </w:pPr>
    <w:rPr>
      <w:sz w:val="24"/>
      <w:szCs w:val="24"/>
    </w:rPr>
  </w:style>
  <w:style w:type="paragraph" w:styleId="29">
    <w:name w:val="footnote text"/>
    <w:basedOn w:val="1"/>
    <w:link w:val="188"/>
    <w:semiHidden/>
    <w:unhideWhenUsed/>
    <w:qFormat/>
    <w:uiPriority w:val="99"/>
    <w:pPr>
      <w:spacing w:after="40"/>
    </w:pPr>
    <w:rPr>
      <w:sz w:val="18"/>
    </w:rPr>
  </w:style>
  <w:style w:type="paragraph" w:styleId="30">
    <w:name w:val="toc 6"/>
    <w:basedOn w:val="1"/>
    <w:next w:val="1"/>
    <w:unhideWhenUsed/>
    <w:qFormat/>
    <w:uiPriority w:val="39"/>
    <w:pPr>
      <w:spacing w:after="57"/>
      <w:ind w:left="1417"/>
    </w:pPr>
  </w:style>
  <w:style w:type="paragraph" w:styleId="31">
    <w:name w:val="table of figures"/>
    <w:basedOn w:val="1"/>
    <w:next w:val="1"/>
    <w:unhideWhenUsed/>
    <w:qFormat/>
    <w:uiPriority w:val="99"/>
  </w:style>
  <w:style w:type="paragraph" w:styleId="32">
    <w:name w:val="toc 2"/>
    <w:basedOn w:val="1"/>
    <w:next w:val="1"/>
    <w:unhideWhenUsed/>
    <w:qFormat/>
    <w:uiPriority w:val="39"/>
    <w:pPr>
      <w:spacing w:after="57"/>
      <w:ind w:left="283"/>
    </w:pPr>
  </w:style>
  <w:style w:type="paragraph" w:styleId="33">
    <w:name w:val="toc 9"/>
    <w:basedOn w:val="1"/>
    <w:next w:val="1"/>
    <w:unhideWhenUsed/>
    <w:qFormat/>
    <w:uiPriority w:val="39"/>
    <w:pPr>
      <w:spacing w:after="57"/>
      <w:ind w:left="2268"/>
    </w:pPr>
  </w:style>
  <w:style w:type="paragraph" w:styleId="34">
    <w:name w:val="Title"/>
    <w:basedOn w:val="1"/>
    <w:next w:val="1"/>
    <w:link w:val="54"/>
    <w:qFormat/>
    <w:uiPriority w:val="10"/>
    <w:pPr>
      <w:spacing w:before="300" w:after="200"/>
      <w:contextualSpacing/>
    </w:pPr>
    <w:rPr>
      <w:sz w:val="48"/>
      <w:szCs w:val="48"/>
    </w:rPr>
  </w:style>
  <w:style w:type="paragraph" w:styleId="35">
    <w:name w:val="annotation subject"/>
    <w:basedOn w:val="16"/>
    <w:next w:val="16"/>
    <w:link w:val="345"/>
    <w:semiHidden/>
    <w:unhideWhenUsed/>
    <w:uiPriority w:val="99"/>
    <w:rPr>
      <w:b/>
      <w:bCs/>
      <w:sz w:val="21"/>
      <w:szCs w:val="22"/>
    </w:rPr>
  </w:style>
  <w:style w:type="table" w:styleId="37">
    <w:name w:val="Table Gri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9">
    <w:name w:val="Strong"/>
    <w:basedOn w:val="38"/>
    <w:qFormat/>
    <w:uiPriority w:val="22"/>
    <w:rPr>
      <w:b/>
    </w:rPr>
  </w:style>
  <w:style w:type="character" w:styleId="40">
    <w:name w:val="endnote reference"/>
    <w:semiHidden/>
    <w:unhideWhenUsed/>
    <w:qFormat/>
    <w:uiPriority w:val="99"/>
    <w:rPr>
      <w:vertAlign w:val="superscript"/>
    </w:rPr>
  </w:style>
  <w:style w:type="character" w:styleId="41">
    <w:name w:val="Hyperlink"/>
    <w:unhideWhenUsed/>
    <w:qFormat/>
    <w:uiPriority w:val="99"/>
    <w:rPr>
      <w:color w:val="0000FF" w:themeColor="hyperlink"/>
      <w:u w:val="single"/>
      <w14:textFill>
        <w14:solidFill>
          <w14:schemeClr w14:val="hlink"/>
        </w14:solidFill>
      </w14:textFill>
    </w:rPr>
  </w:style>
  <w:style w:type="character" w:styleId="42">
    <w:name w:val="annotation reference"/>
    <w:basedOn w:val="38"/>
    <w:semiHidden/>
    <w:unhideWhenUsed/>
    <w:qFormat/>
    <w:uiPriority w:val="99"/>
    <w:rPr>
      <w:sz w:val="21"/>
      <w:szCs w:val="21"/>
    </w:rPr>
  </w:style>
  <w:style w:type="character" w:styleId="43">
    <w:name w:val="footnote reference"/>
    <w:unhideWhenUsed/>
    <w:qFormat/>
    <w:uiPriority w:val="99"/>
    <w:rPr>
      <w:vertAlign w:val="superscript"/>
    </w:rPr>
  </w:style>
  <w:style w:type="paragraph" w:customStyle="1" w:styleId="44">
    <w:name w:val="Default"/>
    <w:next w:val="1"/>
    <w:qFormat/>
    <w:uiPriority w:val="0"/>
    <w:pPr>
      <w:widowControl w:val="0"/>
    </w:pPr>
    <w:rPr>
      <w:rFonts w:ascii="微软雅黑" w:hAnsi="Times New Roman" w:eastAsia="微软雅黑" w:cs="微软雅黑"/>
      <w:color w:val="000000"/>
      <w:sz w:val="24"/>
      <w:szCs w:val="24"/>
      <w:lang w:val="en-US" w:eastAsia="zh-CN" w:bidi="ar-SA"/>
    </w:rPr>
  </w:style>
  <w:style w:type="character" w:customStyle="1" w:styleId="45">
    <w:name w:val="标题 1 字符2"/>
    <w:link w:val="4"/>
    <w:qFormat/>
    <w:uiPriority w:val="9"/>
    <w:rPr>
      <w:rFonts w:ascii="Arial" w:hAnsi="Arial" w:eastAsia="Arial" w:cs="Arial"/>
      <w:sz w:val="40"/>
      <w:szCs w:val="40"/>
    </w:rPr>
  </w:style>
  <w:style w:type="character" w:customStyle="1" w:styleId="46">
    <w:name w:val="标题 2 字符1"/>
    <w:link w:val="5"/>
    <w:qFormat/>
    <w:uiPriority w:val="9"/>
    <w:rPr>
      <w:rFonts w:ascii="Arial" w:hAnsi="Arial" w:eastAsia="Arial" w:cs="Arial"/>
      <w:sz w:val="34"/>
    </w:rPr>
  </w:style>
  <w:style w:type="character" w:customStyle="1" w:styleId="47">
    <w:name w:val="标题 3 字符1"/>
    <w:link w:val="6"/>
    <w:qFormat/>
    <w:uiPriority w:val="9"/>
    <w:rPr>
      <w:rFonts w:ascii="Arial" w:hAnsi="Arial" w:eastAsia="Arial" w:cs="Arial"/>
      <w:sz w:val="30"/>
      <w:szCs w:val="30"/>
    </w:rPr>
  </w:style>
  <w:style w:type="character" w:customStyle="1" w:styleId="48">
    <w:name w:val="标题 4 字符1"/>
    <w:link w:val="7"/>
    <w:qFormat/>
    <w:uiPriority w:val="9"/>
    <w:rPr>
      <w:rFonts w:ascii="Arial" w:hAnsi="Arial" w:eastAsia="Arial" w:cs="Arial"/>
      <w:b/>
      <w:bCs/>
      <w:sz w:val="26"/>
      <w:szCs w:val="26"/>
    </w:rPr>
  </w:style>
  <w:style w:type="character" w:customStyle="1" w:styleId="49">
    <w:name w:val="标题 5 字符2"/>
    <w:link w:val="8"/>
    <w:qFormat/>
    <w:uiPriority w:val="9"/>
    <w:rPr>
      <w:rFonts w:ascii="Arial" w:hAnsi="Arial" w:eastAsia="Arial" w:cs="Arial"/>
      <w:b/>
      <w:bCs/>
      <w:sz w:val="24"/>
      <w:szCs w:val="24"/>
    </w:rPr>
  </w:style>
  <w:style w:type="character" w:customStyle="1" w:styleId="50">
    <w:name w:val="标题 6 字符1"/>
    <w:link w:val="9"/>
    <w:qFormat/>
    <w:uiPriority w:val="9"/>
    <w:rPr>
      <w:rFonts w:ascii="Arial" w:hAnsi="Arial" w:eastAsia="Arial" w:cs="Arial"/>
      <w:b/>
      <w:bCs/>
      <w:sz w:val="22"/>
      <w:szCs w:val="22"/>
    </w:rPr>
  </w:style>
  <w:style w:type="character" w:customStyle="1" w:styleId="51">
    <w:name w:val="标题 7 字符1"/>
    <w:link w:val="10"/>
    <w:qFormat/>
    <w:uiPriority w:val="9"/>
    <w:rPr>
      <w:rFonts w:ascii="Arial" w:hAnsi="Arial" w:eastAsia="Arial" w:cs="Arial"/>
      <w:b/>
      <w:bCs/>
      <w:i/>
      <w:iCs/>
      <w:sz w:val="22"/>
      <w:szCs w:val="22"/>
    </w:rPr>
  </w:style>
  <w:style w:type="character" w:customStyle="1" w:styleId="52">
    <w:name w:val="标题 8 字符1"/>
    <w:link w:val="11"/>
    <w:qFormat/>
    <w:uiPriority w:val="9"/>
    <w:rPr>
      <w:rFonts w:ascii="Arial" w:hAnsi="Arial" w:eastAsia="Arial" w:cs="Arial"/>
      <w:i/>
      <w:iCs/>
      <w:sz w:val="22"/>
      <w:szCs w:val="22"/>
    </w:rPr>
  </w:style>
  <w:style w:type="character" w:customStyle="1" w:styleId="53">
    <w:name w:val="标题 9 字符1"/>
    <w:link w:val="12"/>
    <w:qFormat/>
    <w:uiPriority w:val="9"/>
    <w:rPr>
      <w:rFonts w:ascii="Arial" w:hAnsi="Arial" w:eastAsia="Arial" w:cs="Arial"/>
      <w:i/>
      <w:iCs/>
      <w:sz w:val="21"/>
      <w:szCs w:val="21"/>
    </w:rPr>
  </w:style>
  <w:style w:type="character" w:customStyle="1" w:styleId="54">
    <w:name w:val="标题 字符"/>
    <w:link w:val="34"/>
    <w:qFormat/>
    <w:uiPriority w:val="10"/>
    <w:rPr>
      <w:sz w:val="48"/>
      <w:szCs w:val="48"/>
    </w:rPr>
  </w:style>
  <w:style w:type="character" w:customStyle="1" w:styleId="55">
    <w:name w:val="副标题 字符"/>
    <w:link w:val="28"/>
    <w:qFormat/>
    <w:uiPriority w:val="11"/>
    <w:rPr>
      <w:sz w:val="24"/>
      <w:szCs w:val="24"/>
    </w:rPr>
  </w:style>
  <w:style w:type="paragraph" w:styleId="56">
    <w:name w:val="Quote"/>
    <w:basedOn w:val="1"/>
    <w:next w:val="1"/>
    <w:link w:val="57"/>
    <w:qFormat/>
    <w:uiPriority w:val="29"/>
    <w:pPr>
      <w:ind w:left="720" w:right="720"/>
    </w:pPr>
    <w:rPr>
      <w:i/>
    </w:rPr>
  </w:style>
  <w:style w:type="character" w:customStyle="1" w:styleId="57">
    <w:name w:val="引用 字符"/>
    <w:link w:val="56"/>
    <w:qFormat/>
    <w:uiPriority w:val="29"/>
    <w:rPr>
      <w:i/>
    </w:rPr>
  </w:style>
  <w:style w:type="paragraph" w:styleId="58">
    <w:name w:val="Intense Quote"/>
    <w:basedOn w:val="1"/>
    <w:next w:val="1"/>
    <w:link w:val="59"/>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59">
    <w:name w:val="明显引用 字符"/>
    <w:link w:val="58"/>
    <w:qFormat/>
    <w:uiPriority w:val="30"/>
    <w:rPr>
      <w:i/>
    </w:rPr>
  </w:style>
  <w:style w:type="character" w:customStyle="1" w:styleId="60">
    <w:name w:val="页眉 字符1"/>
    <w:link w:val="25"/>
    <w:qFormat/>
    <w:uiPriority w:val="99"/>
  </w:style>
  <w:style w:type="character" w:customStyle="1" w:styleId="61">
    <w:name w:val="Footer Char"/>
    <w:qFormat/>
    <w:uiPriority w:val="99"/>
  </w:style>
  <w:style w:type="character" w:customStyle="1" w:styleId="62">
    <w:name w:val="页脚 字符1"/>
    <w:link w:val="24"/>
    <w:qFormat/>
    <w:uiPriority w:val="99"/>
  </w:style>
  <w:style w:type="table" w:customStyle="1" w:styleId="63">
    <w:name w:val="Table Grid Light"/>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4">
    <w:name w:val="无格式表格 11"/>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5">
    <w:name w:val="无格式表格 21"/>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6">
    <w:name w:val="无格式表格 31"/>
    <w:qFormat/>
    <w:uiPriority w:val="99"/>
    <w:tblPr>
      <w:tblCellMar>
        <w:top w:w="0" w:type="dxa"/>
        <w:left w:w="0" w:type="dxa"/>
        <w:bottom w:w="0" w:type="dxa"/>
        <w:right w:w="0"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7">
    <w:name w:val="无格式表格 41"/>
    <w:qFormat/>
    <w:uiPriority w:val="99"/>
    <w:tblPr>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8">
    <w:name w:val="无格式表格 51"/>
    <w:qFormat/>
    <w:uiPriority w:val="99"/>
    <w:tblPr>
      <w:tblCellMar>
        <w:top w:w="0" w:type="dxa"/>
        <w:left w:w="0" w:type="dxa"/>
        <w:bottom w:w="0" w:type="dxa"/>
        <w:right w:w="0"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9">
    <w:name w:val="网格表 1 浅色1"/>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0" w:type="dxa"/>
        <w:bottom w:w="0" w:type="dxa"/>
        <w:right w:w="0"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70">
    <w:name w:val="Grid Table 1 Light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71">
    <w:name w:val="Grid Table 1 Light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72">
    <w:name w:val="Grid Table 1 Light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3">
    <w:name w:val="Grid Table 1 Light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4">
    <w:name w:val="Grid Table 1 Light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5">
    <w:name w:val="Grid Table 1 Light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6">
    <w:name w:val="网格表 2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7">
    <w:name w:val="Grid Table 2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8">
    <w:name w:val="Grid Table 2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9">
    <w:name w:val="Grid Table 2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0">
    <w:name w:val="Grid Table 2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1">
    <w:name w:val="Grid Table 2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2">
    <w:name w:val="Grid Table 2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3">
    <w:name w:val="网格表 3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4">
    <w:name w:val="Grid Table 3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5">
    <w:name w:val="Grid Table 3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6">
    <w:name w:val="Grid Table 3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7">
    <w:name w:val="Grid Table 3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8">
    <w:name w:val="Grid Table 3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9">
    <w:name w:val="Grid Table 3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0">
    <w:name w:val="网格表 41"/>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1">
    <w:name w:val="Grid Table 4 - Accent 1"/>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92">
    <w:name w:val="Grid Table 4 - Accent 2"/>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3">
    <w:name w:val="Grid Table 4 - Accent 3"/>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4">
    <w:name w:val="Grid Table 4 - Accent 4"/>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5">
    <w:name w:val="Grid Table 4 - Accent 5"/>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6">
    <w:name w:val="Grid Table 4 - Accent 6"/>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7">
    <w:name w:val="网格表 5 深色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8">
    <w:name w:val="Grid Table 5 Dark- Accent 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9">
    <w:name w:val="Grid Table 5 Dark - Accent 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00">
    <w:name w:val="Grid Table 5 Dark - Accent 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01">
    <w:name w:val="Grid Table 5 Dark- Accent 4"/>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02">
    <w:name w:val="Grid Table 5 Dark - Accent 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3">
    <w:name w:val="Grid Table 5 Dark - Accent 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04">
    <w:name w:val="网格表 6 彩色1"/>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5">
    <w:name w:val="Grid Table 6 Colorful - Accent 1"/>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6">
    <w:name w:val="Grid Table 6 Colorful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7">
    <w:name w:val="Grid Table 6 Colorful - Accent 3"/>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08">
    <w:name w:val="Grid Table 6 Colorful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9">
    <w:name w:val="Grid Table 6 Colorful - Accent 5"/>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0">
    <w:name w:val="Grid Table 6 Colorful - Accent 6"/>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11">
    <w:name w:val="网格表 7 彩色1"/>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2">
    <w:name w:val="Grid Table 7 Colorful - Accent 1"/>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3">
    <w:name w:val="Grid Table 7 Colorful - Accent 2"/>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4">
    <w:name w:val="Grid Table 7 Colorful - Accent 3"/>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15">
    <w:name w:val="Grid Table 7 Colorful - Accent 4"/>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6">
    <w:name w:val="Grid Table 7 Colorful - Accent 5"/>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7">
    <w:name w:val="Grid Table 7 Colorful - Accent 6"/>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8">
    <w:name w:val="清单表 1 浅色1"/>
    <w:qFormat/>
    <w:uiPriority w:val="99"/>
    <w:tblPr>
      <w:tblCellMar>
        <w:top w:w="0" w:type="dxa"/>
        <w:left w:w="0" w:type="dxa"/>
        <w:bottom w:w="0" w:type="dxa"/>
        <w:right w:w="0"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9">
    <w:name w:val="List Table 1 Light - Accent 1"/>
    <w:qFormat/>
    <w:uiPriority w:val="99"/>
    <w:tblPr>
      <w:tblCellMar>
        <w:top w:w="0" w:type="dxa"/>
        <w:left w:w="0" w:type="dxa"/>
        <w:bottom w:w="0" w:type="dxa"/>
        <w:right w:w="0" w:type="dxa"/>
      </w:tblCellMa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20">
    <w:name w:val="List Table 1 Light - Accent 2"/>
    <w:qFormat/>
    <w:uiPriority w:val="99"/>
    <w:tblPr>
      <w:tblCellMar>
        <w:top w:w="0" w:type="dxa"/>
        <w:left w:w="0" w:type="dxa"/>
        <w:bottom w:w="0" w:type="dxa"/>
        <w:right w:w="0" w:type="dxa"/>
      </w:tblCellMa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21">
    <w:name w:val="List Table 1 Light - Accent 3"/>
    <w:qFormat/>
    <w:uiPriority w:val="99"/>
    <w:tblPr>
      <w:tblCellMar>
        <w:top w:w="0" w:type="dxa"/>
        <w:left w:w="0" w:type="dxa"/>
        <w:bottom w:w="0" w:type="dxa"/>
        <w:right w:w="0" w:type="dxa"/>
      </w:tblCellMa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22">
    <w:name w:val="List Table 1 Light - Accent 4"/>
    <w:qFormat/>
    <w:uiPriority w:val="99"/>
    <w:tblPr>
      <w:tblCellMar>
        <w:top w:w="0" w:type="dxa"/>
        <w:left w:w="0" w:type="dxa"/>
        <w:bottom w:w="0" w:type="dxa"/>
        <w:right w:w="0" w:type="dxa"/>
      </w:tblCellMa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3">
    <w:name w:val="List Table 1 Light - Accent 5"/>
    <w:qFormat/>
    <w:uiPriority w:val="99"/>
    <w:tblPr>
      <w:tblCellMar>
        <w:top w:w="0" w:type="dxa"/>
        <w:left w:w="0" w:type="dxa"/>
        <w:bottom w:w="0" w:type="dxa"/>
        <w:right w:w="0" w:type="dxa"/>
      </w:tblCellMa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24">
    <w:name w:val="List Table 1 Light - Accent 6"/>
    <w:qFormat/>
    <w:uiPriority w:val="99"/>
    <w:tblPr>
      <w:tblCellMar>
        <w:top w:w="0" w:type="dxa"/>
        <w:left w:w="0" w:type="dxa"/>
        <w:bottom w:w="0" w:type="dxa"/>
        <w:right w:w="0" w:type="dxa"/>
      </w:tblCellMa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5">
    <w:name w:val="清单表 21"/>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6">
    <w:name w:val="List Table 2 - Accent 1"/>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7">
    <w:name w:val="List Table 2 - Accent 2"/>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8">
    <w:name w:val="List Table 2 - Accent 3"/>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9">
    <w:name w:val="List Table 2 - Accent 4"/>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30">
    <w:name w:val="List Table 2 - Accent 5"/>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31">
    <w:name w:val="List Table 2 - Accent 6"/>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2">
    <w:name w:val="清单表 3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3">
    <w:name w:val="List Table 3 - Accent 1"/>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4">
    <w:name w:val="List Table 3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CellMar>
        <w:top w:w="0" w:type="dxa"/>
        <w:left w:w="0" w:type="dxa"/>
        <w:bottom w:w="0" w:type="dxa"/>
        <w:right w:w="0" w:type="dxa"/>
      </w:tblCellMar>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5">
    <w:name w:val="List Table 3 - Accent 3"/>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CellMar>
        <w:top w:w="0" w:type="dxa"/>
        <w:left w:w="0" w:type="dxa"/>
        <w:bottom w:w="0" w:type="dxa"/>
        <w:right w:w="0" w:type="dxa"/>
      </w:tblCellMar>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6">
    <w:name w:val="List Table 3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0" w:type="dxa"/>
        <w:bottom w:w="0" w:type="dxa"/>
        <w:right w:w="0" w:type="dxa"/>
      </w:tblCellMar>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7">
    <w:name w:val="List Table 3 - Accent 5"/>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0" w:type="dxa"/>
        <w:bottom w:w="0" w:type="dxa"/>
        <w:right w:w="0" w:type="dxa"/>
      </w:tblCellMar>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8">
    <w:name w:val="List Table 3 - Accent 6"/>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0" w:type="dxa"/>
        <w:bottom w:w="0" w:type="dxa"/>
        <w:right w:w="0" w:type="dxa"/>
      </w:tblCellMar>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9">
    <w:name w:val="清单表 4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40">
    <w:name w:val="List Table 4 - Accent 1"/>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41">
    <w:name w:val="List Table 4 - Accent 2"/>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2">
    <w:name w:val="List Table 4 - Accent 3"/>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3">
    <w:name w:val="List Table 4 - Accent 4"/>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4">
    <w:name w:val="List Table 4 - Accent 5"/>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5">
    <w:name w:val="List Table 4 - Accent 6"/>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6">
    <w:name w:val="清单表 5 深色1"/>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7">
    <w:name w:val="List Table 5 Dark - Accent 1"/>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8">
    <w:name w:val="List Table 5 Dark - Accent 2"/>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9">
    <w:name w:val="List Table 5 Dark - Accent 3"/>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50">
    <w:name w:val="List Table 5 Dark - Accent 4"/>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51">
    <w:name w:val="List Table 5 Dark - Accent 5"/>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52">
    <w:name w:val="List Table 5 Dark - Accent 6"/>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3">
    <w:name w:val="清单表 6 彩色1"/>
    <w:qFormat/>
    <w:uiPriority w:val="99"/>
    <w:tblPr>
      <w:tblBorders>
        <w:top w:val="single" w:color="7E7E7E" w:themeColor="text1" w:themeTint="80" w:sz="4" w:space="0"/>
        <w:bottom w:val="single" w:color="7E7E7E" w:themeColor="text1" w:themeTint="80" w:sz="4" w:space="0"/>
      </w:tblBorders>
      <w:tblCellMar>
        <w:top w:w="0" w:type="dxa"/>
        <w:left w:w="0" w:type="dxa"/>
        <w:bottom w:w="0" w:type="dxa"/>
        <w:right w:w="0"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4">
    <w:name w:val="List Table 6 Colorful - Accent 1"/>
    <w:qFormat/>
    <w:uiPriority w:val="99"/>
    <w:tblPr>
      <w:tblBorders>
        <w:top w:val="single" w:color="4F81BD" w:themeColor="accent1" w:sz="4" w:space="0"/>
        <w:bottom w:val="single" w:color="4F81BD" w:themeColor="accent1" w:sz="4" w:space="0"/>
      </w:tblBorders>
      <w:tblCellMar>
        <w:top w:w="0" w:type="dxa"/>
        <w:left w:w="0" w:type="dxa"/>
        <w:bottom w:w="0" w:type="dxa"/>
        <w:right w:w="0" w:type="dxa"/>
      </w:tblCellMar>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5">
    <w:name w:val="List Table 6 Colorful - Accent 2"/>
    <w:qFormat/>
    <w:uiPriority w:val="99"/>
    <w:tblPr>
      <w:tblBorders>
        <w:top w:val="single" w:color="D99795" w:themeColor="accent2" w:themeTint="97" w:sz="4" w:space="0"/>
        <w:bottom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6">
    <w:name w:val="List Table 6 Colorful - Accent 3"/>
    <w:qFormat/>
    <w:uiPriority w:val="99"/>
    <w:tblPr>
      <w:tblBorders>
        <w:top w:val="single" w:color="C3D69C" w:themeColor="accent3" w:themeTint="98" w:sz="4" w:space="0"/>
        <w:bottom w:val="single" w:color="C3D69C" w:themeColor="accent3" w:themeTint="98" w:sz="4" w:space="0"/>
      </w:tblBorders>
      <w:tblCellMar>
        <w:top w:w="0" w:type="dxa"/>
        <w:left w:w="0" w:type="dxa"/>
        <w:bottom w:w="0" w:type="dxa"/>
        <w:right w:w="0" w:type="dxa"/>
      </w:tblCellMar>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7">
    <w:name w:val="List Table 6 Colorful - Accent 4"/>
    <w:qFormat/>
    <w:uiPriority w:val="99"/>
    <w:tblPr>
      <w:tblBorders>
        <w:top w:val="single" w:color="B2A1C6" w:themeColor="accent4" w:themeTint="9A" w:sz="4" w:space="0"/>
        <w:bottom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8">
    <w:name w:val="List Table 6 Colorful - Accent 5"/>
    <w:qFormat/>
    <w:uiPriority w:val="99"/>
    <w:tblPr>
      <w:tblBorders>
        <w:top w:val="single" w:color="92CCDC" w:themeColor="accent5" w:themeTint="9A" w:sz="4" w:space="0"/>
        <w:bottom w:val="single" w:color="92CCDC" w:themeColor="accent5" w:themeTint="9A" w:sz="4" w:space="0"/>
      </w:tblBorders>
      <w:tblCellMar>
        <w:top w:w="0" w:type="dxa"/>
        <w:left w:w="0" w:type="dxa"/>
        <w:bottom w:w="0" w:type="dxa"/>
        <w:right w:w="0" w:type="dxa"/>
      </w:tblCellMar>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9">
    <w:name w:val="List Table 6 Colorful - Accent 6"/>
    <w:qFormat/>
    <w:uiPriority w:val="99"/>
    <w:tblPr>
      <w:tblBorders>
        <w:top w:val="single" w:color="FAC090" w:themeColor="accent6" w:themeTint="98" w:sz="4" w:space="0"/>
        <w:bottom w:val="single" w:color="FAC090" w:themeColor="accent6" w:themeTint="98" w:sz="4" w:space="0"/>
      </w:tblBorders>
      <w:tblCellMar>
        <w:top w:w="0" w:type="dxa"/>
        <w:left w:w="0" w:type="dxa"/>
        <w:bottom w:w="0" w:type="dxa"/>
        <w:right w:w="0" w:type="dxa"/>
      </w:tblCellMar>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0">
    <w:name w:val="清单表 7 彩色1"/>
    <w:qFormat/>
    <w:uiPriority w:val="99"/>
    <w:tblPr>
      <w:tblBorders>
        <w:right w:val="single" w:color="7E7E7E" w:themeColor="text1" w:themeTint="80" w:sz="4" w:space="0"/>
      </w:tblBorders>
      <w:tblCellMar>
        <w:top w:w="0" w:type="dxa"/>
        <w:left w:w="0" w:type="dxa"/>
        <w:bottom w:w="0" w:type="dxa"/>
        <w:right w:w="0"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61">
    <w:name w:val="List Table 7 Colorful - Accent 1"/>
    <w:qFormat/>
    <w:uiPriority w:val="99"/>
    <w:tblPr>
      <w:tblBorders>
        <w:right w:val="single" w:color="4F81BD" w:themeColor="accent1" w:sz="4" w:space="0"/>
      </w:tblBorders>
      <w:tblCellMar>
        <w:top w:w="0" w:type="dxa"/>
        <w:left w:w="0" w:type="dxa"/>
        <w:bottom w:w="0" w:type="dxa"/>
        <w:right w:w="0" w:type="dxa"/>
      </w:tblCellMar>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2">
    <w:name w:val="List Table 7 Colorful - Accent 2"/>
    <w:qFormat/>
    <w:uiPriority w:val="99"/>
    <w:tblPr>
      <w:tblBorders>
        <w:right w:val="single" w:color="D99795" w:themeColor="accent2" w:themeTint="97" w:sz="4" w:space="0"/>
      </w:tblBorders>
      <w:tblCellMar>
        <w:top w:w="0" w:type="dxa"/>
        <w:left w:w="0" w:type="dxa"/>
        <w:bottom w:w="0" w:type="dxa"/>
        <w:right w:w="0" w:type="dxa"/>
      </w:tblCellMar>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3">
    <w:name w:val="List Table 7 Colorful - Accent 3"/>
    <w:qFormat/>
    <w:uiPriority w:val="99"/>
    <w:tblPr>
      <w:tblBorders>
        <w:right w:val="single" w:color="C3D69C" w:themeColor="accent3" w:themeTint="98" w:sz="4" w:space="0"/>
      </w:tblBorders>
      <w:tblCellMar>
        <w:top w:w="0" w:type="dxa"/>
        <w:left w:w="0" w:type="dxa"/>
        <w:bottom w:w="0" w:type="dxa"/>
        <w:right w:w="0" w:type="dxa"/>
      </w:tblCellMar>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4">
    <w:name w:val="List Table 7 Colorful - Accent 4"/>
    <w:qFormat/>
    <w:uiPriority w:val="99"/>
    <w:tblPr>
      <w:tblBorders>
        <w:right w:val="single" w:color="B2A1C6" w:themeColor="accent4" w:themeTint="9A" w:sz="4" w:space="0"/>
      </w:tblBorders>
      <w:tblCellMar>
        <w:top w:w="0" w:type="dxa"/>
        <w:left w:w="0" w:type="dxa"/>
        <w:bottom w:w="0" w:type="dxa"/>
        <w:right w:w="0" w:type="dxa"/>
      </w:tblCellMar>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5">
    <w:name w:val="List Table 7 Colorful - Accent 5"/>
    <w:qFormat/>
    <w:uiPriority w:val="99"/>
    <w:tblPr>
      <w:tblBorders>
        <w:right w:val="single" w:color="92CCDC" w:themeColor="accent5" w:themeTint="9A" w:sz="4" w:space="0"/>
      </w:tblBorders>
      <w:tblCellMar>
        <w:top w:w="0" w:type="dxa"/>
        <w:left w:w="0" w:type="dxa"/>
        <w:bottom w:w="0" w:type="dxa"/>
        <w:right w:w="0" w:type="dxa"/>
      </w:tblCellMar>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6">
    <w:name w:val="List Table 7 Colorful - Accent 6"/>
    <w:qFormat/>
    <w:uiPriority w:val="99"/>
    <w:tblPr>
      <w:tblBorders>
        <w:right w:val="single" w:color="FAC090" w:themeColor="accent6" w:themeTint="98" w:sz="4" w:space="0"/>
      </w:tblBorders>
      <w:tblCellMar>
        <w:top w:w="0" w:type="dxa"/>
        <w:left w:w="0" w:type="dxa"/>
        <w:bottom w:w="0" w:type="dxa"/>
        <w:right w:w="0" w:type="dxa"/>
      </w:tblCellMar>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7">
    <w:name w:val="Lined - Accent"/>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8">
    <w:name w:val="Lined - Accent 1"/>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9">
    <w:name w:val="Lined - Accent 2"/>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0">
    <w:name w:val="Lined - Accent 3"/>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1">
    <w:name w:val="Lined - Accent 4"/>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2">
    <w:name w:val="Lined - Accent 5"/>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3">
    <w:name w:val="Lined - Accent 6"/>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4">
    <w:name w:val="Bordered &amp; Lined - Accent"/>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5">
    <w:name w:val="Bordered &amp; Lined - Accent 1"/>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6">
    <w:name w:val="Bordered &amp; Lined - Accent 2"/>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7">
    <w:name w:val="Bordered &amp; Lined - Accent 3"/>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8">
    <w:name w:val="Bordered &amp; Lined - Accent 4"/>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9">
    <w:name w:val="Bordered &amp; Lined - Accent 5"/>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80">
    <w:name w:val="Bordered &amp; Lined - Accent 6"/>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81">
    <w:name w:val="Bordered"/>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0" w:type="dxa"/>
        <w:bottom w:w="0" w:type="dxa"/>
        <w:right w:w="0"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2">
    <w:name w:val="Bordered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3">
    <w:name w:val="Bordered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4">
    <w:name w:val="Bordered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5">
    <w:name w:val="Bordered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6">
    <w:name w:val="Bordered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7">
    <w:name w:val="Bordered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8">
    <w:name w:val="脚注文本 字符"/>
    <w:link w:val="29"/>
    <w:qFormat/>
    <w:uiPriority w:val="99"/>
    <w:rPr>
      <w:sz w:val="18"/>
    </w:rPr>
  </w:style>
  <w:style w:type="character" w:customStyle="1" w:styleId="189">
    <w:name w:val="尾注文本 字符"/>
    <w:link w:val="23"/>
    <w:qFormat/>
    <w:uiPriority w:val="99"/>
    <w:rPr>
      <w:sz w:val="20"/>
    </w:rPr>
  </w:style>
  <w:style w:type="paragraph" w:customStyle="1" w:styleId="190">
    <w:name w:val="TOC 标题1"/>
    <w:unhideWhenUsed/>
    <w:qFormat/>
    <w:uiPriority w:val="39"/>
    <w:rPr>
      <w:rFonts w:ascii="Times New Roman" w:hAnsi="Times New Roman" w:eastAsia="宋体" w:cs="Times New Roman"/>
      <w:lang w:val="en-US" w:eastAsia="zh-CN" w:bidi="ar-SA"/>
    </w:rPr>
  </w:style>
  <w:style w:type="paragraph" w:customStyle="1" w:styleId="191">
    <w:name w:val="标题 11"/>
    <w:basedOn w:val="1"/>
    <w:next w:val="1"/>
    <w:link w:val="251"/>
    <w:qFormat/>
    <w:uiPriority w:val="0"/>
    <w:pPr>
      <w:keepNext/>
      <w:keepLines/>
      <w:spacing w:before="340" w:after="330" w:line="578" w:lineRule="auto"/>
      <w:outlineLvl w:val="0"/>
    </w:pPr>
    <w:rPr>
      <w:b/>
      <w:bCs/>
      <w:sz w:val="44"/>
      <w:szCs w:val="44"/>
    </w:rPr>
  </w:style>
  <w:style w:type="paragraph" w:customStyle="1" w:styleId="192">
    <w:name w:val="标题 21"/>
    <w:basedOn w:val="1"/>
    <w:next w:val="1"/>
    <w:link w:val="204"/>
    <w:qFormat/>
    <w:uiPriority w:val="0"/>
    <w:pPr>
      <w:keepNext/>
      <w:keepLines/>
      <w:numPr>
        <w:ilvl w:val="1"/>
        <w:numId w:val="2"/>
      </w:numPr>
      <w:spacing w:before="312" w:after="312"/>
      <w:jc w:val="left"/>
      <w:outlineLvl w:val="1"/>
    </w:pPr>
    <w:rPr>
      <w:rFonts w:ascii="Arial" w:hAnsi="Arial"/>
      <w:b/>
      <w:bCs/>
      <w:sz w:val="28"/>
      <w:szCs w:val="36"/>
    </w:rPr>
  </w:style>
  <w:style w:type="paragraph" w:customStyle="1" w:styleId="193">
    <w:name w:val="标题 31"/>
    <w:basedOn w:val="1"/>
    <w:next w:val="1"/>
    <w:link w:val="205"/>
    <w:qFormat/>
    <w:uiPriority w:val="0"/>
    <w:pPr>
      <w:keepNext/>
      <w:keepLines/>
      <w:numPr>
        <w:ilvl w:val="2"/>
        <w:numId w:val="2"/>
      </w:numPr>
      <w:spacing w:before="312" w:after="312"/>
      <w:jc w:val="left"/>
      <w:outlineLvl w:val="2"/>
    </w:pPr>
    <w:rPr>
      <w:rFonts w:ascii="Arial" w:hAnsi="Arial" w:eastAsia="黑体"/>
      <w:b/>
      <w:bCs/>
      <w:sz w:val="30"/>
      <w:szCs w:val="32"/>
    </w:rPr>
  </w:style>
  <w:style w:type="paragraph" w:customStyle="1" w:styleId="194">
    <w:name w:val="标题 41"/>
    <w:basedOn w:val="1"/>
    <w:next w:val="195"/>
    <w:link w:val="206"/>
    <w:qFormat/>
    <w:uiPriority w:val="0"/>
    <w:pPr>
      <w:spacing w:before="280" w:after="290" w:line="377" w:lineRule="auto"/>
      <w:outlineLvl w:val="3"/>
    </w:pPr>
    <w:rPr>
      <w:rFonts w:ascii="Arial" w:hAnsi="Arial" w:eastAsia="黑体"/>
      <w:b/>
      <w:bCs/>
      <w:sz w:val="28"/>
      <w:szCs w:val="28"/>
    </w:rPr>
  </w:style>
  <w:style w:type="paragraph" w:customStyle="1" w:styleId="195">
    <w:name w:val="正文缩进1"/>
    <w:basedOn w:val="1"/>
    <w:next w:val="1"/>
    <w:link w:val="207"/>
    <w:unhideWhenUsed/>
    <w:qFormat/>
    <w:uiPriority w:val="0"/>
    <w:pPr>
      <w:ind w:firstLine="420"/>
    </w:pPr>
  </w:style>
  <w:style w:type="paragraph" w:customStyle="1" w:styleId="196">
    <w:name w:val="标题 51"/>
    <w:basedOn w:val="1"/>
    <w:next w:val="1"/>
    <w:link w:val="208"/>
    <w:qFormat/>
    <w:uiPriority w:val="0"/>
    <w:pPr>
      <w:keepNext/>
      <w:keepLines/>
      <w:spacing w:before="280" w:after="290" w:line="376" w:lineRule="auto"/>
      <w:outlineLvl w:val="4"/>
    </w:pPr>
    <w:rPr>
      <w:rFonts w:ascii="Calibri" w:hAnsi="Calibri"/>
      <w:b/>
      <w:bCs/>
      <w:sz w:val="28"/>
      <w:szCs w:val="28"/>
    </w:rPr>
  </w:style>
  <w:style w:type="paragraph" w:customStyle="1" w:styleId="197">
    <w:name w:val="标题 61"/>
    <w:basedOn w:val="1"/>
    <w:next w:val="1"/>
    <w:link w:val="209"/>
    <w:qFormat/>
    <w:uiPriority w:val="0"/>
    <w:pPr>
      <w:keepNext/>
      <w:keepLines/>
      <w:spacing w:before="240" w:after="64" w:line="320" w:lineRule="auto"/>
      <w:ind w:left="1152" w:hanging="1152"/>
      <w:outlineLvl w:val="5"/>
    </w:pPr>
    <w:rPr>
      <w:rFonts w:ascii="Cambria" w:hAnsi="Cambria"/>
      <w:b/>
      <w:bCs/>
      <w:sz w:val="24"/>
      <w:szCs w:val="24"/>
    </w:rPr>
  </w:style>
  <w:style w:type="paragraph" w:customStyle="1" w:styleId="198">
    <w:name w:val="标题 71"/>
    <w:basedOn w:val="1"/>
    <w:next w:val="1"/>
    <w:link w:val="210"/>
    <w:qFormat/>
    <w:uiPriority w:val="0"/>
    <w:pPr>
      <w:keepNext/>
      <w:keepLines/>
      <w:spacing w:before="240" w:after="64" w:line="320" w:lineRule="auto"/>
      <w:ind w:left="1296" w:hanging="1296"/>
      <w:outlineLvl w:val="6"/>
    </w:pPr>
    <w:rPr>
      <w:b/>
      <w:bCs/>
      <w:sz w:val="24"/>
      <w:szCs w:val="24"/>
    </w:rPr>
  </w:style>
  <w:style w:type="paragraph" w:customStyle="1" w:styleId="199">
    <w:name w:val="标题 81"/>
    <w:basedOn w:val="1"/>
    <w:next w:val="1"/>
    <w:link w:val="211"/>
    <w:qFormat/>
    <w:uiPriority w:val="0"/>
    <w:pPr>
      <w:keepNext/>
      <w:keepLines/>
      <w:spacing w:before="240" w:after="64" w:line="320" w:lineRule="auto"/>
      <w:ind w:left="1440" w:hanging="1440"/>
      <w:outlineLvl w:val="7"/>
    </w:pPr>
    <w:rPr>
      <w:rFonts w:ascii="Cambria" w:hAnsi="Cambria"/>
      <w:sz w:val="24"/>
      <w:szCs w:val="24"/>
    </w:rPr>
  </w:style>
  <w:style w:type="paragraph" w:customStyle="1" w:styleId="200">
    <w:name w:val="标题 91"/>
    <w:basedOn w:val="1"/>
    <w:next w:val="1"/>
    <w:link w:val="212"/>
    <w:qFormat/>
    <w:uiPriority w:val="0"/>
    <w:pPr>
      <w:keepNext/>
      <w:keepLines/>
      <w:spacing w:before="240" w:after="64" w:line="320" w:lineRule="auto"/>
      <w:ind w:left="1584" w:hanging="1584"/>
      <w:outlineLvl w:val="8"/>
    </w:pPr>
    <w:rPr>
      <w:rFonts w:ascii="Cambria" w:hAnsi="Cambria"/>
      <w:sz w:val="20"/>
      <w:szCs w:val="21"/>
    </w:rPr>
  </w:style>
  <w:style w:type="character" w:customStyle="1" w:styleId="201">
    <w:name w:val="默认段落字体1"/>
    <w:unhideWhenUsed/>
    <w:qFormat/>
    <w:uiPriority w:val="1"/>
  </w:style>
  <w:style w:type="table" w:customStyle="1" w:styleId="202">
    <w:name w:val="普通表格1"/>
    <w:semiHidden/>
    <w:qFormat/>
    <w:uiPriority w:val="0"/>
    <w:tblPr>
      <w:tblCellMar>
        <w:top w:w="0" w:type="dxa"/>
        <w:left w:w="0" w:type="dxa"/>
        <w:bottom w:w="0" w:type="dxa"/>
        <w:right w:w="0" w:type="dxa"/>
      </w:tblCellMar>
    </w:tblPr>
  </w:style>
  <w:style w:type="character" w:customStyle="1" w:styleId="203">
    <w:name w:val="标题 1 字符"/>
    <w:qFormat/>
    <w:uiPriority w:val="99"/>
    <w:rPr>
      <w:rFonts w:ascii="Times New Roman" w:hAnsi="Times New Roman" w:eastAsia="宋体" w:cs="Times New Roman"/>
      <w:b/>
      <w:bCs/>
      <w:sz w:val="32"/>
      <w:szCs w:val="44"/>
    </w:rPr>
  </w:style>
  <w:style w:type="character" w:customStyle="1" w:styleId="204">
    <w:name w:val="标题 2 字符"/>
    <w:link w:val="192"/>
    <w:qFormat/>
    <w:uiPriority w:val="0"/>
    <w:rPr>
      <w:rFonts w:ascii="Arial" w:hAnsi="Arial" w:eastAsia="宋体" w:cs="Times New Roman"/>
      <w:b/>
      <w:bCs/>
      <w:sz w:val="28"/>
      <w:szCs w:val="36"/>
    </w:rPr>
  </w:style>
  <w:style w:type="character" w:customStyle="1" w:styleId="205">
    <w:name w:val="标题 3 字符"/>
    <w:link w:val="193"/>
    <w:qFormat/>
    <w:uiPriority w:val="0"/>
    <w:rPr>
      <w:rFonts w:ascii="Arial" w:hAnsi="Arial" w:eastAsia="黑体" w:cs="Times New Roman"/>
      <w:b/>
      <w:bCs/>
      <w:sz w:val="30"/>
      <w:szCs w:val="32"/>
    </w:rPr>
  </w:style>
  <w:style w:type="character" w:customStyle="1" w:styleId="206">
    <w:name w:val="标题 4 字符"/>
    <w:link w:val="194"/>
    <w:qFormat/>
    <w:uiPriority w:val="0"/>
    <w:rPr>
      <w:rFonts w:ascii="Arial" w:hAnsi="Arial" w:eastAsia="黑体" w:cs="Arial"/>
      <w:b/>
      <w:bCs/>
      <w:sz w:val="28"/>
      <w:szCs w:val="28"/>
    </w:rPr>
  </w:style>
  <w:style w:type="character" w:customStyle="1" w:styleId="207">
    <w:name w:val="正文缩进 字符"/>
    <w:link w:val="195"/>
    <w:qFormat/>
    <w:uiPriority w:val="0"/>
  </w:style>
  <w:style w:type="character" w:customStyle="1" w:styleId="208">
    <w:name w:val="标题 5 字符1"/>
    <w:link w:val="196"/>
    <w:qFormat/>
    <w:uiPriority w:val="0"/>
    <w:rPr>
      <w:rFonts w:ascii="Calibri" w:hAnsi="Calibri" w:eastAsia="宋体" w:cs="Times New Roman"/>
      <w:b/>
      <w:bCs/>
      <w:sz w:val="28"/>
      <w:szCs w:val="28"/>
    </w:rPr>
  </w:style>
  <w:style w:type="character" w:customStyle="1" w:styleId="209">
    <w:name w:val="标题 6 字符"/>
    <w:link w:val="197"/>
    <w:qFormat/>
    <w:uiPriority w:val="0"/>
    <w:rPr>
      <w:rFonts w:ascii="Cambria" w:hAnsi="Cambria" w:eastAsia="宋体" w:cs="Times New Roman"/>
      <w:b/>
      <w:bCs/>
      <w:sz w:val="24"/>
      <w:szCs w:val="24"/>
    </w:rPr>
  </w:style>
  <w:style w:type="character" w:customStyle="1" w:styleId="210">
    <w:name w:val="标题 7 字符"/>
    <w:link w:val="198"/>
    <w:qFormat/>
    <w:uiPriority w:val="0"/>
    <w:rPr>
      <w:rFonts w:ascii="Times New Roman" w:hAnsi="Times New Roman" w:eastAsia="宋体" w:cs="Times New Roman"/>
      <w:b/>
      <w:bCs/>
      <w:sz w:val="24"/>
      <w:szCs w:val="24"/>
    </w:rPr>
  </w:style>
  <w:style w:type="character" w:customStyle="1" w:styleId="211">
    <w:name w:val="标题 8 字符"/>
    <w:link w:val="199"/>
    <w:qFormat/>
    <w:uiPriority w:val="0"/>
    <w:rPr>
      <w:rFonts w:ascii="Cambria" w:hAnsi="Cambria" w:eastAsia="宋体" w:cs="Times New Roman"/>
      <w:sz w:val="24"/>
      <w:szCs w:val="24"/>
    </w:rPr>
  </w:style>
  <w:style w:type="character" w:customStyle="1" w:styleId="212">
    <w:name w:val="标题 9 字符"/>
    <w:link w:val="200"/>
    <w:qFormat/>
    <w:uiPriority w:val="0"/>
    <w:rPr>
      <w:rFonts w:ascii="Cambria" w:hAnsi="Cambria" w:eastAsia="宋体" w:cs="Times New Roman"/>
      <w:sz w:val="20"/>
      <w:szCs w:val="21"/>
    </w:rPr>
  </w:style>
  <w:style w:type="paragraph" w:customStyle="1" w:styleId="213">
    <w:name w:val="批注文字1"/>
    <w:basedOn w:val="1"/>
    <w:link w:val="214"/>
    <w:unhideWhenUsed/>
    <w:qFormat/>
    <w:uiPriority w:val="99"/>
    <w:pPr>
      <w:jc w:val="left"/>
    </w:pPr>
    <w:rPr>
      <w:sz w:val="20"/>
      <w:szCs w:val="24"/>
    </w:rPr>
  </w:style>
  <w:style w:type="character" w:customStyle="1" w:styleId="214">
    <w:name w:val="批注文字 字符"/>
    <w:link w:val="213"/>
    <w:qFormat/>
    <w:uiPriority w:val="99"/>
    <w:rPr>
      <w:rFonts w:ascii="Times New Roman" w:hAnsi="Times New Roman" w:eastAsia="宋体" w:cs="Times New Roman"/>
      <w:szCs w:val="24"/>
    </w:rPr>
  </w:style>
  <w:style w:type="paragraph" w:customStyle="1" w:styleId="215">
    <w:name w:val="正文文本1"/>
    <w:basedOn w:val="1"/>
    <w:next w:val="195"/>
    <w:link w:val="216"/>
    <w:qFormat/>
    <w:uiPriority w:val="0"/>
    <w:rPr>
      <w:rFonts w:ascii="楷体_GB2312" w:hAnsi="Arial" w:eastAsia="楷体_GB2312"/>
      <w:sz w:val="28"/>
      <w:szCs w:val="28"/>
    </w:rPr>
  </w:style>
  <w:style w:type="character" w:customStyle="1" w:styleId="216">
    <w:name w:val="正文文本 字符"/>
    <w:link w:val="215"/>
    <w:qFormat/>
    <w:uiPriority w:val="0"/>
    <w:rPr>
      <w:rFonts w:ascii="楷体_GB2312" w:hAnsi="Arial" w:eastAsia="楷体_GB2312" w:cs="Times New Roman"/>
      <w:sz w:val="28"/>
      <w:szCs w:val="28"/>
    </w:rPr>
  </w:style>
  <w:style w:type="paragraph" w:customStyle="1" w:styleId="217">
    <w:name w:val="正文文本缩进1"/>
    <w:basedOn w:val="1"/>
    <w:next w:val="218"/>
    <w:link w:val="219"/>
    <w:qFormat/>
    <w:uiPriority w:val="0"/>
    <w:pPr>
      <w:spacing w:after="120"/>
      <w:ind w:left="420"/>
    </w:pPr>
    <w:rPr>
      <w:sz w:val="20"/>
      <w:szCs w:val="24"/>
    </w:rPr>
  </w:style>
  <w:style w:type="paragraph" w:customStyle="1" w:styleId="218">
    <w:name w:val="寄信人地址1"/>
    <w:basedOn w:val="1"/>
    <w:unhideWhenUsed/>
    <w:qFormat/>
    <w:uiPriority w:val="99"/>
    <w:rPr>
      <w:rFonts w:ascii="Cambria" w:hAnsi="Cambria"/>
    </w:rPr>
  </w:style>
  <w:style w:type="character" w:customStyle="1" w:styleId="219">
    <w:name w:val="正文文本缩进 字符"/>
    <w:link w:val="217"/>
    <w:qFormat/>
    <w:uiPriority w:val="0"/>
    <w:rPr>
      <w:rFonts w:ascii="Times New Roman" w:hAnsi="Times New Roman"/>
      <w:szCs w:val="24"/>
    </w:rPr>
  </w:style>
  <w:style w:type="paragraph" w:customStyle="1" w:styleId="220">
    <w:name w:val="列表项目符号 21"/>
    <w:basedOn w:val="1"/>
    <w:unhideWhenUsed/>
    <w:qFormat/>
    <w:uiPriority w:val="99"/>
    <w:pPr>
      <w:numPr>
        <w:ilvl w:val="0"/>
        <w:numId w:val="3"/>
      </w:numPr>
    </w:pPr>
  </w:style>
  <w:style w:type="paragraph" w:customStyle="1" w:styleId="221">
    <w:name w:val="索引 41"/>
    <w:basedOn w:val="1"/>
    <w:next w:val="1"/>
    <w:unhideWhenUsed/>
    <w:qFormat/>
    <w:uiPriority w:val="99"/>
    <w:pPr>
      <w:ind w:left="600"/>
    </w:pPr>
    <w:rPr>
      <w:rFonts w:ascii="Verdana" w:hAnsi="Verdana"/>
      <w:szCs w:val="20"/>
    </w:rPr>
  </w:style>
  <w:style w:type="paragraph" w:customStyle="1" w:styleId="222">
    <w:name w:val="目录 31"/>
    <w:basedOn w:val="1"/>
    <w:next w:val="1"/>
    <w:unhideWhenUsed/>
    <w:qFormat/>
    <w:uiPriority w:val="39"/>
    <w:pPr>
      <w:ind w:left="840"/>
    </w:pPr>
    <w:rPr>
      <w:rFonts w:ascii="Calibri" w:hAnsi="Calibri"/>
    </w:rPr>
  </w:style>
  <w:style w:type="paragraph" w:customStyle="1" w:styleId="223">
    <w:name w:val="纯文本11"/>
    <w:basedOn w:val="1"/>
    <w:link w:val="224"/>
    <w:qFormat/>
    <w:uiPriority w:val="0"/>
    <w:rPr>
      <w:rFonts w:ascii="宋体" w:hAnsi="Courier New"/>
      <w:sz w:val="20"/>
      <w:szCs w:val="21"/>
    </w:rPr>
  </w:style>
  <w:style w:type="character" w:customStyle="1" w:styleId="224">
    <w:name w:val="纯文本 字符"/>
    <w:link w:val="223"/>
    <w:qFormat/>
    <w:uiPriority w:val="0"/>
    <w:rPr>
      <w:rFonts w:ascii="宋体" w:hAnsi="Courier New" w:eastAsia="宋体" w:cs="Times New Roman"/>
      <w:szCs w:val="21"/>
    </w:rPr>
  </w:style>
  <w:style w:type="paragraph" w:customStyle="1" w:styleId="225">
    <w:name w:val="日期1"/>
    <w:basedOn w:val="1"/>
    <w:next w:val="1"/>
    <w:unhideWhenUsed/>
    <w:qFormat/>
    <w:uiPriority w:val="99"/>
    <w:pPr>
      <w:ind w:left="100"/>
    </w:pPr>
    <w:rPr>
      <w:rFonts w:eastAsia="楷体_GB2312"/>
      <w:b/>
      <w:bCs/>
      <w:sz w:val="32"/>
    </w:rPr>
  </w:style>
  <w:style w:type="paragraph" w:customStyle="1" w:styleId="226">
    <w:name w:val="正文文本缩进 21"/>
    <w:basedOn w:val="1"/>
    <w:link w:val="227"/>
    <w:qFormat/>
    <w:uiPriority w:val="0"/>
    <w:pPr>
      <w:spacing w:line="480" w:lineRule="exact"/>
      <w:ind w:firstLine="562"/>
    </w:pPr>
    <w:rPr>
      <w:rFonts w:ascii="楷体_GB2312" w:eastAsia="楷体_GB2312"/>
      <w:b/>
      <w:bCs/>
      <w:sz w:val="28"/>
      <w:szCs w:val="24"/>
    </w:rPr>
  </w:style>
  <w:style w:type="character" w:customStyle="1" w:styleId="227">
    <w:name w:val="正文文本缩进 2 字符"/>
    <w:link w:val="226"/>
    <w:qFormat/>
    <w:uiPriority w:val="0"/>
    <w:rPr>
      <w:rFonts w:ascii="楷体_GB2312" w:hAnsi="Times New Roman" w:eastAsia="楷体_GB2312"/>
      <w:b/>
      <w:bCs/>
      <w:sz w:val="28"/>
      <w:szCs w:val="24"/>
    </w:rPr>
  </w:style>
  <w:style w:type="paragraph" w:customStyle="1" w:styleId="228">
    <w:name w:val="批注框文本1"/>
    <w:basedOn w:val="1"/>
    <w:link w:val="229"/>
    <w:unhideWhenUsed/>
    <w:qFormat/>
    <w:uiPriority w:val="0"/>
    <w:rPr>
      <w:sz w:val="18"/>
      <w:szCs w:val="18"/>
    </w:rPr>
  </w:style>
  <w:style w:type="character" w:customStyle="1" w:styleId="229">
    <w:name w:val="批注框文本 字符"/>
    <w:link w:val="228"/>
    <w:qFormat/>
    <w:uiPriority w:val="0"/>
    <w:rPr>
      <w:sz w:val="18"/>
      <w:szCs w:val="18"/>
    </w:rPr>
  </w:style>
  <w:style w:type="paragraph" w:customStyle="1" w:styleId="230">
    <w:name w:val="页脚1"/>
    <w:basedOn w:val="1"/>
    <w:link w:val="231"/>
    <w:unhideWhenUsed/>
    <w:qFormat/>
    <w:uiPriority w:val="0"/>
    <w:pPr>
      <w:tabs>
        <w:tab w:val="center" w:pos="4153"/>
        <w:tab w:val="right" w:pos="8306"/>
      </w:tabs>
      <w:jc w:val="left"/>
    </w:pPr>
    <w:rPr>
      <w:sz w:val="18"/>
      <w:szCs w:val="18"/>
    </w:rPr>
  </w:style>
  <w:style w:type="character" w:customStyle="1" w:styleId="231">
    <w:name w:val="页脚 字符"/>
    <w:link w:val="230"/>
    <w:qFormat/>
    <w:uiPriority w:val="0"/>
    <w:rPr>
      <w:rFonts w:ascii="Times New Roman" w:hAnsi="Times New Roman" w:eastAsia="宋体" w:cs="Times New Roman"/>
      <w:sz w:val="18"/>
      <w:szCs w:val="18"/>
    </w:rPr>
  </w:style>
  <w:style w:type="paragraph" w:customStyle="1" w:styleId="232">
    <w:name w:val="页眉1"/>
    <w:basedOn w:val="1"/>
    <w:link w:val="233"/>
    <w:unhideWhenUsed/>
    <w:qFormat/>
    <w:uiPriority w:val="0"/>
    <w:pPr>
      <w:pBdr>
        <w:bottom w:val="single" w:color="000000" w:sz="6" w:space="1"/>
      </w:pBdr>
      <w:tabs>
        <w:tab w:val="center" w:pos="4153"/>
        <w:tab w:val="right" w:pos="8306"/>
      </w:tabs>
      <w:jc w:val="center"/>
    </w:pPr>
    <w:rPr>
      <w:sz w:val="18"/>
      <w:szCs w:val="18"/>
    </w:rPr>
  </w:style>
  <w:style w:type="character" w:customStyle="1" w:styleId="233">
    <w:name w:val="页眉 字符"/>
    <w:link w:val="232"/>
    <w:qFormat/>
    <w:uiPriority w:val="0"/>
    <w:rPr>
      <w:rFonts w:ascii="Times New Roman" w:hAnsi="Times New Roman" w:eastAsia="宋体" w:cs="Times New Roman"/>
      <w:sz w:val="18"/>
      <w:szCs w:val="18"/>
    </w:rPr>
  </w:style>
  <w:style w:type="paragraph" w:customStyle="1" w:styleId="234">
    <w:name w:val="目录 11"/>
    <w:basedOn w:val="1"/>
    <w:next w:val="1"/>
    <w:unhideWhenUsed/>
    <w:qFormat/>
    <w:uiPriority w:val="39"/>
    <w:rPr>
      <w:rFonts w:ascii="Calibri" w:hAnsi="Calibri"/>
    </w:rPr>
  </w:style>
  <w:style w:type="paragraph" w:customStyle="1" w:styleId="235">
    <w:name w:val="图表目录1"/>
    <w:basedOn w:val="1"/>
    <w:next w:val="1"/>
    <w:semiHidden/>
    <w:qFormat/>
    <w:uiPriority w:val="0"/>
    <w:pPr>
      <w:spacing w:before="156" w:after="156"/>
      <w:ind w:left="840" w:hanging="420"/>
    </w:pPr>
    <w:rPr>
      <w:sz w:val="24"/>
      <w:szCs w:val="24"/>
    </w:rPr>
  </w:style>
  <w:style w:type="paragraph" w:customStyle="1" w:styleId="236">
    <w:name w:val="目录 21"/>
    <w:basedOn w:val="1"/>
    <w:next w:val="1"/>
    <w:unhideWhenUsed/>
    <w:qFormat/>
    <w:uiPriority w:val="39"/>
    <w:pPr>
      <w:ind w:left="420"/>
    </w:pPr>
    <w:rPr>
      <w:rFonts w:ascii="Calibri" w:hAnsi="Calibri"/>
    </w:rPr>
  </w:style>
  <w:style w:type="paragraph" w:customStyle="1" w:styleId="237">
    <w:name w:val="目录 91"/>
    <w:basedOn w:val="1"/>
    <w:next w:val="1"/>
    <w:qFormat/>
    <w:uiPriority w:val="0"/>
    <w:pPr>
      <w:ind w:left="3360"/>
    </w:pPr>
    <w:rPr>
      <w:rFonts w:ascii="Calibri" w:hAnsi="Calibri"/>
    </w:rPr>
  </w:style>
  <w:style w:type="paragraph" w:customStyle="1" w:styleId="238">
    <w:name w:val="正文文本 211"/>
    <w:basedOn w:val="1"/>
    <w:qFormat/>
    <w:uiPriority w:val="0"/>
    <w:pPr>
      <w:spacing w:after="120" w:line="480" w:lineRule="auto"/>
    </w:pPr>
  </w:style>
  <w:style w:type="paragraph" w:customStyle="1" w:styleId="239">
    <w:name w:val="普通(网站)1"/>
    <w:basedOn w:val="1"/>
    <w:unhideWhenUsed/>
    <w:qFormat/>
    <w:uiPriority w:val="99"/>
    <w:rPr>
      <w:sz w:val="24"/>
    </w:rPr>
  </w:style>
  <w:style w:type="paragraph" w:customStyle="1" w:styleId="240">
    <w:name w:val="批注主题1"/>
    <w:basedOn w:val="213"/>
    <w:next w:val="213"/>
    <w:link w:val="241"/>
    <w:unhideWhenUsed/>
    <w:qFormat/>
    <w:uiPriority w:val="99"/>
    <w:rPr>
      <w:b/>
      <w:bCs/>
      <w:szCs w:val="20"/>
    </w:rPr>
  </w:style>
  <w:style w:type="character" w:customStyle="1" w:styleId="241">
    <w:name w:val="批注主题 字符"/>
    <w:link w:val="240"/>
    <w:qFormat/>
    <w:uiPriority w:val="99"/>
    <w:rPr>
      <w:b/>
      <w:bCs/>
    </w:rPr>
  </w:style>
  <w:style w:type="paragraph" w:customStyle="1" w:styleId="242">
    <w:name w:val="正文首行缩进1"/>
    <w:basedOn w:val="1"/>
    <w:qFormat/>
    <w:uiPriority w:val="0"/>
    <w:pPr>
      <w:spacing w:before="100" w:after="100" w:line="360" w:lineRule="atLeast"/>
      <w:ind w:firstLine="425"/>
    </w:pPr>
  </w:style>
  <w:style w:type="paragraph" w:customStyle="1" w:styleId="243">
    <w:name w:val="正文首行缩进 21"/>
    <w:basedOn w:val="217"/>
    <w:unhideWhenUsed/>
    <w:qFormat/>
    <w:uiPriority w:val="99"/>
    <w:pPr>
      <w:ind w:firstLine="420"/>
    </w:pPr>
  </w:style>
  <w:style w:type="character" w:customStyle="1" w:styleId="244">
    <w:name w:val="要点1"/>
    <w:qFormat/>
    <w:uiPriority w:val="0"/>
    <w:rPr>
      <w:rFonts w:ascii="Tahoma" w:hAnsi="Tahoma" w:eastAsia="宋体"/>
      <w:b/>
      <w:bCs/>
      <w:spacing w:val="10"/>
      <w:sz w:val="24"/>
      <w:lang w:val="en-US" w:eastAsia="zh-CN" w:bidi="ar-SA"/>
    </w:rPr>
  </w:style>
  <w:style w:type="character" w:customStyle="1" w:styleId="245">
    <w:name w:val="页码1"/>
    <w:qFormat/>
    <w:uiPriority w:val="0"/>
  </w:style>
  <w:style w:type="character" w:customStyle="1" w:styleId="246">
    <w:name w:val="强调1"/>
    <w:qFormat/>
    <w:uiPriority w:val="20"/>
    <w:rPr>
      <w:color w:val="CC0000"/>
    </w:rPr>
  </w:style>
  <w:style w:type="character" w:customStyle="1" w:styleId="247">
    <w:name w:val="HTML 打字机1"/>
    <w:qFormat/>
    <w:uiPriority w:val="0"/>
    <w:rPr>
      <w:rFonts w:ascii="Courier New" w:hAnsi="Courier New" w:cs="Courier New"/>
      <w:sz w:val="20"/>
      <w:szCs w:val="20"/>
    </w:rPr>
  </w:style>
  <w:style w:type="character" w:customStyle="1" w:styleId="248">
    <w:name w:val="超链接1"/>
    <w:unhideWhenUsed/>
    <w:qFormat/>
    <w:uiPriority w:val="99"/>
    <w:rPr>
      <w:color w:val="0000FF"/>
      <w:u w:val="single"/>
    </w:rPr>
  </w:style>
  <w:style w:type="character" w:customStyle="1" w:styleId="249">
    <w:name w:val="批注引用1"/>
    <w:unhideWhenUsed/>
    <w:qFormat/>
    <w:uiPriority w:val="99"/>
    <w:rPr>
      <w:sz w:val="21"/>
      <w:szCs w:val="21"/>
    </w:rPr>
  </w:style>
  <w:style w:type="character" w:customStyle="1" w:styleId="250">
    <w:name w:val="HTML 引文1"/>
    <w:unhideWhenUsed/>
    <w:qFormat/>
    <w:uiPriority w:val="99"/>
    <w:rPr>
      <w:color w:val="008000"/>
    </w:rPr>
  </w:style>
  <w:style w:type="character" w:customStyle="1" w:styleId="251">
    <w:name w:val="标题 1 字符1"/>
    <w:link w:val="191"/>
    <w:qFormat/>
    <w:uiPriority w:val="0"/>
    <w:rPr>
      <w:b/>
      <w:bCs/>
      <w:sz w:val="44"/>
      <w:szCs w:val="44"/>
    </w:rPr>
  </w:style>
  <w:style w:type="paragraph" w:customStyle="1" w:styleId="252">
    <w:name w:val="BodyText1I21"/>
    <w:basedOn w:val="253"/>
    <w:next w:val="254"/>
    <w:qFormat/>
    <w:uiPriority w:val="0"/>
    <w:pPr>
      <w:ind w:firstLine="420"/>
    </w:pPr>
  </w:style>
  <w:style w:type="paragraph" w:customStyle="1" w:styleId="253">
    <w:name w:val="BodyTextIndent1"/>
    <w:basedOn w:val="1"/>
    <w:next w:val="1"/>
    <w:qFormat/>
    <w:uiPriority w:val="0"/>
    <w:pPr>
      <w:spacing w:after="120"/>
      <w:ind w:left="420"/>
    </w:pPr>
    <w:rPr>
      <w:szCs w:val="24"/>
    </w:rPr>
  </w:style>
  <w:style w:type="paragraph" w:customStyle="1" w:styleId="254">
    <w:name w:val="BodyText1I1"/>
    <w:basedOn w:val="255"/>
    <w:qFormat/>
    <w:uiPriority w:val="0"/>
    <w:pPr>
      <w:ind w:firstLine="420"/>
    </w:pPr>
  </w:style>
  <w:style w:type="paragraph" w:customStyle="1" w:styleId="255">
    <w:name w:val="BodyText1"/>
    <w:basedOn w:val="1"/>
    <w:qFormat/>
    <w:uiPriority w:val="0"/>
    <w:pPr>
      <w:spacing w:after="120"/>
    </w:pPr>
    <w:rPr>
      <w:rFonts w:ascii="Calibri"/>
    </w:rPr>
  </w:style>
  <w:style w:type="character" w:customStyle="1" w:styleId="256">
    <w:name w:val="15"/>
    <w:qFormat/>
    <w:uiPriority w:val="0"/>
    <w:rPr>
      <w:rFonts w:hint="eastAsia" w:ascii="宋体" w:hAnsi="宋体" w:eastAsia="宋体"/>
      <w:color w:val="000000"/>
      <w:sz w:val="18"/>
      <w:szCs w:val="18"/>
    </w:rPr>
  </w:style>
  <w:style w:type="character" w:customStyle="1" w:styleId="257">
    <w:name w:val="列出段落 Char"/>
    <w:link w:val="258"/>
    <w:qFormat/>
    <w:uiPriority w:val="0"/>
    <w:rPr>
      <w:rFonts w:ascii="Calibri" w:hAnsi="Calibri" w:eastAsia="宋体" w:cs="Times New Roman"/>
    </w:rPr>
  </w:style>
  <w:style w:type="paragraph" w:customStyle="1" w:styleId="258">
    <w:name w:val="列出段落1"/>
    <w:basedOn w:val="1"/>
    <w:link w:val="257"/>
    <w:qFormat/>
    <w:uiPriority w:val="0"/>
    <w:pPr>
      <w:ind w:firstLine="200"/>
    </w:pPr>
    <w:rPr>
      <w:rFonts w:ascii="Calibri" w:hAnsi="Calibri"/>
      <w:sz w:val="20"/>
      <w:szCs w:val="20"/>
    </w:rPr>
  </w:style>
  <w:style w:type="character" w:customStyle="1" w:styleId="259">
    <w:name w:val="无间隔 Char"/>
    <w:link w:val="260"/>
    <w:qFormat/>
    <w:uiPriority w:val="0"/>
    <w:rPr>
      <w:sz w:val="21"/>
      <w:szCs w:val="22"/>
      <w:lang w:val="en-US" w:eastAsia="zh-CN" w:bidi="ar-SA"/>
    </w:rPr>
  </w:style>
  <w:style w:type="paragraph" w:customStyle="1" w:styleId="260">
    <w:name w:val="msonospacing"/>
    <w:link w:val="259"/>
    <w:qFormat/>
    <w:uiPriority w:val="0"/>
    <w:pPr>
      <w:widowControl w:val="0"/>
      <w:jc w:val="both"/>
    </w:pPr>
    <w:rPr>
      <w:rFonts w:ascii="Times New Roman" w:hAnsi="Times New Roman" w:eastAsia="宋体" w:cs="Times New Roman"/>
      <w:sz w:val="21"/>
      <w:szCs w:val="22"/>
      <w:lang w:val="en-US" w:eastAsia="zh-CN" w:bidi="ar-SA"/>
    </w:rPr>
  </w:style>
  <w:style w:type="character" w:customStyle="1" w:styleId="261">
    <w:name w:val="font21"/>
    <w:qFormat/>
    <w:uiPriority w:val="0"/>
    <w:rPr>
      <w:rFonts w:hint="eastAsia" w:ascii="宋体" w:hAnsi="宋体" w:eastAsia="宋体" w:cs="宋体"/>
      <w:color w:val="000000"/>
      <w:sz w:val="18"/>
      <w:szCs w:val="18"/>
      <w:u w:val="none"/>
    </w:rPr>
  </w:style>
  <w:style w:type="character" w:customStyle="1" w:styleId="262">
    <w:name w:val="表格样式居左 Char"/>
    <w:link w:val="263"/>
    <w:qFormat/>
    <w:uiPriority w:val="0"/>
    <w:rPr>
      <w:rFonts w:eastAsia="仿宋_GB2312"/>
      <w:bCs/>
      <w:color w:val="000000"/>
      <w:sz w:val="21"/>
      <w:szCs w:val="44"/>
      <w:lang w:val="en-US" w:eastAsia="zh-CN" w:bidi="ar-SA"/>
    </w:rPr>
  </w:style>
  <w:style w:type="paragraph" w:customStyle="1" w:styleId="263">
    <w:name w:val="表格样式居左"/>
    <w:link w:val="262"/>
    <w:qFormat/>
    <w:uiPriority w:val="0"/>
    <w:pPr>
      <w:spacing w:line="360" w:lineRule="exact"/>
    </w:pPr>
    <w:rPr>
      <w:rFonts w:ascii="Times New Roman" w:hAnsi="Times New Roman" w:eastAsia="仿宋_GB2312" w:cs="Times New Roman"/>
      <w:bCs/>
      <w:color w:val="000000"/>
      <w:sz w:val="21"/>
      <w:szCs w:val="44"/>
      <w:lang w:val="en-US" w:eastAsia="zh-CN" w:bidi="ar-SA"/>
    </w:rPr>
  </w:style>
  <w:style w:type="character" w:customStyle="1" w:styleId="264">
    <w:name w:val="Table Text Char1"/>
    <w:link w:val="265"/>
    <w:qFormat/>
    <w:uiPriority w:val="0"/>
    <w:rPr>
      <w:rFonts w:ascii="Arial" w:hAnsi="Arial" w:cs="Arial"/>
      <w:sz w:val="18"/>
      <w:szCs w:val="24"/>
    </w:rPr>
  </w:style>
  <w:style w:type="paragraph" w:customStyle="1" w:styleId="265">
    <w:name w:val="Table Text"/>
    <w:basedOn w:val="1"/>
    <w:link w:val="264"/>
    <w:qFormat/>
    <w:uiPriority w:val="0"/>
    <w:pPr>
      <w:widowControl/>
      <w:tabs>
        <w:tab w:val="decimal" w:pos="0"/>
      </w:tabs>
      <w:spacing w:before="80" w:after="80"/>
    </w:pPr>
    <w:rPr>
      <w:rFonts w:ascii="Arial" w:hAnsi="Arial"/>
      <w:sz w:val="18"/>
      <w:szCs w:val="24"/>
    </w:rPr>
  </w:style>
  <w:style w:type="character" w:customStyle="1" w:styleId="266">
    <w:name w:val="项目排列 Char"/>
    <w:link w:val="267"/>
    <w:qFormat/>
    <w:uiPriority w:val="0"/>
    <w:rPr>
      <w:sz w:val="24"/>
      <w:szCs w:val="24"/>
    </w:rPr>
  </w:style>
  <w:style w:type="paragraph" w:customStyle="1" w:styleId="267">
    <w:name w:val="项目排列"/>
    <w:basedOn w:val="1"/>
    <w:link w:val="266"/>
    <w:qFormat/>
    <w:uiPriority w:val="0"/>
    <w:pPr>
      <w:numPr>
        <w:ilvl w:val="0"/>
        <w:numId w:val="4"/>
      </w:numPr>
      <w:tabs>
        <w:tab w:val="left" w:pos="900"/>
      </w:tabs>
      <w:spacing w:before="156" w:after="156" w:line="300" w:lineRule="auto"/>
    </w:pPr>
    <w:rPr>
      <w:sz w:val="24"/>
      <w:szCs w:val="24"/>
    </w:rPr>
  </w:style>
  <w:style w:type="character" w:customStyle="1" w:styleId="268">
    <w:name w:val="c-icon28"/>
    <w:qFormat/>
    <w:uiPriority w:val="0"/>
  </w:style>
  <w:style w:type="character" w:customStyle="1" w:styleId="269">
    <w:name w:val="c-icon14"/>
    <w:qFormat/>
    <w:uiPriority w:val="0"/>
  </w:style>
  <w:style w:type="character" w:customStyle="1" w:styleId="270">
    <w:name w:val="Char Char8"/>
    <w:qFormat/>
    <w:uiPriority w:val="0"/>
    <w:rPr>
      <w:rFonts w:ascii="Calibri" w:hAnsi="Calibri" w:eastAsia="宋体" w:cs="Times New Roman"/>
      <w:b/>
      <w:bCs/>
      <w:sz w:val="28"/>
      <w:szCs w:val="28"/>
    </w:rPr>
  </w:style>
  <w:style w:type="character" w:customStyle="1" w:styleId="271">
    <w:name w:val="Char Char12"/>
    <w:qFormat/>
    <w:uiPriority w:val="0"/>
    <w:rPr>
      <w:b/>
      <w:bCs/>
      <w:sz w:val="44"/>
      <w:szCs w:val="44"/>
    </w:rPr>
  </w:style>
  <w:style w:type="character" w:customStyle="1" w:styleId="272">
    <w:name w:val="正文文本缩进 Char1"/>
    <w:semiHidden/>
    <w:qFormat/>
    <w:uiPriority w:val="99"/>
  </w:style>
  <w:style w:type="character" w:customStyle="1" w:styleId="273">
    <w:name w:val="apple-style-span"/>
    <w:qFormat/>
    <w:uiPriority w:val="0"/>
  </w:style>
  <w:style w:type="character" w:customStyle="1" w:styleId="274">
    <w:name w:val="正文文本缩进 2 Char1"/>
    <w:semiHidden/>
    <w:qFormat/>
    <w:uiPriority w:val="99"/>
  </w:style>
  <w:style w:type="character" w:customStyle="1" w:styleId="275">
    <w:name w:val="批注框文本 Char1"/>
    <w:semiHidden/>
    <w:qFormat/>
    <w:uiPriority w:val="99"/>
    <w:rPr>
      <w:rFonts w:ascii="Times New Roman" w:hAnsi="Times New Roman"/>
      <w:sz w:val="18"/>
      <w:szCs w:val="18"/>
    </w:rPr>
  </w:style>
  <w:style w:type="character" w:customStyle="1" w:styleId="276">
    <w:name w:val="表格文字 Char"/>
    <w:link w:val="277"/>
    <w:qFormat/>
    <w:uiPriority w:val="0"/>
    <w:rPr>
      <w:szCs w:val="21"/>
    </w:rPr>
  </w:style>
  <w:style w:type="paragraph" w:customStyle="1" w:styleId="277">
    <w:name w:val="表格文字"/>
    <w:basedOn w:val="1"/>
    <w:link w:val="276"/>
    <w:qFormat/>
    <w:uiPriority w:val="0"/>
    <w:pPr>
      <w:jc w:val="left"/>
    </w:pPr>
    <w:rPr>
      <w:sz w:val="20"/>
      <w:szCs w:val="21"/>
    </w:rPr>
  </w:style>
  <w:style w:type="character" w:customStyle="1" w:styleId="278">
    <w:name w:val="Char Char10"/>
    <w:qFormat/>
    <w:uiPriority w:val="0"/>
    <w:rPr>
      <w:rFonts w:ascii="Arial" w:hAnsi="Arial" w:eastAsia="黑体" w:cs="Times New Roman"/>
      <w:b/>
      <w:bCs/>
      <w:sz w:val="30"/>
      <w:szCs w:val="32"/>
    </w:rPr>
  </w:style>
  <w:style w:type="character" w:customStyle="1" w:styleId="279">
    <w:name w:val="font91"/>
    <w:qFormat/>
    <w:uiPriority w:val="0"/>
    <w:rPr>
      <w:rFonts w:hint="eastAsia" w:ascii="宋体" w:hAnsi="宋体" w:eastAsia="宋体" w:cs="宋体"/>
      <w:color w:val="000000"/>
      <w:sz w:val="16"/>
      <w:szCs w:val="16"/>
      <w:u w:val="none"/>
    </w:rPr>
  </w:style>
  <w:style w:type="character" w:customStyle="1" w:styleId="280">
    <w:name w:val="font11"/>
    <w:qFormat/>
    <w:uiPriority w:val="0"/>
    <w:rPr>
      <w:rFonts w:hint="eastAsia" w:ascii="宋体" w:hAnsi="宋体" w:eastAsia="宋体" w:cs="宋体"/>
      <w:color w:val="000000"/>
      <w:sz w:val="20"/>
      <w:szCs w:val="20"/>
      <w:u w:val="none"/>
    </w:rPr>
  </w:style>
  <w:style w:type="character" w:customStyle="1" w:styleId="281">
    <w:name w:val="hover25"/>
    <w:qFormat/>
    <w:uiPriority w:val="0"/>
  </w:style>
  <w:style w:type="character" w:customStyle="1" w:styleId="282">
    <w:name w:val="标题 5 字符"/>
    <w:semiHidden/>
    <w:qFormat/>
    <w:uiPriority w:val="0"/>
    <w:rPr>
      <w:rFonts w:ascii="Calibri" w:hAnsi="Calibri"/>
      <w:b/>
      <w:bCs/>
      <w:sz w:val="28"/>
      <w:szCs w:val="28"/>
    </w:rPr>
  </w:style>
  <w:style w:type="character" w:customStyle="1" w:styleId="283">
    <w:name w:val="批注主题 Char1"/>
    <w:semiHidden/>
    <w:qFormat/>
    <w:uiPriority w:val="99"/>
    <w:rPr>
      <w:rFonts w:ascii="Times New Roman" w:hAnsi="Times New Roman" w:eastAsia="宋体" w:cs="Times New Roman"/>
      <w:b/>
      <w:bCs/>
      <w:szCs w:val="24"/>
    </w:rPr>
  </w:style>
  <w:style w:type="character" w:customStyle="1" w:styleId="284">
    <w:name w:val="Char Char9"/>
    <w:qFormat/>
    <w:uiPriority w:val="0"/>
    <w:rPr>
      <w:rFonts w:ascii="等线 Light" w:hAnsi="等线 Light" w:eastAsia="等线 Light" w:cs="Times New Roman"/>
      <w:b/>
      <w:bCs/>
      <w:sz w:val="28"/>
      <w:szCs w:val="28"/>
    </w:rPr>
  </w:style>
  <w:style w:type="character" w:customStyle="1" w:styleId="285">
    <w:name w:val="hover22"/>
    <w:qFormat/>
    <w:uiPriority w:val="0"/>
  </w:style>
  <w:style w:type="character" w:customStyle="1" w:styleId="286">
    <w:name w:val="hover23"/>
    <w:qFormat/>
    <w:uiPriority w:val="0"/>
    <w:rPr>
      <w:color w:val="315EFB"/>
    </w:rPr>
  </w:style>
  <w:style w:type="character" w:customStyle="1" w:styleId="287">
    <w:name w:val="段落 Char1"/>
    <w:link w:val="288"/>
    <w:qFormat/>
    <w:uiPriority w:val="0"/>
    <w:rPr>
      <w:rFonts w:eastAsia="仿宋_GB2312"/>
      <w:sz w:val="32"/>
      <w:szCs w:val="32"/>
      <w:lang w:val="en-US" w:eastAsia="zh-CN" w:bidi="ar-SA"/>
    </w:rPr>
  </w:style>
  <w:style w:type="paragraph" w:customStyle="1" w:styleId="288">
    <w:name w:val="段落"/>
    <w:link w:val="287"/>
    <w:qFormat/>
    <w:uiPriority w:val="0"/>
    <w:pPr>
      <w:spacing w:before="120" w:after="120" w:line="360" w:lineRule="auto"/>
      <w:ind w:firstLine="640"/>
      <w:jc w:val="both"/>
    </w:pPr>
    <w:rPr>
      <w:rFonts w:ascii="Times New Roman" w:hAnsi="Times New Roman" w:eastAsia="仿宋_GB2312" w:cs="Times New Roman"/>
      <w:sz w:val="32"/>
      <w:szCs w:val="32"/>
      <w:lang w:val="en-US" w:eastAsia="zh-CN" w:bidi="ar-SA"/>
    </w:rPr>
  </w:style>
  <w:style w:type="character" w:customStyle="1" w:styleId="289">
    <w:name w:val="一级缩进 Char"/>
    <w:link w:val="290"/>
    <w:qFormat/>
    <w:uiPriority w:val="0"/>
    <w:rPr>
      <w:rFonts w:eastAsia="仿宋_GB2312"/>
      <w:sz w:val="32"/>
      <w:szCs w:val="32"/>
      <w:lang w:val="en-US" w:eastAsia="zh-CN" w:bidi="ar-SA"/>
    </w:rPr>
  </w:style>
  <w:style w:type="paragraph" w:customStyle="1" w:styleId="290">
    <w:name w:val="一级缩进"/>
    <w:link w:val="289"/>
    <w:qFormat/>
    <w:uiPriority w:val="0"/>
    <w:pPr>
      <w:tabs>
        <w:tab w:val="left" w:pos="720"/>
      </w:tabs>
      <w:spacing w:before="120" w:after="120" w:line="360" w:lineRule="auto"/>
      <w:ind w:left="987"/>
      <w:jc w:val="both"/>
    </w:pPr>
    <w:rPr>
      <w:rFonts w:ascii="Times New Roman" w:hAnsi="Times New Roman" w:eastAsia="仿宋_GB2312" w:cs="Times New Roman"/>
      <w:sz w:val="32"/>
      <w:szCs w:val="32"/>
      <w:lang w:val="en-US" w:eastAsia="zh-CN" w:bidi="ar-SA"/>
    </w:rPr>
  </w:style>
  <w:style w:type="character" w:customStyle="1" w:styleId="291">
    <w:name w:val="正文缩进 Char1"/>
    <w:qFormat/>
    <w:uiPriority w:val="0"/>
    <w:rPr>
      <w:rFonts w:ascii="Times New Roman" w:hAnsi="Times New Roman" w:eastAsia="宋体" w:cs="Times New Roman"/>
      <w:szCs w:val="20"/>
    </w:rPr>
  </w:style>
  <w:style w:type="character" w:customStyle="1" w:styleId="292">
    <w:name w:val="表格样式居中 Char"/>
    <w:link w:val="293"/>
    <w:qFormat/>
    <w:uiPriority w:val="0"/>
    <w:rPr>
      <w:rFonts w:ascii="宋体" w:hAnsi="宋体"/>
      <w:bCs/>
      <w:sz w:val="21"/>
      <w:szCs w:val="21"/>
      <w:lang w:val="zh-CN" w:eastAsia="zh-CN" w:bidi="ar-SA"/>
    </w:rPr>
  </w:style>
  <w:style w:type="paragraph" w:customStyle="1" w:styleId="293">
    <w:name w:val="表格样式居中"/>
    <w:link w:val="292"/>
    <w:qFormat/>
    <w:uiPriority w:val="0"/>
    <w:pPr>
      <w:spacing w:line="360" w:lineRule="auto"/>
      <w:jc w:val="center"/>
    </w:pPr>
    <w:rPr>
      <w:rFonts w:ascii="宋体" w:hAnsi="宋体" w:eastAsia="宋体" w:cs="Times New Roman"/>
      <w:bCs/>
      <w:sz w:val="21"/>
      <w:szCs w:val="21"/>
      <w:lang w:val="zh-CN" w:eastAsia="zh-CN" w:bidi="ar-SA"/>
    </w:rPr>
  </w:style>
  <w:style w:type="character" w:customStyle="1" w:styleId="294">
    <w:name w:val="hover24"/>
    <w:qFormat/>
    <w:uiPriority w:val="0"/>
    <w:rPr>
      <w:color w:val="315EFB"/>
    </w:rPr>
  </w:style>
  <w:style w:type="character" w:customStyle="1" w:styleId="295">
    <w:name w:val="批注文字 Char"/>
    <w:qFormat/>
    <w:uiPriority w:val="99"/>
    <w:rPr>
      <w:sz w:val="21"/>
      <w:szCs w:val="22"/>
    </w:rPr>
  </w:style>
  <w:style w:type="character" w:customStyle="1" w:styleId="296">
    <w:name w:val="font101"/>
    <w:qFormat/>
    <w:uiPriority w:val="0"/>
    <w:rPr>
      <w:rFonts w:hint="eastAsia" w:ascii="宋体" w:hAnsi="宋体" w:eastAsia="宋体" w:cs="宋体"/>
      <w:b/>
      <w:color w:val="000000"/>
      <w:sz w:val="18"/>
      <w:szCs w:val="18"/>
      <w:u w:val="none"/>
    </w:rPr>
  </w:style>
  <w:style w:type="character" w:customStyle="1" w:styleId="297">
    <w:name w:val="font51"/>
    <w:qFormat/>
    <w:uiPriority w:val="0"/>
    <w:rPr>
      <w:rFonts w:hint="eastAsia" w:ascii="宋体" w:hAnsi="宋体" w:eastAsia="宋体" w:cs="宋体"/>
      <w:b/>
      <w:color w:val="000000"/>
      <w:sz w:val="20"/>
      <w:szCs w:val="20"/>
      <w:u w:val="none"/>
    </w:rPr>
  </w:style>
  <w:style w:type="character" w:customStyle="1" w:styleId="298">
    <w:name w:val="Char Char11"/>
    <w:qFormat/>
    <w:uiPriority w:val="0"/>
    <w:rPr>
      <w:rFonts w:ascii="Arial" w:hAnsi="Arial" w:eastAsia="宋体" w:cs="Times New Roman"/>
      <w:b/>
      <w:bCs/>
      <w:sz w:val="28"/>
      <w:szCs w:val="36"/>
    </w:rPr>
  </w:style>
  <w:style w:type="paragraph" w:customStyle="1" w:styleId="299">
    <w:name w:val="Default Paragraph Font Para Char"/>
    <w:basedOn w:val="1"/>
    <w:qFormat/>
    <w:uiPriority w:val="0"/>
    <w:pPr>
      <w:widowControl/>
      <w:spacing w:before="156" w:after="160" w:line="240" w:lineRule="exact"/>
      <w:jc w:val="left"/>
    </w:pPr>
    <w:rPr>
      <w:rFonts w:ascii="Verdana" w:hAnsi="Verdana"/>
      <w:sz w:val="20"/>
      <w:szCs w:val="20"/>
      <w:lang w:eastAsia="en-US"/>
    </w:rPr>
  </w:style>
  <w:style w:type="paragraph" w:customStyle="1" w:styleId="300">
    <w:name w:val="无间隔1"/>
    <w:qFormat/>
    <w:uiPriority w:val="1"/>
    <w:pPr>
      <w:widowControl w:val="0"/>
      <w:jc w:val="both"/>
    </w:pPr>
    <w:rPr>
      <w:rFonts w:ascii="Times New Roman" w:hAnsi="Times New Roman" w:eastAsia="宋体" w:cs="Times New Roman"/>
      <w:sz w:val="21"/>
      <w:szCs w:val="22"/>
      <w:lang w:val="en-US" w:eastAsia="zh-CN" w:bidi="ar-SA"/>
    </w:rPr>
  </w:style>
  <w:style w:type="paragraph" w:customStyle="1" w:styleId="301">
    <w:name w:val="列表段落1"/>
    <w:basedOn w:val="1"/>
    <w:qFormat/>
    <w:uiPriority w:val="34"/>
    <w:pPr>
      <w:ind w:firstLine="420"/>
    </w:pPr>
    <w:rPr>
      <w:rFonts w:ascii="Calibri" w:hAnsi="Calibri"/>
    </w:rPr>
  </w:style>
  <w:style w:type="paragraph" w:customStyle="1" w:styleId="302">
    <w:name w:val="彩色列表 - 强调文字颜色 11"/>
    <w:basedOn w:val="1"/>
    <w:qFormat/>
    <w:uiPriority w:val="34"/>
    <w:pPr>
      <w:spacing w:line="360" w:lineRule="auto"/>
      <w:ind w:firstLine="420"/>
    </w:pPr>
    <w:rPr>
      <w:sz w:val="24"/>
    </w:rPr>
  </w:style>
  <w:style w:type="paragraph" w:styleId="303">
    <w:name w:val="No Spacing"/>
    <w:qFormat/>
    <w:uiPriority w:val="1"/>
    <w:rPr>
      <w:rFonts w:ascii="Tahoma" w:hAnsi="Tahoma" w:eastAsia="微软雅黑" w:cs="Times New Roman"/>
      <w:sz w:val="22"/>
      <w:szCs w:val="22"/>
      <w:lang w:val="en-US" w:eastAsia="zh-CN" w:bidi="ar-SA"/>
    </w:rPr>
  </w:style>
  <w:style w:type="paragraph" w:customStyle="1" w:styleId="304">
    <w:name w:val="正文 A"/>
    <w:next w:val="305"/>
    <w:qFormat/>
    <w:uiPriority w:val="0"/>
    <w:pPr>
      <w:widowControl w:val="0"/>
      <w:jc w:val="both"/>
    </w:pPr>
    <w:rPr>
      <w:rFonts w:ascii="Times New Roman" w:hAnsi="Times New Roman" w:eastAsia="Times New Roman" w:cs="Times New Roman"/>
      <w:color w:val="000000"/>
      <w:sz w:val="21"/>
      <w:szCs w:val="21"/>
      <w:lang w:val="en-US" w:eastAsia="zh-CN" w:bidi="ar-SA"/>
    </w:rPr>
  </w:style>
  <w:style w:type="paragraph" w:customStyle="1" w:styleId="305">
    <w:name w:val="段"/>
    <w:next w:val="304"/>
    <w:qFormat/>
    <w:uiPriority w:val="0"/>
    <w:pPr>
      <w:tabs>
        <w:tab w:val="center" w:pos="4201"/>
        <w:tab w:val="right" w:leader="dot" w:pos="9298"/>
      </w:tabs>
      <w:ind w:firstLine="420"/>
      <w:jc w:val="both"/>
    </w:pPr>
    <w:rPr>
      <w:rFonts w:ascii="宋体" w:hAnsi="Times New Roman" w:eastAsia="宋体" w:cs="Times New Roman"/>
      <w:lang w:val="en-US" w:eastAsia="zh-CN" w:bidi="ar-SA"/>
    </w:rPr>
  </w:style>
  <w:style w:type="paragraph" w:customStyle="1" w:styleId="306">
    <w:name w:val="FUNO正文"/>
    <w:qFormat/>
    <w:uiPriority w:val="0"/>
    <w:pPr>
      <w:spacing w:line="360" w:lineRule="auto"/>
      <w:ind w:firstLine="480"/>
      <w:jc w:val="both"/>
    </w:pPr>
    <w:rPr>
      <w:rFonts w:ascii="宋体" w:hAnsi="宋体" w:eastAsia="宋体" w:cs="Times New Roman"/>
      <w:sz w:val="24"/>
      <w:szCs w:val="21"/>
      <w:lang w:val="en-US" w:eastAsia="zh-CN" w:bidi="ar-SA"/>
    </w:rPr>
  </w:style>
  <w:style w:type="paragraph" w:customStyle="1" w:styleId="307">
    <w:name w:val="正文空2格  1."/>
    <w:basedOn w:val="1"/>
    <w:qFormat/>
    <w:uiPriority w:val="0"/>
    <w:pPr>
      <w:ind w:firstLine="480"/>
    </w:pPr>
    <w:rPr>
      <w:rFonts w:cs="宋体"/>
      <w:sz w:val="28"/>
      <w:szCs w:val="20"/>
    </w:rPr>
  </w:style>
  <w:style w:type="paragraph" w:customStyle="1" w:styleId="308">
    <w:name w:val="列出段落"/>
    <w:basedOn w:val="1"/>
    <w:qFormat/>
    <w:uiPriority w:val="34"/>
    <w:pPr>
      <w:ind w:left="720"/>
    </w:pPr>
    <w:rPr>
      <w:szCs w:val="21"/>
    </w:rPr>
  </w:style>
  <w:style w:type="paragraph" w:customStyle="1" w:styleId="309">
    <w:name w:val="二级目录"/>
    <w:next w:val="1"/>
    <w:qFormat/>
    <w:uiPriority w:val="0"/>
    <w:pPr>
      <w:numPr>
        <w:ilvl w:val="0"/>
        <w:numId w:val="5"/>
      </w:numPr>
      <w:outlineLvl w:val="1"/>
    </w:pPr>
    <w:rPr>
      <w:rFonts w:ascii="Times New Roman" w:hAnsi="Times New Roman" w:eastAsia="宋体" w:cs="Times New Roman"/>
      <w:b/>
      <w:sz w:val="30"/>
      <w:szCs w:val="28"/>
      <w:lang w:val="en-US" w:eastAsia="zh-CN" w:bidi="ar-SA"/>
    </w:rPr>
  </w:style>
  <w:style w:type="paragraph" w:customStyle="1" w:styleId="310">
    <w:name w:val="文档标题"/>
    <w:basedOn w:val="1"/>
    <w:qFormat/>
    <w:uiPriority w:val="0"/>
    <w:pPr>
      <w:spacing w:before="312" w:after="312" w:line="300" w:lineRule="auto"/>
      <w:jc w:val="center"/>
    </w:pPr>
    <w:rPr>
      <w:rFonts w:ascii="Arial" w:hAnsi="Arial" w:eastAsia="黑体" w:cs="Arial"/>
      <w:b/>
      <w:sz w:val="48"/>
      <w:szCs w:val="32"/>
    </w:rPr>
  </w:style>
  <w:style w:type="paragraph" w:customStyle="1" w:styleId="311">
    <w:name w:val="普通正文"/>
    <w:basedOn w:val="1"/>
    <w:qFormat/>
    <w:uiPriority w:val="0"/>
    <w:pPr>
      <w:spacing w:before="120" w:after="120" w:line="360" w:lineRule="auto"/>
      <w:ind w:firstLine="480"/>
      <w:jc w:val="left"/>
    </w:pPr>
    <w:rPr>
      <w:rFonts w:ascii="Arial" w:hAnsi="Arial"/>
      <w:sz w:val="24"/>
      <w:szCs w:val="24"/>
    </w:rPr>
  </w:style>
  <w:style w:type="paragraph" w:customStyle="1" w:styleId="312">
    <w:name w:val="（1）"/>
    <w:basedOn w:val="1"/>
    <w:qFormat/>
    <w:uiPriority w:val="0"/>
    <w:pPr>
      <w:spacing w:line="360" w:lineRule="auto"/>
      <w:ind w:firstLine="480"/>
    </w:pPr>
    <w:rPr>
      <w:rFonts w:ascii="宋体" w:hAnsi="宋体" w:cs="宋体"/>
      <w:sz w:val="24"/>
      <w:szCs w:val="24"/>
    </w:rPr>
  </w:style>
  <w:style w:type="paragraph" w:customStyle="1" w:styleId="313">
    <w:name w:val="无间隔2"/>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14">
    <w:name w:val="正文1"/>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315">
    <w:name w:val="表格正文"/>
    <w:basedOn w:val="1"/>
    <w:qFormat/>
    <w:uiPriority w:val="0"/>
    <w:pPr>
      <w:spacing w:line="360" w:lineRule="atLeast"/>
    </w:pPr>
  </w:style>
  <w:style w:type="paragraph" w:customStyle="1" w:styleId="316">
    <w:name w:val="paragraph"/>
    <w:basedOn w:val="1"/>
    <w:qFormat/>
    <w:uiPriority w:val="0"/>
    <w:pPr>
      <w:widowControl/>
      <w:spacing w:before="100" w:beforeAutospacing="1" w:after="100" w:afterAutospacing="1"/>
      <w:jc w:val="left"/>
    </w:pPr>
    <w:rPr>
      <w:rFonts w:ascii="宋体" w:hAnsi="宋体" w:cs="宋体"/>
      <w:sz w:val="24"/>
      <w:szCs w:val="24"/>
    </w:rPr>
  </w:style>
  <w:style w:type="paragraph" w:customStyle="1" w:styleId="317">
    <w:name w:val="标准正文"/>
    <w:qFormat/>
    <w:uiPriority w:val="0"/>
    <w:pPr>
      <w:spacing w:before="156" w:line="360" w:lineRule="auto"/>
      <w:ind w:firstLine="200"/>
    </w:pPr>
    <w:rPr>
      <w:rFonts w:ascii="Times New Roman" w:hAnsi="Times New Roman" w:eastAsia="宋体" w:cs="Times New Roman"/>
      <w:sz w:val="21"/>
      <w:szCs w:val="22"/>
      <w:lang w:val="en-US" w:eastAsia="zh-CN" w:bidi="ar-SA"/>
    </w:rPr>
  </w:style>
  <w:style w:type="paragraph" w:customStyle="1" w:styleId="318">
    <w:name w:val="正文 1.1.1"/>
    <w:basedOn w:val="1"/>
    <w:next w:val="1"/>
    <w:qFormat/>
    <w:uiPriority w:val="0"/>
    <w:pPr>
      <w:numPr>
        <w:ilvl w:val="2"/>
        <w:numId w:val="6"/>
      </w:numPr>
      <w:outlineLvl w:val="2"/>
    </w:pPr>
    <w:rPr>
      <w:rFonts w:hAnsi="宋体"/>
      <w:color w:val="FF0000"/>
    </w:rPr>
  </w:style>
  <w:style w:type="paragraph" w:customStyle="1" w:styleId="319">
    <w:name w:val="正文_2"/>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20">
    <w:name w:val="CD 正文"/>
    <w:basedOn w:val="1"/>
    <w:qFormat/>
    <w:uiPriority w:val="0"/>
    <w:pPr>
      <w:jc w:val="left"/>
    </w:pPr>
    <w:rPr>
      <w:rFonts w:ascii="Arial" w:hAnsi="Arial" w:eastAsia="微软雅黑" w:cs="Arial"/>
      <w:szCs w:val="21"/>
    </w:rPr>
  </w:style>
  <w:style w:type="paragraph" w:customStyle="1" w:styleId="321">
    <w:name w:val="正文（缩进）"/>
    <w:basedOn w:val="1"/>
    <w:next w:val="322"/>
    <w:qFormat/>
    <w:uiPriority w:val="0"/>
    <w:pPr>
      <w:ind w:firstLine="480"/>
    </w:pPr>
  </w:style>
  <w:style w:type="paragraph" w:customStyle="1" w:styleId="322">
    <w:name w:val="Char Char Char Char Char Char Char Char Char"/>
    <w:basedOn w:val="1"/>
    <w:next w:val="323"/>
    <w:qFormat/>
    <w:uiPriority w:val="0"/>
    <w:pPr>
      <w:ind w:left="360" w:firstLine="5784"/>
    </w:pPr>
  </w:style>
  <w:style w:type="paragraph" w:customStyle="1" w:styleId="323">
    <w:name w:val="正文文本 21"/>
    <w:basedOn w:val="1"/>
    <w:next w:val="324"/>
    <w:qFormat/>
    <w:uiPriority w:val="0"/>
    <w:pPr>
      <w:widowControl/>
      <w:ind w:left="720" w:firstLine="5680"/>
    </w:pPr>
  </w:style>
  <w:style w:type="paragraph" w:customStyle="1" w:styleId="324">
    <w:name w:val="默认段落字体 Para Char Char Char Char Char Char Char"/>
    <w:basedOn w:val="1"/>
    <w:next w:val="325"/>
    <w:qFormat/>
    <w:uiPriority w:val="0"/>
    <w:pPr>
      <w:ind w:firstLine="200"/>
    </w:pPr>
    <w:rPr>
      <w:rFonts w:cs="Arial"/>
    </w:rPr>
  </w:style>
  <w:style w:type="paragraph" w:customStyle="1" w:styleId="325">
    <w:name w:val="样式 首行缩进:  2 字符"/>
    <w:basedOn w:val="1"/>
    <w:next w:val="326"/>
    <w:qFormat/>
    <w:uiPriority w:val="0"/>
    <w:pPr>
      <w:spacing w:line="360" w:lineRule="auto"/>
      <w:ind w:left="480" w:firstLine="5856"/>
    </w:pPr>
  </w:style>
  <w:style w:type="paragraph" w:customStyle="1" w:styleId="326">
    <w:name w:val="样式 段后: 0.25 行"/>
    <w:basedOn w:val="1"/>
    <w:next w:val="327"/>
    <w:qFormat/>
    <w:uiPriority w:val="0"/>
    <w:pPr>
      <w:widowControl/>
      <w:spacing w:line="300" w:lineRule="auto"/>
      <w:ind w:left="420" w:firstLine="5796"/>
    </w:pPr>
  </w:style>
  <w:style w:type="paragraph" w:customStyle="1" w:styleId="327">
    <w:name w:val="正文 New New New New New New New New New New New New New New"/>
    <w:next w:val="237"/>
    <w:qFormat/>
    <w:uiPriority w:val="0"/>
    <w:pPr>
      <w:widowControl w:val="0"/>
      <w:ind w:firstLine="2048"/>
      <w:jc w:val="both"/>
    </w:pPr>
    <w:rPr>
      <w:rFonts w:ascii="Calibri" w:hAnsi="Calibri" w:eastAsia="宋体" w:cs="Times New Roman"/>
      <w:lang w:val="en-US" w:eastAsia="zh-CN" w:bidi="ar-SA"/>
    </w:rPr>
  </w:style>
  <w:style w:type="paragraph" w:customStyle="1" w:styleId="328">
    <w:name w:val="Table Paragraph"/>
    <w:basedOn w:val="1"/>
    <w:qFormat/>
    <w:uiPriority w:val="1"/>
    <w:rPr>
      <w:rFonts w:ascii="Noto Sans CJK JP Regular" w:hAnsi="Noto Sans CJK JP Regular" w:eastAsia="Noto Sans CJK JP Regular" w:cs="Noto Sans CJK JP Regular"/>
    </w:rPr>
  </w:style>
  <w:style w:type="paragraph" w:customStyle="1" w:styleId="329">
    <w:name w:val="Char"/>
    <w:basedOn w:val="1"/>
    <w:qFormat/>
    <w:uiPriority w:val="0"/>
    <w:pPr>
      <w:tabs>
        <w:tab w:val="left" w:pos="360"/>
      </w:tabs>
      <w:ind w:firstLine="200"/>
    </w:pPr>
    <w:rPr>
      <w:sz w:val="28"/>
      <w:szCs w:val="30"/>
    </w:rPr>
  </w:style>
  <w:style w:type="paragraph" w:customStyle="1" w:styleId="330">
    <w:name w:val="_Style 2"/>
    <w:basedOn w:val="1"/>
    <w:qFormat/>
    <w:uiPriority w:val="0"/>
    <w:pPr>
      <w:ind w:firstLine="420"/>
    </w:pPr>
  </w:style>
  <w:style w:type="paragraph" w:customStyle="1" w:styleId="331">
    <w:name w:val="p0"/>
    <w:basedOn w:val="1"/>
    <w:qFormat/>
    <w:uiPriority w:val="0"/>
    <w:pPr>
      <w:widowControl/>
    </w:pPr>
    <w:rPr>
      <w:szCs w:val="21"/>
    </w:rPr>
  </w:style>
  <w:style w:type="paragraph" w:customStyle="1" w:styleId="332">
    <w:name w:val="列出段落3"/>
    <w:basedOn w:val="1"/>
    <w:qFormat/>
    <w:uiPriority w:val="0"/>
    <w:pPr>
      <w:ind w:firstLine="420"/>
    </w:pPr>
    <w:rPr>
      <w:rFonts w:ascii="Cambria" w:hAnsi="Cambria"/>
      <w:sz w:val="24"/>
      <w:szCs w:val="20"/>
    </w:rPr>
  </w:style>
  <w:style w:type="paragraph" w:customStyle="1" w:styleId="333">
    <w:name w:val="正文 1.1"/>
    <w:basedOn w:val="1"/>
    <w:next w:val="318"/>
    <w:qFormat/>
    <w:uiPriority w:val="0"/>
    <w:pPr>
      <w:numPr>
        <w:ilvl w:val="1"/>
        <w:numId w:val="6"/>
      </w:numPr>
      <w:ind w:firstLine="550"/>
      <w:outlineLvl w:val="1"/>
    </w:pPr>
    <w:rPr>
      <w:rFonts w:ascii="仿宋" w:hAnsi="仿宋"/>
      <w:b/>
    </w:rPr>
  </w:style>
  <w:style w:type="paragraph" w:customStyle="1" w:styleId="334">
    <w:name w:val="列出段落2"/>
    <w:basedOn w:val="1"/>
    <w:qFormat/>
    <w:uiPriority w:val="0"/>
    <w:pPr>
      <w:ind w:firstLine="420"/>
    </w:pPr>
    <w:rPr>
      <w:rFonts w:ascii="Calibri" w:hAnsi="Calibri"/>
      <w:lang w:val="zh-CN"/>
    </w:rPr>
  </w:style>
  <w:style w:type="paragraph" w:customStyle="1" w:styleId="335">
    <w:name w:val="表 靠左"/>
    <w:basedOn w:val="1"/>
    <w:qFormat/>
    <w:uiPriority w:val="0"/>
    <w:pPr>
      <w:widowControl/>
      <w:spacing w:after="200"/>
      <w:jc w:val="left"/>
    </w:pPr>
    <w:rPr>
      <w:sz w:val="22"/>
    </w:rPr>
  </w:style>
  <w:style w:type="paragraph" w:styleId="336">
    <w:name w:val="List Paragraph"/>
    <w:basedOn w:val="1"/>
    <w:qFormat/>
    <w:uiPriority w:val="0"/>
    <w:pPr>
      <w:ind w:firstLine="420"/>
    </w:pPr>
    <w:rPr>
      <w:szCs w:val="20"/>
    </w:rPr>
  </w:style>
  <w:style w:type="paragraph" w:customStyle="1" w:styleId="337">
    <w:name w:val="纯文本1"/>
    <w:basedOn w:val="1"/>
    <w:qFormat/>
    <w:uiPriority w:val="0"/>
    <w:rPr>
      <w:rFonts w:ascii="宋体" w:hAnsi="Courier New"/>
      <w:sz w:val="20"/>
      <w:szCs w:val="21"/>
    </w:rPr>
  </w:style>
  <w:style w:type="character" w:customStyle="1" w:styleId="338">
    <w:name w:val="font41"/>
    <w:qFormat/>
    <w:uiPriority w:val="99"/>
    <w:rPr>
      <w:rFonts w:ascii="font-weight : 400" w:hAnsi="font-weight : 400" w:cs="font-weight : 400"/>
      <w:color w:val="000000"/>
      <w:sz w:val="22"/>
      <w:szCs w:val="22"/>
      <w:u w:val="none"/>
    </w:rPr>
  </w:style>
  <w:style w:type="paragraph" w:customStyle="1" w:styleId="339">
    <w:name w:val="WPSOffice手动目录 1"/>
    <w:qFormat/>
    <w:uiPriority w:val="0"/>
    <w:rPr>
      <w:rFonts w:ascii="Times New Roman" w:hAnsi="Times New Roman" w:eastAsia="宋体" w:cs="Times New Roman"/>
      <w:lang w:val="en-US" w:eastAsia="zh-CN" w:bidi="ar-SA"/>
    </w:rPr>
  </w:style>
  <w:style w:type="paragraph" w:customStyle="1" w:styleId="340">
    <w:name w:val="正文文本11"/>
    <w:basedOn w:val="1"/>
    <w:next w:val="341"/>
    <w:qFormat/>
    <w:uiPriority w:val="0"/>
    <w:rPr>
      <w:rFonts w:ascii="楷体_GB2312" w:hAnsi="Arial" w:eastAsia="楷体_GB2312"/>
      <w:sz w:val="28"/>
      <w:szCs w:val="28"/>
    </w:rPr>
  </w:style>
  <w:style w:type="paragraph" w:customStyle="1" w:styleId="341">
    <w:name w:val="标题1"/>
    <w:basedOn w:val="1"/>
    <w:next w:val="1"/>
    <w:qFormat/>
    <w:uiPriority w:val="0"/>
    <w:pPr>
      <w:spacing w:before="240" w:after="60" w:line="360" w:lineRule="auto"/>
      <w:jc w:val="center"/>
      <w:outlineLvl w:val="0"/>
    </w:pPr>
    <w:rPr>
      <w:rFonts w:ascii="宋体" w:hAnsi="宋体"/>
      <w:b/>
      <w:bCs/>
      <w:sz w:val="32"/>
      <w:szCs w:val="32"/>
    </w:rPr>
  </w:style>
  <w:style w:type="paragraph" w:customStyle="1" w:styleId="342">
    <w:name w:val="1序号"/>
    <w:basedOn w:val="1"/>
    <w:link w:val="343"/>
    <w:qFormat/>
    <w:uiPriority w:val="0"/>
    <w:pPr>
      <w:widowControl/>
      <w:adjustRightInd w:val="0"/>
      <w:snapToGrid w:val="0"/>
      <w:spacing w:before="156" w:beforeLines="50" w:line="360" w:lineRule="auto"/>
      <w:ind w:left="170" w:hanging="170"/>
      <w:contextualSpacing/>
      <w:jc w:val="left"/>
    </w:pPr>
    <w:rPr>
      <w:rFonts w:ascii="宋体" w:hAnsi="宋体" w:eastAsiaTheme="minorEastAsia" w:cstheme="minorBidi"/>
      <w:kern w:val="2"/>
      <w:sz w:val="24"/>
      <w:szCs w:val="24"/>
    </w:rPr>
  </w:style>
  <w:style w:type="character" w:customStyle="1" w:styleId="343">
    <w:name w:val="1序号 Char"/>
    <w:basedOn w:val="38"/>
    <w:link w:val="342"/>
    <w:qFormat/>
    <w:uiPriority w:val="0"/>
    <w:rPr>
      <w:rFonts w:ascii="宋体" w:hAnsi="宋体" w:eastAsiaTheme="minorEastAsia" w:cstheme="minorBidi"/>
      <w:kern w:val="2"/>
      <w:sz w:val="24"/>
      <w:szCs w:val="24"/>
    </w:rPr>
  </w:style>
  <w:style w:type="character" w:customStyle="1" w:styleId="344">
    <w:name w:val="批注文字 字符1"/>
    <w:basedOn w:val="38"/>
    <w:link w:val="16"/>
    <w:uiPriority w:val="99"/>
    <w:rPr>
      <w:szCs w:val="24"/>
    </w:rPr>
  </w:style>
  <w:style w:type="character" w:customStyle="1" w:styleId="345">
    <w:name w:val="批注主题 字符1"/>
    <w:basedOn w:val="344"/>
    <w:link w:val="35"/>
    <w:semiHidden/>
    <w:uiPriority w:val="99"/>
    <w:rPr>
      <w:b/>
      <w:bCs/>
      <w:sz w:val="21"/>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Company>
  <Pages>62</Pages>
  <Words>16877</Words>
  <Characters>18283</Characters>
  <Lines>323</Lines>
  <Paragraphs>91</Paragraphs>
  <TotalTime>15</TotalTime>
  <ScaleCrop>false</ScaleCrop>
  <LinksUpToDate>false</LinksUpToDate>
  <CharactersWithSpaces>20151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2026-10-28T07:43:00Z</dcterms:created>
  <dc:creator>adm</dc:creator>
  <cp:lastModifiedBy>李俊</cp:lastModifiedBy>
  <cp:lastPrinted>2026-10-27T07:20:00Z</cp:lastPrinted>
  <dcterms:modified xsi:type="dcterms:W3CDTF">2026-10-30T05:17:39Z</dcterms:modified>
  <dc:title>SWCGDLG-2</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133034D1E00A4C2DAA7CAB75AC8FCC85_13</vt:lpwstr>
  </property>
  <property fmtid="{D5CDD505-2E9C-101B-9397-08002B2CF9AE}" pid="4" name="KSOTemplateDocerSaveRecord">
    <vt:lpwstr>eyJoZGlkIjoiYmIxOGNjOWMyZTYwZmY3NzQ1Mjk4NjY2ZTI3ZmJjYTQiLCJ1c2VySWQiOiI1NDAwMzE2NTIifQ==</vt:lpwstr>
  </property>
</Properties>
</file>